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6335F4">
      <w:pPr>
        <w:pStyle w:val="2"/>
        <w:spacing w:line="242" w:lineRule="auto"/>
        <w:rPr>
          <w:color w:val="auto"/>
          <w:highlight w:val="none"/>
        </w:rPr>
      </w:pPr>
    </w:p>
    <w:p w14:paraId="71C5DB0B">
      <w:pPr>
        <w:pStyle w:val="2"/>
        <w:spacing w:line="242" w:lineRule="auto"/>
        <w:rPr>
          <w:color w:val="auto"/>
          <w:highlight w:val="none"/>
        </w:rPr>
      </w:pPr>
    </w:p>
    <w:p w14:paraId="075BE406">
      <w:pPr>
        <w:pStyle w:val="2"/>
        <w:spacing w:line="242" w:lineRule="auto"/>
        <w:rPr>
          <w:color w:val="auto"/>
          <w:highlight w:val="none"/>
        </w:rPr>
      </w:pPr>
    </w:p>
    <w:p w14:paraId="4F05AA64">
      <w:pPr>
        <w:pStyle w:val="2"/>
        <w:spacing w:line="242" w:lineRule="auto"/>
        <w:rPr>
          <w:color w:val="auto"/>
          <w:highlight w:val="none"/>
        </w:rPr>
      </w:pPr>
    </w:p>
    <w:p w14:paraId="4ED52A70">
      <w:pPr>
        <w:pStyle w:val="2"/>
        <w:spacing w:line="243" w:lineRule="auto"/>
        <w:rPr>
          <w:color w:val="auto"/>
          <w:highlight w:val="none"/>
        </w:rPr>
      </w:pPr>
    </w:p>
    <w:p w14:paraId="1CDE2B6A">
      <w:pPr>
        <w:pStyle w:val="2"/>
        <w:spacing w:line="243" w:lineRule="auto"/>
        <w:rPr>
          <w:color w:val="auto"/>
          <w:highlight w:val="none"/>
        </w:rPr>
      </w:pPr>
    </w:p>
    <w:p w14:paraId="6CE60D8E">
      <w:pPr>
        <w:pStyle w:val="2"/>
        <w:spacing w:line="243" w:lineRule="auto"/>
        <w:rPr>
          <w:color w:val="auto"/>
          <w:highlight w:val="none"/>
        </w:rPr>
      </w:pPr>
    </w:p>
    <w:p w14:paraId="2E923650">
      <w:pPr>
        <w:spacing w:before="230" w:line="223" w:lineRule="auto"/>
        <w:ind w:left="1838"/>
        <w:outlineLvl w:val="9"/>
        <w:rPr>
          <w:rFonts w:ascii="仿宋" w:hAnsi="仿宋" w:eastAsia="仿宋" w:cs="仿宋"/>
          <w:color w:val="auto"/>
          <w:sz w:val="71"/>
          <w:szCs w:val="71"/>
          <w:highlight w:val="none"/>
        </w:rPr>
      </w:pPr>
      <w:bookmarkStart w:id="0" w:name="_Toc29411"/>
      <w:bookmarkStart w:id="1" w:name="_Toc17638"/>
      <w:r>
        <w:rPr>
          <w:rFonts w:ascii="仿宋" w:hAnsi="仿宋" w:eastAsia="仿宋" w:cs="仿宋"/>
          <w:b/>
          <w:bCs/>
          <w:color w:val="auto"/>
          <w:spacing w:val="-6"/>
          <w:sz w:val="71"/>
          <w:szCs w:val="71"/>
          <w:highlight w:val="none"/>
        </w:rPr>
        <w:t>竞争性磋商文件</w:t>
      </w:r>
      <w:bookmarkEnd w:id="0"/>
      <w:bookmarkEnd w:id="1"/>
    </w:p>
    <w:p w14:paraId="37EAF75E">
      <w:pPr>
        <w:pStyle w:val="2"/>
        <w:spacing w:line="253" w:lineRule="auto"/>
        <w:rPr>
          <w:color w:val="auto"/>
          <w:highlight w:val="none"/>
        </w:rPr>
      </w:pPr>
    </w:p>
    <w:p w14:paraId="270355CE">
      <w:pPr>
        <w:pStyle w:val="2"/>
        <w:spacing w:line="253" w:lineRule="auto"/>
        <w:rPr>
          <w:color w:val="auto"/>
          <w:highlight w:val="none"/>
        </w:rPr>
      </w:pPr>
    </w:p>
    <w:p w14:paraId="4CA76036">
      <w:pPr>
        <w:pStyle w:val="2"/>
        <w:spacing w:line="253" w:lineRule="auto"/>
        <w:rPr>
          <w:color w:val="auto"/>
          <w:highlight w:val="none"/>
        </w:rPr>
      </w:pPr>
    </w:p>
    <w:p w14:paraId="53839638">
      <w:pPr>
        <w:pStyle w:val="2"/>
        <w:spacing w:line="253" w:lineRule="auto"/>
        <w:rPr>
          <w:color w:val="auto"/>
          <w:highlight w:val="none"/>
        </w:rPr>
      </w:pPr>
    </w:p>
    <w:p w14:paraId="4810028C">
      <w:pPr>
        <w:pStyle w:val="2"/>
        <w:spacing w:line="254" w:lineRule="auto"/>
        <w:rPr>
          <w:color w:val="auto"/>
          <w:highlight w:val="none"/>
        </w:rPr>
      </w:pPr>
    </w:p>
    <w:p w14:paraId="39C08BF6">
      <w:pPr>
        <w:pStyle w:val="2"/>
        <w:spacing w:line="254" w:lineRule="auto"/>
        <w:rPr>
          <w:color w:val="auto"/>
          <w:highlight w:val="none"/>
        </w:rPr>
      </w:pPr>
    </w:p>
    <w:p w14:paraId="46E8E2F0">
      <w:pPr>
        <w:pStyle w:val="2"/>
        <w:spacing w:line="254" w:lineRule="auto"/>
        <w:rPr>
          <w:color w:val="auto"/>
          <w:highlight w:val="none"/>
        </w:rPr>
      </w:pPr>
    </w:p>
    <w:p w14:paraId="460AFB48">
      <w:pPr>
        <w:pStyle w:val="2"/>
        <w:spacing w:line="254" w:lineRule="auto"/>
        <w:rPr>
          <w:color w:val="auto"/>
          <w:highlight w:val="none"/>
        </w:rPr>
      </w:pPr>
    </w:p>
    <w:p w14:paraId="06949237">
      <w:pPr>
        <w:pStyle w:val="2"/>
        <w:spacing w:line="254" w:lineRule="auto"/>
        <w:rPr>
          <w:color w:val="auto"/>
          <w:highlight w:val="none"/>
        </w:rPr>
      </w:pPr>
    </w:p>
    <w:p w14:paraId="2C6B9BB1">
      <w:pPr>
        <w:pStyle w:val="2"/>
        <w:spacing w:line="254" w:lineRule="auto"/>
        <w:rPr>
          <w:color w:val="auto"/>
          <w:highlight w:val="none"/>
        </w:rPr>
      </w:pPr>
    </w:p>
    <w:p w14:paraId="4ADCC189">
      <w:pPr>
        <w:pStyle w:val="2"/>
        <w:spacing w:line="254" w:lineRule="auto"/>
        <w:rPr>
          <w:color w:val="auto"/>
          <w:highlight w:val="none"/>
        </w:rPr>
      </w:pPr>
    </w:p>
    <w:p w14:paraId="3EC1F2FB">
      <w:pPr>
        <w:pStyle w:val="2"/>
        <w:spacing w:line="254" w:lineRule="auto"/>
        <w:rPr>
          <w:color w:val="auto"/>
          <w:highlight w:val="none"/>
        </w:rPr>
      </w:pPr>
    </w:p>
    <w:p w14:paraId="357A49BB">
      <w:pPr>
        <w:pStyle w:val="2"/>
        <w:spacing w:line="254" w:lineRule="auto"/>
        <w:rPr>
          <w:color w:val="auto"/>
          <w:highlight w:val="none"/>
        </w:rPr>
      </w:pPr>
    </w:p>
    <w:p w14:paraId="4E04DB20">
      <w:pPr>
        <w:spacing w:before="101" w:line="226" w:lineRule="auto"/>
        <w:jc w:val="both"/>
        <w:rPr>
          <w:rFonts w:hint="eastAsia" w:ascii="仿宋" w:hAnsi="仿宋" w:eastAsia="仿宋" w:cs="仿宋"/>
          <w:color w:val="auto"/>
          <w:sz w:val="31"/>
          <w:szCs w:val="31"/>
          <w:highlight w:val="none"/>
          <w:lang w:eastAsia="zh-CN"/>
        </w:rPr>
      </w:pPr>
      <w:r>
        <w:rPr>
          <w:rFonts w:ascii="仿宋" w:hAnsi="仿宋" w:eastAsia="仿宋" w:cs="仿宋"/>
          <w:b/>
          <w:bCs/>
          <w:color w:val="auto"/>
          <w:spacing w:val="7"/>
          <w:sz w:val="31"/>
          <w:szCs w:val="31"/>
          <w:highlight w:val="none"/>
        </w:rPr>
        <w:t>项目名称：</w:t>
      </w:r>
      <w:r>
        <w:rPr>
          <w:rFonts w:hint="eastAsia" w:ascii="仿宋" w:hAnsi="仿宋" w:eastAsia="仿宋" w:cs="仿宋"/>
          <w:b/>
          <w:bCs/>
          <w:color w:val="auto"/>
          <w:spacing w:val="7"/>
          <w:sz w:val="31"/>
          <w:szCs w:val="31"/>
          <w:highlight w:val="none"/>
          <w:lang w:eastAsia="zh-CN"/>
        </w:rPr>
        <w:t>2025年库区移民发展专项资金项目</w:t>
      </w:r>
    </w:p>
    <w:p w14:paraId="6FF050CE">
      <w:pPr>
        <w:pStyle w:val="2"/>
        <w:spacing w:line="254" w:lineRule="auto"/>
        <w:rPr>
          <w:color w:val="auto"/>
          <w:highlight w:val="none"/>
        </w:rPr>
      </w:pPr>
    </w:p>
    <w:p w14:paraId="12C09649">
      <w:pPr>
        <w:pStyle w:val="2"/>
        <w:spacing w:line="254" w:lineRule="auto"/>
        <w:rPr>
          <w:color w:val="auto"/>
          <w:highlight w:val="none"/>
        </w:rPr>
      </w:pPr>
    </w:p>
    <w:p w14:paraId="6D88C221">
      <w:pPr>
        <w:pStyle w:val="2"/>
        <w:spacing w:line="254" w:lineRule="auto"/>
        <w:rPr>
          <w:color w:val="auto"/>
          <w:highlight w:val="none"/>
        </w:rPr>
      </w:pPr>
    </w:p>
    <w:p w14:paraId="5CC8F9F2">
      <w:pPr>
        <w:spacing w:before="101" w:line="229" w:lineRule="auto"/>
        <w:rPr>
          <w:rFonts w:hint="eastAsia" w:ascii="仿宋" w:hAnsi="仿宋" w:eastAsia="仿宋" w:cs="仿宋"/>
          <w:color w:val="auto"/>
          <w:sz w:val="31"/>
          <w:szCs w:val="31"/>
          <w:highlight w:val="none"/>
          <w:lang w:eastAsia="zh-CN"/>
        </w:rPr>
      </w:pPr>
      <w:r>
        <w:rPr>
          <w:rFonts w:ascii="仿宋" w:hAnsi="仿宋" w:eastAsia="仿宋" w:cs="仿宋"/>
          <w:b/>
          <w:bCs/>
          <w:color w:val="auto"/>
          <w:spacing w:val="4"/>
          <w:sz w:val="31"/>
          <w:szCs w:val="31"/>
          <w:highlight w:val="none"/>
        </w:rPr>
        <w:t>项目编号：</w:t>
      </w:r>
      <w:r>
        <w:rPr>
          <w:rFonts w:hint="eastAsia" w:ascii="仿宋" w:hAnsi="仿宋" w:eastAsia="仿宋" w:cs="仿宋"/>
          <w:b/>
          <w:bCs/>
          <w:color w:val="auto"/>
          <w:sz w:val="31"/>
          <w:szCs w:val="31"/>
          <w:highlight w:val="none"/>
          <w:lang w:eastAsia="zh-CN"/>
        </w:rPr>
        <w:t>CZZC2025-C2-240114-HZTG</w:t>
      </w:r>
    </w:p>
    <w:p w14:paraId="4878AF38">
      <w:pPr>
        <w:pStyle w:val="2"/>
        <w:spacing w:line="252" w:lineRule="auto"/>
        <w:rPr>
          <w:color w:val="auto"/>
          <w:highlight w:val="none"/>
        </w:rPr>
      </w:pPr>
    </w:p>
    <w:p w14:paraId="2B4260C0">
      <w:pPr>
        <w:pStyle w:val="2"/>
        <w:spacing w:line="252" w:lineRule="auto"/>
        <w:rPr>
          <w:color w:val="auto"/>
          <w:highlight w:val="none"/>
        </w:rPr>
      </w:pPr>
    </w:p>
    <w:p w14:paraId="77CD6467">
      <w:pPr>
        <w:pStyle w:val="2"/>
        <w:spacing w:line="253" w:lineRule="auto"/>
        <w:rPr>
          <w:color w:val="auto"/>
          <w:highlight w:val="none"/>
        </w:rPr>
      </w:pPr>
    </w:p>
    <w:p w14:paraId="48DFF47E">
      <w:pPr>
        <w:spacing w:before="101" w:line="228" w:lineRule="auto"/>
        <w:ind w:left="1"/>
        <w:rPr>
          <w:rFonts w:hint="eastAsia" w:ascii="仿宋" w:hAnsi="仿宋" w:eastAsia="仿宋" w:cs="仿宋"/>
          <w:color w:val="auto"/>
          <w:sz w:val="31"/>
          <w:szCs w:val="31"/>
          <w:highlight w:val="none"/>
          <w:lang w:eastAsia="zh-CN"/>
        </w:rPr>
      </w:pPr>
      <w:r>
        <w:rPr>
          <w:rFonts w:ascii="仿宋" w:hAnsi="仿宋" w:eastAsia="仿宋" w:cs="仿宋"/>
          <w:b/>
          <w:bCs/>
          <w:color w:val="auto"/>
          <w:spacing w:val="5"/>
          <w:sz w:val="31"/>
          <w:szCs w:val="31"/>
          <w:highlight w:val="none"/>
        </w:rPr>
        <w:t>采</w:t>
      </w:r>
      <w:r>
        <w:rPr>
          <w:rFonts w:ascii="仿宋" w:hAnsi="仿宋" w:eastAsia="仿宋" w:cs="仿宋"/>
          <w:color w:val="auto"/>
          <w:spacing w:val="5"/>
          <w:sz w:val="31"/>
          <w:szCs w:val="31"/>
          <w:highlight w:val="none"/>
        </w:rPr>
        <w:t xml:space="preserve"> </w:t>
      </w:r>
      <w:r>
        <w:rPr>
          <w:rFonts w:ascii="仿宋" w:hAnsi="仿宋" w:eastAsia="仿宋" w:cs="仿宋"/>
          <w:b/>
          <w:bCs/>
          <w:color w:val="auto"/>
          <w:spacing w:val="5"/>
          <w:sz w:val="31"/>
          <w:szCs w:val="31"/>
          <w:highlight w:val="none"/>
        </w:rPr>
        <w:t>购</w:t>
      </w:r>
      <w:r>
        <w:rPr>
          <w:rFonts w:ascii="仿宋" w:hAnsi="仿宋" w:eastAsia="仿宋" w:cs="仿宋"/>
          <w:color w:val="auto"/>
          <w:spacing w:val="38"/>
          <w:sz w:val="31"/>
          <w:szCs w:val="31"/>
          <w:highlight w:val="none"/>
        </w:rPr>
        <w:t xml:space="preserve"> </w:t>
      </w:r>
      <w:r>
        <w:rPr>
          <w:rFonts w:ascii="仿宋" w:hAnsi="仿宋" w:eastAsia="仿宋" w:cs="仿宋"/>
          <w:b/>
          <w:bCs/>
          <w:color w:val="auto"/>
          <w:spacing w:val="5"/>
          <w:sz w:val="31"/>
          <w:szCs w:val="31"/>
          <w:highlight w:val="none"/>
        </w:rPr>
        <w:t>人：</w:t>
      </w:r>
      <w:r>
        <w:rPr>
          <w:rFonts w:hint="eastAsia" w:ascii="仿宋" w:hAnsi="仿宋" w:eastAsia="仿宋" w:cs="仿宋"/>
          <w:b/>
          <w:bCs/>
          <w:color w:val="auto"/>
          <w:spacing w:val="5"/>
          <w:sz w:val="31"/>
          <w:szCs w:val="31"/>
          <w:highlight w:val="none"/>
          <w:lang w:eastAsia="zh-CN"/>
        </w:rPr>
        <w:t>大新县生态移民发展中心</w:t>
      </w:r>
    </w:p>
    <w:p w14:paraId="6246714B">
      <w:pPr>
        <w:pStyle w:val="2"/>
        <w:spacing w:line="253" w:lineRule="auto"/>
        <w:rPr>
          <w:color w:val="auto"/>
          <w:highlight w:val="none"/>
        </w:rPr>
      </w:pPr>
    </w:p>
    <w:p w14:paraId="2D10B327">
      <w:pPr>
        <w:pStyle w:val="2"/>
        <w:spacing w:line="253" w:lineRule="auto"/>
        <w:rPr>
          <w:color w:val="auto"/>
          <w:highlight w:val="none"/>
        </w:rPr>
      </w:pPr>
    </w:p>
    <w:p w14:paraId="185A49EB">
      <w:pPr>
        <w:pStyle w:val="2"/>
        <w:spacing w:line="253" w:lineRule="auto"/>
        <w:rPr>
          <w:color w:val="auto"/>
          <w:highlight w:val="none"/>
        </w:rPr>
      </w:pPr>
    </w:p>
    <w:p w14:paraId="629C4F4C">
      <w:pPr>
        <w:spacing w:before="101" w:line="228" w:lineRule="auto"/>
        <w:ind w:left="1"/>
        <w:rPr>
          <w:rFonts w:hint="eastAsia" w:ascii="仿宋" w:hAnsi="仿宋" w:eastAsia="仿宋" w:cs="仿宋"/>
          <w:color w:val="auto"/>
          <w:sz w:val="31"/>
          <w:szCs w:val="31"/>
          <w:highlight w:val="none"/>
          <w:lang w:eastAsia="zh-CN"/>
        </w:rPr>
      </w:pPr>
      <w:r>
        <w:rPr>
          <w:rFonts w:ascii="仿宋" w:hAnsi="仿宋" w:eastAsia="仿宋" w:cs="仿宋"/>
          <w:b/>
          <w:bCs/>
          <w:color w:val="auto"/>
          <w:spacing w:val="6"/>
          <w:sz w:val="31"/>
          <w:szCs w:val="31"/>
          <w:highlight w:val="none"/>
        </w:rPr>
        <w:t>采购代理机构：</w:t>
      </w:r>
      <w:r>
        <w:rPr>
          <w:rFonts w:hint="eastAsia" w:ascii="仿宋" w:hAnsi="仿宋" w:eastAsia="仿宋" w:cs="仿宋"/>
          <w:b/>
          <w:bCs/>
          <w:color w:val="auto"/>
          <w:spacing w:val="6"/>
          <w:sz w:val="31"/>
          <w:szCs w:val="31"/>
          <w:highlight w:val="none"/>
        </w:rPr>
        <w:t>海之特工程管理有限公司</w:t>
      </w:r>
    </w:p>
    <w:p w14:paraId="7BC5B7D9">
      <w:pPr>
        <w:pStyle w:val="2"/>
        <w:spacing w:line="253" w:lineRule="auto"/>
        <w:rPr>
          <w:color w:val="auto"/>
          <w:highlight w:val="none"/>
        </w:rPr>
      </w:pPr>
    </w:p>
    <w:p w14:paraId="43E08EDE">
      <w:pPr>
        <w:pStyle w:val="2"/>
        <w:spacing w:line="253" w:lineRule="auto"/>
        <w:rPr>
          <w:color w:val="auto"/>
          <w:highlight w:val="none"/>
        </w:rPr>
      </w:pPr>
    </w:p>
    <w:p w14:paraId="2B6F6C6A">
      <w:pPr>
        <w:pStyle w:val="2"/>
        <w:spacing w:line="253" w:lineRule="auto"/>
        <w:rPr>
          <w:color w:val="auto"/>
          <w:highlight w:val="none"/>
        </w:rPr>
      </w:pPr>
    </w:p>
    <w:p w14:paraId="4A5DD332">
      <w:pPr>
        <w:spacing w:before="101" w:line="228" w:lineRule="auto"/>
        <w:ind w:left="3067"/>
        <w:rPr>
          <w:rFonts w:ascii="仿宋" w:hAnsi="仿宋" w:eastAsia="仿宋" w:cs="仿宋"/>
          <w:color w:val="auto"/>
          <w:sz w:val="31"/>
          <w:szCs w:val="31"/>
          <w:highlight w:val="none"/>
        </w:rPr>
      </w:pPr>
      <w:r>
        <w:rPr>
          <w:rFonts w:ascii="仿宋" w:hAnsi="仿宋" w:eastAsia="仿宋" w:cs="仿宋"/>
          <w:b/>
          <w:bCs/>
          <w:color w:val="auto"/>
          <w:spacing w:val="-8"/>
          <w:sz w:val="31"/>
          <w:szCs w:val="31"/>
          <w:highlight w:val="none"/>
        </w:rPr>
        <w:t>2025</w:t>
      </w:r>
      <w:r>
        <w:rPr>
          <w:rFonts w:ascii="仿宋" w:hAnsi="仿宋" w:eastAsia="仿宋" w:cs="仿宋"/>
          <w:color w:val="auto"/>
          <w:spacing w:val="-43"/>
          <w:sz w:val="31"/>
          <w:szCs w:val="31"/>
          <w:highlight w:val="none"/>
        </w:rPr>
        <w:t xml:space="preserve"> </w:t>
      </w:r>
      <w:r>
        <w:rPr>
          <w:rFonts w:ascii="仿宋" w:hAnsi="仿宋" w:eastAsia="仿宋" w:cs="仿宋"/>
          <w:b/>
          <w:bCs/>
          <w:color w:val="auto"/>
          <w:spacing w:val="-8"/>
          <w:sz w:val="31"/>
          <w:szCs w:val="31"/>
          <w:highlight w:val="none"/>
        </w:rPr>
        <w:t>年</w:t>
      </w:r>
      <w:r>
        <w:rPr>
          <w:rFonts w:ascii="仿宋" w:hAnsi="仿宋" w:eastAsia="仿宋" w:cs="仿宋"/>
          <w:color w:val="auto"/>
          <w:spacing w:val="-63"/>
          <w:sz w:val="31"/>
          <w:szCs w:val="31"/>
          <w:highlight w:val="none"/>
        </w:rPr>
        <w:t xml:space="preserve"> </w:t>
      </w:r>
      <w:r>
        <w:rPr>
          <w:rFonts w:hint="eastAsia" w:ascii="仿宋" w:hAnsi="仿宋" w:eastAsia="仿宋" w:cs="仿宋"/>
          <w:b/>
          <w:bCs/>
          <w:color w:val="auto"/>
          <w:spacing w:val="-8"/>
          <w:sz w:val="31"/>
          <w:szCs w:val="31"/>
          <w:highlight w:val="none"/>
          <w:lang w:val="en-US" w:eastAsia="zh-CN"/>
        </w:rPr>
        <w:t>7</w:t>
      </w:r>
      <w:r>
        <w:rPr>
          <w:rFonts w:ascii="仿宋" w:hAnsi="仿宋" w:eastAsia="仿宋" w:cs="仿宋"/>
          <w:color w:val="auto"/>
          <w:spacing w:val="-36"/>
          <w:sz w:val="31"/>
          <w:szCs w:val="31"/>
          <w:highlight w:val="none"/>
        </w:rPr>
        <w:t xml:space="preserve"> </w:t>
      </w:r>
      <w:r>
        <w:rPr>
          <w:rFonts w:ascii="仿宋" w:hAnsi="仿宋" w:eastAsia="仿宋" w:cs="仿宋"/>
          <w:b/>
          <w:bCs/>
          <w:color w:val="auto"/>
          <w:spacing w:val="-8"/>
          <w:sz w:val="31"/>
          <w:szCs w:val="31"/>
          <w:highlight w:val="none"/>
        </w:rPr>
        <w:t>月</w:t>
      </w:r>
      <w:r>
        <w:rPr>
          <w:rFonts w:ascii="仿宋" w:hAnsi="仿宋" w:eastAsia="仿宋" w:cs="仿宋"/>
          <w:color w:val="auto"/>
          <w:spacing w:val="-39"/>
          <w:sz w:val="31"/>
          <w:szCs w:val="31"/>
          <w:highlight w:val="none"/>
        </w:rPr>
        <w:t xml:space="preserve"> </w:t>
      </w:r>
      <w:r>
        <w:rPr>
          <w:rFonts w:hint="eastAsia" w:ascii="仿宋" w:hAnsi="仿宋" w:eastAsia="仿宋" w:cs="仿宋"/>
          <w:b/>
          <w:bCs/>
          <w:color w:val="auto"/>
          <w:spacing w:val="-8"/>
          <w:sz w:val="31"/>
          <w:szCs w:val="31"/>
          <w:highlight w:val="none"/>
          <w:lang w:val="en-US" w:eastAsia="zh-CN"/>
        </w:rPr>
        <w:t>10</w:t>
      </w:r>
      <w:r>
        <w:rPr>
          <w:rFonts w:ascii="仿宋" w:hAnsi="仿宋" w:eastAsia="仿宋" w:cs="仿宋"/>
          <w:color w:val="auto"/>
          <w:spacing w:val="-8"/>
          <w:sz w:val="31"/>
          <w:szCs w:val="31"/>
          <w:highlight w:val="none"/>
        </w:rPr>
        <w:t xml:space="preserve"> </w:t>
      </w:r>
      <w:r>
        <w:rPr>
          <w:rFonts w:ascii="仿宋" w:hAnsi="仿宋" w:eastAsia="仿宋" w:cs="仿宋"/>
          <w:b/>
          <w:bCs/>
          <w:color w:val="auto"/>
          <w:spacing w:val="-8"/>
          <w:sz w:val="31"/>
          <w:szCs w:val="31"/>
          <w:highlight w:val="none"/>
        </w:rPr>
        <w:t>日</w:t>
      </w:r>
    </w:p>
    <w:p w14:paraId="65588382">
      <w:pPr>
        <w:spacing w:line="228" w:lineRule="auto"/>
        <w:rPr>
          <w:rFonts w:ascii="仿宋" w:hAnsi="仿宋" w:eastAsia="仿宋" w:cs="仿宋"/>
          <w:color w:val="auto"/>
          <w:sz w:val="31"/>
          <w:szCs w:val="31"/>
          <w:highlight w:val="none"/>
        </w:rPr>
        <w:sectPr>
          <w:footerReference r:id="rId5" w:type="default"/>
          <w:pgSz w:w="11906" w:h="16839"/>
          <w:pgMar w:top="1431" w:right="1279" w:bottom="1014" w:left="1654" w:header="0" w:footer="907" w:gutter="0"/>
          <w:cols w:space="720" w:num="1"/>
        </w:sectPr>
      </w:pPr>
    </w:p>
    <w:p w14:paraId="4524EC79">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14:paraId="7590BB1D">
      <w:pPr>
        <w:pStyle w:val="9"/>
        <w:tabs>
          <w:tab w:val="right" w:leader="dot" w:pos="8624"/>
        </w:tabs>
        <w:rPr>
          <w:color w:val="auto"/>
          <w:sz w:val="24"/>
          <w:szCs w:val="24"/>
          <w:highlight w:val="none"/>
        </w:rPr>
      </w:pPr>
      <w:r>
        <w:rPr>
          <w:color w:val="auto"/>
          <w:sz w:val="20"/>
          <w:szCs w:val="20"/>
          <w:highlight w:val="none"/>
        </w:rPr>
        <w:fldChar w:fldCharType="begin"/>
      </w:r>
      <w:r>
        <w:rPr>
          <w:color w:val="auto"/>
          <w:sz w:val="20"/>
          <w:szCs w:val="20"/>
          <w:highlight w:val="none"/>
        </w:rPr>
        <w:instrText xml:space="preserve">TOC \o "1-3" \h \u </w:instrText>
      </w:r>
      <w:r>
        <w:rPr>
          <w:color w:val="auto"/>
          <w:sz w:val="20"/>
          <w:szCs w:val="20"/>
          <w:highlight w:val="none"/>
        </w:rPr>
        <w:fldChar w:fldCharType="separate"/>
      </w:r>
      <w:r>
        <w:rPr>
          <w:color w:val="auto"/>
          <w:sz w:val="24"/>
          <w:szCs w:val="24"/>
          <w:highlight w:val="none"/>
        </w:rPr>
        <w:fldChar w:fldCharType="begin"/>
      </w:r>
      <w:r>
        <w:rPr>
          <w:color w:val="auto"/>
          <w:sz w:val="24"/>
          <w:szCs w:val="24"/>
          <w:highlight w:val="none"/>
        </w:rPr>
        <w:instrText xml:space="preserve"> HYPERLINK \l _Toc9432 </w:instrText>
      </w:r>
      <w:r>
        <w:rPr>
          <w:color w:val="auto"/>
          <w:sz w:val="24"/>
          <w:szCs w:val="24"/>
          <w:highlight w:val="none"/>
        </w:rPr>
        <w:fldChar w:fldCharType="separate"/>
      </w:r>
      <w:r>
        <w:rPr>
          <w:rFonts w:ascii="宋体" w:hAnsi="宋体" w:eastAsia="宋体" w:cs="宋体"/>
          <w:bCs/>
          <w:color w:val="auto"/>
          <w:spacing w:val="6"/>
          <w:sz w:val="24"/>
          <w:szCs w:val="36"/>
          <w:highlight w:val="none"/>
        </w:rPr>
        <w:t>第一章</w:t>
      </w:r>
      <w:r>
        <w:rPr>
          <w:rFonts w:ascii="宋体" w:hAnsi="宋体" w:eastAsia="宋体" w:cs="宋体"/>
          <w:color w:val="auto"/>
          <w:spacing w:val="6"/>
          <w:sz w:val="24"/>
          <w:szCs w:val="36"/>
          <w:highlight w:val="none"/>
        </w:rPr>
        <w:t xml:space="preserve">  </w:t>
      </w:r>
      <w:r>
        <w:rPr>
          <w:rFonts w:ascii="宋体" w:hAnsi="宋体" w:eastAsia="宋体" w:cs="宋体"/>
          <w:bCs/>
          <w:color w:val="auto"/>
          <w:spacing w:val="6"/>
          <w:sz w:val="24"/>
          <w:szCs w:val="36"/>
          <w:highlight w:val="none"/>
        </w:rPr>
        <w:t>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_Toc9432 \h </w:instrText>
      </w:r>
      <w:r>
        <w:rPr>
          <w:color w:val="auto"/>
          <w:sz w:val="24"/>
          <w:szCs w:val="24"/>
          <w:highlight w:val="none"/>
        </w:rPr>
        <w:fldChar w:fldCharType="separate"/>
      </w:r>
      <w:r>
        <w:rPr>
          <w:color w:val="auto"/>
          <w:sz w:val="24"/>
          <w:szCs w:val="24"/>
          <w:highlight w:val="none"/>
        </w:rPr>
        <w:t>1</w:t>
      </w:r>
      <w:r>
        <w:rPr>
          <w:color w:val="auto"/>
          <w:sz w:val="24"/>
          <w:szCs w:val="24"/>
          <w:highlight w:val="none"/>
        </w:rPr>
        <w:fldChar w:fldCharType="end"/>
      </w:r>
      <w:r>
        <w:rPr>
          <w:color w:val="auto"/>
          <w:sz w:val="24"/>
          <w:szCs w:val="24"/>
          <w:highlight w:val="none"/>
        </w:rPr>
        <w:fldChar w:fldCharType="end"/>
      </w:r>
    </w:p>
    <w:p w14:paraId="264E8F38">
      <w:pPr>
        <w:pStyle w:val="9"/>
        <w:tabs>
          <w:tab w:val="right" w:leader="dot" w:pos="8624"/>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_Toc5330 </w:instrText>
      </w:r>
      <w:r>
        <w:rPr>
          <w:color w:val="auto"/>
          <w:sz w:val="24"/>
          <w:szCs w:val="24"/>
          <w:highlight w:val="none"/>
        </w:rPr>
        <w:fldChar w:fldCharType="separate"/>
      </w:r>
      <w:r>
        <w:rPr>
          <w:rFonts w:ascii="宋体" w:hAnsi="宋体" w:eastAsia="宋体" w:cs="宋体"/>
          <w:bCs/>
          <w:color w:val="auto"/>
          <w:spacing w:val="6"/>
          <w:sz w:val="24"/>
          <w:szCs w:val="36"/>
          <w:highlight w:val="none"/>
        </w:rPr>
        <w:t>第二章</w:t>
      </w:r>
      <w:r>
        <w:rPr>
          <w:rFonts w:ascii="宋体" w:hAnsi="宋体" w:eastAsia="宋体" w:cs="宋体"/>
          <w:color w:val="auto"/>
          <w:spacing w:val="6"/>
          <w:sz w:val="24"/>
          <w:szCs w:val="36"/>
          <w:highlight w:val="none"/>
        </w:rPr>
        <w:t xml:space="preserve">  </w:t>
      </w:r>
      <w:r>
        <w:rPr>
          <w:rFonts w:ascii="宋体" w:hAnsi="宋体" w:eastAsia="宋体" w:cs="宋体"/>
          <w:bCs/>
          <w:color w:val="auto"/>
          <w:spacing w:val="6"/>
          <w:sz w:val="24"/>
          <w:szCs w:val="36"/>
          <w:highlight w:val="none"/>
        </w:rPr>
        <w:t>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_Toc5330 \h </w:instrText>
      </w:r>
      <w:r>
        <w:rPr>
          <w:color w:val="auto"/>
          <w:sz w:val="24"/>
          <w:szCs w:val="24"/>
          <w:highlight w:val="none"/>
        </w:rPr>
        <w:fldChar w:fldCharType="separate"/>
      </w:r>
      <w:r>
        <w:rPr>
          <w:color w:val="auto"/>
          <w:sz w:val="24"/>
          <w:szCs w:val="24"/>
          <w:highlight w:val="none"/>
        </w:rPr>
        <w:t>5</w:t>
      </w:r>
      <w:r>
        <w:rPr>
          <w:color w:val="auto"/>
          <w:sz w:val="24"/>
          <w:szCs w:val="24"/>
          <w:highlight w:val="none"/>
        </w:rPr>
        <w:fldChar w:fldCharType="end"/>
      </w:r>
      <w:r>
        <w:rPr>
          <w:color w:val="auto"/>
          <w:sz w:val="24"/>
          <w:szCs w:val="24"/>
          <w:highlight w:val="none"/>
        </w:rPr>
        <w:fldChar w:fldCharType="end"/>
      </w:r>
    </w:p>
    <w:p w14:paraId="1BD5FFC1">
      <w:pPr>
        <w:pStyle w:val="9"/>
        <w:tabs>
          <w:tab w:val="right" w:leader="dot" w:pos="8624"/>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_Toc31270 </w:instrText>
      </w:r>
      <w:r>
        <w:rPr>
          <w:color w:val="auto"/>
          <w:sz w:val="24"/>
          <w:szCs w:val="24"/>
          <w:highlight w:val="none"/>
        </w:rPr>
        <w:fldChar w:fldCharType="separate"/>
      </w:r>
      <w:r>
        <w:rPr>
          <w:rFonts w:ascii="宋体" w:hAnsi="宋体" w:eastAsia="宋体" w:cs="宋体"/>
          <w:bCs/>
          <w:color w:val="auto"/>
          <w:spacing w:val="5"/>
          <w:sz w:val="24"/>
          <w:szCs w:val="36"/>
          <w:highlight w:val="none"/>
        </w:rPr>
        <w:t>第三章</w:t>
      </w:r>
      <w:r>
        <w:rPr>
          <w:rFonts w:ascii="宋体" w:hAnsi="宋体" w:eastAsia="宋体" w:cs="宋体"/>
          <w:color w:val="auto"/>
          <w:spacing w:val="5"/>
          <w:sz w:val="24"/>
          <w:szCs w:val="36"/>
          <w:highlight w:val="none"/>
        </w:rPr>
        <w:t xml:space="preserve">  </w:t>
      </w:r>
      <w:r>
        <w:rPr>
          <w:rFonts w:ascii="宋体" w:hAnsi="宋体" w:eastAsia="宋体" w:cs="宋体"/>
          <w:bCs/>
          <w:color w:val="auto"/>
          <w:spacing w:val="5"/>
          <w:sz w:val="24"/>
          <w:szCs w:val="36"/>
          <w:highlight w:val="none"/>
        </w:rPr>
        <w:t>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_Toc31270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color w:val="auto"/>
          <w:sz w:val="24"/>
          <w:szCs w:val="24"/>
          <w:highlight w:val="none"/>
        </w:rPr>
        <w:fldChar w:fldCharType="end"/>
      </w:r>
    </w:p>
    <w:p w14:paraId="16B3F86F">
      <w:pPr>
        <w:pStyle w:val="9"/>
        <w:tabs>
          <w:tab w:val="right" w:leader="dot" w:pos="8624"/>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_Toc1552 </w:instrText>
      </w:r>
      <w:r>
        <w:rPr>
          <w:color w:val="auto"/>
          <w:sz w:val="24"/>
          <w:szCs w:val="24"/>
          <w:highlight w:val="none"/>
        </w:rPr>
        <w:fldChar w:fldCharType="separate"/>
      </w:r>
      <w:r>
        <w:rPr>
          <w:rFonts w:ascii="宋体" w:hAnsi="宋体" w:eastAsia="宋体" w:cs="宋体"/>
          <w:bCs/>
          <w:color w:val="auto"/>
          <w:spacing w:val="6"/>
          <w:sz w:val="24"/>
          <w:szCs w:val="36"/>
          <w:highlight w:val="none"/>
        </w:rPr>
        <w:t>第四章</w:t>
      </w:r>
      <w:r>
        <w:rPr>
          <w:rFonts w:ascii="宋体" w:hAnsi="宋体" w:eastAsia="宋体" w:cs="宋体"/>
          <w:color w:val="auto"/>
          <w:spacing w:val="6"/>
          <w:sz w:val="24"/>
          <w:szCs w:val="36"/>
          <w:highlight w:val="none"/>
        </w:rPr>
        <w:t xml:space="preserve">  </w:t>
      </w:r>
      <w:r>
        <w:rPr>
          <w:rFonts w:ascii="宋体" w:hAnsi="宋体" w:eastAsia="宋体" w:cs="宋体"/>
          <w:bCs/>
          <w:color w:val="auto"/>
          <w:spacing w:val="6"/>
          <w:sz w:val="24"/>
          <w:szCs w:val="36"/>
          <w:highlight w:val="none"/>
        </w:rPr>
        <w:t>评审程序、评审方法和评审标准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_Toc1552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color w:val="auto"/>
          <w:sz w:val="24"/>
          <w:szCs w:val="24"/>
          <w:highlight w:val="none"/>
        </w:rPr>
        <w:fldChar w:fldCharType="end"/>
      </w:r>
    </w:p>
    <w:p w14:paraId="179971E8">
      <w:pPr>
        <w:pStyle w:val="9"/>
        <w:tabs>
          <w:tab w:val="right" w:leader="dot" w:pos="8624"/>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_Toc23441 </w:instrText>
      </w:r>
      <w:r>
        <w:rPr>
          <w:color w:val="auto"/>
          <w:sz w:val="24"/>
          <w:szCs w:val="24"/>
          <w:highlight w:val="none"/>
        </w:rPr>
        <w:fldChar w:fldCharType="separate"/>
      </w:r>
      <w:r>
        <w:rPr>
          <w:rFonts w:ascii="宋体" w:hAnsi="宋体" w:eastAsia="宋体" w:cs="宋体"/>
          <w:bCs/>
          <w:color w:val="auto"/>
          <w:spacing w:val="2"/>
          <w:sz w:val="24"/>
          <w:szCs w:val="36"/>
          <w:highlight w:val="none"/>
        </w:rPr>
        <w:t>第五章</w:t>
      </w:r>
      <w:r>
        <w:rPr>
          <w:rFonts w:ascii="宋体" w:hAnsi="宋体" w:eastAsia="宋体" w:cs="宋体"/>
          <w:color w:val="auto"/>
          <w:spacing w:val="25"/>
          <w:sz w:val="24"/>
          <w:szCs w:val="36"/>
          <w:highlight w:val="none"/>
        </w:rPr>
        <w:t xml:space="preserve">  </w:t>
      </w:r>
      <w:r>
        <w:rPr>
          <w:rFonts w:ascii="宋体" w:hAnsi="宋体" w:eastAsia="宋体" w:cs="宋体"/>
          <w:bCs/>
          <w:color w:val="auto"/>
          <w:spacing w:val="2"/>
          <w:sz w:val="24"/>
          <w:szCs w:val="36"/>
          <w:highlight w:val="none"/>
        </w:rPr>
        <w:t>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_Toc23441 \h </w:instrText>
      </w:r>
      <w:r>
        <w:rPr>
          <w:color w:val="auto"/>
          <w:sz w:val="24"/>
          <w:szCs w:val="24"/>
          <w:highlight w:val="none"/>
        </w:rPr>
        <w:fldChar w:fldCharType="separate"/>
      </w:r>
      <w:r>
        <w:rPr>
          <w:color w:val="auto"/>
          <w:sz w:val="24"/>
          <w:szCs w:val="24"/>
          <w:highlight w:val="none"/>
        </w:rPr>
        <w:t>34</w:t>
      </w:r>
      <w:r>
        <w:rPr>
          <w:color w:val="auto"/>
          <w:sz w:val="24"/>
          <w:szCs w:val="24"/>
          <w:highlight w:val="none"/>
        </w:rPr>
        <w:fldChar w:fldCharType="end"/>
      </w:r>
      <w:r>
        <w:rPr>
          <w:color w:val="auto"/>
          <w:sz w:val="24"/>
          <w:szCs w:val="24"/>
          <w:highlight w:val="none"/>
        </w:rPr>
        <w:fldChar w:fldCharType="end"/>
      </w:r>
    </w:p>
    <w:p w14:paraId="3501A51E">
      <w:pPr>
        <w:pStyle w:val="9"/>
        <w:tabs>
          <w:tab w:val="right" w:leader="dot" w:pos="8624"/>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_Toc10376 </w:instrText>
      </w:r>
      <w:r>
        <w:rPr>
          <w:color w:val="auto"/>
          <w:sz w:val="24"/>
          <w:szCs w:val="24"/>
          <w:highlight w:val="none"/>
        </w:rPr>
        <w:fldChar w:fldCharType="separate"/>
      </w:r>
      <w:r>
        <w:rPr>
          <w:rFonts w:ascii="宋体" w:hAnsi="宋体" w:eastAsia="宋体" w:cs="宋体"/>
          <w:bCs/>
          <w:color w:val="auto"/>
          <w:spacing w:val="5"/>
          <w:sz w:val="24"/>
          <w:szCs w:val="36"/>
          <w:highlight w:val="none"/>
        </w:rPr>
        <w:t>第六章</w:t>
      </w:r>
      <w:r>
        <w:rPr>
          <w:rFonts w:ascii="宋体" w:hAnsi="宋体" w:eastAsia="宋体" w:cs="宋体"/>
          <w:color w:val="auto"/>
          <w:spacing w:val="5"/>
          <w:sz w:val="24"/>
          <w:szCs w:val="36"/>
          <w:highlight w:val="none"/>
        </w:rPr>
        <w:t xml:space="preserve">  </w:t>
      </w:r>
      <w:r>
        <w:rPr>
          <w:rFonts w:ascii="宋体" w:hAnsi="宋体" w:eastAsia="宋体" w:cs="宋体"/>
          <w:bCs/>
          <w:color w:val="auto"/>
          <w:spacing w:val="5"/>
          <w:sz w:val="24"/>
          <w:szCs w:val="36"/>
          <w:highlight w:val="none"/>
        </w:rPr>
        <w:t>合同文本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_Toc10376 \h </w:instrText>
      </w:r>
      <w:r>
        <w:rPr>
          <w:color w:val="auto"/>
          <w:sz w:val="24"/>
          <w:szCs w:val="24"/>
          <w:highlight w:val="none"/>
        </w:rPr>
        <w:fldChar w:fldCharType="separate"/>
      </w:r>
      <w:r>
        <w:rPr>
          <w:color w:val="auto"/>
          <w:sz w:val="24"/>
          <w:szCs w:val="24"/>
          <w:highlight w:val="none"/>
        </w:rPr>
        <w:t>67</w:t>
      </w:r>
      <w:r>
        <w:rPr>
          <w:color w:val="auto"/>
          <w:sz w:val="24"/>
          <w:szCs w:val="24"/>
          <w:highlight w:val="none"/>
        </w:rPr>
        <w:fldChar w:fldCharType="end"/>
      </w:r>
      <w:r>
        <w:rPr>
          <w:color w:val="auto"/>
          <w:sz w:val="24"/>
          <w:szCs w:val="24"/>
          <w:highlight w:val="none"/>
        </w:rPr>
        <w:fldChar w:fldCharType="end"/>
      </w:r>
    </w:p>
    <w:p w14:paraId="63EEA55F">
      <w:pPr>
        <w:pStyle w:val="9"/>
        <w:tabs>
          <w:tab w:val="right" w:leader="dot" w:pos="8624"/>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_Toc28067 </w:instrText>
      </w:r>
      <w:r>
        <w:rPr>
          <w:color w:val="auto"/>
          <w:sz w:val="24"/>
          <w:szCs w:val="24"/>
          <w:highlight w:val="none"/>
        </w:rPr>
        <w:fldChar w:fldCharType="separate"/>
      </w:r>
      <w:r>
        <w:rPr>
          <w:rFonts w:ascii="宋体" w:hAnsi="宋体" w:eastAsia="宋体" w:cs="宋体"/>
          <w:bCs/>
          <w:color w:val="auto"/>
          <w:spacing w:val="-4"/>
          <w:sz w:val="24"/>
          <w:szCs w:val="36"/>
          <w:highlight w:val="none"/>
        </w:rPr>
        <w:t>第一部分</w:t>
      </w:r>
      <w:r>
        <w:rPr>
          <w:rFonts w:ascii="宋体" w:hAnsi="宋体" w:eastAsia="宋体" w:cs="宋体"/>
          <w:color w:val="auto"/>
          <w:spacing w:val="-4"/>
          <w:sz w:val="24"/>
          <w:szCs w:val="36"/>
          <w:highlight w:val="none"/>
        </w:rPr>
        <w:t xml:space="preserve"> </w:t>
      </w:r>
      <w:r>
        <w:rPr>
          <w:rFonts w:ascii="宋体" w:hAnsi="宋体" w:eastAsia="宋体" w:cs="宋体"/>
          <w:bCs/>
          <w:color w:val="auto"/>
          <w:spacing w:val="-4"/>
          <w:sz w:val="24"/>
          <w:szCs w:val="36"/>
          <w:highlight w:val="none"/>
        </w:rPr>
        <w:t>合同协议书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_Toc28067 \h </w:instrText>
      </w:r>
      <w:r>
        <w:rPr>
          <w:color w:val="auto"/>
          <w:sz w:val="24"/>
          <w:szCs w:val="24"/>
          <w:highlight w:val="none"/>
        </w:rPr>
        <w:fldChar w:fldCharType="separate"/>
      </w:r>
      <w:r>
        <w:rPr>
          <w:color w:val="auto"/>
          <w:sz w:val="24"/>
          <w:szCs w:val="24"/>
          <w:highlight w:val="none"/>
        </w:rPr>
        <w:t>67</w:t>
      </w:r>
      <w:r>
        <w:rPr>
          <w:color w:val="auto"/>
          <w:sz w:val="24"/>
          <w:szCs w:val="24"/>
          <w:highlight w:val="none"/>
        </w:rPr>
        <w:fldChar w:fldCharType="end"/>
      </w:r>
      <w:r>
        <w:rPr>
          <w:color w:val="auto"/>
          <w:sz w:val="24"/>
          <w:szCs w:val="24"/>
          <w:highlight w:val="none"/>
        </w:rPr>
        <w:fldChar w:fldCharType="end"/>
      </w:r>
    </w:p>
    <w:p w14:paraId="27C36C35">
      <w:pPr>
        <w:pStyle w:val="9"/>
        <w:tabs>
          <w:tab w:val="right" w:leader="dot" w:pos="8624"/>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_Toc7423 </w:instrText>
      </w:r>
      <w:r>
        <w:rPr>
          <w:color w:val="auto"/>
          <w:sz w:val="24"/>
          <w:szCs w:val="24"/>
          <w:highlight w:val="none"/>
        </w:rPr>
        <w:fldChar w:fldCharType="separate"/>
      </w:r>
      <w:r>
        <w:rPr>
          <w:rFonts w:ascii="宋体" w:hAnsi="宋体" w:eastAsia="宋体" w:cs="宋体"/>
          <w:bCs/>
          <w:color w:val="auto"/>
          <w:spacing w:val="-3"/>
          <w:sz w:val="24"/>
          <w:szCs w:val="36"/>
          <w:highlight w:val="none"/>
        </w:rPr>
        <w:t>第二部分</w:t>
      </w:r>
      <w:r>
        <w:rPr>
          <w:rFonts w:ascii="宋体" w:hAnsi="宋体" w:eastAsia="宋体" w:cs="宋体"/>
          <w:color w:val="auto"/>
          <w:spacing w:val="-3"/>
          <w:sz w:val="24"/>
          <w:szCs w:val="36"/>
          <w:highlight w:val="none"/>
        </w:rPr>
        <w:t xml:space="preserve"> </w:t>
      </w:r>
      <w:r>
        <w:rPr>
          <w:rFonts w:ascii="宋体" w:hAnsi="宋体" w:eastAsia="宋体" w:cs="宋体"/>
          <w:bCs/>
          <w:color w:val="auto"/>
          <w:spacing w:val="-3"/>
          <w:sz w:val="24"/>
          <w:szCs w:val="36"/>
          <w:highlight w:val="none"/>
        </w:rPr>
        <w:t>通用合同条款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_Toc7423 \h </w:instrText>
      </w:r>
      <w:r>
        <w:rPr>
          <w:color w:val="auto"/>
          <w:sz w:val="24"/>
          <w:szCs w:val="24"/>
          <w:highlight w:val="none"/>
        </w:rPr>
        <w:fldChar w:fldCharType="separate"/>
      </w:r>
      <w:r>
        <w:rPr>
          <w:color w:val="auto"/>
          <w:sz w:val="24"/>
          <w:szCs w:val="24"/>
          <w:highlight w:val="none"/>
        </w:rPr>
        <w:t>70</w:t>
      </w:r>
      <w:r>
        <w:rPr>
          <w:color w:val="auto"/>
          <w:sz w:val="24"/>
          <w:szCs w:val="24"/>
          <w:highlight w:val="none"/>
        </w:rPr>
        <w:fldChar w:fldCharType="end"/>
      </w:r>
      <w:r>
        <w:rPr>
          <w:color w:val="auto"/>
          <w:sz w:val="24"/>
          <w:szCs w:val="24"/>
          <w:highlight w:val="none"/>
        </w:rPr>
        <w:fldChar w:fldCharType="end"/>
      </w:r>
    </w:p>
    <w:p w14:paraId="60771E96">
      <w:pPr>
        <w:pStyle w:val="9"/>
        <w:tabs>
          <w:tab w:val="right" w:leader="dot" w:pos="8624"/>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_Toc19154 </w:instrText>
      </w:r>
      <w:r>
        <w:rPr>
          <w:color w:val="auto"/>
          <w:sz w:val="24"/>
          <w:szCs w:val="24"/>
          <w:highlight w:val="none"/>
        </w:rPr>
        <w:fldChar w:fldCharType="separate"/>
      </w:r>
      <w:r>
        <w:rPr>
          <w:rFonts w:ascii="宋体" w:hAnsi="宋体" w:eastAsia="宋体" w:cs="宋体"/>
          <w:bCs/>
          <w:color w:val="auto"/>
          <w:spacing w:val="-3"/>
          <w:sz w:val="24"/>
          <w:szCs w:val="36"/>
          <w:highlight w:val="none"/>
        </w:rPr>
        <w:t>第三部分</w:t>
      </w:r>
      <w:r>
        <w:rPr>
          <w:rFonts w:ascii="宋体" w:hAnsi="宋体" w:eastAsia="宋体" w:cs="宋体"/>
          <w:color w:val="auto"/>
          <w:spacing w:val="-3"/>
          <w:sz w:val="24"/>
          <w:szCs w:val="36"/>
          <w:highlight w:val="none"/>
        </w:rPr>
        <w:t xml:space="preserve"> </w:t>
      </w:r>
      <w:r>
        <w:rPr>
          <w:rFonts w:ascii="宋体" w:hAnsi="宋体" w:eastAsia="宋体" w:cs="宋体"/>
          <w:bCs/>
          <w:color w:val="auto"/>
          <w:spacing w:val="-3"/>
          <w:sz w:val="24"/>
          <w:szCs w:val="36"/>
          <w:highlight w:val="none"/>
        </w:rPr>
        <w:t>专用合同条款</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_Toc19154 \h </w:instrText>
      </w:r>
      <w:r>
        <w:rPr>
          <w:color w:val="auto"/>
          <w:sz w:val="24"/>
          <w:szCs w:val="24"/>
          <w:highlight w:val="none"/>
        </w:rPr>
        <w:fldChar w:fldCharType="separate"/>
      </w:r>
      <w:r>
        <w:rPr>
          <w:color w:val="auto"/>
          <w:sz w:val="24"/>
          <w:szCs w:val="24"/>
          <w:highlight w:val="none"/>
        </w:rPr>
        <w:t>70</w:t>
      </w:r>
      <w:r>
        <w:rPr>
          <w:color w:val="auto"/>
          <w:sz w:val="24"/>
          <w:szCs w:val="24"/>
          <w:highlight w:val="none"/>
        </w:rPr>
        <w:fldChar w:fldCharType="end"/>
      </w:r>
      <w:r>
        <w:rPr>
          <w:color w:val="auto"/>
          <w:sz w:val="24"/>
          <w:szCs w:val="24"/>
          <w:highlight w:val="none"/>
        </w:rPr>
        <w:fldChar w:fldCharType="end"/>
      </w:r>
    </w:p>
    <w:p w14:paraId="03BCB16C">
      <w:pPr>
        <w:pStyle w:val="9"/>
        <w:tabs>
          <w:tab w:val="right" w:leader="dot" w:pos="8624"/>
        </w:tabs>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_Toc9680 </w:instrText>
      </w:r>
      <w:r>
        <w:rPr>
          <w:color w:val="auto"/>
          <w:sz w:val="24"/>
          <w:szCs w:val="24"/>
          <w:highlight w:val="none"/>
        </w:rPr>
        <w:fldChar w:fldCharType="separate"/>
      </w:r>
      <w:r>
        <w:rPr>
          <w:rFonts w:ascii="宋体" w:hAnsi="宋体" w:eastAsia="宋体" w:cs="宋体"/>
          <w:bCs/>
          <w:color w:val="auto"/>
          <w:spacing w:val="1"/>
          <w:sz w:val="24"/>
          <w:szCs w:val="36"/>
          <w:highlight w:val="none"/>
        </w:rPr>
        <w:t>第七章</w:t>
      </w:r>
      <w:r>
        <w:rPr>
          <w:rFonts w:ascii="宋体" w:hAnsi="宋体" w:eastAsia="宋体" w:cs="宋体"/>
          <w:color w:val="auto"/>
          <w:spacing w:val="1"/>
          <w:sz w:val="24"/>
          <w:szCs w:val="36"/>
          <w:highlight w:val="none"/>
        </w:rPr>
        <w:t xml:space="preserve">  </w:t>
      </w:r>
      <w:r>
        <w:rPr>
          <w:rFonts w:ascii="宋体" w:hAnsi="宋体" w:eastAsia="宋体" w:cs="宋体"/>
          <w:bCs/>
          <w:color w:val="auto"/>
          <w:spacing w:val="1"/>
          <w:sz w:val="24"/>
          <w:szCs w:val="36"/>
          <w:highlight w:val="none"/>
        </w:rPr>
        <w:t>崇左市财政局关于进一步做好线上“政采贷</w:t>
      </w:r>
      <w:r>
        <w:rPr>
          <w:rFonts w:ascii="宋体" w:hAnsi="宋体" w:eastAsia="宋体" w:cs="宋体"/>
          <w:color w:val="auto"/>
          <w:spacing w:val="-110"/>
          <w:sz w:val="24"/>
          <w:szCs w:val="36"/>
          <w:highlight w:val="none"/>
        </w:rPr>
        <w:t xml:space="preserve"> </w:t>
      </w:r>
      <w:r>
        <w:rPr>
          <w:rFonts w:ascii="宋体" w:hAnsi="宋体" w:eastAsia="宋体" w:cs="宋体"/>
          <w:bCs/>
          <w:color w:val="auto"/>
          <w:spacing w:val="1"/>
          <w:sz w:val="24"/>
          <w:szCs w:val="36"/>
          <w:highlight w:val="none"/>
        </w:rPr>
        <w:t>”融资业务工作</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_Toc9680 \h </w:instrText>
      </w:r>
      <w:r>
        <w:rPr>
          <w:color w:val="auto"/>
          <w:sz w:val="24"/>
          <w:szCs w:val="24"/>
          <w:highlight w:val="none"/>
        </w:rPr>
        <w:fldChar w:fldCharType="separate"/>
      </w:r>
      <w:r>
        <w:rPr>
          <w:color w:val="auto"/>
          <w:sz w:val="24"/>
          <w:szCs w:val="24"/>
          <w:highlight w:val="none"/>
        </w:rPr>
        <w:t>109</w:t>
      </w:r>
      <w:r>
        <w:rPr>
          <w:color w:val="auto"/>
          <w:sz w:val="24"/>
          <w:szCs w:val="24"/>
          <w:highlight w:val="none"/>
        </w:rPr>
        <w:fldChar w:fldCharType="end"/>
      </w:r>
      <w:r>
        <w:rPr>
          <w:color w:val="auto"/>
          <w:sz w:val="24"/>
          <w:szCs w:val="24"/>
          <w:highlight w:val="none"/>
        </w:rPr>
        <w:fldChar w:fldCharType="end"/>
      </w:r>
    </w:p>
    <w:p w14:paraId="035FE6DB">
      <w:pPr>
        <w:pStyle w:val="9"/>
        <w:tabs>
          <w:tab w:val="right" w:leader="dot" w:pos="8624"/>
        </w:tabs>
        <w:rPr>
          <w:color w:val="auto"/>
          <w:sz w:val="20"/>
          <w:szCs w:val="20"/>
          <w:highlight w:val="none"/>
        </w:rPr>
      </w:pPr>
    </w:p>
    <w:p w14:paraId="485E6C69">
      <w:pPr>
        <w:rPr>
          <w:color w:val="auto"/>
          <w:highlight w:val="none"/>
        </w:rPr>
      </w:pPr>
      <w:r>
        <w:rPr>
          <w:color w:val="auto"/>
          <w:sz w:val="18"/>
          <w:szCs w:val="18"/>
          <w:highlight w:val="none"/>
        </w:rPr>
        <w:fldChar w:fldCharType="end"/>
      </w:r>
    </w:p>
    <w:p w14:paraId="25E58BE1">
      <w:pPr>
        <w:spacing w:before="91" w:line="219" w:lineRule="auto"/>
        <w:jc w:val="center"/>
        <w:rPr>
          <w:rFonts w:ascii="宋体" w:hAnsi="宋体" w:eastAsia="宋体" w:cs="宋体"/>
          <w:color w:val="auto"/>
          <w:sz w:val="28"/>
          <w:szCs w:val="28"/>
          <w:highlight w:val="none"/>
        </w:rPr>
      </w:pPr>
    </w:p>
    <w:p w14:paraId="06F502B6">
      <w:pPr>
        <w:spacing w:before="64" w:line="223" w:lineRule="auto"/>
        <w:ind w:left="2557"/>
        <w:outlineLvl w:val="0"/>
        <w:rPr>
          <w:rFonts w:ascii="宋体" w:hAnsi="宋体" w:eastAsia="宋体" w:cs="宋体"/>
          <w:b/>
          <w:bCs/>
          <w:color w:val="auto"/>
          <w:spacing w:val="6"/>
          <w:sz w:val="31"/>
          <w:szCs w:val="31"/>
          <w:highlight w:val="none"/>
        </w:rPr>
        <w:sectPr>
          <w:footerReference r:id="rId6" w:type="default"/>
          <w:pgSz w:w="11910" w:h="16840"/>
          <w:pgMar w:top="1361" w:right="1628" w:bottom="1016" w:left="1658" w:header="0" w:footer="857" w:gutter="0"/>
          <w:cols w:space="720" w:num="1"/>
        </w:sectPr>
      </w:pPr>
      <w:bookmarkStart w:id="2" w:name="bookmark1"/>
      <w:bookmarkEnd w:id="2"/>
      <w:bookmarkStart w:id="3" w:name="_Toc572"/>
      <w:bookmarkStart w:id="4" w:name="_Toc14657"/>
      <w:bookmarkStart w:id="5" w:name="_Toc20258"/>
      <w:bookmarkStart w:id="6" w:name="_Toc9432"/>
    </w:p>
    <w:p w14:paraId="57694A36">
      <w:pPr>
        <w:spacing w:before="64" w:line="223" w:lineRule="auto"/>
        <w:ind w:left="2557"/>
        <w:outlineLvl w:val="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第一章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竞争性磋商公告</w:t>
      </w:r>
      <w:bookmarkEnd w:id="3"/>
      <w:bookmarkEnd w:id="4"/>
      <w:bookmarkEnd w:id="5"/>
      <w:bookmarkEnd w:id="6"/>
    </w:p>
    <w:p w14:paraId="657AF7E3">
      <w:pPr>
        <w:spacing w:before="143" w:line="225" w:lineRule="auto"/>
        <w:ind w:left="0"/>
        <w:jc w:val="center"/>
        <w:rPr>
          <w:rFonts w:hint="eastAsia" w:ascii="宋体" w:hAnsi="宋体" w:eastAsia="宋体" w:cs="宋体"/>
          <w:color w:val="auto"/>
          <w:sz w:val="31"/>
          <w:szCs w:val="31"/>
          <w:highlight w:val="none"/>
          <w:lang w:eastAsia="zh-CN"/>
        </w:rPr>
      </w:pPr>
      <w:r>
        <w:rPr>
          <w:rFonts w:hint="default" w:ascii="Arial Black" w:hAnsi="Arial Black" w:eastAsia="宋体" w:cs="Arial Black"/>
          <w:b/>
          <w:color w:val="auto"/>
          <w:sz w:val="30"/>
          <w:szCs w:val="30"/>
          <w:highlight w:val="none"/>
          <w:lang w:eastAsia="zh-CN"/>
        </w:rPr>
        <w:t>海之特工程管理有限公司</w:t>
      </w:r>
    </w:p>
    <w:p w14:paraId="11C2DEA8">
      <w:pPr>
        <w:spacing w:before="138" w:line="219" w:lineRule="auto"/>
        <w:ind w:left="0"/>
        <w:jc w:val="center"/>
        <w:rPr>
          <w:rFonts w:hint="eastAsia" w:ascii="宋体" w:hAnsi="宋体" w:eastAsia="宋体" w:cs="宋体"/>
          <w:color w:val="auto"/>
          <w:sz w:val="30"/>
          <w:szCs w:val="30"/>
          <w:highlight w:val="none"/>
          <w:lang w:eastAsia="zh-CN"/>
        </w:rPr>
      </w:pPr>
      <w:r>
        <w:rPr>
          <w:rFonts w:hint="eastAsia" w:ascii="宋体" w:hAnsi="宋体" w:eastAsia="宋体" w:cs="宋体"/>
          <w:b/>
          <w:bCs/>
          <w:color w:val="auto"/>
          <w:spacing w:val="-3"/>
          <w:sz w:val="30"/>
          <w:szCs w:val="30"/>
          <w:highlight w:val="none"/>
          <w:lang w:eastAsia="zh-CN"/>
        </w:rPr>
        <w:t>2025年库区移民发展专项资金项目</w:t>
      </w:r>
    </w:p>
    <w:p w14:paraId="69395001">
      <w:pPr>
        <w:autoSpaceDE/>
        <w:autoSpaceDN/>
        <w:spacing w:before="131" w:line="380" w:lineRule="exact"/>
        <w:ind w:left="3201"/>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竞争性磋商公告</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8"/>
      </w:tblGrid>
      <w:tr w14:paraId="0D02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38" w:type="dxa"/>
          </w:tcPr>
          <w:p w14:paraId="0C027812">
            <w:pPr>
              <w:widowControl w:val="0"/>
              <w:autoSpaceDE/>
              <w:autoSpaceDN/>
              <w:spacing w:before="93" w:line="380" w:lineRule="exact"/>
              <w:ind w:left="8" w:right="1" w:firstLine="423"/>
              <w:jc w:val="both"/>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项目概况：</w:t>
            </w:r>
          </w:p>
          <w:p w14:paraId="6FC56094">
            <w:pPr>
              <w:widowControl w:val="0"/>
              <w:autoSpaceDE/>
              <w:autoSpaceDN/>
              <w:spacing w:before="93" w:line="380" w:lineRule="exact"/>
              <w:ind w:left="8" w:right="1" w:firstLine="423"/>
              <w:jc w:val="both"/>
              <w:rPr>
                <w:rFonts w:ascii="宋体" w:hAnsi="宋体" w:eastAsia="宋体" w:cs="宋体"/>
                <w:b/>
                <w:bCs/>
                <w:color w:val="auto"/>
                <w:spacing w:val="4"/>
                <w:sz w:val="20"/>
                <w:szCs w:val="20"/>
                <w:highlight w:val="none"/>
                <w:vertAlign w:val="baseline"/>
              </w:rPr>
            </w:pPr>
            <w:r>
              <w:rPr>
                <w:rFonts w:hint="eastAsia" w:ascii="宋体" w:hAnsi="宋体" w:eastAsia="宋体" w:cs="宋体"/>
                <w:b w:val="0"/>
                <w:bCs w:val="0"/>
                <w:color w:val="auto"/>
                <w:spacing w:val="13"/>
                <w:sz w:val="20"/>
                <w:szCs w:val="20"/>
                <w:highlight w:val="none"/>
                <w:u w:val="single" w:color="auto"/>
                <w:lang w:eastAsia="zh-CN"/>
              </w:rPr>
              <w:t>2025年库区移民发展专项资金项目</w:t>
            </w:r>
            <w:r>
              <w:rPr>
                <w:rFonts w:ascii="宋体" w:hAnsi="宋体" w:eastAsia="宋体" w:cs="宋体"/>
                <w:b w:val="0"/>
                <w:bCs w:val="0"/>
                <w:color w:val="auto"/>
                <w:spacing w:val="13"/>
                <w:sz w:val="20"/>
                <w:szCs w:val="20"/>
                <w:highlight w:val="none"/>
              </w:rPr>
              <w:t>采购项目的潜在供应商应在</w:t>
            </w:r>
            <w:r>
              <w:rPr>
                <w:rFonts w:ascii="宋体" w:hAnsi="宋体" w:eastAsia="宋体" w:cs="宋体"/>
                <w:b w:val="0"/>
                <w:bCs w:val="0"/>
                <w:color w:val="auto"/>
                <w:spacing w:val="13"/>
                <w:sz w:val="20"/>
                <w:szCs w:val="20"/>
                <w:highlight w:val="none"/>
                <w:u w:val="single" w:color="auto"/>
              </w:rPr>
              <w:t>广西政</w:t>
            </w:r>
            <w:r>
              <w:rPr>
                <w:rFonts w:ascii="宋体" w:hAnsi="宋体" w:eastAsia="宋体" w:cs="宋体"/>
                <w:b w:val="0"/>
                <w:bCs w:val="0"/>
                <w:color w:val="auto"/>
                <w:spacing w:val="4"/>
                <w:sz w:val="20"/>
                <w:szCs w:val="20"/>
                <w:highlight w:val="none"/>
                <w:u w:val="single" w:color="auto"/>
              </w:rPr>
              <w:t>府采购云平台（</w:t>
            </w:r>
            <w:r>
              <w:rPr>
                <w:rFonts w:ascii="宋体" w:hAnsi="宋体" w:eastAsia="宋体" w:cs="宋体"/>
                <w:b w:val="0"/>
                <w:bCs w:val="0"/>
                <w:color w:val="auto"/>
                <w:sz w:val="20"/>
                <w:szCs w:val="20"/>
                <w:highlight w:val="none"/>
                <w:u w:val="single" w:color="auto"/>
              </w:rPr>
              <w:t>https</w:t>
            </w:r>
            <w:r>
              <w:rPr>
                <w:rFonts w:ascii="宋体" w:hAnsi="宋体" w:eastAsia="宋体" w:cs="宋体"/>
                <w:color w:val="auto"/>
                <w:spacing w:val="4"/>
                <w:sz w:val="20"/>
                <w:szCs w:val="20"/>
                <w:highlight w:val="none"/>
                <w:u w:val="single" w:color="auto"/>
              </w:rPr>
              <w:t xml:space="preserve"> </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z w:val="20"/>
                <w:szCs w:val="20"/>
                <w:highlight w:val="none"/>
                <w:u w:val="single" w:color="auto"/>
              </w:rPr>
              <w:t>www</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z w:val="20"/>
                <w:szCs w:val="20"/>
                <w:highlight w:val="none"/>
                <w:u w:val="single" w:color="auto"/>
              </w:rPr>
              <w:t>gcy</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z w:val="20"/>
                <w:szCs w:val="20"/>
                <w:highlight w:val="none"/>
                <w:u w:val="single" w:color="auto"/>
              </w:rPr>
              <w:t>zfcg</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z w:val="20"/>
                <w:szCs w:val="20"/>
                <w:highlight w:val="none"/>
                <w:u w:val="single" w:color="auto"/>
              </w:rPr>
              <w:t>gxzf</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z w:val="20"/>
                <w:szCs w:val="20"/>
                <w:highlight w:val="none"/>
                <w:u w:val="single" w:color="auto"/>
              </w:rPr>
              <w:t>gov</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z w:val="20"/>
                <w:szCs w:val="20"/>
                <w:highlight w:val="none"/>
                <w:u w:val="single" w:color="auto"/>
              </w:rPr>
              <w:t>cn</w:t>
            </w:r>
            <w:r>
              <w:rPr>
                <w:rFonts w:ascii="宋体" w:hAnsi="宋体" w:eastAsia="宋体" w:cs="宋体"/>
                <w:b w:val="0"/>
                <w:bCs w:val="0"/>
                <w:color w:val="auto"/>
                <w:spacing w:val="4"/>
                <w:sz w:val="20"/>
                <w:szCs w:val="20"/>
                <w:highlight w:val="none"/>
                <w:u w:val="single" w:color="auto"/>
              </w:rPr>
              <w:t>/）</w:t>
            </w:r>
            <w:r>
              <w:rPr>
                <w:rFonts w:ascii="宋体" w:hAnsi="宋体" w:eastAsia="宋体" w:cs="宋体"/>
                <w:b w:val="0"/>
                <w:bCs w:val="0"/>
                <w:color w:val="auto"/>
                <w:spacing w:val="4"/>
                <w:sz w:val="20"/>
                <w:szCs w:val="20"/>
                <w:highlight w:val="none"/>
              </w:rPr>
              <w:t>获取采购文件，并于</w:t>
            </w:r>
            <w:r>
              <w:rPr>
                <w:rFonts w:ascii="宋体" w:hAnsi="宋体" w:eastAsia="宋体" w:cs="宋体"/>
                <w:color w:val="auto"/>
                <w:spacing w:val="-32"/>
                <w:sz w:val="20"/>
                <w:szCs w:val="20"/>
                <w:highlight w:val="none"/>
              </w:rPr>
              <w:t xml:space="preserve"> </w:t>
            </w:r>
            <w:r>
              <w:rPr>
                <w:rFonts w:ascii="宋体" w:hAnsi="宋体" w:eastAsia="宋体" w:cs="宋体"/>
                <w:b w:val="0"/>
                <w:bCs w:val="0"/>
                <w:color w:val="auto"/>
                <w:spacing w:val="4"/>
                <w:sz w:val="20"/>
                <w:szCs w:val="20"/>
                <w:highlight w:val="none"/>
                <w:u w:val="single" w:color="auto"/>
              </w:rPr>
              <w:t>2025</w:t>
            </w:r>
            <w:r>
              <w:rPr>
                <w:rFonts w:ascii="宋体" w:hAnsi="宋体" w:eastAsia="宋体" w:cs="宋体"/>
                <w:color w:val="auto"/>
                <w:spacing w:val="-37"/>
                <w:sz w:val="20"/>
                <w:szCs w:val="20"/>
                <w:highlight w:val="none"/>
                <w:u w:val="single" w:color="auto"/>
              </w:rPr>
              <w:t xml:space="preserve"> </w:t>
            </w:r>
            <w:r>
              <w:rPr>
                <w:rFonts w:ascii="宋体" w:hAnsi="宋体" w:eastAsia="宋体" w:cs="宋体"/>
                <w:b w:val="0"/>
                <w:bCs w:val="0"/>
                <w:color w:val="auto"/>
                <w:spacing w:val="4"/>
                <w:sz w:val="20"/>
                <w:szCs w:val="20"/>
                <w:highlight w:val="none"/>
              </w:rPr>
              <w:t>年</w:t>
            </w:r>
            <w:r>
              <w:rPr>
                <w:rFonts w:ascii="宋体" w:hAnsi="宋体" w:eastAsia="宋体" w:cs="宋体"/>
                <w:color w:val="auto"/>
                <w:spacing w:val="4"/>
                <w:sz w:val="20"/>
                <w:szCs w:val="20"/>
                <w:highlight w:val="none"/>
                <w:u w:val="single" w:color="auto"/>
              </w:rPr>
              <w:t xml:space="preserve"> </w:t>
            </w:r>
            <w:r>
              <w:rPr>
                <w:rFonts w:hint="eastAsia" w:ascii="宋体" w:hAnsi="宋体" w:eastAsia="宋体" w:cs="宋体"/>
                <w:b w:val="0"/>
                <w:bCs w:val="0"/>
                <w:color w:val="auto"/>
                <w:spacing w:val="4"/>
                <w:sz w:val="20"/>
                <w:szCs w:val="20"/>
                <w:highlight w:val="none"/>
                <w:u w:val="single" w:color="auto"/>
                <w:lang w:val="en-US" w:eastAsia="zh-CN"/>
              </w:rPr>
              <w:t>7</w:t>
            </w:r>
            <w:r>
              <w:rPr>
                <w:rFonts w:ascii="宋体" w:hAnsi="宋体" w:eastAsia="宋体" w:cs="宋体"/>
                <w:color w:val="auto"/>
                <w:spacing w:val="4"/>
                <w:sz w:val="20"/>
                <w:szCs w:val="20"/>
                <w:highlight w:val="none"/>
                <w:u w:val="single" w:color="auto"/>
              </w:rPr>
              <w:t xml:space="preserve"> </w:t>
            </w:r>
            <w:r>
              <w:rPr>
                <w:rFonts w:ascii="宋体" w:hAnsi="宋体" w:eastAsia="宋体" w:cs="宋体"/>
                <w:b w:val="0"/>
                <w:bCs w:val="0"/>
                <w:color w:val="auto"/>
                <w:spacing w:val="4"/>
                <w:sz w:val="20"/>
                <w:szCs w:val="20"/>
                <w:highlight w:val="none"/>
              </w:rPr>
              <w:t>月</w:t>
            </w:r>
            <w:r>
              <w:rPr>
                <w:rFonts w:ascii="宋体" w:hAnsi="宋体" w:eastAsia="宋体" w:cs="宋体"/>
                <w:color w:val="auto"/>
                <w:spacing w:val="4"/>
                <w:sz w:val="20"/>
                <w:szCs w:val="20"/>
                <w:highlight w:val="none"/>
                <w:u w:val="single" w:color="auto"/>
              </w:rPr>
              <w:t xml:space="preserve"> </w:t>
            </w:r>
            <w:r>
              <w:rPr>
                <w:rFonts w:hint="eastAsia" w:ascii="宋体" w:hAnsi="宋体" w:eastAsia="宋体" w:cs="宋体"/>
                <w:b w:val="0"/>
                <w:bCs w:val="0"/>
                <w:color w:val="auto"/>
                <w:spacing w:val="4"/>
                <w:sz w:val="20"/>
                <w:szCs w:val="20"/>
                <w:highlight w:val="none"/>
                <w:u w:val="single" w:color="auto"/>
                <w:lang w:val="en-US" w:eastAsia="zh-CN"/>
              </w:rPr>
              <w:t>22</w:t>
            </w:r>
            <w:r>
              <w:rPr>
                <w:rFonts w:ascii="宋体" w:hAnsi="宋体" w:eastAsia="宋体" w:cs="宋体"/>
                <w:color w:val="auto"/>
                <w:sz w:val="20"/>
                <w:szCs w:val="20"/>
                <w:highlight w:val="none"/>
                <w:u w:val="single" w:color="auto"/>
              </w:rPr>
              <w:t xml:space="preserve"> </w:t>
            </w:r>
            <w:r>
              <w:rPr>
                <w:rFonts w:ascii="宋体" w:hAnsi="宋体" w:eastAsia="宋体" w:cs="宋体"/>
                <w:b w:val="0"/>
                <w:bCs w:val="0"/>
                <w:color w:val="auto"/>
                <w:spacing w:val="5"/>
                <w:sz w:val="20"/>
                <w:szCs w:val="20"/>
                <w:highlight w:val="none"/>
              </w:rPr>
              <w:t>日</w:t>
            </w:r>
            <w:r>
              <w:rPr>
                <w:rFonts w:hint="eastAsia" w:ascii="宋体" w:hAnsi="宋体" w:eastAsia="宋体" w:cs="宋体"/>
                <w:b w:val="0"/>
                <w:bCs w:val="0"/>
                <w:color w:val="auto"/>
                <w:spacing w:val="5"/>
                <w:sz w:val="20"/>
                <w:szCs w:val="20"/>
                <w:highlight w:val="none"/>
                <w:u w:val="single" w:color="auto"/>
                <w:lang w:val="en-US" w:eastAsia="zh-CN"/>
              </w:rPr>
              <w:t>15</w:t>
            </w:r>
            <w:r>
              <w:rPr>
                <w:rFonts w:ascii="宋体" w:hAnsi="宋体" w:eastAsia="宋体" w:cs="宋体"/>
                <w:b w:val="0"/>
                <w:bCs w:val="0"/>
                <w:color w:val="auto"/>
                <w:spacing w:val="5"/>
                <w:sz w:val="20"/>
                <w:szCs w:val="20"/>
                <w:highlight w:val="none"/>
                <w:u w:val="single" w:color="auto"/>
              </w:rPr>
              <w:t>：</w:t>
            </w:r>
            <w:r>
              <w:rPr>
                <w:rFonts w:hint="eastAsia" w:ascii="宋体" w:hAnsi="宋体" w:eastAsia="宋体" w:cs="宋体"/>
                <w:b w:val="0"/>
                <w:bCs w:val="0"/>
                <w:color w:val="auto"/>
                <w:spacing w:val="5"/>
                <w:sz w:val="20"/>
                <w:szCs w:val="20"/>
                <w:highlight w:val="none"/>
                <w:u w:val="single" w:color="auto"/>
                <w:lang w:val="en-US" w:eastAsia="zh-CN"/>
              </w:rPr>
              <w:t>00</w:t>
            </w:r>
            <w:r>
              <w:rPr>
                <w:rFonts w:ascii="宋体" w:hAnsi="宋体" w:eastAsia="宋体" w:cs="宋体"/>
                <w:b w:val="0"/>
                <w:bCs w:val="0"/>
                <w:color w:val="auto"/>
                <w:spacing w:val="5"/>
                <w:sz w:val="20"/>
                <w:szCs w:val="20"/>
                <w:highlight w:val="none"/>
              </w:rPr>
              <w:t>（北京时间）前提交响应文件。</w:t>
            </w:r>
          </w:p>
        </w:tc>
      </w:tr>
    </w:tbl>
    <w:p w14:paraId="166064C0">
      <w:pPr>
        <w:autoSpaceDE/>
        <w:autoSpaceDN/>
        <w:spacing w:before="32" w:line="380" w:lineRule="exact"/>
        <w:ind w:left="12"/>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一、项目基本情况</w:t>
      </w:r>
    </w:p>
    <w:p w14:paraId="7ECEA263">
      <w:pPr>
        <w:autoSpaceDE/>
        <w:autoSpaceDN/>
        <w:spacing w:before="95" w:line="380" w:lineRule="exact"/>
        <w:ind w:left="444"/>
        <w:rPr>
          <w:rFonts w:hint="eastAsia" w:ascii="宋体" w:hAnsi="宋体" w:eastAsia="宋体" w:cs="宋体"/>
          <w:color w:val="auto"/>
          <w:sz w:val="20"/>
          <w:szCs w:val="20"/>
          <w:highlight w:val="none"/>
          <w:lang w:eastAsia="zh-CN"/>
        </w:rPr>
      </w:pPr>
      <w:r>
        <w:rPr>
          <w:rFonts w:ascii="宋体" w:hAnsi="宋体" w:eastAsia="宋体" w:cs="宋体"/>
          <w:color w:val="auto"/>
          <w:spacing w:val="6"/>
          <w:sz w:val="20"/>
          <w:szCs w:val="20"/>
          <w:highlight w:val="none"/>
        </w:rPr>
        <w:t>1.项目编号：</w:t>
      </w:r>
      <w:r>
        <w:rPr>
          <w:rFonts w:hint="eastAsia" w:ascii="宋体" w:hAnsi="宋体" w:eastAsia="宋体" w:cs="宋体"/>
          <w:color w:val="auto"/>
          <w:sz w:val="20"/>
          <w:szCs w:val="20"/>
          <w:highlight w:val="none"/>
          <w:lang w:eastAsia="zh-CN"/>
        </w:rPr>
        <w:t>CZZC2025-C2-240114-HZTG</w:t>
      </w:r>
    </w:p>
    <w:p w14:paraId="36278DFE">
      <w:pPr>
        <w:autoSpaceDE/>
        <w:autoSpaceDN/>
        <w:spacing w:before="93" w:line="380" w:lineRule="exact"/>
        <w:ind w:left="432" w:right="2112" w:hanging="1"/>
        <w:rPr>
          <w:rFonts w:hint="eastAsia" w:ascii="宋体" w:hAnsi="宋体" w:eastAsia="宋体" w:cs="宋体"/>
          <w:color w:val="auto"/>
          <w:spacing w:val="9"/>
          <w:sz w:val="20"/>
          <w:szCs w:val="20"/>
          <w:highlight w:val="none"/>
          <w:lang w:eastAsia="zh-CN"/>
        </w:rPr>
      </w:pPr>
      <w:r>
        <w:rPr>
          <w:rFonts w:ascii="宋体" w:hAnsi="宋体" w:eastAsia="宋体" w:cs="宋体"/>
          <w:color w:val="auto"/>
          <w:spacing w:val="9"/>
          <w:sz w:val="20"/>
          <w:szCs w:val="20"/>
          <w:highlight w:val="none"/>
        </w:rPr>
        <w:t>2.项目名称：</w:t>
      </w:r>
      <w:r>
        <w:rPr>
          <w:rFonts w:hint="eastAsia" w:ascii="宋体" w:hAnsi="宋体" w:eastAsia="宋体" w:cs="宋体"/>
          <w:color w:val="auto"/>
          <w:spacing w:val="9"/>
          <w:sz w:val="20"/>
          <w:szCs w:val="20"/>
          <w:highlight w:val="none"/>
          <w:lang w:eastAsia="zh-CN"/>
        </w:rPr>
        <w:t>2025年库区移民发展专项资金项目</w:t>
      </w:r>
    </w:p>
    <w:p w14:paraId="189DACB4">
      <w:pPr>
        <w:autoSpaceDE/>
        <w:autoSpaceDN/>
        <w:spacing w:before="93" w:line="380" w:lineRule="exact"/>
        <w:ind w:left="432" w:right="2112" w:hanging="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3.采购方式：竞争性磋商</w:t>
      </w:r>
    </w:p>
    <w:p w14:paraId="01D3244B">
      <w:pPr>
        <w:autoSpaceDE/>
        <w:autoSpaceDN/>
        <w:spacing w:before="33" w:line="380" w:lineRule="exact"/>
        <w:ind w:left="433" w:right="1762" w:hanging="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4.预算金额：</w:t>
      </w:r>
      <w:r>
        <w:rPr>
          <w:rFonts w:hint="eastAsia" w:ascii="宋体" w:hAnsi="宋体" w:eastAsia="宋体" w:cs="宋体"/>
          <w:color w:val="auto"/>
          <w:spacing w:val="7"/>
          <w:sz w:val="20"/>
          <w:szCs w:val="20"/>
          <w:highlight w:val="none"/>
          <w:lang w:eastAsia="zh-CN"/>
        </w:rPr>
        <w:t>壹佰零肆万零贰佰柒拾捌元整(￥1040278.00）</w:t>
      </w:r>
    </w:p>
    <w:p w14:paraId="67F9E923">
      <w:pPr>
        <w:autoSpaceDE/>
        <w:autoSpaceDN/>
        <w:spacing w:before="33" w:line="380" w:lineRule="exact"/>
        <w:ind w:left="433" w:right="1762" w:hanging="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5.最高限价（如有</w:t>
      </w:r>
      <w:r>
        <w:rPr>
          <w:rFonts w:ascii="宋体" w:hAnsi="宋体" w:eastAsia="宋体" w:cs="宋体"/>
          <w:color w:val="auto"/>
          <w:spacing w:val="25"/>
          <w:sz w:val="20"/>
          <w:szCs w:val="20"/>
          <w:highlight w:val="none"/>
        </w:rPr>
        <w:t>）：</w:t>
      </w:r>
      <w:r>
        <w:rPr>
          <w:rFonts w:ascii="宋体" w:hAnsi="宋体" w:eastAsia="宋体" w:cs="宋体"/>
          <w:color w:val="auto"/>
          <w:spacing w:val="6"/>
          <w:sz w:val="20"/>
          <w:szCs w:val="20"/>
          <w:highlight w:val="none"/>
        </w:rPr>
        <w:t>同预算金额</w:t>
      </w:r>
    </w:p>
    <w:p w14:paraId="091FAF34">
      <w:pPr>
        <w:autoSpaceDE/>
        <w:autoSpaceDN/>
        <w:spacing w:before="31" w:line="380" w:lineRule="exact"/>
        <w:ind w:left="7" w:right="2" w:firstLine="423"/>
        <w:rPr>
          <w:rFonts w:hint="eastAsia" w:ascii="宋体" w:hAnsi="宋体" w:eastAsia="宋体" w:cs="宋体"/>
          <w:color w:val="auto"/>
          <w:sz w:val="20"/>
          <w:szCs w:val="20"/>
          <w:highlight w:val="none"/>
          <w:lang w:eastAsia="zh-CN"/>
        </w:rPr>
      </w:pPr>
      <w:r>
        <w:rPr>
          <w:rFonts w:ascii="宋体" w:hAnsi="宋体" w:eastAsia="宋体" w:cs="宋体"/>
          <w:color w:val="auto"/>
          <w:spacing w:val="10"/>
          <w:sz w:val="20"/>
          <w:szCs w:val="20"/>
          <w:highlight w:val="none"/>
        </w:rPr>
        <w:t>6.采购需求：</w:t>
      </w:r>
      <w:r>
        <w:rPr>
          <w:rFonts w:hint="eastAsia" w:ascii="宋体" w:hAnsi="宋体" w:eastAsia="宋体" w:cs="宋体"/>
          <w:color w:val="auto"/>
          <w:spacing w:val="10"/>
          <w:sz w:val="20"/>
          <w:szCs w:val="20"/>
          <w:highlight w:val="none"/>
          <w:lang w:eastAsia="zh-CN"/>
        </w:rPr>
        <w:t>2025年库区移民发展专项资金项目，含硬化道路总里程1.607千米，主路路基宽6米，水泥路面宽5米，支路路基宽4-5.5米，水泥路面宽3-4.5米，混凝厚度20厘米</w:t>
      </w:r>
      <w:r>
        <w:rPr>
          <w:rFonts w:ascii="宋体" w:hAnsi="宋体" w:eastAsia="宋体" w:cs="宋体"/>
          <w:color w:val="auto"/>
          <w:spacing w:val="9"/>
          <w:sz w:val="20"/>
          <w:szCs w:val="20"/>
          <w:highlight w:val="none"/>
        </w:rPr>
        <w:t>，如需进一步了解详细内容，详见竞争性磋商文件、工程量清单及施工图</w:t>
      </w:r>
      <w:r>
        <w:rPr>
          <w:rFonts w:hint="eastAsia" w:ascii="宋体" w:hAnsi="宋体" w:eastAsia="宋体" w:cs="宋体"/>
          <w:color w:val="auto"/>
          <w:spacing w:val="9"/>
          <w:sz w:val="20"/>
          <w:szCs w:val="20"/>
          <w:highlight w:val="none"/>
          <w:lang w:eastAsia="zh-CN"/>
        </w:rPr>
        <w:t>。</w:t>
      </w:r>
    </w:p>
    <w:p w14:paraId="232CEC3D">
      <w:pPr>
        <w:autoSpaceDE/>
        <w:autoSpaceDN/>
        <w:spacing w:before="31" w:line="380" w:lineRule="exact"/>
        <w:ind w:left="429" w:right="5524" w:firstLine="4"/>
        <w:rPr>
          <w:rFonts w:ascii="宋体" w:hAnsi="宋体" w:eastAsia="宋体" w:cs="宋体"/>
          <w:color w:val="auto"/>
          <w:spacing w:val="3"/>
          <w:sz w:val="20"/>
          <w:szCs w:val="20"/>
          <w:highlight w:val="none"/>
        </w:rPr>
      </w:pPr>
      <w:r>
        <w:rPr>
          <w:rFonts w:ascii="宋体" w:hAnsi="宋体" w:eastAsia="宋体" w:cs="宋体"/>
          <w:color w:val="auto"/>
          <w:spacing w:val="3"/>
          <w:sz w:val="20"/>
          <w:szCs w:val="20"/>
          <w:highlight w:val="none"/>
        </w:rPr>
        <w:t>7.合同履行期限：</w:t>
      </w:r>
      <w:r>
        <w:rPr>
          <w:rFonts w:hint="eastAsia" w:ascii="宋体" w:hAnsi="宋体" w:eastAsia="宋体" w:cs="宋体"/>
          <w:color w:val="auto"/>
          <w:spacing w:val="3"/>
          <w:sz w:val="20"/>
          <w:szCs w:val="20"/>
          <w:highlight w:val="none"/>
          <w:lang w:val="en-US" w:eastAsia="zh-CN"/>
        </w:rPr>
        <w:t>120</w:t>
      </w:r>
      <w:r>
        <w:rPr>
          <w:rFonts w:ascii="宋体" w:hAnsi="宋体" w:eastAsia="宋体" w:cs="宋体"/>
          <w:color w:val="auto"/>
          <w:spacing w:val="3"/>
          <w:sz w:val="20"/>
          <w:szCs w:val="20"/>
          <w:highlight w:val="none"/>
        </w:rPr>
        <w:t>日历天</w:t>
      </w:r>
    </w:p>
    <w:p w14:paraId="06E726BE">
      <w:pPr>
        <w:autoSpaceDE/>
        <w:autoSpaceDN/>
        <w:spacing w:before="31" w:line="380" w:lineRule="exact"/>
        <w:ind w:left="429" w:right="5524" w:firstLine="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8.本项目不接受联合体。</w:t>
      </w:r>
    </w:p>
    <w:p w14:paraId="5848A19A">
      <w:pPr>
        <w:autoSpaceDE/>
        <w:autoSpaceDN/>
        <w:spacing w:before="32" w:line="380" w:lineRule="exact"/>
        <w:ind w:left="12"/>
        <w:rPr>
          <w:rFonts w:ascii="宋体" w:hAnsi="宋体" w:eastAsia="宋体" w:cs="宋体"/>
          <w:color w:val="auto"/>
          <w:sz w:val="20"/>
          <w:szCs w:val="20"/>
          <w:highlight w:val="none"/>
        </w:rPr>
      </w:pPr>
      <w:r>
        <w:rPr>
          <w:rFonts w:ascii="宋体" w:hAnsi="宋体" w:eastAsia="宋体" w:cs="宋体"/>
          <w:b/>
          <w:bCs/>
          <w:color w:val="auto"/>
          <w:spacing w:val="2"/>
          <w:sz w:val="20"/>
          <w:szCs w:val="20"/>
          <w:highlight w:val="none"/>
        </w:rPr>
        <w:t>二、</w:t>
      </w:r>
      <w:r>
        <w:rPr>
          <w:rFonts w:ascii="宋体" w:hAnsi="宋体" w:eastAsia="宋体" w:cs="宋体"/>
          <w:color w:val="auto"/>
          <w:spacing w:val="-51"/>
          <w:sz w:val="20"/>
          <w:szCs w:val="20"/>
          <w:highlight w:val="none"/>
        </w:rPr>
        <w:t xml:space="preserve"> </w:t>
      </w:r>
      <w:r>
        <w:rPr>
          <w:rFonts w:ascii="宋体" w:hAnsi="宋体" w:eastAsia="宋体" w:cs="宋体"/>
          <w:b/>
          <w:bCs/>
          <w:color w:val="auto"/>
          <w:spacing w:val="2"/>
          <w:sz w:val="20"/>
          <w:szCs w:val="20"/>
          <w:highlight w:val="none"/>
        </w:rPr>
        <w:t>申请人的资格要求：</w:t>
      </w:r>
    </w:p>
    <w:p w14:paraId="5CB2A971">
      <w:pPr>
        <w:autoSpaceDE/>
        <w:autoSpaceDN/>
        <w:spacing w:before="94" w:line="380" w:lineRule="exact"/>
        <w:ind w:left="44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1.满足《中华人民共和国政府采购法》第二十二条规定；</w:t>
      </w:r>
    </w:p>
    <w:p w14:paraId="113339A7">
      <w:pPr>
        <w:autoSpaceDE/>
        <w:autoSpaceDN/>
        <w:spacing w:before="95" w:line="380" w:lineRule="exact"/>
        <w:ind w:left="9"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2.落实政府采购政策需满足的资格要求：本项目属于专门面向中</w:t>
      </w:r>
      <w:r>
        <w:rPr>
          <w:rFonts w:ascii="宋体" w:hAnsi="宋体" w:eastAsia="宋体" w:cs="宋体"/>
          <w:color w:val="auto"/>
          <w:spacing w:val="9"/>
          <w:sz w:val="20"/>
          <w:szCs w:val="20"/>
          <w:highlight w:val="none"/>
        </w:rPr>
        <w:t>小企业采购的项目，根据</w:t>
      </w:r>
      <w:r>
        <w:rPr>
          <w:rFonts w:ascii="宋体" w:hAnsi="宋体" w:eastAsia="宋体" w:cs="宋体"/>
          <w:color w:val="auto"/>
          <w:spacing w:val="8"/>
          <w:sz w:val="20"/>
          <w:szCs w:val="20"/>
          <w:highlight w:val="none"/>
        </w:rPr>
        <w:t>财库【2020】46号《政府采购促进中小企业发展管理办法》要求，供应商</w:t>
      </w:r>
      <w:r>
        <w:rPr>
          <w:rFonts w:ascii="宋体" w:hAnsi="宋体" w:eastAsia="宋体" w:cs="宋体"/>
          <w:color w:val="auto"/>
          <w:spacing w:val="7"/>
          <w:sz w:val="20"/>
          <w:szCs w:val="20"/>
          <w:highlight w:val="none"/>
        </w:rPr>
        <w:t>应为中小微企业或监</w:t>
      </w:r>
      <w:r>
        <w:rPr>
          <w:rFonts w:ascii="宋体" w:hAnsi="宋体" w:eastAsia="宋体" w:cs="宋体"/>
          <w:color w:val="auto"/>
          <w:spacing w:val="8"/>
          <w:sz w:val="20"/>
          <w:szCs w:val="20"/>
          <w:highlight w:val="none"/>
        </w:rPr>
        <w:t>狱企业或残疾人福利性单位；</w:t>
      </w:r>
    </w:p>
    <w:p w14:paraId="3D76F4A6">
      <w:pPr>
        <w:autoSpaceDE/>
        <w:autoSpaceDN/>
        <w:spacing w:before="30" w:line="380" w:lineRule="exact"/>
        <w:ind w:left="17" w:right="2" w:firstLine="41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3.本项目的特定资格要求：具备</w:t>
      </w:r>
      <w:r>
        <w:rPr>
          <w:rFonts w:ascii="宋体" w:hAnsi="宋体" w:eastAsia="宋体" w:cs="宋体"/>
          <w:color w:val="auto"/>
          <w:spacing w:val="9"/>
          <w:sz w:val="20"/>
          <w:szCs w:val="20"/>
          <w:highlight w:val="none"/>
          <w:u w:val="single" w:color="auto"/>
        </w:rPr>
        <w:t>市政公用工程或</w:t>
      </w:r>
      <w:r>
        <w:rPr>
          <w:rFonts w:ascii="宋体" w:hAnsi="宋体" w:eastAsia="宋体" w:cs="宋体"/>
          <w:color w:val="auto"/>
          <w:spacing w:val="8"/>
          <w:sz w:val="20"/>
          <w:szCs w:val="20"/>
          <w:highlight w:val="none"/>
          <w:u w:val="single" w:color="auto"/>
        </w:rPr>
        <w:t>公路工程施工总承包三级（含三级）以上</w:t>
      </w:r>
      <w:r>
        <w:rPr>
          <w:rFonts w:ascii="宋体" w:hAnsi="宋体" w:eastAsia="宋体" w:cs="宋体"/>
          <w:color w:val="auto"/>
          <w:spacing w:val="9"/>
          <w:sz w:val="20"/>
          <w:szCs w:val="20"/>
          <w:highlight w:val="none"/>
        </w:rPr>
        <w:t>资质</w:t>
      </w:r>
      <w:r>
        <w:rPr>
          <w:rFonts w:ascii="宋体" w:hAnsi="宋体" w:eastAsia="宋体" w:cs="宋体"/>
          <w:color w:val="auto"/>
          <w:spacing w:val="9"/>
          <w:sz w:val="24"/>
          <w:szCs w:val="24"/>
          <w:highlight w:val="none"/>
        </w:rPr>
        <w:t>，</w:t>
      </w:r>
      <w:r>
        <w:rPr>
          <w:rFonts w:ascii="宋体" w:hAnsi="宋体" w:eastAsia="宋体" w:cs="宋体"/>
          <w:color w:val="auto"/>
          <w:spacing w:val="9"/>
          <w:sz w:val="20"/>
          <w:szCs w:val="20"/>
          <w:highlight w:val="none"/>
        </w:rPr>
        <w:t>同时具备省级及以上建设行政主管部门颁发的企业安全生产许可证</w:t>
      </w:r>
      <w:r>
        <w:rPr>
          <w:rFonts w:ascii="宋体" w:hAnsi="宋体" w:eastAsia="宋体" w:cs="宋体"/>
          <w:color w:val="auto"/>
          <w:spacing w:val="8"/>
          <w:sz w:val="20"/>
          <w:szCs w:val="20"/>
          <w:highlight w:val="none"/>
        </w:rPr>
        <w:t>，并在人员、设备、资金等方面具备相应的施工能力；</w:t>
      </w:r>
    </w:p>
    <w:p w14:paraId="45816251">
      <w:pPr>
        <w:tabs>
          <w:tab w:val="left" w:pos="118"/>
        </w:tabs>
        <w:autoSpaceDE/>
        <w:autoSpaceDN/>
        <w:spacing w:before="7" w:line="380" w:lineRule="exact"/>
        <w:ind w:firstLine="428"/>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4.本项目的特定条件：投标人拟派项目经理须具备</w:t>
      </w:r>
      <w:r>
        <w:rPr>
          <w:rFonts w:ascii="宋体" w:hAnsi="宋体" w:eastAsia="宋体" w:cs="宋体"/>
          <w:color w:val="auto"/>
          <w:spacing w:val="10"/>
          <w:sz w:val="20"/>
          <w:szCs w:val="20"/>
          <w:highlight w:val="none"/>
          <w:u w:val="single" w:color="auto"/>
        </w:rPr>
        <w:t>市政公用工程或公路</w:t>
      </w:r>
      <w:r>
        <w:rPr>
          <w:rFonts w:ascii="宋体" w:hAnsi="宋体" w:eastAsia="宋体" w:cs="宋体"/>
          <w:color w:val="auto"/>
          <w:spacing w:val="9"/>
          <w:sz w:val="20"/>
          <w:szCs w:val="20"/>
          <w:highlight w:val="none"/>
          <w:u w:val="single" w:color="auto"/>
        </w:rPr>
        <w:t>工程专业二级以上</w:t>
      </w:r>
      <w:r>
        <w:rPr>
          <w:rFonts w:ascii="宋体" w:hAnsi="宋体" w:eastAsia="宋体" w:cs="宋体"/>
          <w:color w:val="auto"/>
          <w:spacing w:val="8"/>
          <w:sz w:val="20"/>
          <w:szCs w:val="20"/>
          <w:highlight w:val="none"/>
          <w:u w:val="single" w:color="auto"/>
        </w:rPr>
        <w:t>（含</w:t>
      </w:r>
      <w:r>
        <w:rPr>
          <w:rFonts w:ascii="宋体" w:hAnsi="宋体" w:eastAsia="宋体" w:cs="宋体"/>
          <w:color w:val="auto"/>
          <w:spacing w:val="9"/>
          <w:sz w:val="20"/>
          <w:szCs w:val="20"/>
          <w:highlight w:val="none"/>
          <w:u w:val="single" w:color="auto"/>
        </w:rPr>
        <w:t>二级</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rPr>
        <w:t>的注册建造师执业资格；具备有效的安全生产考核合格证书</w:t>
      </w:r>
      <w:r>
        <w:rPr>
          <w:rFonts w:ascii="宋体" w:hAnsi="宋体" w:eastAsia="宋体" w:cs="宋体"/>
          <w:color w:val="auto"/>
          <w:spacing w:val="7"/>
          <w:sz w:val="20"/>
          <w:szCs w:val="20"/>
          <w:highlight w:val="none"/>
        </w:rPr>
        <w:t>（B类</w:t>
      </w:r>
      <w:r>
        <w:rPr>
          <w:rFonts w:ascii="宋体" w:hAnsi="宋体" w:eastAsia="宋体" w:cs="宋体"/>
          <w:color w:val="auto"/>
          <w:spacing w:val="16"/>
          <w:sz w:val="20"/>
          <w:szCs w:val="20"/>
          <w:highlight w:val="none"/>
        </w:rPr>
        <w:t>）；</w:t>
      </w:r>
      <w:r>
        <w:rPr>
          <w:rFonts w:ascii="宋体" w:hAnsi="宋体" w:eastAsia="宋体" w:cs="宋体"/>
          <w:color w:val="auto"/>
          <w:spacing w:val="7"/>
          <w:sz w:val="20"/>
          <w:szCs w:val="20"/>
          <w:highlight w:val="none"/>
        </w:rPr>
        <w:t>拟派专职安全员</w:t>
      </w:r>
      <w:r>
        <w:rPr>
          <w:rFonts w:ascii="宋体" w:hAnsi="宋体" w:eastAsia="宋体" w:cs="宋体"/>
          <w:color w:val="auto"/>
          <w:spacing w:val="9"/>
          <w:sz w:val="20"/>
          <w:szCs w:val="20"/>
          <w:highlight w:val="none"/>
        </w:rPr>
        <w:t>须具备有效的安全生产考核合格证书（C类</w:t>
      </w:r>
      <w:r>
        <w:rPr>
          <w:rFonts w:ascii="宋体" w:hAnsi="宋体" w:eastAsia="宋体" w:cs="宋体"/>
          <w:color w:val="auto"/>
          <w:spacing w:val="2"/>
          <w:sz w:val="20"/>
          <w:szCs w:val="20"/>
          <w:highlight w:val="none"/>
        </w:rPr>
        <w:t>）；</w:t>
      </w:r>
    </w:p>
    <w:p w14:paraId="0F30F079">
      <w:pPr>
        <w:autoSpaceDE/>
        <w:autoSpaceDN/>
        <w:spacing w:before="29" w:line="380" w:lineRule="exact"/>
        <w:ind w:left="8" w:firstLine="424"/>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5.单位负责人为同一人或者存在直接控股、管理关系的不同</w:t>
      </w:r>
      <w:r>
        <w:rPr>
          <w:rFonts w:ascii="宋体" w:hAnsi="宋体" w:eastAsia="宋体" w:cs="宋体"/>
          <w:color w:val="auto"/>
          <w:spacing w:val="9"/>
          <w:sz w:val="20"/>
          <w:szCs w:val="20"/>
          <w:highlight w:val="none"/>
        </w:rPr>
        <w:t>供应商，不得参加同一合同项</w:t>
      </w:r>
      <w:r>
        <w:rPr>
          <w:rFonts w:ascii="宋体" w:hAnsi="宋体" w:eastAsia="宋体" w:cs="宋体"/>
          <w:color w:val="auto"/>
          <w:spacing w:val="10"/>
          <w:sz w:val="20"/>
          <w:szCs w:val="20"/>
          <w:highlight w:val="none"/>
        </w:rPr>
        <w:t>下的政府采购活动。为本项目提供过整体设计、规范编制或者项目管理、监理、检测等服务的</w:t>
      </w:r>
      <w:r>
        <w:rPr>
          <w:rFonts w:ascii="宋体" w:hAnsi="宋体" w:eastAsia="宋体" w:cs="宋体"/>
          <w:color w:val="auto"/>
          <w:spacing w:val="9"/>
          <w:sz w:val="20"/>
          <w:szCs w:val="20"/>
          <w:highlight w:val="none"/>
        </w:rPr>
        <w:t>供应商，不得再参加本项目上述服务以外的其他采购活动。</w:t>
      </w:r>
    </w:p>
    <w:p w14:paraId="3369DEAC">
      <w:pPr>
        <w:autoSpaceDE/>
        <w:autoSpaceDN/>
        <w:spacing w:before="31" w:line="380" w:lineRule="exact"/>
        <w:ind w:left="8" w:right="1" w:firstLine="421"/>
        <w:jc w:val="both"/>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6.对在“信用中国”网站(</w:t>
      </w:r>
      <w:r>
        <w:rPr>
          <w:rFonts w:ascii="宋体" w:hAnsi="宋体" w:eastAsia="宋体" w:cs="宋体"/>
          <w:color w:val="auto"/>
          <w:sz w:val="20"/>
          <w:szCs w:val="20"/>
          <w:highlight w:val="none"/>
        </w:rPr>
        <w:t>www</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creditchina</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5"/>
          <w:sz w:val="20"/>
          <w:szCs w:val="20"/>
          <w:highlight w:val="none"/>
        </w:rPr>
        <w:t>)、中国政府采购网(</w:t>
      </w:r>
      <w:r>
        <w:rPr>
          <w:rFonts w:ascii="宋体" w:hAnsi="宋体" w:eastAsia="宋体" w:cs="宋体"/>
          <w:color w:val="auto"/>
          <w:sz w:val="20"/>
          <w:szCs w:val="20"/>
          <w:highlight w:val="none"/>
        </w:rPr>
        <w:t>www</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5"/>
          <w:sz w:val="20"/>
          <w:szCs w:val="20"/>
          <w:highlight w:val="none"/>
        </w:rPr>
        <w:t>)</w:t>
      </w:r>
      <w:r>
        <w:rPr>
          <w:rFonts w:ascii="宋体" w:hAnsi="宋体" w:eastAsia="宋体" w:cs="宋体"/>
          <w:color w:val="auto"/>
          <w:spacing w:val="10"/>
          <w:sz w:val="20"/>
          <w:szCs w:val="20"/>
          <w:highlight w:val="none"/>
        </w:rPr>
        <w:t>被列入失信被执行人、重大税收违法案件当事人名单、政府采购严重违法失信行为记录名单及其他不符合《中华人民共和国政府采购法》第二十二条规定条件的供应商，不得参与政府采购</w:t>
      </w:r>
      <w:r>
        <w:rPr>
          <w:rFonts w:ascii="宋体" w:hAnsi="宋体" w:eastAsia="宋体" w:cs="宋体"/>
          <w:color w:val="auto"/>
          <w:spacing w:val="3"/>
          <w:sz w:val="20"/>
          <w:szCs w:val="20"/>
          <w:highlight w:val="none"/>
        </w:rPr>
        <w:t>活动。</w:t>
      </w:r>
    </w:p>
    <w:p w14:paraId="7E0FBD8F">
      <w:pPr>
        <w:autoSpaceDE/>
        <w:autoSpaceDN/>
        <w:spacing w:before="31" w:line="380" w:lineRule="exact"/>
        <w:ind w:left="8"/>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三、获取采购文件</w:t>
      </w:r>
    </w:p>
    <w:p w14:paraId="06476EFA">
      <w:pPr>
        <w:autoSpaceDE/>
        <w:autoSpaceDN/>
        <w:spacing w:before="94" w:line="380" w:lineRule="exact"/>
        <w:ind w:left="24" w:right="2" w:firstLine="42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1.时间：</w:t>
      </w:r>
      <w:r>
        <w:rPr>
          <w:rFonts w:ascii="宋体" w:hAnsi="宋体" w:eastAsia="宋体" w:cs="宋体"/>
          <w:color w:val="auto"/>
          <w:spacing w:val="2"/>
          <w:sz w:val="20"/>
          <w:szCs w:val="20"/>
          <w:highlight w:val="none"/>
          <w:u w:val="single" w:color="auto"/>
        </w:rPr>
        <w:t xml:space="preserve"> 2025 </w:t>
      </w:r>
      <w:r>
        <w:rPr>
          <w:rFonts w:ascii="宋体" w:hAnsi="宋体" w:eastAsia="宋体" w:cs="宋体"/>
          <w:color w:val="auto"/>
          <w:spacing w:val="2"/>
          <w:sz w:val="20"/>
          <w:szCs w:val="20"/>
          <w:highlight w:val="none"/>
        </w:rPr>
        <w:t>年</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lang w:val="en-US" w:eastAsia="zh-CN"/>
        </w:rPr>
        <w:t>7</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31"/>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lang w:val="en-US" w:eastAsia="zh-CN"/>
        </w:rPr>
        <w:t>10</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56"/>
          <w:sz w:val="20"/>
          <w:szCs w:val="20"/>
          <w:highlight w:val="none"/>
        </w:rPr>
        <w:t xml:space="preserve"> </w:t>
      </w:r>
      <w:r>
        <w:rPr>
          <w:rFonts w:ascii="宋体" w:hAnsi="宋体" w:eastAsia="宋体" w:cs="宋体"/>
          <w:color w:val="auto"/>
          <w:spacing w:val="2"/>
          <w:sz w:val="20"/>
          <w:szCs w:val="20"/>
          <w:highlight w:val="none"/>
        </w:rPr>
        <w:t>日至</w:t>
      </w:r>
      <w:r>
        <w:rPr>
          <w:rFonts w:ascii="宋体" w:hAnsi="宋体" w:eastAsia="宋体" w:cs="宋体"/>
          <w:color w:val="auto"/>
          <w:spacing w:val="19"/>
          <w:sz w:val="20"/>
          <w:szCs w:val="20"/>
          <w:highlight w:val="none"/>
          <w:u w:val="single" w:color="auto"/>
        </w:rPr>
        <w:t xml:space="preserve"> </w:t>
      </w:r>
      <w:r>
        <w:rPr>
          <w:rFonts w:ascii="宋体" w:hAnsi="宋体" w:eastAsia="宋体" w:cs="宋体"/>
          <w:color w:val="auto"/>
          <w:spacing w:val="2"/>
          <w:sz w:val="20"/>
          <w:szCs w:val="20"/>
          <w:highlight w:val="none"/>
          <w:u w:val="single" w:color="auto"/>
        </w:rPr>
        <w:t>2025</w:t>
      </w:r>
      <w:r>
        <w:rPr>
          <w:rFonts w:ascii="宋体" w:hAnsi="宋体" w:eastAsia="宋体" w:cs="宋体"/>
          <w:color w:val="auto"/>
          <w:spacing w:val="16"/>
          <w:sz w:val="20"/>
          <w:szCs w:val="20"/>
          <w:highlight w:val="none"/>
          <w:u w:val="single" w:color="auto"/>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1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lang w:val="en-US" w:eastAsia="zh-CN"/>
        </w:rPr>
        <w:t>7</w:t>
      </w:r>
      <w:r>
        <w:rPr>
          <w:rFonts w:ascii="宋体" w:hAnsi="宋体" w:eastAsia="宋体" w:cs="宋体"/>
          <w:color w:val="auto"/>
          <w:spacing w:val="18"/>
          <w:sz w:val="20"/>
          <w:szCs w:val="20"/>
          <w:highlight w:val="none"/>
          <w:u w:val="single" w:color="auto"/>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18"/>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lang w:val="en-US" w:eastAsia="zh-CN"/>
        </w:rPr>
        <w:t>17</w:t>
      </w:r>
      <w:r>
        <w:rPr>
          <w:rFonts w:ascii="宋体" w:hAnsi="宋体" w:eastAsia="宋体" w:cs="宋体"/>
          <w:color w:val="auto"/>
          <w:spacing w:val="49"/>
          <w:sz w:val="20"/>
          <w:szCs w:val="20"/>
          <w:highlight w:val="none"/>
          <w:u w:val="single" w:color="auto"/>
        </w:rPr>
        <w:t xml:space="preserve"> </w:t>
      </w:r>
      <w:r>
        <w:rPr>
          <w:rFonts w:ascii="宋体" w:hAnsi="宋体" w:eastAsia="宋体" w:cs="宋体"/>
          <w:color w:val="auto"/>
          <w:spacing w:val="2"/>
          <w:sz w:val="20"/>
          <w:szCs w:val="20"/>
          <w:highlight w:val="none"/>
        </w:rPr>
        <w:t>日，每天上午09：00～12：00，下午</w:t>
      </w:r>
      <w:r>
        <w:rPr>
          <w:rFonts w:ascii="宋体" w:hAnsi="宋体" w:eastAsia="宋体" w:cs="宋体"/>
          <w:color w:val="auto"/>
          <w:spacing w:val="7"/>
          <w:sz w:val="20"/>
          <w:szCs w:val="20"/>
          <w:highlight w:val="none"/>
        </w:rPr>
        <w:t>15：00～17：30（北京时间，法定节假日除外）</w:t>
      </w:r>
    </w:p>
    <w:p w14:paraId="0F10D0DF">
      <w:pPr>
        <w:autoSpaceDE/>
        <w:autoSpaceDN/>
        <w:spacing w:before="33" w:line="380" w:lineRule="exact"/>
        <w:ind w:left="43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2.地点：广西政府采购云平台（</w:t>
      </w:r>
      <w:r>
        <w:rPr>
          <w:rFonts w:ascii="宋体" w:hAnsi="宋体" w:eastAsia="宋体" w:cs="宋体"/>
          <w:color w:val="auto"/>
          <w:sz w:val="20"/>
          <w:szCs w:val="20"/>
          <w:highlight w:val="none"/>
        </w:rPr>
        <w:t>https</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0"/>
          <w:sz w:val="20"/>
          <w:szCs w:val="20"/>
          <w:highlight w:val="none"/>
        </w:rPr>
        <w:t>/）</w:t>
      </w:r>
    </w:p>
    <w:p w14:paraId="5ACCCFFE">
      <w:pPr>
        <w:autoSpaceDE/>
        <w:autoSpaceDN/>
        <w:spacing w:before="42" w:line="380" w:lineRule="exact"/>
        <w:ind w:left="8"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3.方式：网上下载。本项目不发放纸质采购文件，供应商可自行在“广</w:t>
      </w:r>
      <w:r>
        <w:rPr>
          <w:rFonts w:ascii="宋体" w:hAnsi="宋体" w:eastAsia="宋体" w:cs="宋体"/>
          <w:color w:val="auto"/>
          <w:spacing w:val="8"/>
          <w:sz w:val="20"/>
          <w:szCs w:val="20"/>
          <w:highlight w:val="none"/>
        </w:rPr>
        <w:t>西政府采购云平台”</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https</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9"/>
          <w:sz w:val="20"/>
          <w:szCs w:val="20"/>
          <w:highlight w:val="none"/>
        </w:rPr>
        <w:t>）下载采购文件（操作路径：登录“广西政府采购云平</w:t>
      </w:r>
      <w:r>
        <w:rPr>
          <w:rFonts w:ascii="宋体" w:hAnsi="宋体" w:eastAsia="宋体" w:cs="宋体"/>
          <w:color w:val="auto"/>
          <w:spacing w:val="7"/>
          <w:sz w:val="20"/>
          <w:szCs w:val="20"/>
          <w:highlight w:val="none"/>
        </w:rPr>
        <w:t>台”-项目采购-获取采购文件-找到本项目-点击“</w:t>
      </w:r>
      <w:r>
        <w:rPr>
          <w:rFonts w:ascii="宋体" w:hAnsi="宋体" w:eastAsia="宋体" w:cs="宋体"/>
          <w:color w:val="auto"/>
          <w:spacing w:val="-65"/>
          <w:sz w:val="20"/>
          <w:szCs w:val="20"/>
          <w:highlight w:val="none"/>
        </w:rPr>
        <w:t xml:space="preserve"> </w:t>
      </w:r>
      <w:r>
        <w:rPr>
          <w:rFonts w:ascii="宋体" w:hAnsi="宋体" w:eastAsia="宋体" w:cs="宋体"/>
          <w:color w:val="auto"/>
          <w:spacing w:val="7"/>
          <w:sz w:val="20"/>
          <w:szCs w:val="20"/>
          <w:highlight w:val="none"/>
        </w:rPr>
        <w:t>申请获取采购文件”</w:t>
      </w:r>
      <w:r>
        <w:rPr>
          <w:rFonts w:ascii="宋体" w:hAnsi="宋体" w:eastAsia="宋体" w:cs="宋体"/>
          <w:color w:val="auto"/>
          <w:spacing w:val="13"/>
          <w:sz w:val="20"/>
          <w:szCs w:val="20"/>
          <w:highlight w:val="none"/>
        </w:rPr>
        <w:t>），</w:t>
      </w:r>
      <w:r>
        <w:rPr>
          <w:rFonts w:ascii="宋体" w:hAnsi="宋体" w:eastAsia="宋体" w:cs="宋体"/>
          <w:color w:val="auto"/>
          <w:spacing w:val="7"/>
          <w:sz w:val="20"/>
          <w:szCs w:val="20"/>
          <w:highlight w:val="none"/>
        </w:rPr>
        <w:t>电子响应文件制作</w:t>
      </w:r>
      <w:r>
        <w:rPr>
          <w:rFonts w:ascii="宋体" w:hAnsi="宋体" w:eastAsia="宋体" w:cs="宋体"/>
          <w:color w:val="auto"/>
          <w:spacing w:val="9"/>
          <w:sz w:val="20"/>
          <w:szCs w:val="20"/>
          <w:highlight w:val="none"/>
        </w:rPr>
        <w:t>需要基于“广西政府采购云平台”（</w:t>
      </w:r>
      <w:r>
        <w:rPr>
          <w:rFonts w:ascii="宋体" w:hAnsi="宋体" w:eastAsia="宋体" w:cs="宋体"/>
          <w:color w:val="auto"/>
          <w:sz w:val="20"/>
          <w:szCs w:val="20"/>
          <w:highlight w:val="none"/>
        </w:rPr>
        <w:t>https</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8"/>
          <w:sz w:val="20"/>
          <w:szCs w:val="20"/>
          <w:highlight w:val="none"/>
        </w:rPr>
        <w:t>）获取的采购文件编</w:t>
      </w:r>
      <w:r>
        <w:rPr>
          <w:rFonts w:ascii="宋体" w:hAnsi="宋体" w:eastAsia="宋体" w:cs="宋体"/>
          <w:color w:val="auto"/>
          <w:spacing w:val="10"/>
          <w:sz w:val="20"/>
          <w:szCs w:val="20"/>
          <w:highlight w:val="none"/>
        </w:rPr>
        <w:t>制，通过其他方式获取采购文件的，将有可能导致供应商无法在广西政府采购云平台编制及上</w:t>
      </w:r>
      <w:r>
        <w:rPr>
          <w:rFonts w:ascii="宋体" w:hAnsi="宋体" w:eastAsia="宋体" w:cs="宋体"/>
          <w:color w:val="auto"/>
          <w:spacing w:val="7"/>
          <w:sz w:val="20"/>
          <w:szCs w:val="20"/>
          <w:highlight w:val="none"/>
        </w:rPr>
        <w:t>传响应文件。</w:t>
      </w:r>
    </w:p>
    <w:p w14:paraId="56092826">
      <w:pPr>
        <w:autoSpaceDE/>
        <w:autoSpaceDN/>
        <w:spacing w:before="33" w:line="380" w:lineRule="exact"/>
        <w:ind w:left="42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4.售价：0元/本。</w:t>
      </w:r>
    </w:p>
    <w:p w14:paraId="2C9258A1">
      <w:pPr>
        <w:autoSpaceDE/>
        <w:autoSpaceDN/>
        <w:spacing w:before="95" w:line="380" w:lineRule="exact"/>
        <w:ind w:left="29"/>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四、响应文件提交</w:t>
      </w:r>
    </w:p>
    <w:p w14:paraId="61EEEC0F">
      <w:pPr>
        <w:autoSpaceDE/>
        <w:autoSpaceDN/>
        <w:spacing w:before="93" w:line="380" w:lineRule="exact"/>
        <w:ind w:left="44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1.首次响应文件提交截止时间（北京时间</w:t>
      </w:r>
      <w:r>
        <w:rPr>
          <w:rFonts w:ascii="宋体" w:hAnsi="宋体" w:eastAsia="宋体" w:cs="宋体"/>
          <w:color w:val="auto"/>
          <w:spacing w:val="9"/>
          <w:sz w:val="20"/>
          <w:szCs w:val="20"/>
          <w:highlight w:val="none"/>
        </w:rPr>
        <w:t>）：</w:t>
      </w:r>
      <w:r>
        <w:rPr>
          <w:rFonts w:ascii="宋体" w:hAnsi="宋体" w:eastAsia="宋体" w:cs="宋体"/>
          <w:color w:val="auto"/>
          <w:spacing w:val="6"/>
          <w:sz w:val="20"/>
          <w:szCs w:val="20"/>
          <w:highlight w:val="none"/>
          <w:u w:val="single" w:color="auto"/>
        </w:rPr>
        <w:t>202</w:t>
      </w:r>
      <w:r>
        <w:rPr>
          <w:rFonts w:ascii="宋体" w:hAnsi="宋体" w:eastAsia="宋体" w:cs="宋体"/>
          <w:color w:val="auto"/>
          <w:spacing w:val="5"/>
          <w:sz w:val="20"/>
          <w:szCs w:val="20"/>
          <w:highlight w:val="none"/>
          <w:u w:val="single" w:color="auto"/>
        </w:rPr>
        <w:t xml:space="preserve">5 </w:t>
      </w:r>
      <w:r>
        <w:rPr>
          <w:rFonts w:ascii="宋体" w:hAnsi="宋体" w:eastAsia="宋体" w:cs="宋体"/>
          <w:color w:val="auto"/>
          <w:spacing w:val="5"/>
          <w:sz w:val="20"/>
          <w:szCs w:val="20"/>
          <w:highlight w:val="none"/>
        </w:rPr>
        <w:t>年</w:t>
      </w:r>
      <w:r>
        <w:rPr>
          <w:rFonts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7</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月</w:t>
      </w:r>
      <w:r>
        <w:rPr>
          <w:rFonts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22</w:t>
      </w:r>
      <w:r>
        <w:rPr>
          <w:rFonts w:ascii="宋体" w:hAnsi="宋体" w:eastAsia="宋体" w:cs="宋体"/>
          <w:color w:val="auto"/>
          <w:spacing w:val="48"/>
          <w:sz w:val="20"/>
          <w:szCs w:val="20"/>
          <w:highlight w:val="none"/>
          <w:u w:val="single" w:color="auto"/>
        </w:rPr>
        <w:t xml:space="preserve"> </w:t>
      </w:r>
      <w:r>
        <w:rPr>
          <w:rFonts w:ascii="宋体" w:hAnsi="宋体" w:eastAsia="宋体" w:cs="宋体"/>
          <w:color w:val="auto"/>
          <w:spacing w:val="5"/>
          <w:sz w:val="20"/>
          <w:szCs w:val="20"/>
          <w:highlight w:val="none"/>
        </w:rPr>
        <w:t>日</w:t>
      </w:r>
      <w:r>
        <w:rPr>
          <w:rFonts w:ascii="宋体" w:hAnsi="宋体" w:eastAsia="宋体" w:cs="宋体"/>
          <w:color w:val="auto"/>
          <w:spacing w:val="29"/>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15</w:t>
      </w:r>
      <w:r>
        <w:rPr>
          <w:rFonts w:ascii="宋体" w:hAnsi="宋体" w:eastAsia="宋体" w:cs="宋体"/>
          <w:color w:val="auto"/>
          <w:spacing w:val="5"/>
          <w:sz w:val="20"/>
          <w:szCs w:val="20"/>
          <w:highlight w:val="none"/>
          <w:u w:val="single" w:color="auto"/>
        </w:rPr>
        <w:t>：</w:t>
      </w:r>
      <w:r>
        <w:rPr>
          <w:rFonts w:hint="eastAsia" w:ascii="宋体" w:hAnsi="宋体" w:eastAsia="宋体" w:cs="宋体"/>
          <w:color w:val="auto"/>
          <w:spacing w:val="5"/>
          <w:sz w:val="20"/>
          <w:szCs w:val="20"/>
          <w:highlight w:val="none"/>
          <w:u w:val="single" w:color="auto"/>
          <w:lang w:val="en-US" w:eastAsia="zh-CN"/>
        </w:rPr>
        <w:t>00</w:t>
      </w:r>
      <w:r>
        <w:rPr>
          <w:rFonts w:ascii="宋体" w:hAnsi="宋体" w:eastAsia="宋体" w:cs="宋体"/>
          <w:color w:val="auto"/>
          <w:spacing w:val="5"/>
          <w:sz w:val="20"/>
          <w:szCs w:val="20"/>
          <w:highlight w:val="none"/>
        </w:rPr>
        <w:t>（北京时间）</w:t>
      </w:r>
    </w:p>
    <w:p w14:paraId="1A3AF6BA">
      <w:pPr>
        <w:autoSpaceDE/>
        <w:autoSpaceDN/>
        <w:spacing w:before="91" w:line="380" w:lineRule="exact"/>
        <w:ind w:left="20" w:right="205" w:firstLine="412"/>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2.首次响应文件提交地点（网址</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rPr>
        <w:t>通过广西政府采购云平台</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https</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0"/>
          <w:sz w:val="20"/>
          <w:szCs w:val="20"/>
          <w:highlight w:val="none"/>
        </w:rPr>
        <w:t>/）在线递交响应文件</w:t>
      </w:r>
    </w:p>
    <w:p w14:paraId="58FCA887">
      <w:pPr>
        <w:autoSpaceDE/>
        <w:autoSpaceDN/>
        <w:spacing w:before="39" w:line="380" w:lineRule="exact"/>
        <w:ind w:left="13"/>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五、开启</w:t>
      </w:r>
    </w:p>
    <w:p w14:paraId="377F71C4">
      <w:pPr>
        <w:autoSpaceDE/>
        <w:autoSpaceDN/>
        <w:spacing w:before="92" w:line="380" w:lineRule="exact"/>
        <w:ind w:left="445"/>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1.时间：</w:t>
      </w:r>
      <w:r>
        <w:rPr>
          <w:rFonts w:ascii="宋体" w:hAnsi="宋体" w:eastAsia="宋体" w:cs="宋体"/>
          <w:color w:val="auto"/>
          <w:spacing w:val="1"/>
          <w:sz w:val="20"/>
          <w:szCs w:val="20"/>
          <w:highlight w:val="none"/>
          <w:u w:val="single" w:color="auto"/>
        </w:rPr>
        <w:t xml:space="preserve"> 2025 </w:t>
      </w:r>
      <w:r>
        <w:rPr>
          <w:rFonts w:ascii="宋体" w:hAnsi="宋体" w:eastAsia="宋体" w:cs="宋体"/>
          <w:color w:val="auto"/>
          <w:spacing w:val="1"/>
          <w:sz w:val="20"/>
          <w:szCs w:val="20"/>
          <w:highlight w:val="none"/>
        </w:rPr>
        <w:t>年</w:t>
      </w:r>
      <w:r>
        <w:rPr>
          <w:rFonts w:ascii="宋体" w:hAnsi="宋体" w:eastAsia="宋体" w:cs="宋体"/>
          <w:color w:val="auto"/>
          <w:spacing w:val="15"/>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lang w:val="en-US" w:eastAsia="zh-CN"/>
        </w:rPr>
        <w:t>7</w:t>
      </w:r>
      <w:r>
        <w:rPr>
          <w:rFonts w:ascii="宋体" w:hAnsi="宋体" w:eastAsia="宋体" w:cs="宋体"/>
          <w:color w:val="auto"/>
          <w:spacing w:val="18"/>
          <w:sz w:val="20"/>
          <w:szCs w:val="20"/>
          <w:highlight w:val="none"/>
          <w:u w:val="single" w:color="auto"/>
        </w:rPr>
        <w:t xml:space="preserve"> </w:t>
      </w:r>
      <w:r>
        <w:rPr>
          <w:rFonts w:ascii="宋体" w:hAnsi="宋体" w:eastAsia="宋体" w:cs="宋体"/>
          <w:color w:val="auto"/>
          <w:spacing w:val="1"/>
          <w:sz w:val="20"/>
          <w:szCs w:val="20"/>
          <w:highlight w:val="none"/>
        </w:rPr>
        <w:t>月</w:t>
      </w:r>
      <w:r>
        <w:rPr>
          <w:rFonts w:ascii="宋体" w:hAnsi="宋体" w:eastAsia="宋体" w:cs="宋体"/>
          <w:color w:val="auto"/>
          <w:spacing w:val="18"/>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lang w:val="en-US" w:eastAsia="zh-CN"/>
        </w:rPr>
        <w:t>22</w:t>
      </w:r>
      <w:r>
        <w:rPr>
          <w:rFonts w:ascii="宋体" w:hAnsi="宋体" w:eastAsia="宋体" w:cs="宋体"/>
          <w:color w:val="auto"/>
          <w:spacing w:val="49"/>
          <w:sz w:val="20"/>
          <w:szCs w:val="20"/>
          <w:highlight w:val="none"/>
          <w:u w:val="single" w:color="auto"/>
        </w:rPr>
        <w:t xml:space="preserve"> </w:t>
      </w:r>
      <w:r>
        <w:rPr>
          <w:rFonts w:ascii="宋体" w:hAnsi="宋体" w:eastAsia="宋体" w:cs="宋体"/>
          <w:color w:val="auto"/>
          <w:spacing w:val="1"/>
          <w:sz w:val="20"/>
          <w:szCs w:val="20"/>
          <w:highlight w:val="none"/>
        </w:rPr>
        <w:t>日</w:t>
      </w:r>
      <w:r>
        <w:rPr>
          <w:rFonts w:ascii="宋体" w:hAnsi="宋体" w:eastAsia="宋体" w:cs="宋体"/>
          <w:color w:val="auto"/>
          <w:spacing w:val="-57"/>
          <w:sz w:val="20"/>
          <w:szCs w:val="20"/>
          <w:highlight w:val="none"/>
        </w:rPr>
        <w:t xml:space="preserve"> </w:t>
      </w:r>
      <w:bookmarkStart w:id="450" w:name="_GoBack"/>
      <w:bookmarkEnd w:id="450"/>
      <w:r>
        <w:rPr>
          <w:rFonts w:ascii="宋体" w:hAnsi="宋体" w:eastAsia="宋体" w:cs="宋体"/>
          <w:color w:val="auto"/>
          <w:spacing w:val="3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lang w:val="en-US" w:eastAsia="zh-CN"/>
        </w:rPr>
        <w:t>15</w:t>
      </w:r>
      <w:r>
        <w:rPr>
          <w:rFonts w:ascii="宋体" w:hAnsi="宋体" w:eastAsia="宋体" w:cs="宋体"/>
          <w:color w:val="auto"/>
          <w:spacing w:val="1"/>
          <w:sz w:val="20"/>
          <w:szCs w:val="20"/>
          <w:highlight w:val="none"/>
          <w:u w:val="single" w:color="auto"/>
        </w:rPr>
        <w:t>：</w:t>
      </w:r>
      <w:r>
        <w:rPr>
          <w:rFonts w:hint="eastAsia" w:ascii="宋体" w:hAnsi="宋体" w:eastAsia="宋体" w:cs="宋体"/>
          <w:color w:val="auto"/>
          <w:spacing w:val="1"/>
          <w:sz w:val="20"/>
          <w:szCs w:val="20"/>
          <w:highlight w:val="none"/>
          <w:u w:val="single" w:color="auto"/>
          <w:lang w:val="en-US" w:eastAsia="zh-CN"/>
        </w:rPr>
        <w:t>00</w:t>
      </w:r>
      <w:r>
        <w:rPr>
          <w:rFonts w:ascii="宋体" w:hAnsi="宋体" w:eastAsia="宋体" w:cs="宋体"/>
          <w:color w:val="auto"/>
          <w:spacing w:val="1"/>
          <w:sz w:val="20"/>
          <w:szCs w:val="20"/>
          <w:highlight w:val="none"/>
        </w:rPr>
        <w:t>（北京时间）</w:t>
      </w:r>
    </w:p>
    <w:p w14:paraId="63145390">
      <w:pPr>
        <w:autoSpaceDE/>
        <w:autoSpaceDN/>
        <w:spacing w:before="93" w:line="380" w:lineRule="exact"/>
        <w:ind w:left="12" w:right="205"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2.地点：</w:t>
      </w:r>
      <w:r>
        <w:rPr>
          <w:rFonts w:ascii="宋体" w:hAnsi="宋体" w:eastAsia="宋体" w:cs="宋体"/>
          <w:color w:val="auto"/>
          <w:spacing w:val="10"/>
          <w:sz w:val="20"/>
          <w:szCs w:val="20"/>
          <w:highlight w:val="none"/>
          <w:u w:val="single" w:color="auto"/>
        </w:rPr>
        <w:t>通过广西政府采购云平台远程开标大厅在线解密</w:t>
      </w:r>
      <w:r>
        <w:rPr>
          <w:rFonts w:ascii="宋体" w:hAnsi="宋体" w:eastAsia="宋体" w:cs="宋体"/>
          <w:color w:val="auto"/>
          <w:spacing w:val="9"/>
          <w:sz w:val="20"/>
          <w:szCs w:val="20"/>
          <w:highlight w:val="none"/>
          <w:u w:val="single" w:color="auto"/>
        </w:rPr>
        <w:t>开启响应文件【</w:t>
      </w:r>
      <w:r>
        <w:rPr>
          <w:rFonts w:hint="eastAsia" w:ascii="宋体" w:hAnsi="宋体" w:eastAsia="宋体" w:cs="宋体"/>
          <w:color w:val="auto"/>
          <w:spacing w:val="9"/>
          <w:sz w:val="20"/>
          <w:szCs w:val="20"/>
          <w:highlight w:val="none"/>
          <w:u w:val="single" w:color="auto"/>
          <w:lang w:eastAsia="zh-CN"/>
        </w:rPr>
        <w:t>主会场</w:t>
      </w:r>
      <w:r>
        <w:rPr>
          <w:rFonts w:hint="eastAsia" w:ascii="宋体" w:hAnsi="宋体" w:eastAsia="宋体" w:cs="宋体"/>
          <w:color w:val="auto"/>
          <w:spacing w:val="9"/>
          <w:sz w:val="20"/>
          <w:szCs w:val="20"/>
          <w:highlight w:val="none"/>
          <w:u w:val="single" w:color="auto"/>
        </w:rPr>
        <w:t>崇左市公共资源交易中心(崇左市城南新区石景林路政务服务中心综合楼五楼评审室)</w:t>
      </w:r>
      <w:r>
        <w:rPr>
          <w:rFonts w:hint="eastAsia" w:ascii="宋体" w:hAnsi="宋体" w:eastAsia="宋体" w:cs="宋体"/>
          <w:color w:val="auto"/>
          <w:spacing w:val="9"/>
          <w:sz w:val="20"/>
          <w:szCs w:val="20"/>
          <w:highlight w:val="none"/>
          <w:u w:val="single" w:color="auto"/>
          <w:lang w:eastAsia="zh-CN"/>
        </w:rPr>
        <w:t>，分会场海之特工程管理有限公司玉林分公司（广西玉林市玉东新区文体路8号皇庭世家小区46-3号）</w:t>
      </w:r>
      <w:r>
        <w:rPr>
          <w:rFonts w:ascii="宋体" w:hAnsi="宋体" w:eastAsia="宋体" w:cs="宋体"/>
          <w:color w:val="auto"/>
          <w:spacing w:val="8"/>
          <w:sz w:val="20"/>
          <w:szCs w:val="20"/>
          <w:highlight w:val="none"/>
          <w:u w:val="single" w:color="auto"/>
        </w:rPr>
        <w:t>】</w:t>
      </w:r>
    </w:p>
    <w:p w14:paraId="5FEAFCE7">
      <w:pPr>
        <w:autoSpaceDE/>
        <w:autoSpaceDN/>
        <w:spacing w:before="33" w:line="380" w:lineRule="exact"/>
        <w:ind w:left="11"/>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六、公告期限</w:t>
      </w:r>
    </w:p>
    <w:p w14:paraId="3FA1ED5F">
      <w:pPr>
        <w:autoSpaceDE/>
        <w:autoSpaceDN/>
        <w:spacing w:before="93" w:line="380" w:lineRule="exact"/>
        <w:ind w:left="46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自本公告发布之日起5个工作日。</w:t>
      </w:r>
    </w:p>
    <w:p w14:paraId="0DB77125">
      <w:pPr>
        <w:autoSpaceDE/>
        <w:autoSpaceDN/>
        <w:spacing w:before="96" w:line="380" w:lineRule="exact"/>
        <w:ind w:left="9"/>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七、其他补充事宜</w:t>
      </w:r>
    </w:p>
    <w:p w14:paraId="02239B34">
      <w:pPr>
        <w:autoSpaceDE/>
        <w:autoSpaceDN/>
        <w:spacing w:before="94" w:line="380" w:lineRule="exact"/>
        <w:ind w:left="44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w:t>
      </w:r>
      <w:r>
        <w:rPr>
          <w:rFonts w:hint="eastAsia" w:ascii="宋体" w:hAnsi="宋体" w:eastAsia="宋体" w:cs="宋体"/>
          <w:color w:val="auto"/>
          <w:spacing w:val="7"/>
          <w:sz w:val="20"/>
          <w:szCs w:val="20"/>
          <w:highlight w:val="none"/>
          <w:lang w:eastAsia="zh-CN"/>
        </w:rPr>
        <w:t>磋商</w:t>
      </w:r>
      <w:r>
        <w:rPr>
          <w:rFonts w:ascii="宋体" w:hAnsi="宋体" w:eastAsia="宋体" w:cs="宋体"/>
          <w:color w:val="auto"/>
          <w:spacing w:val="7"/>
          <w:sz w:val="20"/>
          <w:szCs w:val="20"/>
          <w:highlight w:val="none"/>
        </w:rPr>
        <w:t>保证金：本项目不收取</w:t>
      </w:r>
      <w:r>
        <w:rPr>
          <w:rFonts w:hint="eastAsia" w:ascii="宋体" w:hAnsi="宋体" w:eastAsia="宋体" w:cs="宋体"/>
          <w:color w:val="auto"/>
          <w:spacing w:val="7"/>
          <w:sz w:val="20"/>
          <w:szCs w:val="20"/>
          <w:highlight w:val="none"/>
          <w:lang w:eastAsia="zh-CN"/>
        </w:rPr>
        <w:t>磋商</w:t>
      </w:r>
      <w:r>
        <w:rPr>
          <w:rFonts w:ascii="宋体" w:hAnsi="宋体" w:eastAsia="宋体" w:cs="宋体"/>
          <w:color w:val="auto"/>
          <w:spacing w:val="7"/>
          <w:sz w:val="20"/>
          <w:szCs w:val="20"/>
          <w:highlight w:val="none"/>
        </w:rPr>
        <w:t>保证金。</w:t>
      </w:r>
    </w:p>
    <w:p w14:paraId="0383765F">
      <w:pPr>
        <w:autoSpaceDE/>
        <w:autoSpaceDN/>
        <w:spacing w:before="95" w:line="380" w:lineRule="exact"/>
        <w:ind w:left="9" w:right="205" w:firstLine="423"/>
        <w:rPr>
          <w:rFonts w:hint="default" w:ascii="宋体" w:hAnsi="宋体" w:eastAsia="宋体" w:cs="宋体"/>
          <w:color w:val="auto"/>
          <w:spacing w:val="11"/>
          <w:sz w:val="20"/>
          <w:szCs w:val="20"/>
          <w:highlight w:val="none"/>
          <w:lang w:val="en-US" w:eastAsia="zh-CN"/>
        </w:rPr>
      </w:pPr>
      <w:r>
        <w:rPr>
          <w:rFonts w:hint="eastAsia" w:ascii="宋体" w:hAnsi="宋体" w:eastAsia="宋体" w:cs="宋体"/>
          <w:color w:val="auto"/>
          <w:spacing w:val="11"/>
          <w:sz w:val="20"/>
          <w:szCs w:val="20"/>
          <w:highlight w:val="none"/>
          <w:lang w:val="en-US" w:eastAsia="zh-CN"/>
        </w:rPr>
        <w:t>2.采购意向公开链接：https://zfcg.gxzf.gov.cn/luban/detail?parentId=66601&amp;articleId=ann_af5wuIEHEzS/jk4AOz5ejND5ndTMr3NGt5TILBJnhQo=&amp;utm=web-micro-app-back-front.1a39cde4.cPlanInfo.3.3da00a604c3d11f0b5b45177a24545cc</w:t>
      </w:r>
    </w:p>
    <w:p w14:paraId="3E0E50B0">
      <w:pPr>
        <w:autoSpaceDE/>
        <w:autoSpaceDN/>
        <w:spacing w:before="95" w:line="380" w:lineRule="exact"/>
        <w:ind w:left="9" w:right="205" w:firstLine="423"/>
        <w:rPr>
          <w:rFonts w:ascii="宋体" w:hAnsi="宋体" w:eastAsia="宋体" w:cs="宋体"/>
          <w:color w:val="auto"/>
          <w:sz w:val="20"/>
          <w:szCs w:val="20"/>
          <w:highlight w:val="none"/>
        </w:rPr>
      </w:pPr>
      <w:r>
        <w:rPr>
          <w:rFonts w:hint="eastAsia" w:ascii="宋体" w:hAnsi="宋体" w:eastAsia="宋体" w:cs="宋体"/>
          <w:color w:val="auto"/>
          <w:spacing w:val="11"/>
          <w:sz w:val="20"/>
          <w:szCs w:val="20"/>
          <w:highlight w:val="none"/>
          <w:lang w:val="en-US" w:eastAsia="zh-CN"/>
        </w:rPr>
        <w:t>3</w:t>
      </w:r>
      <w:r>
        <w:rPr>
          <w:rFonts w:ascii="宋体" w:hAnsi="宋体" w:eastAsia="宋体" w:cs="宋体"/>
          <w:color w:val="auto"/>
          <w:spacing w:val="11"/>
          <w:sz w:val="20"/>
          <w:szCs w:val="20"/>
          <w:highlight w:val="none"/>
        </w:rPr>
        <w:t>.网上公告媒体查询：中国政府采购网（</w:t>
      </w:r>
      <w:r>
        <w:rPr>
          <w:rFonts w:ascii="宋体" w:hAnsi="宋体" w:eastAsia="宋体" w:cs="宋体"/>
          <w:color w:val="auto"/>
          <w:sz w:val="20"/>
          <w:szCs w:val="20"/>
          <w:highlight w:val="none"/>
        </w:rPr>
        <w:t>http</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1"/>
          <w:sz w:val="20"/>
          <w:szCs w:val="20"/>
          <w:highlight w:val="none"/>
        </w:rPr>
        <w:t>）、广西壮族自治区政</w:t>
      </w:r>
      <w:r>
        <w:rPr>
          <w:rFonts w:ascii="宋体" w:hAnsi="宋体" w:eastAsia="宋体" w:cs="宋体"/>
          <w:color w:val="auto"/>
          <w:spacing w:val="12"/>
          <w:sz w:val="20"/>
          <w:szCs w:val="20"/>
          <w:highlight w:val="none"/>
        </w:rPr>
        <w:t>府采购网（</w:t>
      </w:r>
      <w:r>
        <w:rPr>
          <w:rFonts w:ascii="宋体" w:hAnsi="宋体" w:eastAsia="宋体" w:cs="宋体"/>
          <w:color w:val="auto"/>
          <w:sz w:val="20"/>
          <w:szCs w:val="20"/>
          <w:highlight w:val="none"/>
        </w:rPr>
        <w:t>http</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2"/>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2"/>
          <w:sz w:val="20"/>
          <w:szCs w:val="20"/>
          <w:highlight w:val="none"/>
        </w:rPr>
        <w:t>）</w:t>
      </w:r>
      <w:r>
        <w:rPr>
          <w:rFonts w:hint="eastAsia" w:ascii="宋体" w:hAnsi="宋体" w:eastAsia="宋体" w:cs="宋体"/>
          <w:color w:val="auto"/>
          <w:spacing w:val="12"/>
          <w:sz w:val="20"/>
          <w:szCs w:val="20"/>
          <w:highlight w:val="none"/>
          <w:lang w:eastAsia="zh-CN"/>
        </w:rPr>
        <w:t>、全国公共资源交易平台（广西.崇左）（http://ggzy.jgswj.gxzf.gov.cn/czggzy）</w:t>
      </w:r>
      <w:r>
        <w:rPr>
          <w:rFonts w:ascii="宋体" w:hAnsi="宋体" w:eastAsia="宋体" w:cs="宋体"/>
          <w:color w:val="auto"/>
          <w:spacing w:val="12"/>
          <w:sz w:val="20"/>
          <w:szCs w:val="20"/>
          <w:highlight w:val="none"/>
        </w:rPr>
        <w:t>。</w:t>
      </w:r>
    </w:p>
    <w:p w14:paraId="335F30C5">
      <w:pPr>
        <w:autoSpaceDE/>
        <w:autoSpaceDN/>
        <w:spacing w:before="38" w:line="380" w:lineRule="exact"/>
        <w:ind w:left="434"/>
        <w:rPr>
          <w:rFonts w:ascii="宋体" w:hAnsi="宋体" w:eastAsia="宋体" w:cs="宋体"/>
          <w:color w:val="auto"/>
          <w:sz w:val="20"/>
          <w:szCs w:val="20"/>
          <w:highlight w:val="none"/>
        </w:rPr>
      </w:pPr>
      <w:r>
        <w:rPr>
          <w:rFonts w:hint="eastAsia" w:ascii="宋体" w:hAnsi="宋体" w:eastAsia="宋体" w:cs="宋体"/>
          <w:color w:val="auto"/>
          <w:spacing w:val="8"/>
          <w:sz w:val="20"/>
          <w:szCs w:val="20"/>
          <w:highlight w:val="none"/>
          <w:lang w:val="en-US" w:eastAsia="zh-CN"/>
        </w:rPr>
        <w:t>4</w:t>
      </w:r>
      <w:r>
        <w:rPr>
          <w:rFonts w:ascii="宋体" w:hAnsi="宋体" w:eastAsia="宋体" w:cs="宋体"/>
          <w:color w:val="auto"/>
          <w:spacing w:val="8"/>
          <w:sz w:val="20"/>
          <w:szCs w:val="20"/>
          <w:highlight w:val="none"/>
        </w:rPr>
        <w:t>.本项目需要落实的政府采购政策</w:t>
      </w:r>
    </w:p>
    <w:p w14:paraId="12A047B3">
      <w:pPr>
        <w:autoSpaceDE/>
        <w:autoSpaceDN/>
        <w:spacing w:before="95" w:line="380" w:lineRule="exact"/>
        <w:ind w:left="44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（1）《政府采购促进中小企业发展暂行办法》（财库[2020]46号）。</w:t>
      </w:r>
    </w:p>
    <w:p w14:paraId="447F6364">
      <w:pPr>
        <w:autoSpaceDE/>
        <w:autoSpaceDN/>
        <w:spacing w:before="92" w:line="380" w:lineRule="exact"/>
        <w:ind w:left="44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（2）《关于我区政府采购支持监狱企业发展有关问题的通知》（桂财</w:t>
      </w:r>
      <w:r>
        <w:rPr>
          <w:rFonts w:ascii="宋体" w:hAnsi="宋体" w:eastAsia="宋体" w:cs="宋体"/>
          <w:color w:val="auto"/>
          <w:spacing w:val="7"/>
          <w:sz w:val="20"/>
          <w:szCs w:val="20"/>
          <w:highlight w:val="none"/>
        </w:rPr>
        <w:t>采[2015]24号）。</w:t>
      </w:r>
    </w:p>
    <w:p w14:paraId="0F26485D">
      <w:pPr>
        <w:autoSpaceDE/>
        <w:autoSpaceDN/>
        <w:spacing w:before="94" w:line="380" w:lineRule="exact"/>
        <w:ind w:left="214" w:leftChars="102" w:right="205" w:firstLine="194" w:firstLineChars="97"/>
        <w:rPr>
          <w:rFonts w:ascii="宋体" w:hAnsi="宋体" w:eastAsia="宋体" w:cs="宋体"/>
          <w:color w:val="auto"/>
          <w:spacing w:val="-1"/>
          <w:sz w:val="20"/>
          <w:szCs w:val="20"/>
          <w:highlight w:val="none"/>
        </w:rPr>
      </w:pPr>
      <w:r>
        <w:rPr>
          <w:rFonts w:ascii="宋体" w:hAnsi="宋体" w:eastAsia="宋体" w:cs="宋体"/>
          <w:color w:val="auto"/>
          <w:sz w:val="20"/>
          <w:szCs w:val="20"/>
          <w:highlight w:val="none"/>
        </w:rPr>
        <w:t>（3）《三部门联合发布关于促进残疾人就业政府采购政策的通</w:t>
      </w:r>
      <w:r>
        <w:rPr>
          <w:rFonts w:ascii="宋体" w:hAnsi="宋体" w:eastAsia="宋体" w:cs="宋体"/>
          <w:color w:val="auto"/>
          <w:spacing w:val="-1"/>
          <w:sz w:val="20"/>
          <w:szCs w:val="20"/>
          <w:highlight w:val="none"/>
        </w:rPr>
        <w:t>知》（财库〔2017〕141号）</w:t>
      </w:r>
    </w:p>
    <w:p w14:paraId="38EA2244">
      <w:pPr>
        <w:autoSpaceDE/>
        <w:autoSpaceDN/>
        <w:spacing w:before="94" w:line="380" w:lineRule="exact"/>
        <w:ind w:left="214" w:leftChars="102" w:right="205" w:firstLine="209" w:firstLineChars="97"/>
        <w:rPr>
          <w:rFonts w:hint="default" w:ascii="宋体" w:hAnsi="宋体" w:eastAsia="宋体" w:cs="宋体"/>
          <w:color w:val="auto"/>
          <w:spacing w:val="8"/>
          <w:sz w:val="20"/>
          <w:szCs w:val="20"/>
          <w:highlight w:val="none"/>
          <w:lang w:val="en-US"/>
        </w:rPr>
      </w:pPr>
      <w:r>
        <w:rPr>
          <w:rFonts w:hint="eastAsia" w:ascii="宋体" w:hAnsi="宋体" w:eastAsia="宋体" w:cs="宋体"/>
          <w:color w:val="auto"/>
          <w:spacing w:val="8"/>
          <w:sz w:val="20"/>
          <w:szCs w:val="20"/>
          <w:highlight w:val="none"/>
          <w:lang w:val="en-US" w:eastAsia="zh-CN"/>
        </w:rPr>
        <w:t>5</w:t>
      </w:r>
      <w:r>
        <w:rPr>
          <w:rFonts w:hint="default" w:ascii="宋体" w:hAnsi="宋体" w:eastAsia="宋体" w:cs="宋体"/>
          <w:color w:val="auto"/>
          <w:spacing w:val="8"/>
          <w:sz w:val="20"/>
          <w:szCs w:val="20"/>
          <w:highlight w:val="none"/>
          <w:lang w:val="en-US"/>
        </w:rPr>
        <w:t>.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4E4101D6">
      <w:pPr>
        <w:autoSpaceDE/>
        <w:autoSpaceDN/>
        <w:spacing w:before="32" w:line="380" w:lineRule="exact"/>
        <w:ind w:left="434"/>
        <w:rPr>
          <w:rFonts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lang w:val="en-US" w:eastAsia="zh-CN"/>
        </w:rPr>
        <w:t>6</w:t>
      </w:r>
      <w:r>
        <w:rPr>
          <w:rFonts w:ascii="宋体" w:hAnsi="宋体" w:eastAsia="宋体" w:cs="宋体"/>
          <w:color w:val="auto"/>
          <w:spacing w:val="7"/>
          <w:sz w:val="20"/>
          <w:szCs w:val="20"/>
          <w:highlight w:val="none"/>
        </w:rPr>
        <w:t>.在线竞标的有关说明：</w:t>
      </w:r>
    </w:p>
    <w:p w14:paraId="5AC81A75">
      <w:pPr>
        <w:autoSpaceDE/>
        <w:autoSpaceDN/>
        <w:spacing w:before="89" w:line="380" w:lineRule="exact"/>
        <w:ind w:right="205" w:firstLine="440"/>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（1）响应文件提交方式：本项目为全流程电子化项目，通过广西政府采购云平台</w:t>
      </w:r>
      <w:r>
        <w:rPr>
          <w:rFonts w:ascii="宋体" w:hAnsi="宋体" w:eastAsia="宋体" w:cs="宋体"/>
          <w:color w:val="auto"/>
          <w:spacing w:val="9"/>
          <w:sz w:val="20"/>
          <w:szCs w:val="20"/>
          <w:highlight w:val="none"/>
        </w:rPr>
        <w:t>（</w:t>
      </w:r>
      <w:r>
        <w:rPr>
          <w:color w:val="auto"/>
          <w:highlight w:val="none"/>
        </w:rPr>
        <w:fldChar w:fldCharType="begin"/>
      </w:r>
      <w:r>
        <w:rPr>
          <w:color w:val="auto"/>
          <w:highlight w:val="none"/>
        </w:rPr>
        <w:instrText xml:space="preserve"> HYPERLINK "https://www.gcy.zfcg.gxzf.gov.cn/" </w:instrText>
      </w:r>
      <w:r>
        <w:rPr>
          <w:color w:val="auto"/>
          <w:highlight w:val="none"/>
        </w:rPr>
        <w:fldChar w:fldCharType="separate"/>
      </w:r>
      <w:r>
        <w:rPr>
          <w:rFonts w:ascii="宋体" w:hAnsi="宋体" w:eastAsia="宋体" w:cs="宋体"/>
          <w:color w:val="auto"/>
          <w:sz w:val="20"/>
          <w:szCs w:val="20"/>
          <w:highlight w:val="none"/>
        </w:rPr>
        <w:t>https</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9"/>
          <w:sz w:val="20"/>
          <w:szCs w:val="20"/>
          <w:highlight w:val="none"/>
        </w:rPr>
        <w:t>/</w:t>
      </w:r>
      <w:r>
        <w:rPr>
          <w:rFonts w:ascii="宋体" w:hAnsi="宋体" w:eastAsia="宋体" w:cs="宋体"/>
          <w:color w:val="auto"/>
          <w:spacing w:val="9"/>
          <w:sz w:val="20"/>
          <w:szCs w:val="20"/>
          <w:highlight w:val="none"/>
        </w:rPr>
        <w:fldChar w:fldCharType="end"/>
      </w:r>
      <w:r>
        <w:rPr>
          <w:rFonts w:ascii="宋体" w:hAnsi="宋体" w:eastAsia="宋体" w:cs="宋体"/>
          <w:color w:val="auto"/>
          <w:spacing w:val="9"/>
          <w:sz w:val="20"/>
          <w:szCs w:val="20"/>
          <w:highlight w:val="none"/>
        </w:rPr>
        <w:t>）实行在线电子响应，供应商应先安装广西政府采购云</w:t>
      </w:r>
      <w:r>
        <w:rPr>
          <w:rFonts w:ascii="宋体" w:hAnsi="宋体" w:eastAsia="宋体" w:cs="宋体"/>
          <w:color w:val="auto"/>
          <w:spacing w:val="-1"/>
          <w:sz w:val="20"/>
          <w:szCs w:val="20"/>
          <w:highlight w:val="none"/>
        </w:rPr>
        <w:t>平台新版客户端（新版客户端下载路径：广西政府采购网（访问地址http</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0"/>
          <w:sz w:val="20"/>
          <w:szCs w:val="20"/>
          <w:highlight w:val="none"/>
        </w:rPr>
        <w:t>/）—办事服务—下载专区</w:t>
      </w:r>
      <w:r>
        <w:rPr>
          <w:rFonts w:ascii="宋体" w:hAnsi="宋体" w:eastAsia="宋体" w:cs="宋体"/>
          <w:color w:val="auto"/>
          <w:spacing w:val="-14"/>
          <w:sz w:val="20"/>
          <w:szCs w:val="20"/>
          <w:highlight w:val="none"/>
        </w:rPr>
        <w:t>），</w:t>
      </w:r>
      <w:r>
        <w:rPr>
          <w:rFonts w:ascii="宋体" w:hAnsi="宋体" w:eastAsia="宋体" w:cs="宋体"/>
          <w:color w:val="auto"/>
          <w:spacing w:val="10"/>
          <w:sz w:val="20"/>
          <w:szCs w:val="20"/>
          <w:highlight w:val="none"/>
        </w:rPr>
        <w:t>并按照本项</w:t>
      </w:r>
      <w:r>
        <w:rPr>
          <w:rFonts w:ascii="宋体" w:hAnsi="宋体" w:eastAsia="宋体" w:cs="宋体"/>
          <w:color w:val="auto"/>
          <w:spacing w:val="9"/>
          <w:sz w:val="20"/>
          <w:szCs w:val="20"/>
          <w:highlight w:val="none"/>
        </w:rPr>
        <w:t>目采购文件和广西政府采购云平台的要求编制、加密后在投标截止时间前通过网络上传至“广西政府采购云平台</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w:t>
      </w:r>
      <w:r>
        <w:rPr>
          <w:rFonts w:ascii="宋体" w:hAnsi="宋体" w:eastAsia="宋体" w:cs="宋体"/>
          <w:b/>
          <w:bCs/>
          <w:color w:val="auto"/>
          <w:spacing w:val="9"/>
          <w:sz w:val="20"/>
          <w:szCs w:val="20"/>
          <w:highlight w:val="none"/>
        </w:rPr>
        <w:t>供应商在</w:t>
      </w:r>
      <w:r>
        <w:rPr>
          <w:rFonts w:ascii="宋体" w:hAnsi="宋体" w:eastAsia="宋体" w:cs="宋体"/>
          <w:b/>
          <w:bCs/>
          <w:color w:val="auto"/>
          <w:spacing w:val="7"/>
          <w:sz w:val="20"/>
          <w:szCs w:val="20"/>
          <w:highlight w:val="none"/>
        </w:rPr>
        <w:t>“广西政府采购云平台”提交电子版响应文件时，请填写参加远程采购活动经办人联系方式。</w:t>
      </w:r>
    </w:p>
    <w:p w14:paraId="023ABBB6">
      <w:pPr>
        <w:autoSpaceDE/>
        <w:autoSpaceDN/>
        <w:spacing w:before="31" w:line="380" w:lineRule="exact"/>
        <w:ind w:left="10" w:right="205" w:firstLine="42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（2）未进行网上注册并办理数字证书（</w:t>
      </w:r>
      <w:r>
        <w:rPr>
          <w:rFonts w:ascii="宋体" w:hAnsi="宋体" w:eastAsia="宋体" w:cs="宋体"/>
          <w:color w:val="auto"/>
          <w:sz w:val="20"/>
          <w:szCs w:val="20"/>
          <w:highlight w:val="none"/>
        </w:rPr>
        <w:t>CA</w:t>
      </w:r>
      <w:r>
        <w:rPr>
          <w:rFonts w:ascii="宋体" w:hAnsi="宋体" w:eastAsia="宋体" w:cs="宋体"/>
          <w:color w:val="auto"/>
          <w:spacing w:val="10"/>
          <w:sz w:val="20"/>
          <w:szCs w:val="20"/>
          <w:highlight w:val="none"/>
        </w:rPr>
        <w:t>认证）的供应商将无法参与本</w:t>
      </w:r>
      <w:r>
        <w:rPr>
          <w:rFonts w:ascii="宋体" w:hAnsi="宋体" w:eastAsia="宋体" w:cs="宋体"/>
          <w:color w:val="auto"/>
          <w:spacing w:val="9"/>
          <w:sz w:val="20"/>
          <w:szCs w:val="20"/>
          <w:highlight w:val="none"/>
        </w:rPr>
        <w:t>项目政府采购活动，潜在供应商应当在投标截止时间前，完成电子交易</w:t>
      </w:r>
      <w:r>
        <w:rPr>
          <w:rFonts w:ascii="宋体" w:hAnsi="宋体" w:eastAsia="宋体" w:cs="宋体"/>
          <w:color w:val="auto"/>
          <w:spacing w:val="8"/>
          <w:sz w:val="20"/>
          <w:szCs w:val="20"/>
          <w:highlight w:val="none"/>
        </w:rPr>
        <w:t>平台上的</w:t>
      </w:r>
      <w:r>
        <w:rPr>
          <w:rFonts w:ascii="宋体" w:hAnsi="宋体" w:eastAsia="宋体" w:cs="宋体"/>
          <w:color w:val="auto"/>
          <w:sz w:val="20"/>
          <w:szCs w:val="20"/>
          <w:highlight w:val="none"/>
        </w:rPr>
        <w:t>CA</w:t>
      </w:r>
      <w:r>
        <w:rPr>
          <w:rFonts w:ascii="宋体" w:hAnsi="宋体" w:eastAsia="宋体" w:cs="宋体"/>
          <w:color w:val="auto"/>
          <w:spacing w:val="8"/>
          <w:sz w:val="20"/>
          <w:szCs w:val="20"/>
          <w:highlight w:val="none"/>
        </w:rPr>
        <w:t>数字证书办理及响应文件的</w:t>
      </w:r>
      <w:r>
        <w:rPr>
          <w:rFonts w:ascii="宋体" w:hAnsi="宋体" w:eastAsia="宋体" w:cs="宋体"/>
          <w:color w:val="auto"/>
          <w:spacing w:val="7"/>
          <w:sz w:val="20"/>
          <w:szCs w:val="20"/>
          <w:highlight w:val="none"/>
        </w:rPr>
        <w:t>提交。完成</w:t>
      </w:r>
      <w:r>
        <w:rPr>
          <w:rFonts w:ascii="宋体" w:hAnsi="宋体" w:eastAsia="宋体" w:cs="宋体"/>
          <w:color w:val="auto"/>
          <w:sz w:val="20"/>
          <w:szCs w:val="20"/>
          <w:highlight w:val="none"/>
        </w:rPr>
        <w:t>CA</w:t>
      </w:r>
      <w:r>
        <w:rPr>
          <w:rFonts w:ascii="宋体" w:hAnsi="宋体" w:eastAsia="宋体" w:cs="宋体"/>
          <w:color w:val="auto"/>
          <w:spacing w:val="7"/>
          <w:sz w:val="20"/>
          <w:szCs w:val="20"/>
          <w:highlight w:val="none"/>
        </w:rPr>
        <w:t>数字证书办理预计7日左右，供应商只需办理其中一家</w:t>
      </w:r>
      <w:r>
        <w:rPr>
          <w:rFonts w:ascii="宋体" w:hAnsi="宋体" w:eastAsia="宋体" w:cs="宋体"/>
          <w:color w:val="auto"/>
          <w:sz w:val="20"/>
          <w:szCs w:val="20"/>
          <w:highlight w:val="none"/>
        </w:rPr>
        <w:t>CA</w:t>
      </w:r>
      <w:r>
        <w:rPr>
          <w:rFonts w:ascii="宋体" w:hAnsi="宋体" w:eastAsia="宋体" w:cs="宋体"/>
          <w:color w:val="auto"/>
          <w:spacing w:val="7"/>
          <w:sz w:val="20"/>
          <w:szCs w:val="20"/>
          <w:highlight w:val="none"/>
        </w:rPr>
        <w:t>数字证书及签章。</w:t>
      </w:r>
    </w:p>
    <w:p w14:paraId="5D2A61E3">
      <w:pPr>
        <w:autoSpaceDE/>
        <w:autoSpaceDN/>
        <w:spacing w:before="95" w:line="380" w:lineRule="exact"/>
        <w:ind w:left="13" w:right="205" w:firstLine="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（3）为确保网上操作合法、有效和安全，请供应商确保在电子响应过程中能够对相关数据</w:t>
      </w:r>
      <w:r>
        <w:rPr>
          <w:rFonts w:ascii="宋体" w:hAnsi="宋体" w:eastAsia="宋体" w:cs="宋体"/>
          <w:color w:val="auto"/>
          <w:spacing w:val="11"/>
          <w:sz w:val="20"/>
          <w:szCs w:val="20"/>
          <w:highlight w:val="none"/>
        </w:rPr>
        <w:t>电文进行加密和使用电子签章，妥善保管</w:t>
      </w:r>
      <w:r>
        <w:rPr>
          <w:rFonts w:ascii="宋体" w:hAnsi="宋体" w:eastAsia="宋体" w:cs="宋体"/>
          <w:color w:val="auto"/>
          <w:sz w:val="20"/>
          <w:szCs w:val="20"/>
          <w:highlight w:val="none"/>
        </w:rPr>
        <w:t>CA</w:t>
      </w:r>
      <w:r>
        <w:rPr>
          <w:rFonts w:ascii="宋体" w:hAnsi="宋体" w:eastAsia="宋体" w:cs="宋体"/>
          <w:color w:val="auto"/>
          <w:spacing w:val="11"/>
          <w:sz w:val="20"/>
          <w:szCs w:val="20"/>
          <w:highlight w:val="none"/>
        </w:rPr>
        <w:t>数字证书并使用有效的</w:t>
      </w:r>
      <w:r>
        <w:rPr>
          <w:rFonts w:ascii="宋体" w:hAnsi="宋体" w:eastAsia="宋体" w:cs="宋体"/>
          <w:color w:val="auto"/>
          <w:sz w:val="20"/>
          <w:szCs w:val="20"/>
          <w:highlight w:val="none"/>
        </w:rPr>
        <w:t>CA</w:t>
      </w:r>
      <w:r>
        <w:rPr>
          <w:rFonts w:ascii="宋体" w:hAnsi="宋体" w:eastAsia="宋体" w:cs="宋体"/>
          <w:color w:val="auto"/>
          <w:spacing w:val="11"/>
          <w:sz w:val="20"/>
          <w:szCs w:val="20"/>
          <w:highlight w:val="none"/>
        </w:rPr>
        <w:t>数字证书参与整个采购</w:t>
      </w:r>
      <w:r>
        <w:rPr>
          <w:rFonts w:ascii="宋体" w:hAnsi="宋体" w:eastAsia="宋体" w:cs="宋体"/>
          <w:color w:val="auto"/>
          <w:spacing w:val="2"/>
          <w:sz w:val="20"/>
          <w:szCs w:val="20"/>
          <w:highlight w:val="none"/>
        </w:rPr>
        <w:t>活动。</w:t>
      </w:r>
    </w:p>
    <w:p w14:paraId="4DB7B2DF">
      <w:pPr>
        <w:autoSpaceDE/>
        <w:autoSpaceDN/>
        <w:spacing w:before="42" w:line="380" w:lineRule="exact"/>
        <w:ind w:left="9" w:right="2" w:firstLine="440" w:firstLineChars="200"/>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注：</w:t>
      </w:r>
      <w:r>
        <w:rPr>
          <w:rFonts w:ascii="宋体" w:hAnsi="宋体" w:eastAsia="宋体" w:cs="宋体"/>
          <w:color w:val="auto"/>
          <w:spacing w:val="10"/>
          <w:sz w:val="20"/>
          <w:szCs w:val="20"/>
          <w:highlight w:val="none"/>
          <w:u w:val="single" w:color="auto"/>
        </w:rPr>
        <w:t>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w:t>
      </w:r>
      <w:r>
        <w:rPr>
          <w:rFonts w:ascii="宋体" w:hAnsi="宋体" w:eastAsia="宋体" w:cs="宋体"/>
          <w:color w:val="auto"/>
          <w:spacing w:val="9"/>
          <w:sz w:val="20"/>
          <w:szCs w:val="20"/>
          <w:highlight w:val="none"/>
          <w:u w:val="single" w:color="auto"/>
        </w:rPr>
        <w:t>应文件。响应文件提交截止时间以后上传递交的响应文件的，“广西政府采购云平台”将予以</w:t>
      </w:r>
      <w:r>
        <w:rPr>
          <w:rFonts w:ascii="宋体" w:hAnsi="宋体" w:eastAsia="宋体" w:cs="宋体"/>
          <w:color w:val="auto"/>
          <w:spacing w:val="2"/>
          <w:sz w:val="20"/>
          <w:szCs w:val="20"/>
          <w:highlight w:val="none"/>
          <w:u w:val="single" w:color="auto"/>
        </w:rPr>
        <w:t>拒收</w:t>
      </w:r>
      <w:r>
        <w:rPr>
          <w:rFonts w:ascii="宋体" w:hAnsi="宋体" w:eastAsia="宋体" w:cs="宋体"/>
          <w:b/>
          <w:bCs/>
          <w:color w:val="auto"/>
          <w:spacing w:val="2"/>
          <w:sz w:val="20"/>
          <w:szCs w:val="20"/>
          <w:highlight w:val="none"/>
        </w:rPr>
        <w:t>。</w:t>
      </w:r>
    </w:p>
    <w:p w14:paraId="4865F7DA">
      <w:pPr>
        <w:autoSpaceDE/>
        <w:autoSpaceDN/>
        <w:spacing w:before="28" w:line="380" w:lineRule="exact"/>
        <w:ind w:left="27" w:right="2" w:firstLine="413"/>
        <w:rPr>
          <w:rFonts w:ascii="宋体" w:hAnsi="宋体" w:eastAsia="宋体" w:cs="宋体"/>
          <w:color w:val="auto"/>
          <w:sz w:val="20"/>
          <w:szCs w:val="20"/>
          <w:highlight w:val="none"/>
          <w:u w:color="auto"/>
        </w:rPr>
      </w:pPr>
      <w:r>
        <w:rPr>
          <w:rFonts w:ascii="宋体" w:hAnsi="宋体" w:eastAsia="宋体" w:cs="宋体"/>
          <w:color w:val="auto"/>
          <w:spacing w:val="10"/>
          <w:sz w:val="20"/>
          <w:szCs w:val="20"/>
          <w:highlight w:val="none"/>
        </w:rPr>
        <w:t>（4）</w:t>
      </w:r>
      <w:r>
        <w:rPr>
          <w:rFonts w:ascii="宋体" w:hAnsi="宋体" w:eastAsia="宋体" w:cs="宋体"/>
          <w:color w:val="auto"/>
          <w:sz w:val="20"/>
          <w:szCs w:val="20"/>
          <w:highlight w:val="none"/>
        </w:rPr>
        <w:t>CA</w:t>
      </w:r>
      <w:r>
        <w:rPr>
          <w:rFonts w:ascii="宋体" w:hAnsi="宋体" w:eastAsia="宋体" w:cs="宋体"/>
          <w:color w:val="auto"/>
          <w:spacing w:val="10"/>
          <w:sz w:val="20"/>
          <w:szCs w:val="20"/>
          <w:highlight w:val="none"/>
        </w:rPr>
        <w:t>证书在线解密：首次响应文件开启时，</w:t>
      </w:r>
      <w:r>
        <w:rPr>
          <w:rFonts w:ascii="宋体" w:hAnsi="宋体" w:eastAsia="宋体" w:cs="宋体"/>
          <w:b/>
          <w:bCs/>
          <w:color w:val="auto"/>
          <w:spacing w:val="10"/>
          <w:sz w:val="20"/>
          <w:szCs w:val="20"/>
          <w:highlight w:val="none"/>
        </w:rPr>
        <w:t>须要供应商携带制作响应文件时用来加密</w:t>
      </w:r>
      <w:r>
        <w:rPr>
          <w:rFonts w:ascii="宋体" w:hAnsi="宋体" w:eastAsia="宋体" w:cs="宋体"/>
          <w:b/>
          <w:bCs/>
          <w:color w:val="auto"/>
          <w:spacing w:val="7"/>
          <w:sz w:val="20"/>
          <w:szCs w:val="20"/>
          <w:highlight w:val="none"/>
        </w:rPr>
        <w:t>的有效数字证书（</w:t>
      </w:r>
      <w:r>
        <w:rPr>
          <w:rFonts w:ascii="宋体" w:hAnsi="宋体" w:eastAsia="宋体" w:cs="宋体"/>
          <w:b/>
          <w:bCs/>
          <w:color w:val="auto"/>
          <w:sz w:val="20"/>
          <w:szCs w:val="20"/>
          <w:highlight w:val="none"/>
        </w:rPr>
        <w:t>CA</w:t>
      </w:r>
      <w:r>
        <w:rPr>
          <w:rFonts w:ascii="宋体" w:hAnsi="宋体" w:eastAsia="宋体" w:cs="宋体"/>
          <w:color w:val="auto"/>
          <w:spacing w:val="-41"/>
          <w:sz w:val="20"/>
          <w:szCs w:val="20"/>
          <w:highlight w:val="none"/>
        </w:rPr>
        <w:t xml:space="preserve"> </w:t>
      </w:r>
      <w:r>
        <w:rPr>
          <w:rFonts w:ascii="宋体" w:hAnsi="宋体" w:eastAsia="宋体" w:cs="宋体"/>
          <w:b/>
          <w:bCs/>
          <w:color w:val="auto"/>
          <w:spacing w:val="7"/>
          <w:sz w:val="20"/>
          <w:szCs w:val="20"/>
          <w:highlight w:val="none"/>
        </w:rPr>
        <w:t>认证）</w:t>
      </w:r>
      <w:r>
        <w:rPr>
          <w:rFonts w:ascii="宋体" w:hAnsi="宋体" w:eastAsia="宋体" w:cs="宋体"/>
          <w:color w:val="auto"/>
          <w:spacing w:val="7"/>
          <w:sz w:val="20"/>
          <w:szCs w:val="20"/>
          <w:highlight w:val="none"/>
        </w:rPr>
        <w:t>登录“广西政府采购云平台”电子开标大厅现场按规定</w:t>
      </w:r>
      <w:r>
        <w:rPr>
          <w:rFonts w:ascii="宋体" w:hAnsi="宋体" w:eastAsia="宋体" w:cs="宋体"/>
          <w:color w:val="auto"/>
          <w:spacing w:val="6"/>
          <w:sz w:val="20"/>
          <w:szCs w:val="20"/>
          <w:highlight w:val="none"/>
        </w:rPr>
        <w:t>时间对加密</w:t>
      </w:r>
      <w:r>
        <w:rPr>
          <w:rFonts w:ascii="宋体" w:hAnsi="宋体" w:eastAsia="宋体" w:cs="宋体"/>
          <w:color w:val="auto"/>
          <w:spacing w:val="9"/>
          <w:sz w:val="20"/>
          <w:szCs w:val="20"/>
          <w:highlight w:val="none"/>
        </w:rPr>
        <w:t>的响应文件进行解密，</w:t>
      </w:r>
      <w:r>
        <w:rPr>
          <w:rFonts w:ascii="宋体" w:hAnsi="宋体" w:eastAsia="宋体" w:cs="宋体"/>
          <w:color w:val="auto"/>
          <w:spacing w:val="9"/>
          <w:sz w:val="20"/>
          <w:szCs w:val="20"/>
          <w:highlight w:val="none"/>
          <w:u w:val="none" w:color="auto"/>
        </w:rPr>
        <w:t>未能按要求进行解密的，由此产生的后果由竞标人自行承</w:t>
      </w:r>
      <w:r>
        <w:rPr>
          <w:rFonts w:ascii="宋体" w:hAnsi="宋体" w:eastAsia="宋体" w:cs="宋体"/>
          <w:color w:val="auto"/>
          <w:spacing w:val="8"/>
          <w:sz w:val="20"/>
          <w:szCs w:val="20"/>
          <w:highlight w:val="none"/>
          <w:u w:val="none" w:color="auto"/>
        </w:rPr>
        <w:t>担</w:t>
      </w:r>
      <w:r>
        <w:rPr>
          <w:rFonts w:ascii="宋体" w:hAnsi="宋体" w:eastAsia="宋体" w:cs="宋体"/>
          <w:color w:val="auto"/>
          <w:spacing w:val="8"/>
          <w:sz w:val="20"/>
          <w:szCs w:val="20"/>
          <w:highlight w:val="none"/>
          <w:u w:color="auto"/>
        </w:rPr>
        <w:t>。</w:t>
      </w:r>
    </w:p>
    <w:p w14:paraId="69EEFE79">
      <w:pPr>
        <w:autoSpaceDE/>
        <w:autoSpaceDN/>
        <w:spacing w:before="93" w:line="380" w:lineRule="exact"/>
        <w:ind w:left="9" w:right="2" w:firstLine="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u w:color="auto"/>
        </w:rPr>
        <w:t>（5）供应商需要在具备有摄像头及语音功能且互联网网络状况良好的电脑登录“广</w:t>
      </w:r>
      <w:r>
        <w:rPr>
          <w:rFonts w:ascii="宋体" w:hAnsi="宋体" w:eastAsia="宋体" w:cs="宋体"/>
          <w:color w:val="auto"/>
          <w:spacing w:val="7"/>
          <w:sz w:val="20"/>
          <w:szCs w:val="20"/>
          <w:highlight w:val="none"/>
        </w:rPr>
        <w:t>西政府</w:t>
      </w:r>
      <w:r>
        <w:rPr>
          <w:rFonts w:ascii="宋体" w:hAnsi="宋体" w:eastAsia="宋体" w:cs="宋体"/>
          <w:color w:val="auto"/>
          <w:spacing w:val="8"/>
          <w:sz w:val="20"/>
          <w:szCs w:val="20"/>
          <w:highlight w:val="none"/>
        </w:rPr>
        <w:t>采购云平台”远程开标大厅参与本次磋商，否则后果自负。</w:t>
      </w:r>
    </w:p>
    <w:p w14:paraId="28F91463">
      <w:pPr>
        <w:autoSpaceDE/>
        <w:autoSpaceDN/>
        <w:spacing w:before="91" w:line="380" w:lineRule="exact"/>
        <w:ind w:firstLine="431"/>
        <w:rPr>
          <w:rFonts w:hint="eastAsia" w:ascii="宋体" w:hAnsi="宋体" w:eastAsia="宋体" w:cs="宋体"/>
          <w:color w:val="auto"/>
          <w:spacing w:val="18"/>
          <w:sz w:val="20"/>
          <w:szCs w:val="20"/>
          <w:highlight w:val="none"/>
        </w:rPr>
      </w:pPr>
      <w:r>
        <w:rPr>
          <w:rFonts w:hint="eastAsia" w:ascii="宋体" w:hAnsi="宋体" w:eastAsia="宋体" w:cs="宋体"/>
          <w:color w:val="auto"/>
          <w:spacing w:val="18"/>
          <w:sz w:val="20"/>
          <w:szCs w:val="20"/>
          <w:highlight w:val="none"/>
          <w:lang w:val="en-US" w:eastAsia="zh-CN"/>
        </w:rPr>
        <w:t>6.</w:t>
      </w:r>
      <w:r>
        <w:rPr>
          <w:rFonts w:hint="eastAsia" w:ascii="宋体" w:hAnsi="宋体" w:eastAsia="宋体" w:cs="宋体"/>
          <w:color w:val="auto"/>
          <w:spacing w:val="18"/>
          <w:sz w:val="20"/>
          <w:szCs w:val="20"/>
          <w:highlight w:val="none"/>
        </w:rPr>
        <w:t>本项目采用远程异地评审，评审主会场设在崇左市公共资源交易中心(崇左市城南新区石景林路政务服务中心综合楼五楼评审室)，分会场设在设在海之特工程管理有限公司玉林分公司（广西玉林市玉东新区文体路8号皇庭世家小区46-3号）。</w:t>
      </w:r>
    </w:p>
    <w:p w14:paraId="12CBBF89">
      <w:pPr>
        <w:autoSpaceDE/>
        <w:autoSpaceDN/>
        <w:spacing w:before="91" w:line="380" w:lineRule="exact"/>
        <w:ind w:firstLine="431"/>
        <w:rPr>
          <w:rFonts w:ascii="宋体" w:hAnsi="宋体" w:eastAsia="宋体" w:cs="宋体"/>
          <w:color w:val="auto"/>
          <w:spacing w:val="18"/>
          <w:sz w:val="20"/>
          <w:szCs w:val="20"/>
          <w:highlight w:val="none"/>
        </w:rPr>
      </w:pPr>
      <w:r>
        <w:rPr>
          <w:rFonts w:hint="eastAsia" w:ascii="宋体" w:hAnsi="宋体" w:eastAsia="宋体" w:cs="宋体"/>
          <w:color w:val="auto"/>
          <w:spacing w:val="18"/>
          <w:sz w:val="20"/>
          <w:szCs w:val="20"/>
          <w:highlight w:val="none"/>
          <w:lang w:val="en-US" w:eastAsia="zh-CN"/>
        </w:rPr>
        <w:t>7.</w:t>
      </w:r>
      <w:r>
        <w:rPr>
          <w:rFonts w:hint="eastAsia" w:ascii="宋体" w:hAnsi="宋体" w:eastAsia="宋体" w:cs="宋体"/>
          <w:color w:val="auto"/>
          <w:spacing w:val="18"/>
          <w:sz w:val="20"/>
          <w:szCs w:val="20"/>
          <w:highlight w:val="none"/>
        </w:rPr>
        <w:t>根据《崇左市财政局关于进一步做好线上“政采贷”融资业务工作的通知》(崇财采(2023)10号),供应商可凭成交通知书、政府采购合同，通过中征应收账款融资服务平台向银行在线申请“政采贷”融资。(具体详见采购文件中关于“政采贷”相关信息)</w:t>
      </w:r>
    </w:p>
    <w:p w14:paraId="60BE7B01">
      <w:pPr>
        <w:autoSpaceDE/>
        <w:autoSpaceDN/>
        <w:spacing w:before="91" w:line="380" w:lineRule="exact"/>
        <w:ind w:firstLine="431"/>
        <w:rPr>
          <w:rFonts w:ascii="宋体" w:hAnsi="宋体" w:eastAsia="宋体" w:cs="宋体"/>
          <w:color w:val="auto"/>
          <w:sz w:val="20"/>
          <w:szCs w:val="20"/>
          <w:highlight w:val="none"/>
        </w:rPr>
      </w:pPr>
      <w:r>
        <w:rPr>
          <w:rFonts w:hint="eastAsia" w:ascii="宋体" w:hAnsi="宋体" w:eastAsia="宋体" w:cs="宋体"/>
          <w:color w:val="auto"/>
          <w:spacing w:val="18"/>
          <w:sz w:val="20"/>
          <w:szCs w:val="20"/>
          <w:highlight w:val="none"/>
          <w:lang w:val="en-US" w:eastAsia="zh-CN"/>
        </w:rPr>
        <w:t>8</w:t>
      </w:r>
      <w:r>
        <w:rPr>
          <w:rFonts w:ascii="宋体" w:hAnsi="宋体" w:eastAsia="宋体" w:cs="宋体"/>
          <w:color w:val="auto"/>
          <w:spacing w:val="18"/>
          <w:sz w:val="20"/>
          <w:szCs w:val="20"/>
          <w:highlight w:val="none"/>
        </w:rPr>
        <w:t>.若对项目采购电子交易系统操作有疑问，可登录“广西政府采购云平台”（</w:t>
      </w:r>
      <w:r>
        <w:rPr>
          <w:rFonts w:ascii="宋体" w:hAnsi="宋体" w:eastAsia="宋体" w:cs="宋体"/>
          <w:color w:val="auto"/>
          <w:sz w:val="20"/>
          <w:szCs w:val="20"/>
          <w:highlight w:val="none"/>
        </w:rPr>
        <w:t>https</w:t>
      </w:r>
      <w:r>
        <w:rPr>
          <w:rFonts w:ascii="宋体" w:hAnsi="宋体" w:eastAsia="宋体" w:cs="宋体"/>
          <w:color w:val="auto"/>
          <w:spacing w:val="18"/>
          <w:sz w:val="20"/>
          <w:szCs w:val="20"/>
          <w:highlight w:val="none"/>
        </w:rPr>
        <w:t>：</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www</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gcy</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29"/>
          <w:sz w:val="20"/>
          <w:szCs w:val="20"/>
          <w:highlight w:val="none"/>
        </w:rPr>
        <w:t>），</w:t>
      </w:r>
      <w:r>
        <w:rPr>
          <w:rFonts w:ascii="宋体" w:hAnsi="宋体" w:eastAsia="宋体" w:cs="宋体"/>
          <w:color w:val="auto"/>
          <w:spacing w:val="11"/>
          <w:sz w:val="20"/>
          <w:szCs w:val="20"/>
          <w:highlight w:val="none"/>
        </w:rPr>
        <w:t>点击右侧咨询小采，获取采小蜜智能服务管家帮助，或拨打</w:t>
      </w:r>
      <w:r>
        <w:rPr>
          <w:rFonts w:ascii="宋体" w:hAnsi="宋体" w:eastAsia="宋体" w:cs="宋体"/>
          <w:color w:val="auto"/>
          <w:spacing w:val="7"/>
          <w:sz w:val="20"/>
          <w:szCs w:val="20"/>
          <w:highlight w:val="none"/>
        </w:rPr>
        <w:t>“广西政府采购云平台</w:t>
      </w:r>
      <w:r>
        <w:rPr>
          <w:rFonts w:ascii="宋体" w:hAnsi="宋体" w:eastAsia="宋体" w:cs="宋体"/>
          <w:color w:val="auto"/>
          <w:spacing w:val="-72"/>
          <w:sz w:val="20"/>
          <w:szCs w:val="20"/>
          <w:highlight w:val="none"/>
        </w:rPr>
        <w:t xml:space="preserve"> </w:t>
      </w:r>
      <w:r>
        <w:rPr>
          <w:rFonts w:ascii="宋体" w:hAnsi="宋体" w:eastAsia="宋体" w:cs="宋体"/>
          <w:color w:val="auto"/>
          <w:spacing w:val="7"/>
          <w:sz w:val="20"/>
          <w:szCs w:val="20"/>
          <w:highlight w:val="none"/>
        </w:rPr>
        <w:t>”服务热线95763获取热线服务帮助。</w:t>
      </w:r>
    </w:p>
    <w:p w14:paraId="026A6BAA">
      <w:pPr>
        <w:autoSpaceDE/>
        <w:autoSpaceDN/>
        <w:spacing w:before="32" w:line="380" w:lineRule="exact"/>
        <w:ind w:left="13"/>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八、凡对本次采购提出询问，请按以下方式联系。</w:t>
      </w:r>
    </w:p>
    <w:p w14:paraId="6A880D87">
      <w:pPr>
        <w:autoSpaceDE/>
        <w:autoSpaceDN/>
        <w:spacing w:before="95" w:line="380" w:lineRule="exact"/>
        <w:ind w:left="44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1.采购人信息</w:t>
      </w:r>
    </w:p>
    <w:p w14:paraId="00FFCD3F">
      <w:pPr>
        <w:autoSpaceDE/>
        <w:autoSpaceDN/>
        <w:spacing w:before="94" w:line="380" w:lineRule="exact"/>
        <w:ind w:left="432"/>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名    称：</w:t>
      </w:r>
      <w:r>
        <w:rPr>
          <w:rFonts w:hint="eastAsia" w:ascii="宋体" w:hAnsi="宋体" w:eastAsia="宋体" w:cs="宋体"/>
          <w:color w:val="auto"/>
          <w:spacing w:val="8"/>
          <w:sz w:val="20"/>
          <w:szCs w:val="20"/>
          <w:highlight w:val="none"/>
          <w:lang w:eastAsia="zh-CN"/>
        </w:rPr>
        <w:t>大新县生态移民发展中心</w:t>
      </w:r>
    </w:p>
    <w:p w14:paraId="7155A91D">
      <w:pPr>
        <w:autoSpaceDE/>
        <w:autoSpaceDN/>
        <w:spacing w:before="96" w:line="380" w:lineRule="exact"/>
        <w:ind w:left="430" w:right="3057"/>
        <w:rPr>
          <w:rFonts w:hint="eastAsia" w:ascii="宋体" w:hAnsi="宋体" w:eastAsia="宋体" w:cs="宋体"/>
          <w:color w:val="auto"/>
          <w:spacing w:val="8"/>
          <w:sz w:val="20"/>
          <w:szCs w:val="20"/>
          <w:highlight w:val="none"/>
          <w:lang w:eastAsia="zh-CN"/>
        </w:rPr>
      </w:pPr>
      <w:r>
        <w:rPr>
          <w:rFonts w:ascii="宋体" w:hAnsi="宋体" w:eastAsia="宋体" w:cs="宋体"/>
          <w:color w:val="auto"/>
          <w:spacing w:val="8"/>
          <w:sz w:val="20"/>
          <w:szCs w:val="20"/>
          <w:highlight w:val="none"/>
        </w:rPr>
        <w:t>地    址：</w:t>
      </w:r>
      <w:r>
        <w:rPr>
          <w:rFonts w:hint="eastAsia" w:ascii="宋体" w:hAnsi="宋体" w:eastAsia="宋体" w:cs="宋体"/>
          <w:color w:val="auto"/>
          <w:spacing w:val="8"/>
          <w:sz w:val="20"/>
          <w:szCs w:val="20"/>
          <w:highlight w:val="none"/>
          <w:lang w:eastAsia="zh-CN"/>
        </w:rPr>
        <w:t>崇左市大新县明仕路1115号</w:t>
      </w:r>
    </w:p>
    <w:p w14:paraId="053EB7F0">
      <w:pPr>
        <w:autoSpaceDE/>
        <w:autoSpaceDN/>
        <w:spacing w:before="96" w:line="380" w:lineRule="exact"/>
        <w:ind w:left="430" w:right="305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联系方式：</w:t>
      </w:r>
      <w:r>
        <w:rPr>
          <w:rFonts w:hint="eastAsia" w:ascii="宋体" w:hAnsi="宋体" w:eastAsia="宋体" w:cs="宋体"/>
          <w:color w:val="auto"/>
          <w:spacing w:val="6"/>
          <w:sz w:val="20"/>
          <w:szCs w:val="20"/>
          <w:highlight w:val="none"/>
          <w:lang w:eastAsia="zh-CN"/>
        </w:rPr>
        <w:t>杨工</w:t>
      </w:r>
      <w:r>
        <w:rPr>
          <w:rFonts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lang w:eastAsia="zh-CN"/>
        </w:rPr>
        <w:t>0771-3630808</w:t>
      </w:r>
      <w:r>
        <w:rPr>
          <w:rFonts w:ascii="宋体" w:hAnsi="宋体" w:eastAsia="宋体" w:cs="宋体"/>
          <w:color w:val="auto"/>
          <w:spacing w:val="6"/>
          <w:sz w:val="20"/>
          <w:szCs w:val="20"/>
          <w:highlight w:val="none"/>
        </w:rPr>
        <w:t>）</w:t>
      </w:r>
    </w:p>
    <w:p w14:paraId="2C518983">
      <w:pPr>
        <w:autoSpaceDE/>
        <w:autoSpaceDN/>
        <w:spacing w:before="33" w:line="380" w:lineRule="exact"/>
        <w:ind w:left="43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2.采购代理机构信息</w:t>
      </w:r>
    </w:p>
    <w:p w14:paraId="16580250">
      <w:pPr>
        <w:autoSpaceDE/>
        <w:autoSpaceDN/>
        <w:spacing w:before="94" w:line="380" w:lineRule="exact"/>
        <w:ind w:left="432"/>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名    称：</w:t>
      </w:r>
      <w:r>
        <w:rPr>
          <w:rFonts w:hint="eastAsia" w:ascii="宋体" w:hAnsi="宋体" w:eastAsia="宋体" w:cs="宋体"/>
          <w:color w:val="auto"/>
          <w:spacing w:val="8"/>
          <w:sz w:val="20"/>
          <w:szCs w:val="20"/>
          <w:highlight w:val="none"/>
        </w:rPr>
        <w:t>海之特工程管理有限公司</w:t>
      </w:r>
    </w:p>
    <w:p w14:paraId="47601DEF">
      <w:pPr>
        <w:autoSpaceDE/>
        <w:autoSpaceDN/>
        <w:spacing w:before="94" w:line="380" w:lineRule="exact"/>
        <w:ind w:left="430" w:right="2372"/>
        <w:rPr>
          <w:rFonts w:hint="eastAsia" w:ascii="宋体" w:hAnsi="宋体" w:eastAsia="宋体" w:cs="宋体"/>
          <w:color w:val="auto"/>
          <w:sz w:val="20"/>
          <w:szCs w:val="20"/>
          <w:highlight w:val="none"/>
          <w:lang w:eastAsia="zh-CN"/>
        </w:rPr>
      </w:pPr>
      <w:r>
        <w:rPr>
          <w:rFonts w:ascii="宋体" w:hAnsi="宋体" w:eastAsia="宋体" w:cs="宋体"/>
          <w:color w:val="auto"/>
          <w:spacing w:val="6"/>
          <w:sz w:val="20"/>
          <w:szCs w:val="20"/>
          <w:highlight w:val="none"/>
        </w:rPr>
        <w:t>地    址：</w:t>
      </w:r>
      <w:r>
        <w:rPr>
          <w:rFonts w:hint="eastAsia" w:ascii="宋体" w:hAnsi="宋体" w:eastAsia="宋体" w:cs="宋体"/>
          <w:color w:val="auto"/>
          <w:spacing w:val="6"/>
          <w:sz w:val="20"/>
          <w:szCs w:val="20"/>
          <w:highlight w:val="none"/>
          <w:lang w:eastAsia="zh-CN"/>
        </w:rPr>
        <w:t>广西南宁市汇春路4号金湖大厦5楼509室</w:t>
      </w:r>
    </w:p>
    <w:p w14:paraId="1CF86A61">
      <w:pPr>
        <w:autoSpaceDE/>
        <w:autoSpaceDN/>
        <w:spacing w:before="94" w:line="380" w:lineRule="exact"/>
        <w:ind w:left="430" w:right="237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联系方式：</w:t>
      </w:r>
      <w:r>
        <w:rPr>
          <w:rFonts w:hint="eastAsia" w:ascii="宋体" w:hAnsi="宋体" w:eastAsia="宋体" w:cs="宋体"/>
          <w:color w:val="auto"/>
          <w:spacing w:val="6"/>
          <w:sz w:val="20"/>
          <w:szCs w:val="20"/>
          <w:highlight w:val="none"/>
          <w:lang w:eastAsia="zh-CN"/>
        </w:rPr>
        <w:t>农工</w:t>
      </w:r>
      <w:r>
        <w:rPr>
          <w:rFonts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lang w:eastAsia="zh-CN"/>
        </w:rPr>
        <w:t>0771-2264686</w:t>
      </w:r>
      <w:r>
        <w:rPr>
          <w:rFonts w:ascii="宋体" w:hAnsi="宋体" w:eastAsia="宋体" w:cs="宋体"/>
          <w:color w:val="auto"/>
          <w:spacing w:val="6"/>
          <w:sz w:val="20"/>
          <w:szCs w:val="20"/>
          <w:highlight w:val="none"/>
        </w:rPr>
        <w:t>）</w:t>
      </w:r>
    </w:p>
    <w:p w14:paraId="537DD966">
      <w:pPr>
        <w:autoSpaceDE/>
        <w:autoSpaceDN/>
        <w:spacing w:before="33" w:line="380" w:lineRule="exact"/>
        <w:ind w:left="43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3.项目联系方式</w:t>
      </w:r>
    </w:p>
    <w:p w14:paraId="2C664496">
      <w:pPr>
        <w:autoSpaceDE/>
        <w:autoSpaceDN/>
        <w:spacing w:before="93" w:line="380" w:lineRule="exact"/>
        <w:ind w:left="433"/>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项目联系人：</w:t>
      </w:r>
      <w:r>
        <w:rPr>
          <w:rFonts w:hint="eastAsia" w:ascii="宋体" w:hAnsi="宋体" w:eastAsia="宋体" w:cs="宋体"/>
          <w:color w:val="auto"/>
          <w:spacing w:val="8"/>
          <w:sz w:val="20"/>
          <w:szCs w:val="20"/>
          <w:highlight w:val="none"/>
          <w:lang w:eastAsia="zh-CN"/>
        </w:rPr>
        <w:t>农工</w:t>
      </w:r>
    </w:p>
    <w:p w14:paraId="0BCA6684">
      <w:pPr>
        <w:autoSpaceDE/>
        <w:autoSpaceDN/>
        <w:spacing w:before="92" w:line="380" w:lineRule="exact"/>
        <w:ind w:left="454"/>
        <w:rPr>
          <w:rFonts w:hint="eastAsia" w:ascii="宋体" w:hAnsi="宋体" w:eastAsia="宋体" w:cs="宋体"/>
          <w:color w:val="auto"/>
          <w:sz w:val="20"/>
          <w:szCs w:val="20"/>
          <w:highlight w:val="none"/>
          <w:lang w:eastAsia="zh-CN"/>
        </w:rPr>
      </w:pPr>
      <w:r>
        <w:rPr>
          <w:rFonts w:ascii="宋体" w:hAnsi="宋体" w:eastAsia="宋体" w:cs="宋体"/>
          <w:color w:val="auto"/>
          <w:spacing w:val="4"/>
          <w:sz w:val="20"/>
          <w:szCs w:val="20"/>
          <w:highlight w:val="none"/>
        </w:rPr>
        <w:t>电     话：</w:t>
      </w:r>
      <w:r>
        <w:rPr>
          <w:rFonts w:hint="eastAsia" w:ascii="宋体" w:hAnsi="宋体" w:eastAsia="宋体" w:cs="宋体"/>
          <w:color w:val="auto"/>
          <w:spacing w:val="4"/>
          <w:sz w:val="20"/>
          <w:szCs w:val="20"/>
          <w:highlight w:val="none"/>
          <w:lang w:eastAsia="zh-CN"/>
        </w:rPr>
        <w:t>0771-2264686</w:t>
      </w:r>
    </w:p>
    <w:p w14:paraId="20E36082">
      <w:pPr>
        <w:autoSpaceDE/>
        <w:autoSpaceDN/>
        <w:spacing w:before="92" w:line="380" w:lineRule="exact"/>
        <w:ind w:left="42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4.监督部门</w:t>
      </w:r>
    </w:p>
    <w:p w14:paraId="65AB5FE0">
      <w:pPr>
        <w:autoSpaceDE/>
        <w:autoSpaceDN/>
        <w:spacing w:before="94" w:line="380" w:lineRule="exact"/>
        <w:ind w:left="453" w:right="4000" w:hanging="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名    称：大新县财政局政府采购监督管理股</w:t>
      </w:r>
      <w:r>
        <w:rPr>
          <w:rFonts w:ascii="宋体" w:hAnsi="宋体" w:eastAsia="宋体" w:cs="宋体"/>
          <w:color w:val="auto"/>
          <w:spacing w:val="3"/>
          <w:sz w:val="20"/>
          <w:szCs w:val="20"/>
          <w:highlight w:val="none"/>
        </w:rPr>
        <w:t>电</w:t>
      </w:r>
      <w:r>
        <w:rPr>
          <w:rFonts w:ascii="宋体" w:hAnsi="宋体" w:eastAsia="宋体" w:cs="宋体"/>
          <w:color w:val="auto"/>
          <w:spacing w:val="7"/>
          <w:sz w:val="20"/>
          <w:szCs w:val="20"/>
          <w:highlight w:val="none"/>
        </w:rPr>
        <w:t xml:space="preserve">    </w:t>
      </w:r>
      <w:r>
        <w:rPr>
          <w:rFonts w:ascii="宋体" w:hAnsi="宋体" w:eastAsia="宋体" w:cs="宋体"/>
          <w:color w:val="auto"/>
          <w:spacing w:val="3"/>
          <w:sz w:val="20"/>
          <w:szCs w:val="20"/>
          <w:highlight w:val="none"/>
        </w:rPr>
        <w:t>话：0771-3626646</w:t>
      </w:r>
    </w:p>
    <w:p w14:paraId="74B8B543">
      <w:pPr>
        <w:pStyle w:val="2"/>
        <w:autoSpaceDE/>
        <w:autoSpaceDN/>
        <w:spacing w:line="380" w:lineRule="exact"/>
        <w:rPr>
          <w:color w:val="auto"/>
          <w:highlight w:val="none"/>
        </w:rPr>
      </w:pPr>
    </w:p>
    <w:p w14:paraId="35845A1F">
      <w:pPr>
        <w:autoSpaceDE/>
        <w:autoSpaceDN/>
        <w:spacing w:before="65" w:line="380" w:lineRule="exact"/>
        <w:ind w:left="6407" w:right="2" w:hanging="1769"/>
        <w:rPr>
          <w:rFonts w:hint="eastAsia" w:ascii="宋体" w:hAnsi="宋体" w:eastAsia="宋体" w:cs="宋体"/>
          <w:color w:val="auto"/>
          <w:spacing w:val="9"/>
          <w:sz w:val="20"/>
          <w:szCs w:val="20"/>
          <w:highlight w:val="none"/>
          <w:lang w:eastAsia="zh-CN"/>
        </w:rPr>
      </w:pPr>
      <w:r>
        <w:rPr>
          <w:rFonts w:ascii="宋体" w:hAnsi="宋体" w:eastAsia="宋体" w:cs="宋体"/>
          <w:color w:val="auto"/>
          <w:spacing w:val="9"/>
          <w:sz w:val="20"/>
          <w:szCs w:val="20"/>
          <w:highlight w:val="none"/>
        </w:rPr>
        <w:t>采购代理机构：</w:t>
      </w:r>
      <w:r>
        <w:rPr>
          <w:rFonts w:hint="eastAsia" w:ascii="宋体" w:hAnsi="宋体" w:eastAsia="宋体" w:cs="宋体"/>
          <w:color w:val="auto"/>
          <w:spacing w:val="9"/>
          <w:sz w:val="20"/>
          <w:szCs w:val="20"/>
          <w:highlight w:val="none"/>
        </w:rPr>
        <w:t>海之特工程管理有限公司</w:t>
      </w:r>
    </w:p>
    <w:p w14:paraId="659E3F6C">
      <w:pPr>
        <w:autoSpaceDE/>
        <w:autoSpaceDN/>
        <w:spacing w:before="65" w:line="380" w:lineRule="exact"/>
        <w:ind w:left="6407" w:right="2" w:hanging="176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日期：2025年</w:t>
      </w:r>
      <w:r>
        <w:rPr>
          <w:rFonts w:hint="eastAsia" w:ascii="宋体" w:hAnsi="宋体" w:eastAsia="宋体" w:cs="宋体"/>
          <w:color w:val="auto"/>
          <w:spacing w:val="-38"/>
          <w:sz w:val="20"/>
          <w:szCs w:val="20"/>
          <w:highlight w:val="none"/>
          <w:lang w:val="en-US" w:eastAsia="zh-CN"/>
        </w:rPr>
        <w:t>7</w:t>
      </w:r>
      <w:r>
        <w:rPr>
          <w:rFonts w:ascii="宋体" w:hAnsi="宋体" w:eastAsia="宋体" w:cs="宋体"/>
          <w:color w:val="auto"/>
          <w:spacing w:val="-4"/>
          <w:sz w:val="20"/>
          <w:szCs w:val="20"/>
          <w:highlight w:val="none"/>
        </w:rPr>
        <w:t>月</w:t>
      </w:r>
      <w:r>
        <w:rPr>
          <w:rFonts w:hint="eastAsia" w:ascii="宋体" w:hAnsi="宋体" w:eastAsia="宋体" w:cs="宋体"/>
          <w:color w:val="auto"/>
          <w:spacing w:val="-21"/>
          <w:sz w:val="20"/>
          <w:szCs w:val="20"/>
          <w:highlight w:val="none"/>
          <w:lang w:val="en-US" w:eastAsia="zh-CN"/>
        </w:rPr>
        <w:t>10</w:t>
      </w:r>
      <w:r>
        <w:rPr>
          <w:rFonts w:ascii="宋体" w:hAnsi="宋体" w:eastAsia="宋体" w:cs="宋体"/>
          <w:color w:val="auto"/>
          <w:spacing w:val="-4"/>
          <w:sz w:val="20"/>
          <w:szCs w:val="20"/>
          <w:highlight w:val="none"/>
        </w:rPr>
        <w:t>日</w:t>
      </w:r>
    </w:p>
    <w:p w14:paraId="27B4F99C">
      <w:pPr>
        <w:autoSpaceDE/>
        <w:autoSpaceDN/>
        <w:spacing w:line="380" w:lineRule="exact"/>
        <w:rPr>
          <w:rFonts w:ascii="宋体" w:hAnsi="宋体" w:eastAsia="宋体" w:cs="宋体"/>
          <w:color w:val="auto"/>
          <w:sz w:val="20"/>
          <w:szCs w:val="20"/>
          <w:highlight w:val="none"/>
        </w:rPr>
        <w:sectPr>
          <w:footerReference r:id="rId7" w:type="default"/>
          <w:pgSz w:w="11910" w:h="16840"/>
          <w:pgMar w:top="1361" w:right="1628" w:bottom="1016" w:left="1658" w:header="0" w:footer="857" w:gutter="0"/>
          <w:pgNumType w:fmt="decimal" w:start="1"/>
          <w:cols w:space="720" w:num="1"/>
        </w:sectPr>
      </w:pPr>
    </w:p>
    <w:p w14:paraId="7FB8ED6E">
      <w:pPr>
        <w:spacing w:before="63" w:line="224" w:lineRule="auto"/>
        <w:ind w:left="2988"/>
        <w:outlineLvl w:val="0"/>
        <w:rPr>
          <w:rFonts w:ascii="宋体" w:hAnsi="宋体" w:eastAsia="宋体" w:cs="宋体"/>
          <w:color w:val="auto"/>
          <w:sz w:val="31"/>
          <w:szCs w:val="31"/>
          <w:highlight w:val="none"/>
        </w:rPr>
      </w:pPr>
      <w:bookmarkStart w:id="7" w:name="bookmark3"/>
      <w:bookmarkEnd w:id="7"/>
      <w:bookmarkStart w:id="8" w:name="_Toc6817"/>
      <w:bookmarkStart w:id="9" w:name="_Toc5330"/>
      <w:bookmarkStart w:id="10" w:name="_Toc20350"/>
      <w:bookmarkStart w:id="11" w:name="_Toc13055"/>
      <w:r>
        <w:rPr>
          <w:rFonts w:ascii="宋体" w:hAnsi="宋体" w:eastAsia="宋体" w:cs="宋体"/>
          <w:b/>
          <w:bCs/>
          <w:color w:val="auto"/>
          <w:spacing w:val="6"/>
          <w:sz w:val="31"/>
          <w:szCs w:val="31"/>
          <w:highlight w:val="none"/>
        </w:rPr>
        <w:t>第二章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供应商须知</w:t>
      </w:r>
      <w:bookmarkEnd w:id="8"/>
      <w:bookmarkEnd w:id="9"/>
      <w:bookmarkEnd w:id="10"/>
      <w:bookmarkEnd w:id="11"/>
    </w:p>
    <w:p w14:paraId="337666F1">
      <w:pPr>
        <w:spacing w:before="142" w:line="224" w:lineRule="auto"/>
        <w:ind w:left="3149"/>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供应商须知前附表</w:t>
      </w:r>
    </w:p>
    <w:p w14:paraId="330C2BE5">
      <w:pPr>
        <w:spacing w:line="94" w:lineRule="exact"/>
        <w:rPr>
          <w:color w:val="auto"/>
          <w:highlight w:val="none"/>
        </w:rPr>
      </w:pPr>
    </w:p>
    <w:tbl>
      <w:tblPr>
        <w:tblStyle w:val="14"/>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881"/>
        <w:gridCol w:w="6186"/>
      </w:tblGrid>
      <w:tr w14:paraId="7495B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83" w:type="dxa"/>
            <w:vAlign w:val="top"/>
          </w:tcPr>
          <w:p w14:paraId="6F87CDED">
            <w:pPr>
              <w:pStyle w:val="15"/>
              <w:spacing w:before="34" w:line="228" w:lineRule="auto"/>
              <w:ind w:left="131"/>
              <w:rPr>
                <w:color w:val="auto"/>
                <w:highlight w:val="none"/>
              </w:rPr>
            </w:pPr>
            <w:r>
              <w:rPr>
                <w:b/>
                <w:bCs/>
                <w:color w:val="auto"/>
                <w:spacing w:val="5"/>
                <w:highlight w:val="none"/>
              </w:rPr>
              <w:t>条款号</w:t>
            </w:r>
          </w:p>
        </w:tc>
        <w:tc>
          <w:tcPr>
            <w:tcW w:w="1881" w:type="dxa"/>
            <w:vAlign w:val="top"/>
          </w:tcPr>
          <w:p w14:paraId="50595966">
            <w:pPr>
              <w:pStyle w:val="15"/>
              <w:spacing w:before="34" w:line="228" w:lineRule="auto"/>
              <w:ind w:left="525"/>
              <w:rPr>
                <w:color w:val="auto"/>
                <w:highlight w:val="none"/>
              </w:rPr>
            </w:pPr>
            <w:r>
              <w:rPr>
                <w:b/>
                <w:bCs/>
                <w:color w:val="auto"/>
                <w:spacing w:val="6"/>
                <w:highlight w:val="none"/>
              </w:rPr>
              <w:t>条款内容</w:t>
            </w:r>
          </w:p>
        </w:tc>
        <w:tc>
          <w:tcPr>
            <w:tcW w:w="6186" w:type="dxa"/>
            <w:vAlign w:val="top"/>
          </w:tcPr>
          <w:p w14:paraId="3CE0BFD0">
            <w:pPr>
              <w:pStyle w:val="15"/>
              <w:spacing w:before="34" w:line="229" w:lineRule="auto"/>
              <w:ind w:left="2679"/>
              <w:rPr>
                <w:color w:val="auto"/>
                <w:highlight w:val="none"/>
              </w:rPr>
            </w:pPr>
            <w:r>
              <w:rPr>
                <w:b/>
                <w:bCs/>
                <w:color w:val="auto"/>
                <w:spacing w:val="5"/>
                <w:highlight w:val="none"/>
              </w:rPr>
              <w:t>具体要求</w:t>
            </w:r>
          </w:p>
        </w:tc>
      </w:tr>
      <w:tr w14:paraId="6B364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83" w:type="dxa"/>
            <w:vAlign w:val="top"/>
          </w:tcPr>
          <w:p w14:paraId="5263E98D">
            <w:pPr>
              <w:pStyle w:val="15"/>
              <w:spacing w:before="62" w:line="190" w:lineRule="auto"/>
              <w:ind w:left="295"/>
              <w:rPr>
                <w:color w:val="auto"/>
                <w:highlight w:val="none"/>
              </w:rPr>
            </w:pPr>
            <w:r>
              <w:rPr>
                <w:color w:val="auto"/>
                <w:spacing w:val="1"/>
                <w:highlight w:val="none"/>
              </w:rPr>
              <w:t>3.1</w:t>
            </w:r>
          </w:p>
        </w:tc>
        <w:tc>
          <w:tcPr>
            <w:tcW w:w="1881" w:type="dxa"/>
            <w:vAlign w:val="top"/>
          </w:tcPr>
          <w:p w14:paraId="7AA7CDA2">
            <w:pPr>
              <w:pStyle w:val="15"/>
              <w:spacing w:before="30" w:line="227" w:lineRule="auto"/>
              <w:ind w:left="209"/>
              <w:rPr>
                <w:color w:val="auto"/>
                <w:highlight w:val="none"/>
              </w:rPr>
            </w:pPr>
            <w:r>
              <w:rPr>
                <w:color w:val="auto"/>
                <w:spacing w:val="8"/>
                <w:highlight w:val="none"/>
              </w:rPr>
              <w:t>供应商资格条件</w:t>
            </w:r>
          </w:p>
        </w:tc>
        <w:tc>
          <w:tcPr>
            <w:tcW w:w="6186" w:type="dxa"/>
            <w:vAlign w:val="top"/>
          </w:tcPr>
          <w:p w14:paraId="05F8C7BB">
            <w:pPr>
              <w:pStyle w:val="15"/>
              <w:spacing w:before="31" w:line="226" w:lineRule="auto"/>
              <w:ind w:left="111"/>
              <w:rPr>
                <w:color w:val="auto"/>
                <w:highlight w:val="none"/>
              </w:rPr>
            </w:pPr>
            <w:r>
              <w:rPr>
                <w:color w:val="auto"/>
                <w:spacing w:val="8"/>
                <w:highlight w:val="none"/>
              </w:rPr>
              <w:t>供应商资格条件要求详见公告。</w:t>
            </w:r>
          </w:p>
        </w:tc>
      </w:tr>
      <w:tr w14:paraId="0D640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83" w:type="dxa"/>
            <w:vAlign w:val="top"/>
          </w:tcPr>
          <w:p w14:paraId="73E08327">
            <w:pPr>
              <w:pStyle w:val="15"/>
              <w:spacing w:before="233" w:line="190" w:lineRule="auto"/>
              <w:ind w:left="295"/>
              <w:rPr>
                <w:color w:val="auto"/>
                <w:highlight w:val="none"/>
              </w:rPr>
            </w:pPr>
            <w:r>
              <w:rPr>
                <w:color w:val="auto"/>
                <w:spacing w:val="1"/>
                <w:highlight w:val="none"/>
              </w:rPr>
              <w:t>5.1</w:t>
            </w:r>
          </w:p>
        </w:tc>
        <w:tc>
          <w:tcPr>
            <w:tcW w:w="1881" w:type="dxa"/>
            <w:vAlign w:val="top"/>
          </w:tcPr>
          <w:p w14:paraId="5ACCC605">
            <w:pPr>
              <w:pStyle w:val="15"/>
              <w:spacing w:before="30" w:line="298" w:lineRule="auto"/>
              <w:ind w:left="736" w:right="205" w:hanging="524"/>
              <w:rPr>
                <w:color w:val="auto"/>
                <w:highlight w:val="none"/>
              </w:rPr>
            </w:pPr>
            <w:r>
              <w:rPr>
                <w:color w:val="auto"/>
                <w:spacing w:val="8"/>
                <w:highlight w:val="none"/>
              </w:rPr>
              <w:t>是否接受联合体</w:t>
            </w:r>
            <w:r>
              <w:rPr>
                <w:color w:val="auto"/>
                <w:spacing w:val="3"/>
                <w:highlight w:val="none"/>
              </w:rPr>
              <w:t>竞标</w:t>
            </w:r>
          </w:p>
        </w:tc>
        <w:tc>
          <w:tcPr>
            <w:tcW w:w="6186" w:type="dxa"/>
            <w:vAlign w:val="top"/>
          </w:tcPr>
          <w:p w14:paraId="50B91B29">
            <w:pPr>
              <w:pStyle w:val="15"/>
              <w:spacing w:before="202" w:line="228" w:lineRule="auto"/>
              <w:ind w:left="133"/>
              <w:rPr>
                <w:color w:val="auto"/>
                <w:highlight w:val="none"/>
              </w:rPr>
            </w:pPr>
            <w:r>
              <w:rPr>
                <w:color w:val="auto"/>
                <w:spacing w:val="2"/>
                <w:highlight w:val="none"/>
              </w:rPr>
              <w:t>□是/</w:t>
            </w:r>
            <w:r>
              <w:rPr>
                <w:rFonts w:ascii="MS Gothic" w:hAnsi="MS Gothic" w:eastAsia="MS Gothic" w:cs="MS Gothic"/>
                <w:color w:val="auto"/>
                <w:spacing w:val="2"/>
                <w:highlight w:val="none"/>
              </w:rPr>
              <w:t>☑</w:t>
            </w:r>
            <w:r>
              <w:rPr>
                <w:color w:val="auto"/>
                <w:spacing w:val="2"/>
                <w:highlight w:val="none"/>
              </w:rPr>
              <w:t>否。</w:t>
            </w:r>
          </w:p>
        </w:tc>
      </w:tr>
      <w:tr w14:paraId="09AC3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83" w:type="dxa"/>
            <w:vAlign w:val="top"/>
          </w:tcPr>
          <w:p w14:paraId="1EB5AF97">
            <w:pPr>
              <w:pStyle w:val="15"/>
              <w:spacing w:before="64" w:line="189" w:lineRule="auto"/>
              <w:ind w:left="295"/>
              <w:rPr>
                <w:color w:val="auto"/>
                <w:highlight w:val="none"/>
              </w:rPr>
            </w:pPr>
            <w:r>
              <w:rPr>
                <w:color w:val="auto"/>
                <w:spacing w:val="1"/>
                <w:highlight w:val="none"/>
              </w:rPr>
              <w:t>5.2</w:t>
            </w:r>
          </w:p>
        </w:tc>
        <w:tc>
          <w:tcPr>
            <w:tcW w:w="1881" w:type="dxa"/>
            <w:vAlign w:val="top"/>
          </w:tcPr>
          <w:p w14:paraId="6635AF7B">
            <w:pPr>
              <w:pStyle w:val="15"/>
              <w:spacing w:before="31" w:line="228" w:lineRule="auto"/>
              <w:ind w:left="210"/>
              <w:rPr>
                <w:color w:val="auto"/>
                <w:highlight w:val="none"/>
              </w:rPr>
            </w:pPr>
            <w:r>
              <w:rPr>
                <w:color w:val="auto"/>
                <w:spacing w:val="8"/>
                <w:highlight w:val="none"/>
              </w:rPr>
              <w:t>联合体竞标要求</w:t>
            </w:r>
          </w:p>
        </w:tc>
        <w:tc>
          <w:tcPr>
            <w:tcW w:w="6186" w:type="dxa"/>
            <w:vAlign w:val="top"/>
          </w:tcPr>
          <w:p w14:paraId="0E3CEA6B">
            <w:pPr>
              <w:pStyle w:val="15"/>
              <w:spacing w:before="31" w:line="228" w:lineRule="auto"/>
              <w:ind w:left="113"/>
              <w:rPr>
                <w:color w:val="auto"/>
                <w:highlight w:val="none"/>
              </w:rPr>
            </w:pPr>
            <w:r>
              <w:rPr>
                <w:color w:val="auto"/>
                <w:highlight w:val="none"/>
              </w:rPr>
              <w:t>无</w:t>
            </w:r>
          </w:p>
        </w:tc>
      </w:tr>
      <w:tr w14:paraId="7E6C8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883" w:type="dxa"/>
            <w:vAlign w:val="top"/>
          </w:tcPr>
          <w:p w14:paraId="60EB5484">
            <w:pPr>
              <w:spacing w:line="252" w:lineRule="auto"/>
              <w:rPr>
                <w:rFonts w:ascii="Arial"/>
                <w:color w:val="auto"/>
                <w:sz w:val="21"/>
                <w:highlight w:val="none"/>
              </w:rPr>
            </w:pPr>
          </w:p>
          <w:p w14:paraId="72189965">
            <w:pPr>
              <w:spacing w:line="253" w:lineRule="auto"/>
              <w:rPr>
                <w:rFonts w:ascii="Arial"/>
                <w:color w:val="auto"/>
                <w:sz w:val="21"/>
                <w:highlight w:val="none"/>
              </w:rPr>
            </w:pPr>
          </w:p>
          <w:p w14:paraId="4EC2C067">
            <w:pPr>
              <w:pStyle w:val="15"/>
              <w:spacing w:before="65" w:line="190" w:lineRule="auto"/>
              <w:ind w:left="292"/>
              <w:rPr>
                <w:color w:val="auto"/>
                <w:highlight w:val="none"/>
              </w:rPr>
            </w:pPr>
            <w:r>
              <w:rPr>
                <w:color w:val="auto"/>
                <w:spacing w:val="1"/>
                <w:highlight w:val="none"/>
              </w:rPr>
              <w:t>6.1</w:t>
            </w:r>
          </w:p>
        </w:tc>
        <w:tc>
          <w:tcPr>
            <w:tcW w:w="1881" w:type="dxa"/>
            <w:vAlign w:val="top"/>
          </w:tcPr>
          <w:p w14:paraId="28BA72B5">
            <w:pPr>
              <w:spacing w:line="473" w:lineRule="auto"/>
              <w:rPr>
                <w:rFonts w:ascii="Arial"/>
                <w:color w:val="auto"/>
                <w:sz w:val="21"/>
                <w:highlight w:val="none"/>
              </w:rPr>
            </w:pPr>
          </w:p>
          <w:p w14:paraId="70FAAB67">
            <w:pPr>
              <w:pStyle w:val="15"/>
              <w:spacing w:before="65" w:line="228" w:lineRule="auto"/>
              <w:ind w:left="318"/>
              <w:rPr>
                <w:color w:val="auto"/>
                <w:highlight w:val="none"/>
              </w:rPr>
            </w:pPr>
            <w:r>
              <w:rPr>
                <w:color w:val="auto"/>
                <w:spacing w:val="7"/>
                <w:highlight w:val="none"/>
              </w:rPr>
              <w:t>是否允许分包</w:t>
            </w:r>
          </w:p>
        </w:tc>
        <w:tc>
          <w:tcPr>
            <w:tcW w:w="6186" w:type="dxa"/>
            <w:vAlign w:val="top"/>
          </w:tcPr>
          <w:p w14:paraId="320B1731">
            <w:pPr>
              <w:pStyle w:val="15"/>
              <w:spacing w:before="30" w:line="228" w:lineRule="auto"/>
              <w:ind w:left="119"/>
              <w:rPr>
                <w:color w:val="auto"/>
                <w:highlight w:val="none"/>
              </w:rPr>
            </w:pPr>
            <w:r>
              <w:rPr>
                <w:rFonts w:ascii="MS Gothic" w:hAnsi="MS Gothic" w:eastAsia="MS Gothic" w:cs="MS Gothic"/>
                <w:color w:val="auto"/>
                <w:spacing w:val="7"/>
                <w:highlight w:val="none"/>
              </w:rPr>
              <w:t>☑</w:t>
            </w:r>
            <w:r>
              <w:rPr>
                <w:color w:val="auto"/>
                <w:spacing w:val="7"/>
                <w:highlight w:val="none"/>
              </w:rPr>
              <w:t>不允许分包</w:t>
            </w:r>
          </w:p>
          <w:p w14:paraId="53652FB0">
            <w:pPr>
              <w:pStyle w:val="15"/>
              <w:spacing w:before="93" w:line="228" w:lineRule="auto"/>
              <w:ind w:left="133"/>
              <w:rPr>
                <w:color w:val="auto"/>
                <w:highlight w:val="none"/>
              </w:rPr>
            </w:pPr>
            <w:r>
              <w:rPr>
                <w:color w:val="auto"/>
                <w:spacing w:val="3"/>
                <w:highlight w:val="none"/>
              </w:rPr>
              <w:t>□允许分包</w:t>
            </w:r>
          </w:p>
          <w:p w14:paraId="2D470D66">
            <w:pPr>
              <w:pStyle w:val="15"/>
              <w:spacing w:before="93" w:line="297" w:lineRule="auto"/>
              <w:ind w:left="114" w:right="932"/>
              <w:rPr>
                <w:color w:val="auto"/>
                <w:highlight w:val="none"/>
              </w:rPr>
            </w:pPr>
            <w:r>
              <w:rPr>
                <w:color w:val="auto"/>
                <w:spacing w:val="3"/>
                <w:highlight w:val="none"/>
              </w:rPr>
              <w:t>分包内容：</w:t>
            </w:r>
            <w:r>
              <w:rPr>
                <w:color w:val="auto"/>
                <w:highlight w:val="none"/>
                <w:u w:val="single" w:color="auto"/>
              </w:rPr>
              <w:t xml:space="preserve">                                       </w:t>
            </w:r>
            <w:r>
              <w:rPr>
                <w:color w:val="auto"/>
                <w:spacing w:val="3"/>
                <w:highlight w:val="none"/>
                <w:u w:val="single" w:color="auto"/>
              </w:rPr>
              <w:t>。</w:t>
            </w:r>
            <w:r>
              <w:rPr>
                <w:color w:val="auto"/>
                <w:spacing w:val="15"/>
                <w:highlight w:val="none"/>
              </w:rPr>
              <w:t xml:space="preserve"> </w:t>
            </w:r>
            <w:r>
              <w:rPr>
                <w:color w:val="auto"/>
                <w:spacing w:val="6"/>
                <w:highlight w:val="none"/>
              </w:rPr>
              <w:t>分包金额或者比例：</w:t>
            </w:r>
            <w:r>
              <w:rPr>
                <w:color w:val="auto"/>
                <w:spacing w:val="2"/>
                <w:highlight w:val="none"/>
                <w:u w:val="single" w:color="auto"/>
              </w:rPr>
              <w:t xml:space="preserve">                              </w:t>
            </w:r>
            <w:r>
              <w:rPr>
                <w:color w:val="auto"/>
                <w:spacing w:val="6"/>
                <w:highlight w:val="none"/>
                <w:u w:val="single" w:color="auto"/>
              </w:rPr>
              <w:t>。</w:t>
            </w:r>
          </w:p>
        </w:tc>
      </w:tr>
      <w:tr w14:paraId="197E8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74" w:hRule="atLeast"/>
        </w:trPr>
        <w:tc>
          <w:tcPr>
            <w:tcW w:w="883" w:type="dxa"/>
            <w:vAlign w:val="top"/>
          </w:tcPr>
          <w:p w14:paraId="07C7EDA6">
            <w:pPr>
              <w:spacing w:line="249" w:lineRule="auto"/>
              <w:rPr>
                <w:rFonts w:ascii="Arial"/>
                <w:color w:val="auto"/>
                <w:sz w:val="21"/>
                <w:highlight w:val="none"/>
              </w:rPr>
            </w:pPr>
          </w:p>
          <w:p w14:paraId="1CAA9906">
            <w:pPr>
              <w:spacing w:line="249" w:lineRule="auto"/>
              <w:rPr>
                <w:rFonts w:ascii="Arial"/>
                <w:color w:val="auto"/>
                <w:sz w:val="21"/>
                <w:highlight w:val="none"/>
              </w:rPr>
            </w:pPr>
          </w:p>
          <w:p w14:paraId="4ECA8066">
            <w:pPr>
              <w:spacing w:line="249" w:lineRule="auto"/>
              <w:rPr>
                <w:rFonts w:ascii="Arial"/>
                <w:color w:val="auto"/>
                <w:sz w:val="21"/>
                <w:highlight w:val="none"/>
              </w:rPr>
            </w:pPr>
          </w:p>
          <w:p w14:paraId="52FCD38E">
            <w:pPr>
              <w:spacing w:line="249" w:lineRule="auto"/>
              <w:rPr>
                <w:rFonts w:ascii="Arial"/>
                <w:color w:val="auto"/>
                <w:sz w:val="21"/>
                <w:highlight w:val="none"/>
              </w:rPr>
            </w:pPr>
          </w:p>
          <w:p w14:paraId="37E39BF9">
            <w:pPr>
              <w:spacing w:line="249" w:lineRule="auto"/>
              <w:rPr>
                <w:rFonts w:ascii="Arial"/>
                <w:color w:val="auto"/>
                <w:sz w:val="21"/>
                <w:highlight w:val="none"/>
              </w:rPr>
            </w:pPr>
          </w:p>
          <w:p w14:paraId="3BE05D40">
            <w:pPr>
              <w:spacing w:line="249" w:lineRule="auto"/>
              <w:rPr>
                <w:rFonts w:ascii="Arial"/>
                <w:color w:val="auto"/>
                <w:sz w:val="21"/>
                <w:highlight w:val="none"/>
              </w:rPr>
            </w:pPr>
          </w:p>
          <w:p w14:paraId="7E15A208">
            <w:pPr>
              <w:spacing w:line="249" w:lineRule="auto"/>
              <w:rPr>
                <w:rFonts w:ascii="Arial"/>
                <w:color w:val="auto"/>
                <w:sz w:val="21"/>
                <w:highlight w:val="none"/>
              </w:rPr>
            </w:pPr>
          </w:p>
          <w:p w14:paraId="312F9726">
            <w:pPr>
              <w:spacing w:line="249" w:lineRule="auto"/>
              <w:rPr>
                <w:rFonts w:ascii="Arial"/>
                <w:color w:val="auto"/>
                <w:sz w:val="21"/>
                <w:highlight w:val="none"/>
              </w:rPr>
            </w:pPr>
          </w:p>
          <w:p w14:paraId="4ED434D2">
            <w:pPr>
              <w:spacing w:line="249" w:lineRule="auto"/>
              <w:rPr>
                <w:rFonts w:ascii="Arial"/>
                <w:color w:val="auto"/>
                <w:sz w:val="21"/>
                <w:highlight w:val="none"/>
              </w:rPr>
            </w:pPr>
          </w:p>
          <w:p w14:paraId="0DCCFA14">
            <w:pPr>
              <w:spacing w:line="249" w:lineRule="auto"/>
              <w:rPr>
                <w:rFonts w:ascii="Arial"/>
                <w:color w:val="auto"/>
                <w:sz w:val="21"/>
                <w:highlight w:val="none"/>
              </w:rPr>
            </w:pPr>
          </w:p>
          <w:p w14:paraId="7B0653D0">
            <w:pPr>
              <w:spacing w:line="249" w:lineRule="auto"/>
              <w:rPr>
                <w:rFonts w:ascii="Arial"/>
                <w:color w:val="auto"/>
                <w:sz w:val="21"/>
                <w:highlight w:val="none"/>
              </w:rPr>
            </w:pPr>
          </w:p>
          <w:p w14:paraId="12142CCC">
            <w:pPr>
              <w:spacing w:line="249" w:lineRule="auto"/>
              <w:rPr>
                <w:rFonts w:ascii="Arial"/>
                <w:color w:val="auto"/>
                <w:sz w:val="21"/>
                <w:highlight w:val="none"/>
              </w:rPr>
            </w:pPr>
          </w:p>
          <w:p w14:paraId="3E89D6C2">
            <w:pPr>
              <w:spacing w:line="249" w:lineRule="auto"/>
              <w:rPr>
                <w:rFonts w:ascii="Arial"/>
                <w:color w:val="auto"/>
                <w:sz w:val="21"/>
                <w:highlight w:val="none"/>
              </w:rPr>
            </w:pPr>
          </w:p>
          <w:p w14:paraId="1F2E9575">
            <w:pPr>
              <w:spacing w:line="249" w:lineRule="auto"/>
              <w:rPr>
                <w:rFonts w:ascii="Arial"/>
                <w:color w:val="auto"/>
                <w:sz w:val="21"/>
                <w:highlight w:val="none"/>
              </w:rPr>
            </w:pPr>
          </w:p>
          <w:p w14:paraId="1CDDC852">
            <w:pPr>
              <w:spacing w:line="249" w:lineRule="auto"/>
              <w:rPr>
                <w:rFonts w:ascii="Arial"/>
                <w:color w:val="auto"/>
                <w:sz w:val="21"/>
                <w:highlight w:val="none"/>
              </w:rPr>
            </w:pPr>
          </w:p>
          <w:p w14:paraId="7471F6DD">
            <w:pPr>
              <w:spacing w:line="250" w:lineRule="auto"/>
              <w:rPr>
                <w:rFonts w:ascii="Arial"/>
                <w:color w:val="auto"/>
                <w:sz w:val="21"/>
                <w:highlight w:val="none"/>
              </w:rPr>
            </w:pPr>
          </w:p>
          <w:p w14:paraId="37A760B6">
            <w:pPr>
              <w:spacing w:line="250" w:lineRule="auto"/>
              <w:rPr>
                <w:rFonts w:ascii="Arial"/>
                <w:color w:val="auto"/>
                <w:sz w:val="21"/>
                <w:highlight w:val="none"/>
              </w:rPr>
            </w:pPr>
          </w:p>
          <w:p w14:paraId="34EF2FF6">
            <w:pPr>
              <w:spacing w:line="250" w:lineRule="auto"/>
              <w:rPr>
                <w:rFonts w:ascii="Arial"/>
                <w:color w:val="auto"/>
                <w:sz w:val="21"/>
                <w:highlight w:val="none"/>
              </w:rPr>
            </w:pPr>
          </w:p>
          <w:p w14:paraId="6C1D5892">
            <w:pPr>
              <w:spacing w:line="250" w:lineRule="auto"/>
              <w:rPr>
                <w:rFonts w:ascii="Arial"/>
                <w:color w:val="auto"/>
                <w:sz w:val="21"/>
                <w:highlight w:val="none"/>
              </w:rPr>
            </w:pPr>
          </w:p>
          <w:p w14:paraId="40BB46DC">
            <w:pPr>
              <w:pStyle w:val="15"/>
              <w:spacing w:before="65" w:line="190" w:lineRule="auto"/>
              <w:ind w:left="148"/>
              <w:rPr>
                <w:color w:val="auto"/>
                <w:highlight w:val="none"/>
              </w:rPr>
            </w:pPr>
            <w:r>
              <w:rPr>
                <w:color w:val="auto"/>
                <w:spacing w:val="1"/>
                <w:highlight w:val="none"/>
              </w:rPr>
              <w:t>12.1.1</w:t>
            </w:r>
          </w:p>
        </w:tc>
        <w:tc>
          <w:tcPr>
            <w:tcW w:w="1881" w:type="dxa"/>
            <w:vAlign w:val="top"/>
          </w:tcPr>
          <w:p w14:paraId="3F5804A6">
            <w:pPr>
              <w:spacing w:line="242" w:lineRule="auto"/>
              <w:rPr>
                <w:rFonts w:ascii="Arial"/>
                <w:color w:val="auto"/>
                <w:sz w:val="21"/>
                <w:highlight w:val="none"/>
              </w:rPr>
            </w:pPr>
          </w:p>
          <w:p w14:paraId="4494F000">
            <w:pPr>
              <w:spacing w:line="242" w:lineRule="auto"/>
              <w:rPr>
                <w:rFonts w:ascii="Arial"/>
                <w:color w:val="auto"/>
                <w:sz w:val="21"/>
                <w:highlight w:val="none"/>
              </w:rPr>
            </w:pPr>
          </w:p>
          <w:p w14:paraId="41671DD5">
            <w:pPr>
              <w:spacing w:line="242" w:lineRule="auto"/>
              <w:rPr>
                <w:rFonts w:ascii="Arial"/>
                <w:color w:val="auto"/>
                <w:sz w:val="21"/>
                <w:highlight w:val="none"/>
              </w:rPr>
            </w:pPr>
          </w:p>
          <w:p w14:paraId="306A4275">
            <w:pPr>
              <w:spacing w:line="242" w:lineRule="auto"/>
              <w:rPr>
                <w:rFonts w:ascii="Arial"/>
                <w:color w:val="auto"/>
                <w:sz w:val="21"/>
                <w:highlight w:val="none"/>
              </w:rPr>
            </w:pPr>
          </w:p>
          <w:p w14:paraId="7DB6DF44">
            <w:pPr>
              <w:spacing w:line="242" w:lineRule="auto"/>
              <w:rPr>
                <w:rFonts w:ascii="Arial"/>
                <w:color w:val="auto"/>
                <w:sz w:val="21"/>
                <w:highlight w:val="none"/>
              </w:rPr>
            </w:pPr>
          </w:p>
          <w:p w14:paraId="754C66FC">
            <w:pPr>
              <w:spacing w:line="242" w:lineRule="auto"/>
              <w:rPr>
                <w:rFonts w:ascii="Arial"/>
                <w:color w:val="auto"/>
                <w:sz w:val="21"/>
                <w:highlight w:val="none"/>
              </w:rPr>
            </w:pPr>
          </w:p>
          <w:p w14:paraId="04CE836D">
            <w:pPr>
              <w:spacing w:line="243" w:lineRule="auto"/>
              <w:rPr>
                <w:rFonts w:ascii="Arial"/>
                <w:color w:val="auto"/>
                <w:sz w:val="21"/>
                <w:highlight w:val="none"/>
              </w:rPr>
            </w:pPr>
          </w:p>
          <w:p w14:paraId="49E366B8">
            <w:pPr>
              <w:spacing w:line="243" w:lineRule="auto"/>
              <w:rPr>
                <w:rFonts w:ascii="Arial"/>
                <w:color w:val="auto"/>
                <w:sz w:val="21"/>
                <w:highlight w:val="none"/>
              </w:rPr>
            </w:pPr>
          </w:p>
          <w:p w14:paraId="209A4623">
            <w:pPr>
              <w:spacing w:line="243" w:lineRule="auto"/>
              <w:rPr>
                <w:rFonts w:ascii="Arial"/>
                <w:color w:val="auto"/>
                <w:sz w:val="21"/>
                <w:highlight w:val="none"/>
              </w:rPr>
            </w:pPr>
          </w:p>
          <w:p w14:paraId="05DC2DB4">
            <w:pPr>
              <w:spacing w:line="243" w:lineRule="auto"/>
              <w:rPr>
                <w:rFonts w:ascii="Arial"/>
                <w:color w:val="auto"/>
                <w:sz w:val="21"/>
                <w:highlight w:val="none"/>
              </w:rPr>
            </w:pPr>
          </w:p>
          <w:p w14:paraId="10BE9B0F">
            <w:pPr>
              <w:spacing w:line="243" w:lineRule="auto"/>
              <w:rPr>
                <w:rFonts w:ascii="Arial"/>
                <w:color w:val="auto"/>
                <w:sz w:val="21"/>
                <w:highlight w:val="none"/>
              </w:rPr>
            </w:pPr>
          </w:p>
          <w:p w14:paraId="6C933C31">
            <w:pPr>
              <w:spacing w:line="243" w:lineRule="auto"/>
              <w:rPr>
                <w:rFonts w:ascii="Arial"/>
                <w:color w:val="auto"/>
                <w:sz w:val="21"/>
                <w:highlight w:val="none"/>
              </w:rPr>
            </w:pPr>
          </w:p>
          <w:p w14:paraId="2110281F">
            <w:pPr>
              <w:spacing w:line="243" w:lineRule="auto"/>
              <w:rPr>
                <w:rFonts w:ascii="Arial"/>
                <w:color w:val="auto"/>
                <w:sz w:val="21"/>
                <w:highlight w:val="none"/>
              </w:rPr>
            </w:pPr>
          </w:p>
          <w:p w14:paraId="6A0BAA7A">
            <w:pPr>
              <w:spacing w:line="243" w:lineRule="auto"/>
              <w:rPr>
                <w:rFonts w:ascii="Arial"/>
                <w:color w:val="auto"/>
                <w:sz w:val="21"/>
                <w:highlight w:val="none"/>
              </w:rPr>
            </w:pPr>
          </w:p>
          <w:p w14:paraId="6C10745F">
            <w:pPr>
              <w:spacing w:line="243" w:lineRule="auto"/>
              <w:rPr>
                <w:rFonts w:ascii="Arial"/>
                <w:color w:val="auto"/>
                <w:sz w:val="21"/>
                <w:highlight w:val="none"/>
              </w:rPr>
            </w:pPr>
          </w:p>
          <w:p w14:paraId="385E470E">
            <w:pPr>
              <w:spacing w:line="243" w:lineRule="auto"/>
              <w:rPr>
                <w:rFonts w:ascii="Arial"/>
                <w:color w:val="auto"/>
                <w:sz w:val="21"/>
                <w:highlight w:val="none"/>
              </w:rPr>
            </w:pPr>
          </w:p>
          <w:p w14:paraId="6A865294">
            <w:pPr>
              <w:spacing w:line="243" w:lineRule="auto"/>
              <w:rPr>
                <w:rFonts w:ascii="Arial"/>
                <w:color w:val="auto"/>
                <w:sz w:val="21"/>
                <w:highlight w:val="none"/>
              </w:rPr>
            </w:pPr>
          </w:p>
          <w:p w14:paraId="5BC459A6">
            <w:pPr>
              <w:spacing w:line="243" w:lineRule="auto"/>
              <w:rPr>
                <w:rFonts w:ascii="Arial"/>
                <w:color w:val="auto"/>
                <w:sz w:val="21"/>
                <w:highlight w:val="none"/>
              </w:rPr>
            </w:pPr>
          </w:p>
          <w:p w14:paraId="26BF8DB2">
            <w:pPr>
              <w:pStyle w:val="15"/>
              <w:spacing w:before="65" w:line="298" w:lineRule="auto"/>
              <w:ind w:left="839" w:right="203" w:hanging="623"/>
              <w:rPr>
                <w:color w:val="auto"/>
                <w:highlight w:val="none"/>
              </w:rPr>
            </w:pPr>
            <w:r>
              <w:rPr>
                <w:b/>
                <w:bCs/>
                <w:color w:val="auto"/>
                <w:spacing w:val="5"/>
                <w:highlight w:val="none"/>
              </w:rPr>
              <w:t>资格证明文件组</w:t>
            </w:r>
            <w:r>
              <w:rPr>
                <w:color w:val="auto"/>
                <w:spacing w:val="5"/>
                <w:highlight w:val="none"/>
              </w:rPr>
              <w:t xml:space="preserve"> </w:t>
            </w:r>
            <w:r>
              <w:rPr>
                <w:b/>
                <w:bCs/>
                <w:color w:val="auto"/>
                <w:spacing w:val="-3"/>
                <w:highlight w:val="none"/>
              </w:rPr>
              <w:t>成</w:t>
            </w:r>
          </w:p>
        </w:tc>
        <w:tc>
          <w:tcPr>
            <w:tcW w:w="6186" w:type="dxa"/>
            <w:vAlign w:val="top"/>
          </w:tcPr>
          <w:p w14:paraId="527B434E">
            <w:pPr>
              <w:pStyle w:val="15"/>
              <w:spacing w:before="32" w:line="300" w:lineRule="auto"/>
              <w:ind w:left="110" w:right="110" w:firstLine="437"/>
              <w:rPr>
                <w:color w:val="auto"/>
                <w:highlight w:val="none"/>
              </w:rPr>
            </w:pPr>
            <w:r>
              <w:rPr>
                <w:rFonts w:ascii="Times New Roman" w:hAnsi="Times New Roman" w:eastAsia="Times New Roman" w:cs="Times New Roman"/>
                <w:color w:val="auto"/>
                <w:spacing w:val="5"/>
                <w:highlight w:val="none"/>
              </w:rPr>
              <w:t>1.</w:t>
            </w:r>
            <w:r>
              <w:rPr>
                <w:color w:val="auto"/>
                <w:spacing w:val="5"/>
                <w:highlight w:val="none"/>
              </w:rPr>
              <w:t>崇左市政府采购供应商信用承诺函</w:t>
            </w:r>
            <w:r>
              <w:rPr>
                <w:b/>
                <w:bCs/>
                <w:color w:val="auto"/>
                <w:spacing w:val="5"/>
                <w:highlight w:val="none"/>
              </w:rPr>
              <w:t>（必须提供，否则响应文</w:t>
            </w:r>
            <w:r>
              <w:rPr>
                <w:b/>
                <w:bCs/>
                <w:color w:val="auto"/>
                <w:spacing w:val="7"/>
                <w:highlight w:val="none"/>
              </w:rPr>
              <w:t>件按无效响应处理，格式后附）</w:t>
            </w:r>
          </w:p>
          <w:p w14:paraId="63B105F0">
            <w:pPr>
              <w:pStyle w:val="15"/>
              <w:spacing w:before="28" w:line="311" w:lineRule="auto"/>
              <w:ind w:left="114" w:right="108" w:firstLine="413"/>
              <w:jc w:val="both"/>
              <w:rPr>
                <w:color w:val="auto"/>
                <w:highlight w:val="none"/>
              </w:rPr>
            </w:pPr>
            <w:r>
              <w:rPr>
                <w:rFonts w:ascii="Times New Roman" w:hAnsi="Times New Roman" w:eastAsia="Times New Roman" w:cs="Times New Roman"/>
                <w:color w:val="auto"/>
                <w:spacing w:val="7"/>
                <w:highlight w:val="none"/>
              </w:rPr>
              <w:t>2.</w:t>
            </w:r>
            <w:r>
              <w:rPr>
                <w:color w:val="auto"/>
                <w:spacing w:val="7"/>
                <w:highlight w:val="none"/>
              </w:rPr>
              <w:t>落实政府采购政策需满足的资格要求：本项目属于专</w:t>
            </w:r>
            <w:r>
              <w:rPr>
                <w:color w:val="auto"/>
                <w:spacing w:val="6"/>
                <w:highlight w:val="none"/>
              </w:rPr>
              <w:t>门面向</w:t>
            </w:r>
            <w:r>
              <w:rPr>
                <w:color w:val="auto"/>
                <w:spacing w:val="8"/>
                <w:highlight w:val="none"/>
              </w:rPr>
              <w:t>中小企业采购的项目，根据财库【2020】46号《政府采购促进中</w:t>
            </w:r>
            <w:r>
              <w:rPr>
                <w:color w:val="auto"/>
                <w:spacing w:val="9"/>
                <w:highlight w:val="none"/>
              </w:rPr>
              <w:t>小企业发展管理办法》要求，供应商应为中小微企业或监狱企业</w:t>
            </w:r>
            <w:r>
              <w:rPr>
                <w:color w:val="auto"/>
                <w:spacing w:val="10"/>
                <w:highlight w:val="none"/>
              </w:rPr>
              <w:t>或残疾人福利性单位</w:t>
            </w:r>
            <w:r>
              <w:rPr>
                <w:color w:val="auto"/>
                <w:spacing w:val="-6"/>
                <w:highlight w:val="none"/>
              </w:rPr>
              <w:t>；</w:t>
            </w:r>
            <w:r>
              <w:rPr>
                <w:b/>
                <w:bCs/>
                <w:color w:val="auto"/>
                <w:spacing w:val="-6"/>
                <w:highlight w:val="none"/>
              </w:rPr>
              <w:t>（</w:t>
            </w:r>
            <w:r>
              <w:rPr>
                <w:b/>
                <w:bCs/>
                <w:color w:val="auto"/>
                <w:spacing w:val="10"/>
                <w:highlight w:val="none"/>
              </w:rPr>
              <w:t>必须提供，否则响应文件</w:t>
            </w:r>
            <w:r>
              <w:rPr>
                <w:b/>
                <w:bCs/>
                <w:color w:val="auto"/>
                <w:spacing w:val="9"/>
                <w:highlight w:val="none"/>
              </w:rPr>
              <w:t>按无效响应处</w:t>
            </w:r>
            <w:r>
              <w:rPr>
                <w:b/>
                <w:bCs/>
                <w:color w:val="auto"/>
                <w:spacing w:val="-3"/>
                <w:highlight w:val="none"/>
              </w:rPr>
              <w:t>理）</w:t>
            </w:r>
          </w:p>
          <w:p w14:paraId="304EBCBA">
            <w:pPr>
              <w:pStyle w:val="15"/>
              <w:spacing w:before="20" w:line="227" w:lineRule="auto"/>
              <w:ind w:left="532"/>
              <w:rPr>
                <w:color w:val="auto"/>
                <w:highlight w:val="none"/>
              </w:rPr>
            </w:pPr>
            <w:r>
              <w:rPr>
                <w:rFonts w:ascii="Times New Roman" w:hAnsi="Times New Roman" w:eastAsia="Times New Roman" w:cs="Times New Roman"/>
                <w:color w:val="auto"/>
                <w:spacing w:val="8"/>
                <w:highlight w:val="none"/>
              </w:rPr>
              <w:t>3.</w:t>
            </w:r>
            <w:r>
              <w:rPr>
                <w:color w:val="auto"/>
                <w:spacing w:val="8"/>
                <w:highlight w:val="none"/>
              </w:rPr>
              <w:t>供应商直接控股、管理关系信息表</w:t>
            </w:r>
            <w:r>
              <w:rPr>
                <w:color w:val="auto"/>
                <w:spacing w:val="-20"/>
                <w:highlight w:val="none"/>
              </w:rPr>
              <w:t>；</w:t>
            </w:r>
            <w:r>
              <w:rPr>
                <w:b/>
                <w:bCs/>
                <w:color w:val="auto"/>
                <w:spacing w:val="-20"/>
                <w:highlight w:val="none"/>
              </w:rPr>
              <w:t>（</w:t>
            </w:r>
            <w:r>
              <w:rPr>
                <w:b/>
                <w:bCs/>
                <w:color w:val="auto"/>
                <w:spacing w:val="8"/>
                <w:highlight w:val="none"/>
              </w:rPr>
              <w:t>必须提供，否则响应</w:t>
            </w:r>
          </w:p>
          <w:p w14:paraId="6EA20D57">
            <w:pPr>
              <w:pStyle w:val="15"/>
              <w:spacing w:before="92" w:line="228" w:lineRule="auto"/>
              <w:ind w:left="113"/>
              <w:rPr>
                <w:color w:val="auto"/>
                <w:highlight w:val="none"/>
              </w:rPr>
            </w:pPr>
            <w:r>
              <w:rPr>
                <w:b/>
                <w:bCs/>
                <w:color w:val="auto"/>
                <w:spacing w:val="6"/>
                <w:highlight w:val="none"/>
              </w:rPr>
              <w:t>文件按无效响应处理）</w:t>
            </w:r>
          </w:p>
          <w:p w14:paraId="0166DC04">
            <w:pPr>
              <w:pStyle w:val="15"/>
              <w:spacing w:before="94" w:line="227" w:lineRule="auto"/>
              <w:ind w:left="526"/>
              <w:rPr>
                <w:color w:val="auto"/>
                <w:highlight w:val="none"/>
              </w:rPr>
            </w:pPr>
            <w:r>
              <w:rPr>
                <w:rFonts w:ascii="Times New Roman" w:hAnsi="Times New Roman" w:eastAsia="Times New Roman" w:cs="Times New Roman"/>
                <w:color w:val="auto"/>
                <w:spacing w:val="9"/>
                <w:highlight w:val="none"/>
              </w:rPr>
              <w:t>4.</w:t>
            </w:r>
            <w:r>
              <w:rPr>
                <w:color w:val="auto"/>
                <w:spacing w:val="9"/>
                <w:highlight w:val="none"/>
              </w:rPr>
              <w:t>竞标声明</w:t>
            </w:r>
            <w:r>
              <w:rPr>
                <w:color w:val="auto"/>
                <w:spacing w:val="-6"/>
                <w:highlight w:val="none"/>
              </w:rPr>
              <w:t>；</w:t>
            </w:r>
            <w:r>
              <w:rPr>
                <w:b/>
                <w:bCs/>
                <w:color w:val="auto"/>
                <w:spacing w:val="-6"/>
                <w:highlight w:val="none"/>
              </w:rPr>
              <w:t>（</w:t>
            </w:r>
            <w:r>
              <w:rPr>
                <w:b/>
                <w:bCs/>
                <w:color w:val="auto"/>
                <w:spacing w:val="9"/>
                <w:highlight w:val="none"/>
              </w:rPr>
              <w:t>必须提供，否则响应文件按无效响应处理）</w:t>
            </w:r>
          </w:p>
          <w:p w14:paraId="33E85BF0">
            <w:pPr>
              <w:pStyle w:val="15"/>
              <w:spacing w:before="96" w:line="300" w:lineRule="auto"/>
              <w:ind w:left="116" w:right="108" w:firstLine="416"/>
              <w:rPr>
                <w:color w:val="auto"/>
                <w:highlight w:val="none"/>
              </w:rPr>
            </w:pPr>
            <w:r>
              <w:rPr>
                <w:rFonts w:ascii="Times New Roman" w:hAnsi="Times New Roman" w:eastAsia="Times New Roman" w:cs="Times New Roman"/>
                <w:color w:val="auto"/>
                <w:spacing w:val="8"/>
                <w:highlight w:val="none"/>
              </w:rPr>
              <w:t>5.</w:t>
            </w:r>
            <w:r>
              <w:rPr>
                <w:color w:val="auto"/>
                <w:spacing w:val="8"/>
                <w:highlight w:val="none"/>
              </w:rPr>
              <w:t>建设工程项目管理承诺书</w:t>
            </w:r>
            <w:r>
              <w:rPr>
                <w:color w:val="auto"/>
                <w:spacing w:val="-25"/>
                <w:highlight w:val="none"/>
              </w:rPr>
              <w:t>；</w:t>
            </w:r>
            <w:r>
              <w:rPr>
                <w:b/>
                <w:bCs/>
                <w:color w:val="auto"/>
                <w:spacing w:val="-25"/>
                <w:highlight w:val="none"/>
              </w:rPr>
              <w:t>（</w:t>
            </w:r>
            <w:r>
              <w:rPr>
                <w:b/>
                <w:bCs/>
                <w:color w:val="auto"/>
                <w:spacing w:val="8"/>
                <w:highlight w:val="none"/>
              </w:rPr>
              <w:t>必须提供，否则响应文件按无</w:t>
            </w:r>
            <w:r>
              <w:rPr>
                <w:b/>
                <w:bCs/>
                <w:color w:val="auto"/>
                <w:spacing w:val="4"/>
                <w:highlight w:val="none"/>
              </w:rPr>
              <w:t>效响应处理）</w:t>
            </w:r>
          </w:p>
          <w:p w14:paraId="1181EBA6">
            <w:pPr>
              <w:pStyle w:val="15"/>
              <w:spacing w:before="30" w:line="312" w:lineRule="auto"/>
              <w:ind w:left="110" w:right="76" w:firstLine="422"/>
              <w:jc w:val="both"/>
              <w:rPr>
                <w:color w:val="auto"/>
                <w:highlight w:val="none"/>
              </w:rPr>
            </w:pPr>
            <w:r>
              <w:rPr>
                <w:rFonts w:ascii="Times New Roman" w:hAnsi="Times New Roman" w:eastAsia="Times New Roman" w:cs="Times New Roman"/>
                <w:color w:val="auto"/>
                <w:spacing w:val="7"/>
                <w:highlight w:val="none"/>
              </w:rPr>
              <w:t>6.</w:t>
            </w:r>
            <w:r>
              <w:rPr>
                <w:color w:val="auto"/>
                <w:spacing w:val="7"/>
                <w:highlight w:val="none"/>
              </w:rPr>
              <w:t>符合公告特定资格条件的有关证明材料(①资质证书副本、</w:t>
            </w:r>
            <w:r>
              <w:rPr>
                <w:color w:val="auto"/>
                <w:spacing w:val="9"/>
                <w:highlight w:val="none"/>
              </w:rPr>
              <w:t>②安全生产许可证副本、</w:t>
            </w:r>
            <w:r>
              <w:rPr>
                <w:rFonts w:hint="eastAsia"/>
                <w:color w:val="auto"/>
                <w:spacing w:val="9"/>
                <w:highlight w:val="none"/>
                <w:lang w:eastAsia="zh-CN"/>
              </w:rPr>
              <w:t>③</w:t>
            </w:r>
            <w:r>
              <w:rPr>
                <w:color w:val="auto"/>
                <w:spacing w:val="9"/>
                <w:highlight w:val="none"/>
              </w:rPr>
              <w:t>拟投入本项目项目经理有效的注册建造师资质证书、安全生产考核合格</w:t>
            </w:r>
            <w:r>
              <w:rPr>
                <w:color w:val="auto"/>
                <w:spacing w:val="6"/>
                <w:highlight w:val="none"/>
              </w:rPr>
              <w:t>证书（</w:t>
            </w:r>
            <w:r>
              <w:rPr>
                <w:rFonts w:ascii="Times New Roman" w:hAnsi="Times New Roman" w:eastAsia="Times New Roman" w:cs="Times New Roman"/>
                <w:color w:val="auto"/>
                <w:spacing w:val="6"/>
                <w:highlight w:val="none"/>
              </w:rPr>
              <w:t>B</w:t>
            </w:r>
            <w:r>
              <w:rPr>
                <w:color w:val="auto"/>
                <w:spacing w:val="6"/>
                <w:highlight w:val="none"/>
              </w:rPr>
              <w:t>类）、</w:t>
            </w:r>
            <w:r>
              <w:rPr>
                <w:rFonts w:hint="eastAsia"/>
                <w:color w:val="auto"/>
                <w:spacing w:val="6"/>
                <w:highlight w:val="none"/>
                <w:lang w:eastAsia="zh-CN"/>
              </w:rPr>
              <w:t>④</w:t>
            </w:r>
            <w:r>
              <w:rPr>
                <w:color w:val="auto"/>
                <w:spacing w:val="6"/>
                <w:highlight w:val="none"/>
              </w:rPr>
              <w:t>拟投入专职安全员有效的安全生产考核合</w:t>
            </w:r>
            <w:r>
              <w:rPr>
                <w:color w:val="auto"/>
                <w:spacing w:val="5"/>
                <w:highlight w:val="none"/>
              </w:rPr>
              <w:t>格证书</w:t>
            </w:r>
            <w:r>
              <w:rPr>
                <w:color w:val="auto"/>
                <w:spacing w:val="6"/>
                <w:highlight w:val="none"/>
              </w:rPr>
              <w:t>（</w:t>
            </w:r>
            <w:r>
              <w:rPr>
                <w:rFonts w:ascii="Times New Roman" w:hAnsi="Times New Roman" w:eastAsia="Times New Roman" w:cs="Times New Roman"/>
                <w:color w:val="auto"/>
                <w:spacing w:val="6"/>
                <w:highlight w:val="none"/>
              </w:rPr>
              <w:t>C</w:t>
            </w:r>
            <w:r>
              <w:rPr>
                <w:color w:val="auto"/>
                <w:spacing w:val="6"/>
                <w:highlight w:val="none"/>
              </w:rPr>
              <w:t>类）</w:t>
            </w:r>
            <w:r>
              <w:rPr>
                <w:color w:val="auto"/>
                <w:spacing w:val="-3"/>
                <w:highlight w:val="none"/>
              </w:rPr>
              <w:t>（</w:t>
            </w:r>
            <w:r>
              <w:rPr>
                <w:b/>
                <w:bCs/>
                <w:color w:val="auto"/>
                <w:spacing w:val="10"/>
                <w:highlight w:val="none"/>
              </w:rPr>
              <w:t>必须提供，否则作无效投标处</w:t>
            </w:r>
            <w:r>
              <w:rPr>
                <w:b/>
                <w:bCs/>
                <w:color w:val="auto"/>
                <w:highlight w:val="none"/>
              </w:rPr>
              <w:t>理</w:t>
            </w:r>
            <w:r>
              <w:rPr>
                <w:color w:val="auto"/>
                <w:highlight w:val="none"/>
              </w:rPr>
              <w:t>）</w:t>
            </w:r>
          </w:p>
          <w:p w14:paraId="263B6611">
            <w:pPr>
              <w:pStyle w:val="15"/>
              <w:spacing w:before="23" w:line="300" w:lineRule="auto"/>
              <w:ind w:left="128" w:right="108" w:firstLine="402"/>
              <w:rPr>
                <w:rFonts w:ascii="Arial"/>
                <w:color w:val="auto"/>
                <w:sz w:val="21"/>
                <w:highlight w:val="none"/>
              </w:rPr>
            </w:pPr>
            <w:r>
              <w:rPr>
                <w:rFonts w:ascii="Times New Roman" w:hAnsi="Times New Roman" w:eastAsia="Times New Roman" w:cs="Times New Roman"/>
                <w:color w:val="auto"/>
                <w:spacing w:val="6"/>
                <w:highlight w:val="none"/>
              </w:rPr>
              <w:t>7.</w:t>
            </w:r>
            <w:r>
              <w:rPr>
                <w:rFonts w:ascii="Times New Roman" w:hAnsi="Times New Roman" w:eastAsia="Times New Roman" w:cs="Times New Roman"/>
                <w:color w:val="auto"/>
                <w:spacing w:val="-28"/>
                <w:highlight w:val="none"/>
              </w:rPr>
              <w:t xml:space="preserve"> </w:t>
            </w:r>
            <w:r>
              <w:rPr>
                <w:color w:val="auto"/>
                <w:spacing w:val="6"/>
                <w:highlight w:val="none"/>
              </w:rPr>
              <w:t>除竞争性磋商文件规定必须提供以外，供应商认为需要提供</w:t>
            </w:r>
            <w:r>
              <w:rPr>
                <w:color w:val="auto"/>
                <w:spacing w:val="5"/>
                <w:highlight w:val="none"/>
              </w:rPr>
              <w:t>的其他证明材料；</w:t>
            </w:r>
          </w:p>
          <w:p w14:paraId="314B98EB">
            <w:pPr>
              <w:pStyle w:val="15"/>
              <w:spacing w:before="65" w:line="300" w:lineRule="auto"/>
              <w:ind w:left="113" w:right="183" w:firstLine="411"/>
              <w:rPr>
                <w:color w:val="auto"/>
                <w:highlight w:val="none"/>
              </w:rPr>
            </w:pPr>
            <w:r>
              <w:rPr>
                <w:b/>
                <w:bCs/>
                <w:color w:val="auto"/>
                <w:spacing w:val="8"/>
                <w:highlight w:val="none"/>
              </w:rPr>
              <w:t>注：1.法定代表人授权委托书必须由法定代表人及委托代理人签字，并加盖供应商公章，否则响应文件按无效</w:t>
            </w:r>
            <w:r>
              <w:rPr>
                <w:b/>
                <w:bCs/>
                <w:color w:val="auto"/>
                <w:spacing w:val="7"/>
                <w:highlight w:val="none"/>
              </w:rPr>
              <w:t>响应处理。</w:t>
            </w:r>
          </w:p>
          <w:p w14:paraId="1136E9F7">
            <w:pPr>
              <w:pStyle w:val="15"/>
              <w:spacing w:before="30" w:line="296" w:lineRule="auto"/>
              <w:ind w:left="115" w:right="175" w:firstLine="419"/>
              <w:rPr>
                <w:color w:val="auto"/>
                <w:highlight w:val="none"/>
              </w:rPr>
            </w:pPr>
            <w:r>
              <w:rPr>
                <w:b/>
                <w:bCs/>
                <w:color w:val="auto"/>
                <w:spacing w:val="7"/>
                <w:highlight w:val="none"/>
              </w:rPr>
              <w:t>2.以上标明“必须提供</w:t>
            </w:r>
            <w:r>
              <w:rPr>
                <w:color w:val="auto"/>
                <w:spacing w:val="-72"/>
                <w:highlight w:val="none"/>
              </w:rPr>
              <w:t xml:space="preserve"> </w:t>
            </w:r>
            <w:r>
              <w:rPr>
                <w:b/>
                <w:bCs/>
                <w:color w:val="auto"/>
                <w:spacing w:val="7"/>
                <w:highlight w:val="none"/>
              </w:rPr>
              <w:t>”的材料属于复印件的扫描</w:t>
            </w:r>
            <w:r>
              <w:rPr>
                <w:b/>
                <w:bCs/>
                <w:color w:val="auto"/>
                <w:spacing w:val="6"/>
                <w:highlight w:val="none"/>
              </w:rPr>
              <w:t>件的，必</w:t>
            </w:r>
            <w:r>
              <w:rPr>
                <w:b/>
                <w:bCs/>
                <w:color w:val="auto"/>
                <w:spacing w:val="7"/>
                <w:highlight w:val="none"/>
              </w:rPr>
              <w:t>须加盖供应商电子公章，否则响应文件按无效响应处理。</w:t>
            </w:r>
          </w:p>
        </w:tc>
      </w:tr>
      <w:tr w14:paraId="2AB4A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 w:hRule="atLeast"/>
        </w:trPr>
        <w:tc>
          <w:tcPr>
            <w:tcW w:w="883" w:type="dxa"/>
            <w:vAlign w:val="center"/>
          </w:tcPr>
          <w:p w14:paraId="383CCE67">
            <w:pPr>
              <w:pStyle w:val="15"/>
              <w:spacing w:before="67" w:line="190" w:lineRule="auto"/>
              <w:ind w:left="148"/>
              <w:jc w:val="center"/>
              <w:rPr>
                <w:color w:val="auto"/>
                <w:highlight w:val="none"/>
              </w:rPr>
            </w:pPr>
            <w:r>
              <w:rPr>
                <w:color w:val="auto"/>
                <w:spacing w:val="1"/>
                <w:highlight w:val="none"/>
              </w:rPr>
              <w:t>12.1.2</w:t>
            </w:r>
          </w:p>
        </w:tc>
        <w:tc>
          <w:tcPr>
            <w:tcW w:w="1881" w:type="dxa"/>
            <w:vAlign w:val="center"/>
          </w:tcPr>
          <w:p w14:paraId="72DE9685">
            <w:pPr>
              <w:pStyle w:val="15"/>
              <w:spacing w:before="35" w:line="228" w:lineRule="auto"/>
              <w:ind w:left="211"/>
              <w:jc w:val="center"/>
              <w:rPr>
                <w:color w:val="auto"/>
                <w:highlight w:val="none"/>
              </w:rPr>
            </w:pPr>
            <w:r>
              <w:rPr>
                <w:b/>
                <w:bCs/>
                <w:color w:val="auto"/>
                <w:spacing w:val="6"/>
                <w:highlight w:val="none"/>
              </w:rPr>
              <w:t>商务文件组</w:t>
            </w:r>
            <w:r>
              <w:rPr>
                <w:b/>
                <w:bCs/>
                <w:color w:val="auto"/>
                <w:spacing w:val="-3"/>
                <w:highlight w:val="none"/>
              </w:rPr>
              <w:t>成</w:t>
            </w:r>
          </w:p>
        </w:tc>
        <w:tc>
          <w:tcPr>
            <w:tcW w:w="6186" w:type="dxa"/>
            <w:vAlign w:val="top"/>
          </w:tcPr>
          <w:p w14:paraId="3F1002B6">
            <w:pPr>
              <w:pStyle w:val="15"/>
              <w:spacing w:before="35" w:line="230" w:lineRule="auto"/>
              <w:ind w:left="114" w:firstLine="432" w:firstLineChars="200"/>
              <w:rPr>
                <w:color w:val="auto"/>
                <w:highlight w:val="none"/>
              </w:rPr>
            </w:pPr>
            <w:r>
              <w:rPr>
                <w:color w:val="auto"/>
                <w:spacing w:val="8"/>
                <w:highlight w:val="none"/>
              </w:rPr>
              <w:t>1.无串通竞标行为的承诺函（</w:t>
            </w:r>
            <w:r>
              <w:rPr>
                <w:b/>
                <w:bCs/>
                <w:color w:val="auto"/>
                <w:spacing w:val="8"/>
                <w:highlight w:val="none"/>
              </w:rPr>
              <w:t>必须提供，否则作无效投标处</w:t>
            </w:r>
            <w:r>
              <w:rPr>
                <w:b/>
                <w:bCs/>
                <w:color w:val="auto"/>
                <w:spacing w:val="-4"/>
                <w:highlight w:val="none"/>
              </w:rPr>
              <w:t>理</w:t>
            </w:r>
            <w:r>
              <w:rPr>
                <w:color w:val="auto"/>
                <w:highlight w:val="none"/>
              </w:rPr>
              <w:t>）；</w:t>
            </w:r>
          </w:p>
          <w:p w14:paraId="5785FA27">
            <w:pPr>
              <w:pStyle w:val="15"/>
              <w:spacing w:before="92" w:line="308" w:lineRule="auto"/>
              <w:ind w:left="114" w:right="108" w:firstLine="420"/>
              <w:jc w:val="both"/>
              <w:rPr>
                <w:color w:val="auto"/>
                <w:highlight w:val="none"/>
              </w:rPr>
            </w:pPr>
            <w:r>
              <w:rPr>
                <w:color w:val="auto"/>
                <w:spacing w:val="12"/>
                <w:highlight w:val="none"/>
              </w:rPr>
              <w:t>2.法定代表人身份证明书及法定代表人有效身份证正反面复印件</w:t>
            </w:r>
            <w:r>
              <w:rPr>
                <w:color w:val="auto"/>
                <w:spacing w:val="-13"/>
                <w:highlight w:val="none"/>
              </w:rPr>
              <w:t>；（</w:t>
            </w:r>
            <w:r>
              <w:rPr>
                <w:b/>
                <w:bCs/>
                <w:color w:val="auto"/>
                <w:spacing w:val="12"/>
                <w:highlight w:val="none"/>
              </w:rPr>
              <w:t>除自然人竞标外必须提供，否则响应文件按无效响应处</w:t>
            </w:r>
            <w:r>
              <w:rPr>
                <w:b/>
                <w:bCs/>
                <w:color w:val="auto"/>
                <w:spacing w:val="-2"/>
                <w:highlight w:val="none"/>
              </w:rPr>
              <w:t>理</w:t>
            </w:r>
            <w:r>
              <w:rPr>
                <w:color w:val="auto"/>
                <w:spacing w:val="-2"/>
                <w:highlight w:val="none"/>
              </w:rPr>
              <w:t>）</w:t>
            </w:r>
          </w:p>
          <w:p w14:paraId="4C384F99">
            <w:pPr>
              <w:pStyle w:val="15"/>
              <w:spacing w:before="17" w:line="300" w:lineRule="auto"/>
              <w:ind w:left="128" w:right="108" w:firstLine="407"/>
              <w:rPr>
                <w:color w:val="auto"/>
                <w:highlight w:val="none"/>
              </w:rPr>
            </w:pPr>
            <w:r>
              <w:rPr>
                <w:color w:val="auto"/>
                <w:spacing w:val="12"/>
                <w:highlight w:val="none"/>
              </w:rPr>
              <w:t>3.法定代表人授权委托书及委托代理人有效身份证正反面复</w:t>
            </w:r>
            <w:r>
              <w:rPr>
                <w:color w:val="auto"/>
                <w:spacing w:val="8"/>
                <w:highlight w:val="none"/>
              </w:rPr>
              <w:t>印件</w:t>
            </w:r>
            <w:r>
              <w:rPr>
                <w:color w:val="auto"/>
                <w:spacing w:val="1"/>
                <w:highlight w:val="none"/>
              </w:rPr>
              <w:t>；</w:t>
            </w:r>
            <w:r>
              <w:rPr>
                <w:b/>
                <w:bCs/>
                <w:color w:val="auto"/>
                <w:spacing w:val="1"/>
                <w:highlight w:val="none"/>
              </w:rPr>
              <w:t>（</w:t>
            </w:r>
            <w:r>
              <w:rPr>
                <w:b/>
                <w:bCs/>
                <w:color w:val="auto"/>
                <w:spacing w:val="8"/>
                <w:highlight w:val="none"/>
              </w:rPr>
              <w:t>委托时必须提供，否则响应文件按无效响应处理）</w:t>
            </w:r>
          </w:p>
          <w:p w14:paraId="26E0A03E">
            <w:pPr>
              <w:pStyle w:val="15"/>
              <w:spacing w:before="32" w:line="227" w:lineRule="auto"/>
              <w:ind w:left="530"/>
              <w:rPr>
                <w:color w:val="auto"/>
                <w:highlight w:val="none"/>
              </w:rPr>
            </w:pPr>
            <w:r>
              <w:rPr>
                <w:color w:val="auto"/>
                <w:spacing w:val="7"/>
                <w:highlight w:val="none"/>
              </w:rPr>
              <w:t>4.竞标人情况介绍；</w:t>
            </w:r>
          </w:p>
          <w:p w14:paraId="7662010D">
            <w:pPr>
              <w:pStyle w:val="15"/>
              <w:spacing w:before="32" w:line="300" w:lineRule="auto"/>
              <w:ind w:left="111" w:right="108" w:firstLine="425"/>
              <w:rPr>
                <w:color w:val="auto"/>
                <w:highlight w:val="none"/>
              </w:rPr>
            </w:pPr>
            <w:r>
              <w:rPr>
                <w:rFonts w:hint="eastAsia"/>
                <w:color w:val="auto"/>
                <w:spacing w:val="12"/>
                <w:highlight w:val="none"/>
                <w:lang w:val="en-US" w:eastAsia="zh-CN"/>
              </w:rPr>
              <w:t>5</w:t>
            </w:r>
            <w:r>
              <w:rPr>
                <w:color w:val="auto"/>
                <w:spacing w:val="12"/>
                <w:highlight w:val="none"/>
              </w:rPr>
              <w:t>.除竞争性磋商文件规定必须提供以外，供应商认为</w:t>
            </w:r>
            <w:r>
              <w:rPr>
                <w:rFonts w:hint="eastAsia"/>
                <w:color w:val="auto"/>
                <w:spacing w:val="12"/>
                <w:highlight w:val="none"/>
                <w:lang w:eastAsia="zh-CN"/>
              </w:rPr>
              <w:t>商务文件</w:t>
            </w:r>
            <w:r>
              <w:rPr>
                <w:color w:val="auto"/>
                <w:spacing w:val="12"/>
                <w:highlight w:val="none"/>
              </w:rPr>
              <w:t>需要提</w:t>
            </w:r>
            <w:r>
              <w:rPr>
                <w:color w:val="auto"/>
                <w:spacing w:val="7"/>
                <w:highlight w:val="none"/>
              </w:rPr>
              <w:t>供的其他证明材料。</w:t>
            </w:r>
          </w:p>
          <w:p w14:paraId="794FDED4">
            <w:pPr>
              <w:pStyle w:val="15"/>
              <w:spacing w:before="35" w:line="227" w:lineRule="auto"/>
              <w:ind w:left="547"/>
              <w:rPr>
                <w:color w:val="auto"/>
                <w:highlight w:val="none"/>
              </w:rPr>
            </w:pPr>
            <w:r>
              <w:rPr>
                <w:b/>
                <w:bCs/>
                <w:color w:val="auto"/>
                <w:spacing w:val="3"/>
                <w:highlight w:val="none"/>
              </w:rPr>
              <w:t>注：以上标明“必须提供</w:t>
            </w:r>
            <w:r>
              <w:rPr>
                <w:color w:val="auto"/>
                <w:spacing w:val="-72"/>
                <w:highlight w:val="none"/>
              </w:rPr>
              <w:t xml:space="preserve"> </w:t>
            </w:r>
            <w:r>
              <w:rPr>
                <w:b/>
                <w:bCs/>
                <w:color w:val="auto"/>
                <w:spacing w:val="3"/>
                <w:highlight w:val="none"/>
              </w:rPr>
              <w:t>”的材料属于复印件的扫描件的，</w:t>
            </w:r>
            <w:r>
              <w:rPr>
                <w:b/>
                <w:bCs/>
                <w:color w:val="auto"/>
                <w:spacing w:val="7"/>
                <w:highlight w:val="none"/>
              </w:rPr>
              <w:t>必须加盖供应商电子公章，否则响应文件按无效响应处理。</w:t>
            </w:r>
          </w:p>
        </w:tc>
      </w:tr>
      <w:tr w14:paraId="0D1CE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 w:hRule="atLeast"/>
        </w:trPr>
        <w:tc>
          <w:tcPr>
            <w:tcW w:w="883" w:type="dxa"/>
            <w:vAlign w:val="center"/>
          </w:tcPr>
          <w:p w14:paraId="773EC261">
            <w:pPr>
              <w:pStyle w:val="15"/>
              <w:spacing w:before="35" w:line="227" w:lineRule="auto"/>
              <w:ind w:left="0"/>
              <w:jc w:val="center"/>
              <w:rPr>
                <w:rFonts w:hint="default" w:eastAsia="宋体"/>
                <w:color w:val="auto"/>
                <w:highlight w:val="none"/>
                <w:lang w:val="en-US" w:eastAsia="zh-CN"/>
              </w:rPr>
            </w:pPr>
            <w:r>
              <w:rPr>
                <w:rFonts w:hint="eastAsia"/>
                <w:color w:val="auto"/>
                <w:highlight w:val="none"/>
                <w:lang w:val="en-US" w:eastAsia="zh-CN"/>
              </w:rPr>
              <w:t>12.1.3</w:t>
            </w:r>
          </w:p>
        </w:tc>
        <w:tc>
          <w:tcPr>
            <w:tcW w:w="1881" w:type="dxa"/>
            <w:vAlign w:val="center"/>
          </w:tcPr>
          <w:p w14:paraId="6B3DE6FA">
            <w:pPr>
              <w:pStyle w:val="15"/>
              <w:spacing w:before="35" w:line="227" w:lineRule="auto"/>
              <w:ind w:left="0"/>
              <w:jc w:val="center"/>
              <w:rPr>
                <w:rFonts w:hint="eastAsia" w:eastAsia="宋体"/>
                <w:color w:val="auto"/>
                <w:highlight w:val="none"/>
                <w:lang w:eastAsia="zh-CN"/>
              </w:rPr>
            </w:pPr>
            <w:r>
              <w:rPr>
                <w:rFonts w:hint="eastAsia"/>
                <w:b/>
                <w:bCs/>
                <w:color w:val="auto"/>
                <w:highlight w:val="none"/>
                <w:lang w:eastAsia="zh-CN"/>
              </w:rPr>
              <w:t>技术文件组成</w:t>
            </w:r>
          </w:p>
        </w:tc>
        <w:tc>
          <w:tcPr>
            <w:tcW w:w="6186" w:type="dxa"/>
            <w:vAlign w:val="top"/>
          </w:tcPr>
          <w:p w14:paraId="3AA24C29">
            <w:pPr>
              <w:pStyle w:val="15"/>
              <w:spacing w:before="93" w:line="300" w:lineRule="auto"/>
              <w:ind w:left="533" w:right="2770" w:firstLine="2"/>
              <w:rPr>
                <w:color w:val="auto"/>
                <w:highlight w:val="none"/>
              </w:rPr>
            </w:pPr>
            <w:r>
              <w:rPr>
                <w:rFonts w:hint="eastAsia"/>
                <w:color w:val="auto"/>
                <w:spacing w:val="8"/>
                <w:highlight w:val="none"/>
                <w:lang w:val="en-US" w:eastAsia="zh-CN"/>
              </w:rPr>
              <w:t>1</w:t>
            </w:r>
            <w:r>
              <w:rPr>
                <w:color w:val="auto"/>
                <w:spacing w:val="8"/>
                <w:highlight w:val="none"/>
              </w:rPr>
              <w:t>.施工组织设计（格式自拟</w:t>
            </w:r>
            <w:r>
              <w:rPr>
                <w:color w:val="auto"/>
                <w:spacing w:val="-16"/>
                <w:highlight w:val="none"/>
              </w:rPr>
              <w:t>）；</w:t>
            </w:r>
            <w:r>
              <w:rPr>
                <w:rFonts w:hint="eastAsia"/>
                <w:color w:val="auto"/>
                <w:spacing w:val="8"/>
                <w:highlight w:val="none"/>
                <w:lang w:val="en-US" w:eastAsia="zh-CN"/>
              </w:rPr>
              <w:t>2</w:t>
            </w:r>
            <w:r>
              <w:rPr>
                <w:color w:val="auto"/>
                <w:spacing w:val="8"/>
                <w:highlight w:val="none"/>
              </w:rPr>
              <w:t>.项目管理机构（格式自拟</w:t>
            </w:r>
            <w:r>
              <w:rPr>
                <w:color w:val="auto"/>
                <w:spacing w:val="-15"/>
                <w:highlight w:val="none"/>
              </w:rPr>
              <w:t>）；</w:t>
            </w:r>
          </w:p>
          <w:p w14:paraId="592BB761">
            <w:pPr>
              <w:pStyle w:val="15"/>
              <w:spacing w:before="32" w:line="300" w:lineRule="auto"/>
              <w:ind w:left="111" w:right="108" w:firstLine="425"/>
              <w:rPr>
                <w:color w:val="auto"/>
                <w:highlight w:val="none"/>
              </w:rPr>
            </w:pPr>
            <w:r>
              <w:rPr>
                <w:rFonts w:hint="eastAsia"/>
                <w:color w:val="auto"/>
                <w:spacing w:val="12"/>
                <w:highlight w:val="none"/>
                <w:lang w:val="en-US" w:eastAsia="zh-CN"/>
              </w:rPr>
              <w:t>3</w:t>
            </w:r>
            <w:r>
              <w:rPr>
                <w:color w:val="auto"/>
                <w:spacing w:val="12"/>
                <w:highlight w:val="none"/>
              </w:rPr>
              <w:t>.除竞争性磋商文件规定必须提供以外，供应商认为</w:t>
            </w:r>
            <w:r>
              <w:rPr>
                <w:rFonts w:hint="eastAsia"/>
                <w:color w:val="auto"/>
                <w:spacing w:val="12"/>
                <w:highlight w:val="none"/>
                <w:lang w:eastAsia="zh-CN"/>
              </w:rPr>
              <w:t>技术文件</w:t>
            </w:r>
            <w:r>
              <w:rPr>
                <w:color w:val="auto"/>
                <w:spacing w:val="12"/>
                <w:highlight w:val="none"/>
              </w:rPr>
              <w:t>需要提</w:t>
            </w:r>
            <w:r>
              <w:rPr>
                <w:color w:val="auto"/>
                <w:spacing w:val="7"/>
                <w:highlight w:val="none"/>
              </w:rPr>
              <w:t>供的其他证明材料。</w:t>
            </w:r>
          </w:p>
          <w:p w14:paraId="5D5BD3B2">
            <w:pPr>
              <w:pStyle w:val="15"/>
              <w:spacing w:before="35" w:line="227" w:lineRule="auto"/>
              <w:ind w:left="547"/>
              <w:rPr>
                <w:color w:val="auto"/>
                <w:spacing w:val="8"/>
                <w:highlight w:val="none"/>
              </w:rPr>
            </w:pPr>
            <w:r>
              <w:rPr>
                <w:b/>
                <w:bCs/>
                <w:color w:val="auto"/>
                <w:spacing w:val="3"/>
                <w:highlight w:val="none"/>
              </w:rPr>
              <w:t>注：以上标明“必须提供</w:t>
            </w:r>
            <w:r>
              <w:rPr>
                <w:color w:val="auto"/>
                <w:spacing w:val="-72"/>
                <w:highlight w:val="none"/>
              </w:rPr>
              <w:t xml:space="preserve"> </w:t>
            </w:r>
            <w:r>
              <w:rPr>
                <w:b/>
                <w:bCs/>
                <w:color w:val="auto"/>
                <w:spacing w:val="3"/>
                <w:highlight w:val="none"/>
              </w:rPr>
              <w:t>”的材料属于复印件的扫描件的，</w:t>
            </w:r>
            <w:r>
              <w:rPr>
                <w:b/>
                <w:bCs/>
                <w:color w:val="auto"/>
                <w:spacing w:val="7"/>
                <w:highlight w:val="none"/>
              </w:rPr>
              <w:t>必须加盖供应商电子公章，否则响应文件按无效响应处理。</w:t>
            </w:r>
          </w:p>
        </w:tc>
      </w:tr>
      <w:tr w14:paraId="4289F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 w:hRule="atLeast"/>
        </w:trPr>
        <w:tc>
          <w:tcPr>
            <w:tcW w:w="883" w:type="dxa"/>
            <w:vAlign w:val="top"/>
          </w:tcPr>
          <w:p w14:paraId="76F29DFD">
            <w:pPr>
              <w:spacing w:line="253" w:lineRule="auto"/>
              <w:rPr>
                <w:rFonts w:ascii="Arial"/>
                <w:color w:val="auto"/>
                <w:sz w:val="21"/>
                <w:highlight w:val="none"/>
              </w:rPr>
            </w:pPr>
          </w:p>
          <w:p w14:paraId="745E867E">
            <w:pPr>
              <w:spacing w:line="253" w:lineRule="auto"/>
              <w:rPr>
                <w:rFonts w:ascii="Arial"/>
                <w:color w:val="auto"/>
                <w:sz w:val="21"/>
                <w:highlight w:val="none"/>
              </w:rPr>
            </w:pPr>
          </w:p>
          <w:p w14:paraId="333A54F1">
            <w:pPr>
              <w:pStyle w:val="15"/>
              <w:spacing w:before="65" w:line="190" w:lineRule="auto"/>
              <w:ind w:left="148" w:leftChars="0"/>
              <w:rPr>
                <w:rFonts w:hint="eastAsia" w:eastAsia="宋体"/>
                <w:color w:val="auto"/>
                <w:highlight w:val="none"/>
                <w:lang w:val="en-US" w:eastAsia="zh-CN"/>
              </w:rPr>
            </w:pPr>
            <w:r>
              <w:rPr>
                <w:color w:val="auto"/>
                <w:spacing w:val="1"/>
                <w:highlight w:val="none"/>
              </w:rPr>
              <w:t>12.1.</w:t>
            </w:r>
            <w:r>
              <w:rPr>
                <w:rFonts w:hint="eastAsia"/>
                <w:color w:val="auto"/>
                <w:spacing w:val="1"/>
                <w:highlight w:val="none"/>
                <w:lang w:val="en-US" w:eastAsia="zh-CN"/>
              </w:rPr>
              <w:t>4</w:t>
            </w:r>
          </w:p>
        </w:tc>
        <w:tc>
          <w:tcPr>
            <w:tcW w:w="1881" w:type="dxa"/>
            <w:vAlign w:val="top"/>
          </w:tcPr>
          <w:p w14:paraId="5526F248">
            <w:pPr>
              <w:spacing w:line="475" w:lineRule="auto"/>
              <w:rPr>
                <w:rFonts w:ascii="Arial"/>
                <w:color w:val="auto"/>
                <w:sz w:val="21"/>
                <w:highlight w:val="none"/>
              </w:rPr>
            </w:pPr>
          </w:p>
          <w:p w14:paraId="06D78A99">
            <w:pPr>
              <w:pStyle w:val="15"/>
              <w:spacing w:before="65" w:line="226" w:lineRule="auto"/>
              <w:ind w:left="311" w:leftChars="0"/>
              <w:rPr>
                <w:rFonts w:hint="eastAsia"/>
                <w:b/>
                <w:bCs/>
                <w:color w:val="auto"/>
                <w:highlight w:val="none"/>
                <w:lang w:eastAsia="zh-CN"/>
              </w:rPr>
            </w:pPr>
            <w:r>
              <w:rPr>
                <w:b/>
                <w:bCs/>
                <w:color w:val="auto"/>
                <w:spacing w:val="7"/>
                <w:highlight w:val="none"/>
              </w:rPr>
              <w:t>报价文件组成</w:t>
            </w:r>
          </w:p>
        </w:tc>
        <w:tc>
          <w:tcPr>
            <w:tcW w:w="6186" w:type="dxa"/>
            <w:vAlign w:val="top"/>
          </w:tcPr>
          <w:p w14:paraId="5EAECFA8">
            <w:pPr>
              <w:pStyle w:val="15"/>
              <w:spacing w:before="31" w:line="227" w:lineRule="auto"/>
              <w:ind w:left="547"/>
              <w:rPr>
                <w:color w:val="auto"/>
                <w:highlight w:val="none"/>
              </w:rPr>
            </w:pPr>
            <w:r>
              <w:rPr>
                <w:color w:val="auto"/>
                <w:spacing w:val="8"/>
                <w:highlight w:val="none"/>
              </w:rPr>
              <w:t>1.响应函</w:t>
            </w:r>
            <w:r>
              <w:rPr>
                <w:color w:val="auto"/>
                <w:spacing w:val="-2"/>
                <w:highlight w:val="none"/>
              </w:rPr>
              <w:t>；（</w:t>
            </w:r>
            <w:r>
              <w:rPr>
                <w:b/>
                <w:bCs/>
                <w:color w:val="auto"/>
                <w:spacing w:val="8"/>
                <w:highlight w:val="none"/>
              </w:rPr>
              <w:t>必须提供，否则响应文件按无效响应处理</w:t>
            </w:r>
            <w:r>
              <w:rPr>
                <w:color w:val="auto"/>
                <w:spacing w:val="8"/>
                <w:highlight w:val="none"/>
              </w:rPr>
              <w:t>）</w:t>
            </w:r>
          </w:p>
          <w:p w14:paraId="73E008ED">
            <w:pPr>
              <w:pStyle w:val="15"/>
              <w:spacing w:before="95" w:line="226" w:lineRule="auto"/>
              <w:ind w:right="16"/>
              <w:jc w:val="right"/>
              <w:rPr>
                <w:color w:val="auto"/>
                <w:highlight w:val="none"/>
              </w:rPr>
            </w:pPr>
            <w:r>
              <w:rPr>
                <w:color w:val="auto"/>
                <w:spacing w:val="8"/>
                <w:highlight w:val="none"/>
              </w:rPr>
              <w:t>2.响应报价表</w:t>
            </w:r>
            <w:r>
              <w:rPr>
                <w:color w:val="auto"/>
                <w:spacing w:val="-11"/>
                <w:highlight w:val="none"/>
              </w:rPr>
              <w:t>；</w:t>
            </w:r>
            <w:r>
              <w:rPr>
                <w:b/>
                <w:bCs/>
                <w:color w:val="auto"/>
                <w:spacing w:val="-11"/>
                <w:highlight w:val="none"/>
              </w:rPr>
              <w:t>（</w:t>
            </w:r>
            <w:r>
              <w:rPr>
                <w:b/>
                <w:bCs/>
                <w:color w:val="auto"/>
                <w:spacing w:val="8"/>
                <w:highlight w:val="none"/>
              </w:rPr>
              <w:t>必须提供，否则响应文件按无效响应处理）</w:t>
            </w:r>
          </w:p>
          <w:p w14:paraId="6ED48385">
            <w:pPr>
              <w:pStyle w:val="15"/>
              <w:spacing w:before="95" w:line="296" w:lineRule="auto"/>
              <w:ind w:left="122" w:leftChars="0" w:right="185" w:rightChars="0" w:firstLine="413" w:firstLineChars="0"/>
              <w:rPr>
                <w:b/>
                <w:bCs/>
                <w:color w:val="auto"/>
                <w:spacing w:val="3"/>
                <w:highlight w:val="none"/>
              </w:rPr>
            </w:pPr>
            <w:r>
              <w:rPr>
                <w:color w:val="auto"/>
                <w:spacing w:val="8"/>
                <w:highlight w:val="none"/>
              </w:rPr>
              <w:t>3.已标价的工程量清单。</w:t>
            </w:r>
            <w:r>
              <w:rPr>
                <w:b/>
                <w:bCs/>
                <w:color w:val="auto"/>
                <w:spacing w:val="8"/>
                <w:highlight w:val="none"/>
              </w:rPr>
              <w:t>（必须提供，否则响应文件按无效</w:t>
            </w:r>
            <w:r>
              <w:rPr>
                <w:b/>
                <w:bCs/>
                <w:color w:val="auto"/>
                <w:spacing w:val="2"/>
                <w:highlight w:val="none"/>
              </w:rPr>
              <w:t>响应处理）</w:t>
            </w:r>
          </w:p>
        </w:tc>
      </w:tr>
      <w:tr w14:paraId="081C3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 w:hRule="atLeast"/>
        </w:trPr>
        <w:tc>
          <w:tcPr>
            <w:tcW w:w="883" w:type="dxa"/>
            <w:vAlign w:val="center"/>
          </w:tcPr>
          <w:p w14:paraId="5C0F699B">
            <w:pPr>
              <w:pStyle w:val="15"/>
              <w:spacing w:before="65" w:line="190" w:lineRule="auto"/>
              <w:ind w:left="0" w:leftChars="0"/>
              <w:jc w:val="center"/>
              <w:rPr>
                <w:color w:val="auto"/>
                <w:spacing w:val="1"/>
                <w:highlight w:val="none"/>
              </w:rPr>
            </w:pPr>
            <w:r>
              <w:rPr>
                <w:color w:val="auto"/>
                <w:spacing w:val="-1"/>
                <w:highlight w:val="none"/>
              </w:rPr>
              <w:t>12.2</w:t>
            </w:r>
          </w:p>
        </w:tc>
        <w:tc>
          <w:tcPr>
            <w:tcW w:w="1881" w:type="dxa"/>
            <w:vAlign w:val="center"/>
          </w:tcPr>
          <w:p w14:paraId="57A7E665">
            <w:pPr>
              <w:pStyle w:val="15"/>
              <w:spacing w:before="65" w:line="301" w:lineRule="auto"/>
              <w:ind w:left="0" w:leftChars="0" w:right="205" w:rightChars="0" w:firstLine="0" w:firstLineChars="0"/>
              <w:jc w:val="center"/>
              <w:rPr>
                <w:b/>
                <w:bCs/>
                <w:color w:val="auto"/>
                <w:spacing w:val="7"/>
                <w:highlight w:val="none"/>
              </w:rPr>
            </w:pPr>
            <w:r>
              <w:rPr>
                <w:color w:val="auto"/>
                <w:spacing w:val="7"/>
                <w:highlight w:val="none"/>
              </w:rPr>
              <w:t>响应文件电子版</w:t>
            </w:r>
            <w:r>
              <w:rPr>
                <w:rFonts w:hint="eastAsia"/>
                <w:color w:val="auto"/>
                <w:spacing w:val="7"/>
                <w:highlight w:val="none"/>
                <w:lang w:eastAsia="zh-CN"/>
              </w:rPr>
              <w:t>等其他</w:t>
            </w:r>
            <w:r>
              <w:rPr>
                <w:color w:val="auto"/>
                <w:spacing w:val="4"/>
                <w:highlight w:val="none"/>
              </w:rPr>
              <w:t>要求</w:t>
            </w:r>
          </w:p>
        </w:tc>
        <w:tc>
          <w:tcPr>
            <w:tcW w:w="6186" w:type="dxa"/>
            <w:vAlign w:val="top"/>
          </w:tcPr>
          <w:p w14:paraId="5ADEA1B3">
            <w:pPr>
              <w:pStyle w:val="15"/>
              <w:spacing w:before="36" w:line="303" w:lineRule="auto"/>
              <w:ind w:left="119" w:right="199" w:firstLine="8"/>
              <w:jc w:val="both"/>
              <w:rPr>
                <w:color w:val="auto"/>
                <w:highlight w:val="none"/>
              </w:rPr>
            </w:pPr>
            <w:r>
              <w:rPr>
                <w:color w:val="auto"/>
                <w:spacing w:val="8"/>
                <w:highlight w:val="none"/>
              </w:rPr>
              <w:t>1.响应文件电子版要求：按照本采购文件“</w:t>
            </w:r>
            <w:r>
              <w:rPr>
                <w:color w:val="auto"/>
                <w:spacing w:val="7"/>
                <w:highlight w:val="none"/>
              </w:rPr>
              <w:t>响应文件格式”编写</w:t>
            </w:r>
            <w:r>
              <w:rPr>
                <w:color w:val="auto"/>
                <w:spacing w:val="9"/>
                <w:highlight w:val="none"/>
              </w:rPr>
              <w:t>（未附格式的，由供应商自行拟定</w:t>
            </w:r>
            <w:r>
              <w:rPr>
                <w:color w:val="auto"/>
                <w:spacing w:val="16"/>
                <w:highlight w:val="none"/>
              </w:rPr>
              <w:t>），</w:t>
            </w:r>
            <w:r>
              <w:rPr>
                <w:color w:val="auto"/>
                <w:spacing w:val="9"/>
                <w:highlight w:val="none"/>
              </w:rPr>
              <w:t>不可涂改并在</w:t>
            </w:r>
            <w:r>
              <w:rPr>
                <w:color w:val="auto"/>
                <w:spacing w:val="8"/>
                <w:highlight w:val="none"/>
              </w:rPr>
              <w:t>规定加盖公章处加盖电子公章，</w:t>
            </w:r>
            <w:r>
              <w:rPr>
                <w:b/>
                <w:bCs/>
                <w:color w:val="auto"/>
                <w:spacing w:val="8"/>
                <w:highlight w:val="none"/>
              </w:rPr>
              <w:t>否则响应文件按无效响应处理</w:t>
            </w:r>
            <w:r>
              <w:rPr>
                <w:color w:val="auto"/>
                <w:spacing w:val="8"/>
                <w:highlight w:val="none"/>
              </w:rPr>
              <w:t>。</w:t>
            </w:r>
          </w:p>
          <w:p w14:paraId="1678A50E">
            <w:pPr>
              <w:pStyle w:val="15"/>
              <w:spacing w:before="34" w:line="302" w:lineRule="auto"/>
              <w:ind w:left="111" w:leftChars="0" w:right="108" w:rightChars="0" w:firstLine="2" w:firstLineChars="0"/>
              <w:jc w:val="both"/>
              <w:rPr>
                <w:color w:val="auto"/>
                <w:spacing w:val="6"/>
                <w:highlight w:val="none"/>
              </w:rPr>
            </w:pPr>
            <w:r>
              <w:rPr>
                <w:color w:val="auto"/>
                <w:spacing w:val="8"/>
                <w:highlight w:val="none"/>
              </w:rPr>
              <w:t>2.响应文件电子版密封方式：电子响应文件通过平台有效</w:t>
            </w:r>
            <w:r>
              <w:rPr>
                <w:color w:val="auto"/>
                <w:highlight w:val="none"/>
              </w:rPr>
              <w:t>CA</w:t>
            </w:r>
            <w:r>
              <w:rPr>
                <w:color w:val="auto"/>
                <w:spacing w:val="8"/>
                <w:highlight w:val="none"/>
              </w:rPr>
              <w:t>加密</w:t>
            </w:r>
            <w:r>
              <w:rPr>
                <w:color w:val="auto"/>
                <w:spacing w:val="7"/>
                <w:highlight w:val="none"/>
              </w:rPr>
              <w:t>后在“广西政采云”平台投送。（操作方式见公告附件“电子响</w:t>
            </w:r>
            <w:r>
              <w:rPr>
                <w:color w:val="auto"/>
                <w:spacing w:val="6"/>
                <w:highlight w:val="none"/>
              </w:rPr>
              <w:t>应文件制作与投送教程”）</w:t>
            </w:r>
          </w:p>
          <w:p w14:paraId="2CF67248">
            <w:pPr>
              <w:pStyle w:val="15"/>
              <w:spacing w:before="34" w:line="302" w:lineRule="auto"/>
              <w:ind w:left="111" w:leftChars="0" w:right="108" w:rightChars="0" w:firstLine="2" w:firstLineChars="0"/>
              <w:jc w:val="both"/>
              <w:rPr>
                <w:rFonts w:hint="eastAsia"/>
                <w:b/>
                <w:bCs/>
                <w:color w:val="auto"/>
                <w:spacing w:val="6"/>
                <w:highlight w:val="none"/>
              </w:rPr>
            </w:pPr>
            <w:r>
              <w:rPr>
                <w:rFonts w:hint="eastAsia"/>
                <w:b/>
                <w:bCs/>
                <w:color w:val="auto"/>
                <w:spacing w:val="6"/>
                <w:highlight w:val="none"/>
              </w:rPr>
              <w:t>特别说明：因项目存档需要，须按以下要求提供纸质响应文件：</w:t>
            </w:r>
          </w:p>
          <w:p w14:paraId="50916F2E">
            <w:pPr>
              <w:pStyle w:val="15"/>
              <w:spacing w:before="34" w:line="302" w:lineRule="auto"/>
              <w:ind w:left="111" w:leftChars="0" w:right="108" w:rightChars="0" w:firstLine="2" w:firstLineChars="0"/>
              <w:jc w:val="both"/>
              <w:rPr>
                <w:rFonts w:hint="eastAsia" w:eastAsia="宋体"/>
                <w:color w:val="auto"/>
                <w:spacing w:val="6"/>
                <w:highlight w:val="none"/>
                <w:lang w:eastAsia="zh-CN"/>
              </w:rPr>
            </w:pPr>
            <w:r>
              <w:rPr>
                <w:rFonts w:hint="eastAsia"/>
                <w:b/>
                <w:bCs/>
                <w:color w:val="auto"/>
                <w:spacing w:val="6"/>
                <w:highlight w:val="none"/>
              </w:rPr>
              <w:t>成交人在领取成交通知书前须提交2套纸质版响应文件（含资格</w:t>
            </w:r>
            <w:r>
              <w:rPr>
                <w:rFonts w:hint="eastAsia"/>
                <w:b/>
                <w:bCs/>
                <w:color w:val="auto"/>
                <w:spacing w:val="6"/>
                <w:highlight w:val="none"/>
                <w:lang w:val="en-US" w:eastAsia="zh-CN"/>
              </w:rPr>
              <w:t>证明文件</w:t>
            </w:r>
            <w:r>
              <w:rPr>
                <w:rFonts w:hint="eastAsia"/>
                <w:b/>
                <w:bCs/>
                <w:color w:val="auto"/>
                <w:spacing w:val="6"/>
                <w:highlight w:val="none"/>
              </w:rPr>
              <w:t>部分、商务</w:t>
            </w:r>
            <w:r>
              <w:rPr>
                <w:rFonts w:hint="eastAsia"/>
                <w:b/>
                <w:bCs/>
                <w:color w:val="auto"/>
                <w:spacing w:val="6"/>
                <w:highlight w:val="none"/>
                <w:lang w:val="en-US" w:eastAsia="zh-CN"/>
              </w:rPr>
              <w:t>文件</w:t>
            </w:r>
            <w:r>
              <w:rPr>
                <w:rFonts w:hint="eastAsia"/>
                <w:b/>
                <w:bCs/>
                <w:color w:val="auto"/>
                <w:spacing w:val="6"/>
                <w:highlight w:val="none"/>
              </w:rPr>
              <w:t>部分、技术</w:t>
            </w:r>
            <w:r>
              <w:rPr>
                <w:rFonts w:hint="eastAsia"/>
                <w:b/>
                <w:bCs/>
                <w:color w:val="auto"/>
                <w:spacing w:val="6"/>
                <w:highlight w:val="none"/>
                <w:lang w:val="en-US" w:eastAsia="zh-CN"/>
              </w:rPr>
              <w:t>文件</w:t>
            </w:r>
            <w:r>
              <w:rPr>
                <w:rFonts w:hint="eastAsia"/>
                <w:b/>
                <w:bCs/>
                <w:color w:val="auto"/>
                <w:spacing w:val="6"/>
                <w:highlight w:val="none"/>
              </w:rPr>
              <w:t>部分，各部分用封面隔开后合并装订。按要求加盖公章）给采购代理机构，一正一副</w:t>
            </w:r>
            <w:r>
              <w:rPr>
                <w:rFonts w:hint="eastAsia"/>
                <w:b/>
                <w:bCs/>
                <w:color w:val="auto"/>
                <w:spacing w:val="6"/>
                <w:highlight w:val="none"/>
                <w:lang w:eastAsia="zh-CN"/>
              </w:rPr>
              <w:t>。</w:t>
            </w:r>
          </w:p>
        </w:tc>
      </w:tr>
      <w:tr w14:paraId="7B36A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 w:hRule="atLeast"/>
        </w:trPr>
        <w:tc>
          <w:tcPr>
            <w:tcW w:w="883" w:type="dxa"/>
            <w:vAlign w:val="top"/>
          </w:tcPr>
          <w:p w14:paraId="11AA6708">
            <w:pPr>
              <w:spacing w:line="281" w:lineRule="auto"/>
              <w:rPr>
                <w:rFonts w:ascii="Arial"/>
                <w:color w:val="auto"/>
                <w:sz w:val="21"/>
                <w:highlight w:val="none"/>
              </w:rPr>
            </w:pPr>
          </w:p>
          <w:p w14:paraId="60433773">
            <w:pPr>
              <w:spacing w:line="282" w:lineRule="auto"/>
              <w:rPr>
                <w:rFonts w:ascii="Arial"/>
                <w:color w:val="auto"/>
                <w:sz w:val="21"/>
                <w:highlight w:val="none"/>
              </w:rPr>
            </w:pPr>
          </w:p>
          <w:p w14:paraId="577F237E">
            <w:pPr>
              <w:spacing w:line="282" w:lineRule="auto"/>
              <w:rPr>
                <w:rFonts w:ascii="Arial"/>
                <w:color w:val="auto"/>
                <w:sz w:val="21"/>
                <w:highlight w:val="none"/>
              </w:rPr>
            </w:pPr>
          </w:p>
          <w:p w14:paraId="63C3C3E5">
            <w:pPr>
              <w:pStyle w:val="15"/>
              <w:spacing w:before="65" w:line="190" w:lineRule="auto"/>
              <w:ind w:left="251" w:leftChars="0"/>
              <w:rPr>
                <w:color w:val="auto"/>
                <w:spacing w:val="1"/>
                <w:highlight w:val="none"/>
              </w:rPr>
            </w:pPr>
            <w:r>
              <w:rPr>
                <w:color w:val="auto"/>
                <w:spacing w:val="-1"/>
                <w:highlight w:val="none"/>
              </w:rPr>
              <w:t>15.2</w:t>
            </w:r>
          </w:p>
        </w:tc>
        <w:tc>
          <w:tcPr>
            <w:tcW w:w="1881" w:type="dxa"/>
            <w:vAlign w:val="top"/>
          </w:tcPr>
          <w:p w14:paraId="16671C1D">
            <w:pPr>
              <w:spacing w:line="271" w:lineRule="auto"/>
              <w:rPr>
                <w:rFonts w:ascii="Arial"/>
                <w:color w:val="auto"/>
                <w:sz w:val="21"/>
                <w:highlight w:val="none"/>
              </w:rPr>
            </w:pPr>
          </w:p>
          <w:p w14:paraId="2907EB6A">
            <w:pPr>
              <w:spacing w:line="271" w:lineRule="auto"/>
              <w:rPr>
                <w:rFonts w:ascii="Arial"/>
                <w:color w:val="auto"/>
                <w:sz w:val="21"/>
                <w:highlight w:val="none"/>
              </w:rPr>
            </w:pPr>
          </w:p>
          <w:p w14:paraId="683F048F">
            <w:pPr>
              <w:spacing w:line="272" w:lineRule="auto"/>
              <w:rPr>
                <w:rFonts w:ascii="Arial"/>
                <w:color w:val="auto"/>
                <w:sz w:val="21"/>
                <w:highlight w:val="none"/>
              </w:rPr>
            </w:pPr>
          </w:p>
          <w:p w14:paraId="7E76D4CD">
            <w:pPr>
              <w:pStyle w:val="15"/>
              <w:spacing w:before="65" w:line="226" w:lineRule="auto"/>
              <w:ind w:left="325" w:leftChars="0"/>
              <w:rPr>
                <w:b/>
                <w:bCs/>
                <w:color w:val="auto"/>
                <w:spacing w:val="7"/>
                <w:highlight w:val="none"/>
              </w:rPr>
            </w:pPr>
            <w:r>
              <w:rPr>
                <w:color w:val="auto"/>
                <w:spacing w:val="6"/>
                <w:highlight w:val="none"/>
              </w:rPr>
              <w:t>响应报价要求</w:t>
            </w:r>
          </w:p>
        </w:tc>
        <w:tc>
          <w:tcPr>
            <w:tcW w:w="6186" w:type="dxa"/>
            <w:vAlign w:val="top"/>
          </w:tcPr>
          <w:p w14:paraId="27E0655F">
            <w:pPr>
              <w:pStyle w:val="15"/>
              <w:spacing w:before="32" w:line="307" w:lineRule="auto"/>
              <w:ind w:left="113" w:right="92" w:firstLine="14"/>
              <w:rPr>
                <w:color w:val="auto"/>
                <w:highlight w:val="none"/>
              </w:rPr>
            </w:pPr>
            <w:r>
              <w:rPr>
                <w:rFonts w:ascii="Times New Roman" w:hAnsi="Times New Roman" w:eastAsia="Times New Roman" w:cs="Times New Roman"/>
                <w:color w:val="auto"/>
                <w:spacing w:val="7"/>
                <w:highlight w:val="none"/>
              </w:rPr>
              <w:t>1.</w:t>
            </w:r>
            <w:r>
              <w:rPr>
                <w:color w:val="auto"/>
                <w:spacing w:val="7"/>
                <w:highlight w:val="none"/>
              </w:rPr>
              <w:t>响应报价必须包含满足本次竞标全部采购需求所应提供的服务，</w:t>
            </w:r>
            <w:r>
              <w:rPr>
                <w:color w:val="auto"/>
                <w:spacing w:val="10"/>
                <w:highlight w:val="none"/>
              </w:rPr>
              <w:t>以及伴随的货物和工程（如有）的价格；包含竞标服务、货物、</w:t>
            </w:r>
            <w:r>
              <w:rPr>
                <w:color w:val="auto"/>
                <w:spacing w:val="9"/>
                <w:highlight w:val="none"/>
              </w:rPr>
              <w:t>工程的成本、运输（含保险）、安装（如有）、调试、检验、技</w:t>
            </w:r>
            <w:r>
              <w:rPr>
                <w:color w:val="auto"/>
                <w:spacing w:val="8"/>
                <w:highlight w:val="none"/>
              </w:rPr>
              <w:t>术服务、培训、税费等所有费用。</w:t>
            </w:r>
          </w:p>
          <w:p w14:paraId="08D870C5">
            <w:pPr>
              <w:pStyle w:val="15"/>
              <w:spacing w:before="31" w:line="296" w:lineRule="auto"/>
              <w:ind w:left="109" w:leftChars="0" w:right="108" w:rightChars="0" w:hanging="2" w:firstLineChars="0"/>
              <w:rPr>
                <w:color w:val="auto"/>
                <w:spacing w:val="8"/>
                <w:highlight w:val="none"/>
              </w:rPr>
            </w:pPr>
            <w:r>
              <w:rPr>
                <w:rFonts w:ascii="Times New Roman" w:hAnsi="Times New Roman" w:eastAsia="Times New Roman" w:cs="Times New Roman"/>
                <w:color w:val="auto"/>
                <w:spacing w:val="7"/>
                <w:highlight w:val="none"/>
              </w:rPr>
              <w:t>2.</w:t>
            </w:r>
            <w:r>
              <w:rPr>
                <w:color w:val="auto"/>
                <w:spacing w:val="7"/>
                <w:highlight w:val="none"/>
              </w:rPr>
              <w:t>本项目采用工程量清单报价，报价均不能超过招标控制价，否则视为无效竞标。</w:t>
            </w:r>
          </w:p>
        </w:tc>
      </w:tr>
      <w:tr w14:paraId="5C8AB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 w:hRule="atLeast"/>
        </w:trPr>
        <w:tc>
          <w:tcPr>
            <w:tcW w:w="883" w:type="dxa"/>
            <w:vAlign w:val="top"/>
          </w:tcPr>
          <w:p w14:paraId="48603DA4">
            <w:pPr>
              <w:pStyle w:val="15"/>
              <w:spacing w:before="67" w:line="190" w:lineRule="auto"/>
              <w:ind w:left="251" w:leftChars="0"/>
              <w:rPr>
                <w:color w:val="auto"/>
                <w:spacing w:val="1"/>
                <w:highlight w:val="none"/>
              </w:rPr>
            </w:pPr>
            <w:r>
              <w:rPr>
                <w:color w:val="auto"/>
                <w:spacing w:val="-1"/>
                <w:highlight w:val="none"/>
              </w:rPr>
              <w:t>16.2</w:t>
            </w:r>
          </w:p>
        </w:tc>
        <w:tc>
          <w:tcPr>
            <w:tcW w:w="1881" w:type="dxa"/>
            <w:vAlign w:val="top"/>
          </w:tcPr>
          <w:p w14:paraId="16106718">
            <w:pPr>
              <w:pStyle w:val="15"/>
              <w:spacing w:before="36" w:line="228" w:lineRule="auto"/>
              <w:ind w:left="423" w:leftChars="0"/>
              <w:rPr>
                <w:b/>
                <w:bCs/>
                <w:color w:val="auto"/>
                <w:spacing w:val="7"/>
                <w:highlight w:val="none"/>
              </w:rPr>
            </w:pPr>
            <w:r>
              <w:rPr>
                <w:color w:val="auto"/>
                <w:spacing w:val="7"/>
                <w:highlight w:val="none"/>
              </w:rPr>
              <w:t>竞标有效期</w:t>
            </w:r>
          </w:p>
        </w:tc>
        <w:tc>
          <w:tcPr>
            <w:tcW w:w="6186" w:type="dxa"/>
            <w:vAlign w:val="top"/>
          </w:tcPr>
          <w:p w14:paraId="63494742">
            <w:pPr>
              <w:pStyle w:val="15"/>
              <w:spacing w:before="35" w:line="228" w:lineRule="auto"/>
              <w:ind w:left="146" w:leftChars="0"/>
              <w:rPr>
                <w:color w:val="auto"/>
                <w:spacing w:val="8"/>
                <w:highlight w:val="none"/>
              </w:rPr>
            </w:pPr>
            <w:r>
              <w:rPr>
                <w:color w:val="auto"/>
                <w:spacing w:val="3"/>
                <w:highlight w:val="none"/>
              </w:rPr>
              <w:t>自首次响应文件提交截止之日起</w:t>
            </w:r>
            <w:r>
              <w:rPr>
                <w:color w:val="auto"/>
                <w:spacing w:val="-30"/>
                <w:highlight w:val="none"/>
              </w:rPr>
              <w:t xml:space="preserve"> </w:t>
            </w:r>
            <w:r>
              <w:rPr>
                <w:rFonts w:hint="eastAsia"/>
                <w:color w:val="auto"/>
                <w:spacing w:val="3"/>
                <w:highlight w:val="none"/>
                <w:u w:val="single" w:color="auto"/>
                <w:lang w:val="en-US" w:eastAsia="zh-CN"/>
              </w:rPr>
              <w:t>9</w:t>
            </w:r>
            <w:r>
              <w:rPr>
                <w:color w:val="auto"/>
                <w:spacing w:val="3"/>
                <w:highlight w:val="none"/>
                <w:u w:val="single" w:color="auto"/>
              </w:rPr>
              <w:t>0</w:t>
            </w:r>
            <w:r>
              <w:rPr>
                <w:color w:val="auto"/>
                <w:spacing w:val="-47"/>
                <w:highlight w:val="none"/>
                <w:u w:val="single" w:color="auto"/>
              </w:rPr>
              <w:t xml:space="preserve"> </w:t>
            </w:r>
            <w:r>
              <w:rPr>
                <w:color w:val="auto"/>
                <w:spacing w:val="-55"/>
                <w:highlight w:val="none"/>
              </w:rPr>
              <w:t xml:space="preserve"> </w:t>
            </w:r>
            <w:r>
              <w:rPr>
                <w:color w:val="auto"/>
                <w:spacing w:val="3"/>
                <w:highlight w:val="none"/>
              </w:rPr>
              <w:t>日。</w:t>
            </w:r>
          </w:p>
        </w:tc>
      </w:tr>
      <w:tr w14:paraId="428CA7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 w:hRule="atLeast"/>
        </w:trPr>
        <w:tc>
          <w:tcPr>
            <w:tcW w:w="883" w:type="dxa"/>
            <w:vAlign w:val="top"/>
          </w:tcPr>
          <w:p w14:paraId="7AF112E4">
            <w:pPr>
              <w:pStyle w:val="15"/>
              <w:spacing w:before="66" w:line="190" w:lineRule="auto"/>
              <w:ind w:left="251" w:leftChars="0"/>
              <w:rPr>
                <w:color w:val="auto"/>
                <w:spacing w:val="1"/>
                <w:highlight w:val="none"/>
              </w:rPr>
            </w:pPr>
            <w:r>
              <w:rPr>
                <w:color w:val="auto"/>
                <w:spacing w:val="-1"/>
                <w:highlight w:val="none"/>
              </w:rPr>
              <w:t>17.1</w:t>
            </w:r>
          </w:p>
        </w:tc>
        <w:tc>
          <w:tcPr>
            <w:tcW w:w="1881" w:type="dxa"/>
            <w:vAlign w:val="top"/>
          </w:tcPr>
          <w:p w14:paraId="724136B9">
            <w:pPr>
              <w:pStyle w:val="15"/>
              <w:spacing w:before="35" w:line="228" w:lineRule="auto"/>
              <w:ind w:left="419" w:leftChars="0"/>
              <w:rPr>
                <w:b/>
                <w:bCs/>
                <w:color w:val="auto"/>
                <w:spacing w:val="7"/>
                <w:highlight w:val="none"/>
              </w:rPr>
            </w:pPr>
            <w:r>
              <w:rPr>
                <w:color w:val="auto"/>
                <w:spacing w:val="8"/>
                <w:highlight w:val="none"/>
              </w:rPr>
              <w:t>磋商保证金</w:t>
            </w:r>
          </w:p>
        </w:tc>
        <w:tc>
          <w:tcPr>
            <w:tcW w:w="6186" w:type="dxa"/>
            <w:vAlign w:val="top"/>
          </w:tcPr>
          <w:p w14:paraId="58035A8F">
            <w:pPr>
              <w:pStyle w:val="15"/>
              <w:spacing w:before="34" w:line="227" w:lineRule="auto"/>
              <w:ind w:left="112" w:leftChars="0"/>
              <w:rPr>
                <w:color w:val="auto"/>
                <w:spacing w:val="8"/>
                <w:highlight w:val="none"/>
              </w:rPr>
            </w:pPr>
            <w:r>
              <w:rPr>
                <w:color w:val="auto"/>
                <w:spacing w:val="8"/>
                <w:highlight w:val="none"/>
              </w:rPr>
              <w:t>本项目不收取磋商保证金。</w:t>
            </w:r>
          </w:p>
        </w:tc>
      </w:tr>
      <w:tr w14:paraId="22194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 w:hRule="atLeast"/>
        </w:trPr>
        <w:tc>
          <w:tcPr>
            <w:tcW w:w="883" w:type="dxa"/>
            <w:vMerge w:val="restart"/>
            <w:vAlign w:val="top"/>
          </w:tcPr>
          <w:p w14:paraId="42542C45">
            <w:pPr>
              <w:spacing w:line="257" w:lineRule="auto"/>
              <w:rPr>
                <w:rFonts w:ascii="Arial"/>
                <w:color w:val="auto"/>
                <w:sz w:val="21"/>
                <w:highlight w:val="none"/>
              </w:rPr>
            </w:pPr>
          </w:p>
          <w:p w14:paraId="6896FD5F">
            <w:pPr>
              <w:spacing w:line="258" w:lineRule="auto"/>
              <w:rPr>
                <w:rFonts w:ascii="Arial"/>
                <w:color w:val="auto"/>
                <w:sz w:val="21"/>
                <w:highlight w:val="none"/>
              </w:rPr>
            </w:pPr>
          </w:p>
          <w:p w14:paraId="09CF00A5">
            <w:pPr>
              <w:pStyle w:val="15"/>
              <w:spacing w:before="65" w:line="190" w:lineRule="auto"/>
              <w:ind w:left="238" w:leftChars="0"/>
              <w:rPr>
                <w:color w:val="auto"/>
                <w:spacing w:val="1"/>
                <w:highlight w:val="none"/>
              </w:rPr>
            </w:pPr>
            <w:r>
              <w:rPr>
                <w:color w:val="auto"/>
                <w:spacing w:val="2"/>
                <w:highlight w:val="none"/>
              </w:rPr>
              <w:t>20.1</w:t>
            </w:r>
          </w:p>
        </w:tc>
        <w:tc>
          <w:tcPr>
            <w:tcW w:w="1881" w:type="dxa"/>
            <w:vAlign w:val="top"/>
          </w:tcPr>
          <w:p w14:paraId="256BD0EF">
            <w:pPr>
              <w:pStyle w:val="15"/>
              <w:spacing w:before="34" w:line="296" w:lineRule="auto"/>
              <w:ind w:left="424" w:leftChars="0" w:right="205" w:rightChars="0" w:hanging="212" w:firstLineChars="0"/>
              <w:rPr>
                <w:b/>
                <w:bCs/>
                <w:color w:val="auto"/>
                <w:spacing w:val="7"/>
                <w:highlight w:val="none"/>
              </w:rPr>
            </w:pPr>
            <w:r>
              <w:rPr>
                <w:color w:val="auto"/>
                <w:spacing w:val="8"/>
                <w:highlight w:val="none"/>
              </w:rPr>
              <w:t>首次响应文件提</w:t>
            </w:r>
            <w:r>
              <w:rPr>
                <w:color w:val="auto"/>
                <w:spacing w:val="7"/>
                <w:highlight w:val="none"/>
              </w:rPr>
              <w:t>交起止时间</w:t>
            </w:r>
          </w:p>
        </w:tc>
        <w:tc>
          <w:tcPr>
            <w:tcW w:w="6186" w:type="dxa"/>
            <w:vAlign w:val="top"/>
          </w:tcPr>
          <w:p w14:paraId="0BEB0F71">
            <w:pPr>
              <w:pStyle w:val="15"/>
              <w:spacing w:before="206" w:line="226" w:lineRule="auto"/>
              <w:ind w:left="114" w:leftChars="0"/>
              <w:rPr>
                <w:color w:val="auto"/>
                <w:spacing w:val="8"/>
                <w:highlight w:val="none"/>
              </w:rPr>
            </w:pPr>
            <w:r>
              <w:rPr>
                <w:color w:val="auto"/>
                <w:spacing w:val="7"/>
                <w:highlight w:val="none"/>
              </w:rPr>
              <w:t>详见竞争性磋商公告。</w:t>
            </w:r>
          </w:p>
        </w:tc>
      </w:tr>
      <w:tr w14:paraId="3FFFC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 w:hRule="atLeast"/>
        </w:trPr>
        <w:tc>
          <w:tcPr>
            <w:tcW w:w="883" w:type="dxa"/>
            <w:vMerge w:val="continue"/>
            <w:vAlign w:val="top"/>
          </w:tcPr>
          <w:p w14:paraId="30DC4BCB">
            <w:pPr>
              <w:rPr>
                <w:color w:val="auto"/>
                <w:spacing w:val="1"/>
                <w:highlight w:val="none"/>
              </w:rPr>
            </w:pPr>
          </w:p>
        </w:tc>
        <w:tc>
          <w:tcPr>
            <w:tcW w:w="1881" w:type="dxa"/>
            <w:vAlign w:val="top"/>
          </w:tcPr>
          <w:p w14:paraId="573211B4">
            <w:pPr>
              <w:pStyle w:val="15"/>
              <w:spacing w:before="34" w:line="296" w:lineRule="auto"/>
              <w:ind w:left="632" w:leftChars="0" w:right="205" w:rightChars="0" w:hanging="420" w:firstLineChars="0"/>
              <w:rPr>
                <w:b/>
                <w:bCs/>
                <w:color w:val="auto"/>
                <w:spacing w:val="7"/>
                <w:highlight w:val="none"/>
              </w:rPr>
            </w:pPr>
            <w:r>
              <w:rPr>
                <w:color w:val="auto"/>
                <w:spacing w:val="8"/>
                <w:highlight w:val="none"/>
              </w:rPr>
              <w:t>首次响应文件提</w:t>
            </w:r>
            <w:r>
              <w:rPr>
                <w:color w:val="auto"/>
                <w:spacing w:val="5"/>
                <w:highlight w:val="none"/>
              </w:rPr>
              <w:t>交地点</w:t>
            </w:r>
          </w:p>
        </w:tc>
        <w:tc>
          <w:tcPr>
            <w:tcW w:w="6186" w:type="dxa"/>
            <w:vAlign w:val="top"/>
          </w:tcPr>
          <w:p w14:paraId="5E3B0BF2">
            <w:pPr>
              <w:pStyle w:val="15"/>
              <w:spacing w:before="206" w:line="226" w:lineRule="auto"/>
              <w:ind w:left="114" w:leftChars="0"/>
              <w:rPr>
                <w:color w:val="auto"/>
                <w:spacing w:val="8"/>
                <w:highlight w:val="none"/>
              </w:rPr>
            </w:pPr>
            <w:r>
              <w:rPr>
                <w:color w:val="auto"/>
                <w:spacing w:val="7"/>
                <w:highlight w:val="none"/>
              </w:rPr>
              <w:t>详见竞争性磋商公告。</w:t>
            </w:r>
          </w:p>
        </w:tc>
      </w:tr>
      <w:tr w14:paraId="5DF13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883" w:type="dxa"/>
            <w:vAlign w:val="center"/>
          </w:tcPr>
          <w:p w14:paraId="73E8C4D6">
            <w:pPr>
              <w:pStyle w:val="15"/>
              <w:spacing w:before="65" w:line="189" w:lineRule="auto"/>
              <w:ind w:left="0" w:leftChars="0"/>
              <w:jc w:val="both"/>
              <w:rPr>
                <w:color w:val="auto"/>
                <w:spacing w:val="1"/>
                <w:highlight w:val="none"/>
              </w:rPr>
            </w:pPr>
            <w:r>
              <w:rPr>
                <w:color w:val="auto"/>
                <w:spacing w:val="2"/>
                <w:highlight w:val="none"/>
              </w:rPr>
              <w:t>20.2</w:t>
            </w:r>
          </w:p>
        </w:tc>
        <w:tc>
          <w:tcPr>
            <w:tcW w:w="1881" w:type="dxa"/>
            <w:vAlign w:val="center"/>
          </w:tcPr>
          <w:p w14:paraId="475BA369">
            <w:pPr>
              <w:pStyle w:val="15"/>
              <w:spacing w:before="65" w:line="228" w:lineRule="auto"/>
              <w:ind w:left="0" w:leftChars="0"/>
              <w:jc w:val="both"/>
              <w:rPr>
                <w:b/>
                <w:bCs/>
                <w:color w:val="auto"/>
                <w:spacing w:val="7"/>
                <w:highlight w:val="none"/>
              </w:rPr>
            </w:pPr>
            <w:r>
              <w:rPr>
                <w:color w:val="auto"/>
                <w:spacing w:val="8"/>
                <w:highlight w:val="none"/>
              </w:rPr>
              <w:t>磋商小组的组建</w:t>
            </w:r>
          </w:p>
        </w:tc>
        <w:tc>
          <w:tcPr>
            <w:tcW w:w="6186" w:type="dxa"/>
            <w:vAlign w:val="center"/>
          </w:tcPr>
          <w:p w14:paraId="3E91C805">
            <w:pPr>
              <w:pStyle w:val="15"/>
              <w:spacing w:before="95" w:line="228" w:lineRule="auto"/>
              <w:ind w:left="115" w:leftChars="0"/>
              <w:jc w:val="both"/>
              <w:rPr>
                <w:color w:val="auto"/>
                <w:spacing w:val="8"/>
                <w:highlight w:val="none"/>
              </w:rPr>
            </w:pPr>
            <w:r>
              <w:rPr>
                <w:color w:val="auto"/>
                <w:spacing w:val="9"/>
                <w:highlight w:val="none"/>
              </w:rPr>
              <w:t>磋商小组构成：</w:t>
            </w:r>
            <w:r>
              <w:rPr>
                <w:rFonts w:ascii="Times New Roman" w:hAnsi="Times New Roman" w:eastAsia="Times New Roman" w:cs="Times New Roman"/>
                <w:color w:val="auto"/>
                <w:spacing w:val="9"/>
                <w:highlight w:val="none"/>
                <w:u w:val="single" w:color="auto"/>
              </w:rPr>
              <w:t xml:space="preserve">  3  </w:t>
            </w:r>
            <w:r>
              <w:rPr>
                <w:color w:val="auto"/>
                <w:spacing w:val="9"/>
                <w:highlight w:val="none"/>
              </w:rPr>
              <w:t>人</w:t>
            </w:r>
          </w:p>
        </w:tc>
      </w:tr>
    </w:tbl>
    <w:p w14:paraId="5FC10340">
      <w:pPr>
        <w:pStyle w:val="2"/>
        <w:spacing w:line="47" w:lineRule="exact"/>
        <w:rPr>
          <w:color w:val="auto"/>
          <w:sz w:val="4"/>
          <w:highlight w:val="none"/>
        </w:rPr>
      </w:pPr>
    </w:p>
    <w:p w14:paraId="01C4B61D">
      <w:pPr>
        <w:spacing w:line="47" w:lineRule="exact"/>
        <w:rPr>
          <w:color w:val="auto"/>
          <w:sz w:val="4"/>
          <w:szCs w:val="4"/>
          <w:highlight w:val="none"/>
        </w:rPr>
        <w:sectPr>
          <w:footerReference r:id="rId8" w:type="default"/>
          <w:pgSz w:w="11910" w:h="16840"/>
          <w:pgMar w:top="1357" w:right="1406" w:bottom="1019" w:left="1548" w:header="0" w:footer="857" w:gutter="0"/>
          <w:pgNumType w:fmt="decimal"/>
          <w:cols w:space="720" w:num="1"/>
        </w:sectPr>
      </w:pPr>
    </w:p>
    <w:p w14:paraId="57A58EBF">
      <w:pPr>
        <w:spacing w:line="185" w:lineRule="auto"/>
        <w:rPr>
          <w:rFonts w:ascii="Times New Roman" w:hAnsi="Times New Roman" w:eastAsia="Times New Roman" w:cs="Times New Roman"/>
          <w:color w:val="auto"/>
          <w:sz w:val="18"/>
          <w:szCs w:val="18"/>
          <w:highlight w:val="none"/>
        </w:rPr>
      </w:pPr>
    </w:p>
    <w:p w14:paraId="68F91D2A">
      <w:pPr>
        <w:spacing w:line="185" w:lineRule="auto"/>
        <w:rPr>
          <w:rFonts w:ascii="Times New Roman" w:hAnsi="Times New Roman" w:eastAsia="Times New Roman" w:cs="Times New Roman"/>
          <w:color w:val="auto"/>
          <w:sz w:val="18"/>
          <w:szCs w:val="18"/>
          <w:highlight w:val="none"/>
        </w:rPr>
      </w:pPr>
    </w:p>
    <w:tbl>
      <w:tblPr>
        <w:tblStyle w:val="14"/>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881"/>
        <w:gridCol w:w="6186"/>
      </w:tblGrid>
      <w:tr w14:paraId="60D74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883" w:type="dxa"/>
            <w:vAlign w:val="top"/>
          </w:tcPr>
          <w:p w14:paraId="1FE36F3D">
            <w:pPr>
              <w:pStyle w:val="15"/>
              <w:spacing w:before="68" w:line="189" w:lineRule="auto"/>
              <w:ind w:left="238"/>
              <w:rPr>
                <w:color w:val="auto"/>
                <w:highlight w:val="none"/>
              </w:rPr>
            </w:pPr>
            <w:r>
              <w:rPr>
                <w:color w:val="auto"/>
                <w:spacing w:val="2"/>
                <w:highlight w:val="none"/>
              </w:rPr>
              <w:t>20.3</w:t>
            </w:r>
          </w:p>
        </w:tc>
        <w:tc>
          <w:tcPr>
            <w:tcW w:w="1881" w:type="dxa"/>
            <w:vAlign w:val="top"/>
          </w:tcPr>
          <w:p w14:paraId="17160DB6">
            <w:pPr>
              <w:pStyle w:val="15"/>
              <w:spacing w:before="36" w:line="228" w:lineRule="auto"/>
              <w:ind w:left="523"/>
              <w:rPr>
                <w:color w:val="auto"/>
                <w:highlight w:val="none"/>
              </w:rPr>
            </w:pPr>
            <w:r>
              <w:rPr>
                <w:color w:val="auto"/>
                <w:spacing w:val="7"/>
                <w:highlight w:val="none"/>
              </w:rPr>
              <w:t>评标方式</w:t>
            </w:r>
          </w:p>
        </w:tc>
        <w:tc>
          <w:tcPr>
            <w:tcW w:w="6186" w:type="dxa"/>
            <w:vAlign w:val="top"/>
          </w:tcPr>
          <w:p w14:paraId="6A352985">
            <w:pPr>
              <w:pStyle w:val="15"/>
              <w:spacing w:before="35" w:line="226" w:lineRule="auto"/>
              <w:ind w:left="119"/>
              <w:rPr>
                <w:color w:val="auto"/>
                <w:highlight w:val="none"/>
              </w:rPr>
            </w:pPr>
            <w:r>
              <w:rPr>
                <w:rFonts w:ascii="MS Gothic" w:hAnsi="MS Gothic" w:eastAsia="MS Gothic" w:cs="MS Gothic"/>
                <w:color w:val="auto"/>
                <w:spacing w:val="7"/>
                <w:highlight w:val="none"/>
              </w:rPr>
              <w:t>☑</w:t>
            </w:r>
            <w:r>
              <w:rPr>
                <w:color w:val="auto"/>
                <w:spacing w:val="7"/>
                <w:highlight w:val="none"/>
              </w:rPr>
              <w:t>综合评估法</w:t>
            </w:r>
          </w:p>
        </w:tc>
      </w:tr>
      <w:tr w14:paraId="1EA75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83" w:type="dxa"/>
            <w:vAlign w:val="top"/>
          </w:tcPr>
          <w:p w14:paraId="7E2D2C07">
            <w:pPr>
              <w:pStyle w:val="15"/>
              <w:spacing w:before="64" w:line="189" w:lineRule="auto"/>
              <w:ind w:left="238"/>
              <w:rPr>
                <w:color w:val="auto"/>
                <w:highlight w:val="none"/>
              </w:rPr>
            </w:pPr>
            <w:r>
              <w:rPr>
                <w:color w:val="auto"/>
                <w:spacing w:val="2"/>
                <w:highlight w:val="none"/>
              </w:rPr>
              <w:t>20.6</w:t>
            </w:r>
          </w:p>
        </w:tc>
        <w:tc>
          <w:tcPr>
            <w:tcW w:w="1881" w:type="dxa"/>
            <w:vAlign w:val="top"/>
          </w:tcPr>
          <w:p w14:paraId="743678DA">
            <w:pPr>
              <w:pStyle w:val="15"/>
              <w:spacing w:before="31" w:line="228" w:lineRule="auto"/>
              <w:ind w:left="317"/>
              <w:rPr>
                <w:color w:val="auto"/>
                <w:highlight w:val="none"/>
              </w:rPr>
            </w:pPr>
            <w:r>
              <w:rPr>
                <w:color w:val="auto"/>
                <w:spacing w:val="7"/>
                <w:highlight w:val="none"/>
              </w:rPr>
              <w:t>备份响应文件</w:t>
            </w:r>
          </w:p>
        </w:tc>
        <w:tc>
          <w:tcPr>
            <w:tcW w:w="6186" w:type="dxa"/>
            <w:vAlign w:val="top"/>
          </w:tcPr>
          <w:p w14:paraId="453209EE">
            <w:pPr>
              <w:pStyle w:val="15"/>
              <w:spacing w:before="31" w:line="227" w:lineRule="auto"/>
              <w:ind w:left="112"/>
              <w:rPr>
                <w:color w:val="auto"/>
                <w:highlight w:val="none"/>
              </w:rPr>
            </w:pPr>
            <w:r>
              <w:rPr>
                <w:color w:val="auto"/>
                <w:spacing w:val="8"/>
                <w:highlight w:val="none"/>
              </w:rPr>
              <w:t>本项目不接受备份响应文件。</w:t>
            </w:r>
          </w:p>
        </w:tc>
      </w:tr>
      <w:tr w14:paraId="574B2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83" w:type="dxa"/>
            <w:vAlign w:val="top"/>
          </w:tcPr>
          <w:p w14:paraId="10FF0BA8">
            <w:pPr>
              <w:pStyle w:val="15"/>
              <w:spacing w:before="232" w:line="189" w:lineRule="auto"/>
              <w:ind w:left="343"/>
              <w:rPr>
                <w:color w:val="auto"/>
                <w:highlight w:val="none"/>
              </w:rPr>
            </w:pPr>
            <w:r>
              <w:rPr>
                <w:color w:val="auto"/>
                <w:spacing w:val="-1"/>
                <w:highlight w:val="none"/>
              </w:rPr>
              <w:t>21</w:t>
            </w:r>
          </w:p>
        </w:tc>
        <w:tc>
          <w:tcPr>
            <w:tcW w:w="1881" w:type="dxa"/>
            <w:vAlign w:val="top"/>
          </w:tcPr>
          <w:p w14:paraId="0409FC51">
            <w:pPr>
              <w:pStyle w:val="15"/>
              <w:spacing w:before="32" w:line="297" w:lineRule="auto"/>
              <w:ind w:left="735" w:right="205" w:hanging="523"/>
              <w:rPr>
                <w:color w:val="auto"/>
                <w:highlight w:val="none"/>
              </w:rPr>
            </w:pPr>
            <w:r>
              <w:rPr>
                <w:color w:val="auto"/>
                <w:spacing w:val="8"/>
                <w:highlight w:val="none"/>
              </w:rPr>
              <w:t>首次响应文件的</w:t>
            </w:r>
            <w:r>
              <w:rPr>
                <w:color w:val="auto"/>
                <w:spacing w:val="4"/>
                <w:highlight w:val="none"/>
              </w:rPr>
              <w:t>退回</w:t>
            </w:r>
          </w:p>
        </w:tc>
        <w:tc>
          <w:tcPr>
            <w:tcW w:w="6186" w:type="dxa"/>
            <w:vAlign w:val="top"/>
          </w:tcPr>
          <w:p w14:paraId="7D9A29E5">
            <w:pPr>
              <w:pStyle w:val="15"/>
              <w:spacing w:before="199" w:line="226" w:lineRule="auto"/>
              <w:ind w:left="114"/>
              <w:rPr>
                <w:color w:val="auto"/>
                <w:highlight w:val="none"/>
              </w:rPr>
            </w:pPr>
            <w:r>
              <w:rPr>
                <w:color w:val="auto"/>
                <w:spacing w:val="7"/>
                <w:highlight w:val="none"/>
              </w:rPr>
              <w:t>详见竞争性磋商公告。</w:t>
            </w:r>
          </w:p>
        </w:tc>
      </w:tr>
      <w:tr w14:paraId="37B9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83" w:type="dxa"/>
            <w:vMerge w:val="restart"/>
            <w:tcBorders>
              <w:bottom w:val="nil"/>
            </w:tcBorders>
            <w:vAlign w:val="top"/>
          </w:tcPr>
          <w:p w14:paraId="7421D6D4">
            <w:pPr>
              <w:spacing w:line="282" w:lineRule="auto"/>
              <w:rPr>
                <w:rFonts w:ascii="Arial"/>
                <w:color w:val="auto"/>
                <w:sz w:val="21"/>
                <w:highlight w:val="none"/>
              </w:rPr>
            </w:pPr>
          </w:p>
          <w:p w14:paraId="537E3139">
            <w:pPr>
              <w:spacing w:line="283" w:lineRule="auto"/>
              <w:rPr>
                <w:rFonts w:ascii="Arial"/>
                <w:color w:val="auto"/>
                <w:sz w:val="21"/>
                <w:highlight w:val="none"/>
              </w:rPr>
            </w:pPr>
          </w:p>
          <w:p w14:paraId="156FB03F">
            <w:pPr>
              <w:spacing w:line="283" w:lineRule="auto"/>
              <w:rPr>
                <w:rFonts w:ascii="Arial"/>
                <w:color w:val="auto"/>
                <w:sz w:val="21"/>
                <w:highlight w:val="none"/>
              </w:rPr>
            </w:pPr>
          </w:p>
          <w:p w14:paraId="2241B3B1">
            <w:pPr>
              <w:pStyle w:val="15"/>
              <w:spacing w:before="65" w:line="189" w:lineRule="auto"/>
              <w:ind w:left="238"/>
              <w:rPr>
                <w:color w:val="auto"/>
                <w:highlight w:val="none"/>
              </w:rPr>
            </w:pPr>
            <w:r>
              <w:rPr>
                <w:color w:val="auto"/>
                <w:spacing w:val="2"/>
                <w:highlight w:val="none"/>
              </w:rPr>
              <w:t>26.2</w:t>
            </w:r>
          </w:p>
        </w:tc>
        <w:tc>
          <w:tcPr>
            <w:tcW w:w="1881" w:type="dxa"/>
            <w:vAlign w:val="top"/>
          </w:tcPr>
          <w:p w14:paraId="179EE268">
            <w:pPr>
              <w:pStyle w:val="15"/>
              <w:spacing w:before="199" w:line="228" w:lineRule="auto"/>
              <w:ind w:left="428"/>
              <w:rPr>
                <w:color w:val="auto"/>
                <w:highlight w:val="none"/>
              </w:rPr>
            </w:pPr>
            <w:r>
              <w:rPr>
                <w:color w:val="auto"/>
                <w:spacing w:val="6"/>
                <w:highlight w:val="none"/>
              </w:rPr>
              <w:t>负偏离要求</w:t>
            </w:r>
          </w:p>
        </w:tc>
        <w:tc>
          <w:tcPr>
            <w:tcW w:w="6186" w:type="dxa"/>
            <w:vAlign w:val="top"/>
          </w:tcPr>
          <w:p w14:paraId="27CCEC19">
            <w:pPr>
              <w:pStyle w:val="15"/>
              <w:spacing w:before="32" w:line="297" w:lineRule="auto"/>
              <w:ind w:left="111" w:right="1808" w:firstLine="4"/>
              <w:rPr>
                <w:color w:val="auto"/>
                <w:highlight w:val="none"/>
              </w:rPr>
            </w:pPr>
            <w:r>
              <w:rPr>
                <w:color w:val="auto"/>
                <w:spacing w:val="7"/>
                <w:highlight w:val="none"/>
              </w:rPr>
              <w:t>商务条款评审中允许负偏离的条款数为</w:t>
            </w:r>
            <w:r>
              <w:rPr>
                <w:color w:val="auto"/>
                <w:spacing w:val="7"/>
                <w:highlight w:val="none"/>
                <w:u w:val="single" w:color="auto"/>
              </w:rPr>
              <w:t xml:space="preserve"> 0 </w:t>
            </w:r>
            <w:r>
              <w:rPr>
                <w:color w:val="auto"/>
                <w:spacing w:val="7"/>
                <w:highlight w:val="none"/>
              </w:rPr>
              <w:t>项。服务需求评审中允许负偏离的条款数为</w:t>
            </w:r>
            <w:r>
              <w:rPr>
                <w:color w:val="auto"/>
                <w:spacing w:val="7"/>
                <w:highlight w:val="none"/>
                <w:u w:val="single" w:color="auto"/>
              </w:rPr>
              <w:t xml:space="preserve"> 0 </w:t>
            </w:r>
            <w:r>
              <w:rPr>
                <w:color w:val="auto"/>
                <w:spacing w:val="7"/>
                <w:highlight w:val="none"/>
              </w:rPr>
              <w:t>项。</w:t>
            </w:r>
          </w:p>
        </w:tc>
      </w:tr>
      <w:tr w14:paraId="317DC5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883" w:type="dxa"/>
            <w:vMerge w:val="continue"/>
            <w:tcBorders>
              <w:top w:val="nil"/>
            </w:tcBorders>
            <w:vAlign w:val="top"/>
          </w:tcPr>
          <w:p w14:paraId="094E31B2">
            <w:pPr>
              <w:rPr>
                <w:rFonts w:ascii="Arial"/>
                <w:color w:val="auto"/>
                <w:sz w:val="21"/>
                <w:highlight w:val="none"/>
              </w:rPr>
            </w:pPr>
          </w:p>
        </w:tc>
        <w:tc>
          <w:tcPr>
            <w:tcW w:w="1881" w:type="dxa"/>
            <w:vAlign w:val="top"/>
          </w:tcPr>
          <w:p w14:paraId="1B021CEF">
            <w:pPr>
              <w:spacing w:line="473" w:lineRule="auto"/>
              <w:rPr>
                <w:rFonts w:ascii="Arial"/>
                <w:color w:val="auto"/>
                <w:sz w:val="21"/>
                <w:highlight w:val="none"/>
              </w:rPr>
            </w:pPr>
          </w:p>
          <w:p w14:paraId="0224AD2D">
            <w:pPr>
              <w:pStyle w:val="15"/>
              <w:spacing w:before="65" w:line="228" w:lineRule="auto"/>
              <w:ind w:left="419"/>
              <w:rPr>
                <w:color w:val="auto"/>
                <w:highlight w:val="none"/>
              </w:rPr>
            </w:pPr>
            <w:r>
              <w:rPr>
                <w:color w:val="auto"/>
                <w:spacing w:val="8"/>
                <w:highlight w:val="none"/>
              </w:rPr>
              <w:t>磋商的顺序</w:t>
            </w:r>
          </w:p>
        </w:tc>
        <w:tc>
          <w:tcPr>
            <w:tcW w:w="6186" w:type="dxa"/>
            <w:vAlign w:val="top"/>
          </w:tcPr>
          <w:p w14:paraId="192DED10">
            <w:pPr>
              <w:pStyle w:val="15"/>
              <w:spacing w:before="33" w:line="303" w:lineRule="auto"/>
              <w:ind w:left="111" w:right="197" w:firstLine="21"/>
              <w:jc w:val="both"/>
              <w:rPr>
                <w:color w:val="auto"/>
                <w:highlight w:val="none"/>
              </w:rPr>
            </w:pPr>
            <w:r>
              <w:rPr>
                <w:color w:val="auto"/>
                <w:spacing w:val="9"/>
                <w:highlight w:val="none"/>
              </w:rPr>
              <w:t>□按照提交首次响应文件的顺序，通知磋商时，若某供应</w:t>
            </w:r>
            <w:r>
              <w:rPr>
                <w:color w:val="auto"/>
                <w:spacing w:val="8"/>
                <w:highlight w:val="none"/>
              </w:rPr>
              <w:t>商不在</w:t>
            </w:r>
            <w:r>
              <w:rPr>
                <w:color w:val="auto"/>
                <w:spacing w:val="9"/>
                <w:highlight w:val="none"/>
              </w:rPr>
              <w:t>通知现场时，该供应商排序到最后磋商，按照签到的顺序由其下</w:t>
            </w:r>
            <w:r>
              <w:rPr>
                <w:color w:val="auto"/>
                <w:spacing w:val="8"/>
                <w:highlight w:val="none"/>
              </w:rPr>
              <w:t>一位供应商先参与磋商。</w:t>
            </w:r>
          </w:p>
          <w:p w14:paraId="654BF2EA">
            <w:pPr>
              <w:pStyle w:val="15"/>
              <w:spacing w:before="33" w:line="215" w:lineRule="auto"/>
              <w:ind w:left="120"/>
              <w:rPr>
                <w:color w:val="auto"/>
                <w:highlight w:val="none"/>
              </w:rPr>
            </w:pPr>
            <w:r>
              <w:rPr>
                <w:rFonts w:ascii="Segoe UI Symbol" w:hAnsi="Segoe UI Symbol" w:eastAsia="Segoe UI Symbol" w:cs="Segoe UI Symbol"/>
                <w:color w:val="auto"/>
                <w:highlight w:val="none"/>
              </w:rPr>
              <w:t xml:space="preserve">☑ </w:t>
            </w:r>
            <w:r>
              <w:rPr>
                <w:color w:val="auto"/>
                <w:highlight w:val="none"/>
              </w:rPr>
              <w:t>随机排序。</w:t>
            </w:r>
          </w:p>
        </w:tc>
      </w:tr>
      <w:tr w14:paraId="3556D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83" w:type="dxa"/>
            <w:vAlign w:val="top"/>
          </w:tcPr>
          <w:p w14:paraId="1DA71482">
            <w:pPr>
              <w:pStyle w:val="15"/>
              <w:spacing w:before="65" w:line="189" w:lineRule="auto"/>
              <w:ind w:left="343"/>
              <w:rPr>
                <w:color w:val="auto"/>
                <w:highlight w:val="none"/>
              </w:rPr>
            </w:pPr>
            <w:r>
              <w:rPr>
                <w:color w:val="auto"/>
                <w:spacing w:val="-1"/>
                <w:highlight w:val="none"/>
              </w:rPr>
              <w:t>28</w:t>
            </w:r>
          </w:p>
        </w:tc>
        <w:tc>
          <w:tcPr>
            <w:tcW w:w="1881" w:type="dxa"/>
            <w:vAlign w:val="top"/>
          </w:tcPr>
          <w:p w14:paraId="075435EF">
            <w:pPr>
              <w:pStyle w:val="15"/>
              <w:spacing w:before="32" w:line="228" w:lineRule="auto"/>
              <w:ind w:left="424"/>
              <w:rPr>
                <w:color w:val="auto"/>
                <w:highlight w:val="none"/>
              </w:rPr>
            </w:pPr>
            <w:r>
              <w:rPr>
                <w:color w:val="auto"/>
                <w:spacing w:val="7"/>
                <w:highlight w:val="none"/>
              </w:rPr>
              <w:t>履约保证金</w:t>
            </w:r>
          </w:p>
        </w:tc>
        <w:tc>
          <w:tcPr>
            <w:tcW w:w="6186" w:type="dxa"/>
            <w:vAlign w:val="top"/>
          </w:tcPr>
          <w:p w14:paraId="0B0F68AF">
            <w:pPr>
              <w:pStyle w:val="15"/>
              <w:spacing w:before="32" w:line="227" w:lineRule="auto"/>
              <w:ind w:left="112"/>
              <w:rPr>
                <w:color w:val="auto"/>
                <w:highlight w:val="none"/>
              </w:rPr>
            </w:pPr>
            <w:r>
              <w:rPr>
                <w:color w:val="auto"/>
                <w:spacing w:val="9"/>
                <w:highlight w:val="none"/>
              </w:rPr>
              <w:t>本项目不收取履约保证金</w:t>
            </w:r>
          </w:p>
        </w:tc>
      </w:tr>
      <w:tr w14:paraId="08168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6" w:hRule="atLeast"/>
        </w:trPr>
        <w:tc>
          <w:tcPr>
            <w:tcW w:w="883" w:type="dxa"/>
            <w:vAlign w:val="top"/>
          </w:tcPr>
          <w:p w14:paraId="2F49483C">
            <w:pPr>
              <w:pStyle w:val="15"/>
              <w:spacing w:before="234" w:line="189" w:lineRule="auto"/>
              <w:ind w:left="238"/>
              <w:rPr>
                <w:color w:val="auto"/>
                <w:highlight w:val="none"/>
              </w:rPr>
            </w:pPr>
            <w:r>
              <w:rPr>
                <w:color w:val="auto"/>
                <w:spacing w:val="2"/>
                <w:highlight w:val="none"/>
              </w:rPr>
              <w:t>29.5</w:t>
            </w:r>
          </w:p>
        </w:tc>
        <w:tc>
          <w:tcPr>
            <w:tcW w:w="1881" w:type="dxa"/>
            <w:vAlign w:val="top"/>
          </w:tcPr>
          <w:p w14:paraId="4FDD6078">
            <w:pPr>
              <w:pStyle w:val="15"/>
              <w:spacing w:before="32" w:line="297" w:lineRule="auto"/>
              <w:ind w:left="734" w:right="205" w:hanging="525"/>
              <w:rPr>
                <w:color w:val="auto"/>
                <w:highlight w:val="none"/>
              </w:rPr>
            </w:pPr>
            <w:r>
              <w:rPr>
                <w:color w:val="auto"/>
                <w:spacing w:val="8"/>
                <w:highlight w:val="none"/>
              </w:rPr>
              <w:t>签订合同携带的</w:t>
            </w:r>
            <w:r>
              <w:rPr>
                <w:color w:val="auto"/>
                <w:spacing w:val="4"/>
                <w:highlight w:val="none"/>
              </w:rPr>
              <w:t>材料</w:t>
            </w:r>
          </w:p>
        </w:tc>
        <w:tc>
          <w:tcPr>
            <w:tcW w:w="6186" w:type="dxa"/>
            <w:vAlign w:val="top"/>
          </w:tcPr>
          <w:p w14:paraId="76A196F5">
            <w:pPr>
              <w:pStyle w:val="15"/>
              <w:spacing w:before="201" w:line="227" w:lineRule="auto"/>
              <w:ind w:left="112"/>
              <w:rPr>
                <w:color w:val="auto"/>
                <w:highlight w:val="none"/>
              </w:rPr>
            </w:pPr>
            <w:r>
              <w:rPr>
                <w:color w:val="auto"/>
                <w:spacing w:val="8"/>
                <w:highlight w:val="none"/>
              </w:rPr>
              <w:t>使用的有效</w:t>
            </w:r>
            <w:r>
              <w:rPr>
                <w:color w:val="auto"/>
                <w:spacing w:val="-27"/>
                <w:highlight w:val="none"/>
              </w:rPr>
              <w:t xml:space="preserve"> </w:t>
            </w:r>
            <w:r>
              <w:rPr>
                <w:color w:val="auto"/>
                <w:highlight w:val="none"/>
              </w:rPr>
              <w:t>CA</w:t>
            </w:r>
            <w:r>
              <w:rPr>
                <w:color w:val="auto"/>
                <w:spacing w:val="-40"/>
                <w:highlight w:val="none"/>
              </w:rPr>
              <w:t xml:space="preserve"> </w:t>
            </w:r>
            <w:r>
              <w:rPr>
                <w:color w:val="auto"/>
                <w:spacing w:val="8"/>
                <w:highlight w:val="none"/>
              </w:rPr>
              <w:t>证书加盖单位电子公章</w:t>
            </w:r>
          </w:p>
        </w:tc>
      </w:tr>
      <w:tr w14:paraId="662A4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trPr>
        <w:tc>
          <w:tcPr>
            <w:tcW w:w="883" w:type="dxa"/>
            <w:vAlign w:val="top"/>
          </w:tcPr>
          <w:p w14:paraId="7F772901">
            <w:pPr>
              <w:spacing w:line="253" w:lineRule="auto"/>
              <w:rPr>
                <w:rFonts w:ascii="Arial"/>
                <w:color w:val="auto"/>
                <w:sz w:val="21"/>
                <w:highlight w:val="none"/>
              </w:rPr>
            </w:pPr>
          </w:p>
          <w:p w14:paraId="0517985D">
            <w:pPr>
              <w:spacing w:line="253" w:lineRule="auto"/>
              <w:rPr>
                <w:rFonts w:ascii="Arial"/>
                <w:color w:val="auto"/>
                <w:sz w:val="21"/>
                <w:highlight w:val="none"/>
              </w:rPr>
            </w:pPr>
          </w:p>
          <w:p w14:paraId="4B07EAE2">
            <w:pPr>
              <w:spacing w:line="254" w:lineRule="auto"/>
              <w:rPr>
                <w:rFonts w:ascii="Arial"/>
                <w:color w:val="auto"/>
                <w:sz w:val="21"/>
                <w:highlight w:val="none"/>
              </w:rPr>
            </w:pPr>
          </w:p>
          <w:p w14:paraId="07572708">
            <w:pPr>
              <w:spacing w:line="254" w:lineRule="auto"/>
              <w:rPr>
                <w:rFonts w:ascii="Arial"/>
                <w:color w:val="auto"/>
                <w:sz w:val="21"/>
                <w:highlight w:val="none"/>
              </w:rPr>
            </w:pPr>
          </w:p>
          <w:p w14:paraId="5357FCE8">
            <w:pPr>
              <w:pStyle w:val="15"/>
              <w:spacing w:before="65" w:line="190" w:lineRule="auto"/>
              <w:ind w:left="239"/>
              <w:rPr>
                <w:color w:val="auto"/>
                <w:highlight w:val="none"/>
              </w:rPr>
            </w:pPr>
            <w:r>
              <w:rPr>
                <w:color w:val="auto"/>
                <w:spacing w:val="2"/>
                <w:highlight w:val="none"/>
              </w:rPr>
              <w:t>31.1</w:t>
            </w:r>
          </w:p>
        </w:tc>
        <w:tc>
          <w:tcPr>
            <w:tcW w:w="1881" w:type="dxa"/>
            <w:vAlign w:val="top"/>
          </w:tcPr>
          <w:p w14:paraId="442D5076">
            <w:pPr>
              <w:spacing w:line="322" w:lineRule="auto"/>
              <w:rPr>
                <w:rFonts w:ascii="Arial"/>
                <w:color w:val="auto"/>
                <w:sz w:val="21"/>
                <w:highlight w:val="none"/>
              </w:rPr>
            </w:pPr>
          </w:p>
          <w:p w14:paraId="1D5FCCA8">
            <w:pPr>
              <w:spacing w:line="322" w:lineRule="auto"/>
              <w:rPr>
                <w:rFonts w:ascii="Arial"/>
                <w:color w:val="auto"/>
                <w:sz w:val="21"/>
                <w:highlight w:val="none"/>
              </w:rPr>
            </w:pPr>
          </w:p>
          <w:p w14:paraId="6EB254FA">
            <w:pPr>
              <w:pStyle w:val="15"/>
              <w:spacing w:before="65" w:line="227" w:lineRule="auto"/>
              <w:ind w:left="111"/>
              <w:rPr>
                <w:color w:val="auto"/>
                <w:highlight w:val="none"/>
              </w:rPr>
            </w:pPr>
            <w:r>
              <w:rPr>
                <w:color w:val="auto"/>
                <w:spacing w:val="7"/>
                <w:highlight w:val="none"/>
              </w:rPr>
              <w:t>供应商收到澄清、</w:t>
            </w:r>
          </w:p>
          <w:p w14:paraId="4B2379EF">
            <w:pPr>
              <w:pStyle w:val="15"/>
              <w:spacing w:before="91" w:line="301" w:lineRule="auto"/>
              <w:ind w:left="844" w:right="205" w:hanging="635"/>
              <w:rPr>
                <w:color w:val="auto"/>
                <w:highlight w:val="none"/>
              </w:rPr>
            </w:pPr>
            <w:r>
              <w:rPr>
                <w:color w:val="auto"/>
                <w:spacing w:val="8"/>
                <w:highlight w:val="none"/>
              </w:rPr>
              <w:t>修改文件确认方</w:t>
            </w:r>
            <w:r>
              <w:rPr>
                <w:color w:val="auto"/>
                <w:highlight w:val="none"/>
              </w:rPr>
              <w:t>式</w:t>
            </w:r>
          </w:p>
        </w:tc>
        <w:tc>
          <w:tcPr>
            <w:tcW w:w="6186" w:type="dxa"/>
            <w:vAlign w:val="top"/>
          </w:tcPr>
          <w:p w14:paraId="60399970">
            <w:pPr>
              <w:pStyle w:val="15"/>
              <w:spacing w:before="32" w:line="307" w:lineRule="auto"/>
              <w:ind w:left="110" w:right="107" w:firstLine="11"/>
              <w:jc w:val="both"/>
              <w:rPr>
                <w:color w:val="auto"/>
                <w:highlight w:val="none"/>
              </w:rPr>
            </w:pPr>
            <w:r>
              <w:rPr>
                <w:color w:val="auto"/>
                <w:highlight w:val="none"/>
              </w:rPr>
              <w:drawing>
                <wp:inline distT="0" distB="0" distL="0" distR="0">
                  <wp:extent cx="106680" cy="10223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5"/>
                          <a:stretch>
                            <a:fillRect/>
                          </a:stretch>
                        </pic:blipFill>
                        <pic:spPr>
                          <a:xfrm>
                            <a:off x="0" y="0"/>
                            <a:ext cx="107101" cy="102588"/>
                          </a:xfrm>
                          <a:prstGeom prst="rect">
                            <a:avLst/>
                          </a:prstGeom>
                        </pic:spPr>
                      </pic:pic>
                    </a:graphicData>
                  </a:graphic>
                </wp:inline>
              </w:drawing>
            </w:r>
            <w:r>
              <w:rPr>
                <w:color w:val="auto"/>
                <w:spacing w:val="-1"/>
                <w:highlight w:val="none"/>
              </w:rPr>
              <w:t>不需要确认。澄清、修改文件在中国政府采购网（w</w:t>
            </w:r>
            <w:r>
              <w:rPr>
                <w:color w:val="auto"/>
                <w:spacing w:val="-2"/>
                <w:highlight w:val="none"/>
              </w:rPr>
              <w:t>ww.ccgp.gov.</w:t>
            </w:r>
            <w:r>
              <w:rPr>
                <w:color w:val="auto"/>
                <w:highlight w:val="none"/>
              </w:rPr>
              <w:t>cn</w:t>
            </w:r>
            <w:r>
              <w:rPr>
                <w:color w:val="auto"/>
                <w:spacing w:val="12"/>
                <w:highlight w:val="none"/>
              </w:rPr>
              <w:t>）、广西壮族自治区政府采购网（</w:t>
            </w:r>
            <w:r>
              <w:rPr>
                <w:color w:val="auto"/>
                <w:highlight w:val="none"/>
              </w:rPr>
              <w:t>zfcg</w:t>
            </w:r>
            <w:r>
              <w:rPr>
                <w:color w:val="auto"/>
                <w:spacing w:val="12"/>
                <w:highlight w:val="none"/>
              </w:rPr>
              <w:t>.</w:t>
            </w:r>
            <w:r>
              <w:rPr>
                <w:color w:val="auto"/>
                <w:highlight w:val="none"/>
              </w:rPr>
              <w:t>gxzf</w:t>
            </w:r>
            <w:r>
              <w:rPr>
                <w:color w:val="auto"/>
                <w:spacing w:val="12"/>
                <w:highlight w:val="none"/>
              </w:rPr>
              <w:t>.</w:t>
            </w:r>
            <w:r>
              <w:rPr>
                <w:color w:val="auto"/>
                <w:highlight w:val="none"/>
              </w:rPr>
              <w:t>gov</w:t>
            </w:r>
            <w:r>
              <w:rPr>
                <w:color w:val="auto"/>
                <w:spacing w:val="11"/>
                <w:highlight w:val="none"/>
              </w:rPr>
              <w:t>.</w:t>
            </w:r>
            <w:r>
              <w:rPr>
                <w:color w:val="auto"/>
                <w:highlight w:val="none"/>
              </w:rPr>
              <w:t>cn</w:t>
            </w:r>
            <w:r>
              <w:rPr>
                <w:color w:val="auto"/>
                <w:spacing w:val="11"/>
                <w:highlight w:val="none"/>
              </w:rPr>
              <w:t>）上发</w:t>
            </w:r>
            <w:r>
              <w:rPr>
                <w:color w:val="auto"/>
                <w:spacing w:val="9"/>
                <w:highlight w:val="none"/>
              </w:rPr>
              <w:t>布之日起，视为供应商已收到该澄清。供应商未及时关注发布媒</w:t>
            </w:r>
            <w:r>
              <w:rPr>
                <w:color w:val="auto"/>
                <w:spacing w:val="8"/>
                <w:highlight w:val="none"/>
              </w:rPr>
              <w:t>介造成的损失，由供应自行负责。</w:t>
            </w:r>
          </w:p>
          <w:p w14:paraId="545F5668">
            <w:pPr>
              <w:pStyle w:val="15"/>
              <w:spacing w:before="29" w:line="303" w:lineRule="auto"/>
              <w:ind w:left="115" w:right="108" w:firstLine="28"/>
              <w:jc w:val="both"/>
              <w:rPr>
                <w:color w:val="auto"/>
                <w:highlight w:val="none"/>
              </w:rPr>
            </w:pPr>
            <w:r>
              <w:rPr>
                <w:color w:val="auto"/>
                <w:spacing w:val="7"/>
                <w:highlight w:val="none"/>
              </w:rPr>
              <w:t>口需要确认。供应商在收到澄清、修改文件后24小</w:t>
            </w:r>
            <w:r>
              <w:rPr>
                <w:color w:val="auto"/>
                <w:spacing w:val="6"/>
                <w:highlight w:val="none"/>
              </w:rPr>
              <w:t>时内以书面形</w:t>
            </w:r>
            <w:r>
              <w:rPr>
                <w:color w:val="auto"/>
                <w:spacing w:val="9"/>
                <w:highlight w:val="none"/>
              </w:rPr>
              <w:t>式通知采购人，确认已收到该澄清。书面形式确认可通过扫描件</w:t>
            </w:r>
            <w:r>
              <w:rPr>
                <w:color w:val="auto"/>
                <w:spacing w:val="3"/>
                <w:highlight w:val="none"/>
              </w:rPr>
              <w:t>发送到邮箱，邮箱</w:t>
            </w:r>
            <w:r>
              <w:rPr>
                <w:color w:val="auto"/>
                <w:spacing w:val="-45"/>
                <w:highlight w:val="none"/>
              </w:rPr>
              <w:t xml:space="preserve"> </w:t>
            </w:r>
            <w:r>
              <w:rPr>
                <w:color w:val="auto"/>
                <w:spacing w:val="3"/>
                <w:highlight w:val="none"/>
              </w:rPr>
              <w:t>:</w:t>
            </w:r>
            <w:r>
              <w:rPr>
                <w:color w:val="auto"/>
                <w:spacing w:val="-100"/>
                <w:highlight w:val="none"/>
              </w:rPr>
              <w:t xml:space="preserve"> </w:t>
            </w:r>
            <w:r>
              <w:rPr>
                <w:color w:val="auto"/>
                <w:spacing w:val="3"/>
                <w:highlight w:val="none"/>
                <w:u w:val="single" w:color="auto"/>
              </w:rPr>
              <w:t xml:space="preserve">      </w:t>
            </w:r>
            <w:r>
              <w:rPr>
                <w:color w:val="auto"/>
                <w:spacing w:val="3"/>
                <w:highlight w:val="none"/>
              </w:rPr>
              <w:t>。</w:t>
            </w:r>
          </w:p>
        </w:tc>
      </w:tr>
      <w:tr w14:paraId="17F21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83" w:type="dxa"/>
            <w:vMerge w:val="restart"/>
            <w:tcBorders>
              <w:bottom w:val="nil"/>
            </w:tcBorders>
            <w:vAlign w:val="top"/>
          </w:tcPr>
          <w:p w14:paraId="05FDA429">
            <w:pPr>
              <w:spacing w:line="272" w:lineRule="auto"/>
              <w:rPr>
                <w:rFonts w:ascii="Arial"/>
                <w:color w:val="auto"/>
                <w:sz w:val="21"/>
                <w:highlight w:val="none"/>
              </w:rPr>
            </w:pPr>
          </w:p>
          <w:p w14:paraId="681684BE">
            <w:pPr>
              <w:spacing w:line="272" w:lineRule="auto"/>
              <w:rPr>
                <w:rFonts w:ascii="Arial"/>
                <w:color w:val="auto"/>
                <w:sz w:val="21"/>
                <w:highlight w:val="none"/>
              </w:rPr>
            </w:pPr>
          </w:p>
          <w:p w14:paraId="1D7415D8">
            <w:pPr>
              <w:spacing w:line="273" w:lineRule="auto"/>
              <w:rPr>
                <w:rFonts w:ascii="Arial"/>
                <w:color w:val="auto"/>
                <w:sz w:val="21"/>
                <w:highlight w:val="none"/>
              </w:rPr>
            </w:pPr>
          </w:p>
          <w:p w14:paraId="21DAD5B2">
            <w:pPr>
              <w:spacing w:line="273" w:lineRule="auto"/>
              <w:rPr>
                <w:rFonts w:ascii="Arial"/>
                <w:color w:val="auto"/>
                <w:sz w:val="21"/>
                <w:highlight w:val="none"/>
              </w:rPr>
            </w:pPr>
          </w:p>
          <w:p w14:paraId="16D06BDF">
            <w:pPr>
              <w:spacing w:line="273" w:lineRule="auto"/>
              <w:rPr>
                <w:rFonts w:ascii="Arial"/>
                <w:color w:val="auto"/>
                <w:sz w:val="21"/>
                <w:highlight w:val="none"/>
              </w:rPr>
            </w:pPr>
          </w:p>
          <w:p w14:paraId="0E7B46B1">
            <w:pPr>
              <w:pStyle w:val="15"/>
              <w:spacing w:before="65" w:line="190" w:lineRule="auto"/>
              <w:ind w:left="239"/>
              <w:rPr>
                <w:color w:val="auto"/>
                <w:highlight w:val="none"/>
              </w:rPr>
            </w:pPr>
            <w:r>
              <w:rPr>
                <w:color w:val="auto"/>
                <w:spacing w:val="2"/>
                <w:highlight w:val="none"/>
              </w:rPr>
              <w:t>31.2</w:t>
            </w:r>
          </w:p>
        </w:tc>
        <w:tc>
          <w:tcPr>
            <w:tcW w:w="1881" w:type="dxa"/>
            <w:vAlign w:val="top"/>
          </w:tcPr>
          <w:p w14:paraId="35899482">
            <w:pPr>
              <w:pStyle w:val="15"/>
              <w:spacing w:before="32" w:line="228" w:lineRule="auto"/>
              <w:ind w:left="208"/>
              <w:rPr>
                <w:color w:val="auto"/>
                <w:highlight w:val="none"/>
              </w:rPr>
            </w:pPr>
            <w:r>
              <w:rPr>
                <w:color w:val="auto"/>
                <w:spacing w:val="8"/>
                <w:highlight w:val="none"/>
              </w:rPr>
              <w:t>接收质疑函方式</w:t>
            </w:r>
          </w:p>
        </w:tc>
        <w:tc>
          <w:tcPr>
            <w:tcW w:w="6186" w:type="dxa"/>
            <w:vAlign w:val="top"/>
          </w:tcPr>
          <w:p w14:paraId="3BFD81BE">
            <w:pPr>
              <w:pStyle w:val="15"/>
              <w:spacing w:before="32" w:line="227" w:lineRule="auto"/>
              <w:ind w:left="135"/>
              <w:rPr>
                <w:color w:val="auto"/>
                <w:highlight w:val="none"/>
              </w:rPr>
            </w:pPr>
            <w:r>
              <w:rPr>
                <w:color w:val="auto"/>
                <w:spacing w:val="3"/>
                <w:highlight w:val="none"/>
              </w:rPr>
              <w:t>以书面形式</w:t>
            </w:r>
          </w:p>
        </w:tc>
      </w:tr>
      <w:tr w14:paraId="2C5AF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883" w:type="dxa"/>
            <w:vMerge w:val="continue"/>
            <w:tcBorders>
              <w:top w:val="nil"/>
              <w:bottom w:val="nil"/>
            </w:tcBorders>
            <w:vAlign w:val="top"/>
          </w:tcPr>
          <w:p w14:paraId="70D82122">
            <w:pPr>
              <w:rPr>
                <w:rFonts w:ascii="Arial"/>
                <w:color w:val="auto"/>
                <w:sz w:val="21"/>
                <w:highlight w:val="none"/>
              </w:rPr>
            </w:pPr>
          </w:p>
        </w:tc>
        <w:tc>
          <w:tcPr>
            <w:tcW w:w="1881" w:type="dxa"/>
            <w:vAlign w:val="top"/>
          </w:tcPr>
          <w:p w14:paraId="04419283">
            <w:pPr>
              <w:spacing w:line="322" w:lineRule="auto"/>
              <w:rPr>
                <w:rFonts w:ascii="Arial"/>
                <w:color w:val="auto"/>
                <w:sz w:val="21"/>
                <w:highlight w:val="none"/>
              </w:rPr>
            </w:pPr>
          </w:p>
          <w:p w14:paraId="0BF77DB4">
            <w:pPr>
              <w:spacing w:line="322" w:lineRule="auto"/>
              <w:rPr>
                <w:rFonts w:ascii="Arial"/>
                <w:color w:val="auto"/>
                <w:sz w:val="21"/>
                <w:highlight w:val="none"/>
              </w:rPr>
            </w:pPr>
          </w:p>
          <w:p w14:paraId="721ABF21">
            <w:pPr>
              <w:pStyle w:val="15"/>
              <w:spacing w:before="65" w:line="301" w:lineRule="auto"/>
              <w:ind w:left="524" w:right="205" w:hanging="314"/>
              <w:rPr>
                <w:color w:val="auto"/>
                <w:highlight w:val="none"/>
              </w:rPr>
            </w:pPr>
            <w:r>
              <w:rPr>
                <w:color w:val="auto"/>
                <w:spacing w:val="8"/>
                <w:highlight w:val="none"/>
              </w:rPr>
              <w:t>质疑联系部门及</w:t>
            </w:r>
            <w:r>
              <w:rPr>
                <w:color w:val="auto"/>
                <w:spacing w:val="7"/>
                <w:highlight w:val="none"/>
              </w:rPr>
              <w:t>联系方式</w:t>
            </w:r>
          </w:p>
        </w:tc>
        <w:tc>
          <w:tcPr>
            <w:tcW w:w="6186" w:type="dxa"/>
            <w:vAlign w:val="top"/>
          </w:tcPr>
          <w:p w14:paraId="46A19ABB">
            <w:pPr>
              <w:pStyle w:val="15"/>
              <w:tabs>
                <w:tab w:val="left" w:pos="221"/>
              </w:tabs>
              <w:spacing w:before="34" w:line="299" w:lineRule="auto"/>
              <w:ind w:left="111" w:right="2770" w:hanging="9"/>
              <w:rPr>
                <w:color w:val="auto"/>
                <w:spacing w:val="5"/>
                <w:highlight w:val="none"/>
              </w:rPr>
            </w:pPr>
            <w:r>
              <w:rPr>
                <w:color w:val="auto"/>
                <w:highlight w:val="none"/>
                <w:u w:val="single" w:color="auto"/>
              </w:rPr>
              <w:tab/>
            </w:r>
            <w:r>
              <w:rPr>
                <w:color w:val="auto"/>
                <w:highlight w:val="none"/>
                <w:u w:val="single" w:color="auto"/>
              </w:rPr>
              <w:tab/>
            </w:r>
            <w:r>
              <w:rPr>
                <w:color w:val="auto"/>
                <w:spacing w:val="-1"/>
                <w:highlight w:val="none"/>
                <w:u w:val="single" w:color="auto"/>
              </w:rPr>
              <w:t>（1）</w:t>
            </w:r>
            <w:r>
              <w:rPr>
                <w:rFonts w:hint="eastAsia"/>
                <w:color w:val="auto"/>
                <w:spacing w:val="-1"/>
                <w:highlight w:val="none"/>
                <w:u w:val="single" w:color="auto"/>
                <w:lang w:eastAsia="zh-CN"/>
              </w:rPr>
              <w:t>海之特工程管理有限公司</w:t>
            </w:r>
            <w:r>
              <w:rPr>
                <w:color w:val="auto"/>
                <w:spacing w:val="-1"/>
                <w:highlight w:val="none"/>
                <w:u w:val="single" w:color="auto"/>
              </w:rPr>
              <w:t xml:space="preserve"> </w:t>
            </w:r>
            <w:r>
              <w:rPr>
                <w:color w:val="auto"/>
                <w:spacing w:val="-1"/>
                <w:highlight w:val="none"/>
              </w:rPr>
              <w:t>；</w:t>
            </w:r>
          </w:p>
          <w:p w14:paraId="27681CCA">
            <w:pPr>
              <w:pStyle w:val="15"/>
              <w:tabs>
                <w:tab w:val="left" w:pos="221"/>
              </w:tabs>
              <w:spacing w:before="34" w:line="299" w:lineRule="auto"/>
              <w:ind w:left="111" w:right="2770" w:hanging="9"/>
              <w:rPr>
                <w:color w:val="auto"/>
                <w:highlight w:val="none"/>
              </w:rPr>
            </w:pPr>
            <w:r>
              <w:rPr>
                <w:color w:val="auto"/>
                <w:spacing w:val="5"/>
                <w:highlight w:val="none"/>
              </w:rPr>
              <w:t>联系电话：</w:t>
            </w:r>
            <w:r>
              <w:rPr>
                <w:rFonts w:hint="eastAsia"/>
                <w:color w:val="auto"/>
                <w:spacing w:val="5"/>
                <w:highlight w:val="none"/>
                <w:lang w:eastAsia="zh-CN"/>
              </w:rPr>
              <w:t>0771-2264686</w:t>
            </w:r>
            <w:r>
              <w:rPr>
                <w:color w:val="auto"/>
                <w:spacing w:val="5"/>
                <w:highlight w:val="none"/>
              </w:rPr>
              <w:t>，</w:t>
            </w:r>
          </w:p>
          <w:p w14:paraId="79169925">
            <w:pPr>
              <w:pStyle w:val="15"/>
              <w:spacing w:before="31" w:line="228" w:lineRule="auto"/>
              <w:ind w:left="111"/>
              <w:rPr>
                <w:rFonts w:hint="eastAsia" w:eastAsia="宋体"/>
                <w:color w:val="auto"/>
                <w:highlight w:val="none"/>
                <w:lang w:eastAsia="zh-CN"/>
              </w:rPr>
            </w:pPr>
            <w:r>
              <w:rPr>
                <w:color w:val="auto"/>
                <w:spacing w:val="6"/>
                <w:highlight w:val="none"/>
              </w:rPr>
              <w:t>通讯地址：</w:t>
            </w:r>
            <w:r>
              <w:rPr>
                <w:rFonts w:hint="eastAsia"/>
                <w:color w:val="auto"/>
                <w:spacing w:val="6"/>
                <w:highlight w:val="none"/>
                <w:lang w:eastAsia="zh-CN"/>
              </w:rPr>
              <w:t>广西南宁市汇春路4号金湖大厦5楼509室</w:t>
            </w:r>
          </w:p>
          <w:p w14:paraId="61F8D226">
            <w:pPr>
              <w:pStyle w:val="15"/>
              <w:tabs>
                <w:tab w:val="left" w:pos="221"/>
              </w:tabs>
              <w:spacing w:before="94" w:line="301" w:lineRule="auto"/>
              <w:ind w:left="111" w:right="2141" w:hanging="9"/>
              <w:rPr>
                <w:color w:val="auto"/>
                <w:spacing w:val="17"/>
                <w:highlight w:val="none"/>
              </w:rPr>
            </w:pPr>
            <w:r>
              <w:rPr>
                <w:color w:val="auto"/>
                <w:highlight w:val="none"/>
                <w:u w:val="single" w:color="auto"/>
              </w:rPr>
              <w:tab/>
            </w:r>
            <w:r>
              <w:rPr>
                <w:color w:val="auto"/>
                <w:highlight w:val="none"/>
                <w:u w:val="single" w:color="auto"/>
              </w:rPr>
              <w:tab/>
            </w:r>
            <w:r>
              <w:rPr>
                <w:color w:val="auto"/>
                <w:highlight w:val="none"/>
                <w:u w:val="single" w:color="auto"/>
              </w:rPr>
              <w:t>（2）</w:t>
            </w:r>
            <w:r>
              <w:rPr>
                <w:rFonts w:hint="eastAsia"/>
                <w:color w:val="auto"/>
                <w:highlight w:val="none"/>
                <w:u w:val="single" w:color="auto"/>
                <w:lang w:eastAsia="zh-CN"/>
              </w:rPr>
              <w:t>大新县生态移民发展中心</w:t>
            </w:r>
            <w:r>
              <w:rPr>
                <w:color w:val="auto"/>
                <w:highlight w:val="none"/>
                <w:u w:val="single" w:color="auto"/>
              </w:rPr>
              <w:t xml:space="preserve"> </w:t>
            </w:r>
            <w:r>
              <w:rPr>
                <w:color w:val="auto"/>
                <w:highlight w:val="none"/>
              </w:rPr>
              <w:t>；</w:t>
            </w:r>
          </w:p>
          <w:p w14:paraId="7B5B514F">
            <w:pPr>
              <w:pStyle w:val="15"/>
              <w:tabs>
                <w:tab w:val="left" w:pos="221"/>
              </w:tabs>
              <w:spacing w:before="94" w:line="301" w:lineRule="auto"/>
              <w:ind w:left="111" w:right="2141" w:hanging="9"/>
              <w:rPr>
                <w:rFonts w:hint="eastAsia" w:eastAsia="宋体"/>
                <w:color w:val="auto"/>
                <w:highlight w:val="none"/>
                <w:lang w:eastAsia="zh-CN"/>
              </w:rPr>
            </w:pPr>
            <w:r>
              <w:rPr>
                <w:color w:val="auto"/>
                <w:spacing w:val="6"/>
                <w:highlight w:val="none"/>
              </w:rPr>
              <w:t>联系电话：</w:t>
            </w:r>
            <w:r>
              <w:rPr>
                <w:rFonts w:hint="eastAsia"/>
                <w:color w:val="auto"/>
                <w:spacing w:val="6"/>
                <w:highlight w:val="none"/>
                <w:lang w:eastAsia="zh-CN"/>
              </w:rPr>
              <w:t>0771-3630808</w:t>
            </w:r>
          </w:p>
          <w:p w14:paraId="41447401">
            <w:pPr>
              <w:pStyle w:val="15"/>
              <w:spacing w:before="29" w:line="228" w:lineRule="auto"/>
              <w:ind w:left="111"/>
              <w:rPr>
                <w:rFonts w:hint="eastAsia" w:eastAsia="宋体"/>
                <w:color w:val="auto"/>
                <w:highlight w:val="none"/>
                <w:lang w:eastAsia="zh-CN"/>
              </w:rPr>
            </w:pPr>
            <w:r>
              <w:rPr>
                <w:color w:val="auto"/>
                <w:spacing w:val="8"/>
                <w:highlight w:val="none"/>
              </w:rPr>
              <w:t>通讯地址：</w:t>
            </w:r>
            <w:r>
              <w:rPr>
                <w:rFonts w:hint="eastAsia"/>
                <w:color w:val="auto"/>
                <w:spacing w:val="8"/>
                <w:highlight w:val="none"/>
                <w:lang w:eastAsia="zh-CN"/>
              </w:rPr>
              <w:t>崇左市大新县明仕路1115号</w:t>
            </w:r>
          </w:p>
        </w:tc>
      </w:tr>
      <w:tr w14:paraId="5BD255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83" w:type="dxa"/>
            <w:vMerge w:val="continue"/>
            <w:tcBorders>
              <w:top w:val="nil"/>
            </w:tcBorders>
            <w:vAlign w:val="top"/>
          </w:tcPr>
          <w:p w14:paraId="6190ECB6">
            <w:pPr>
              <w:rPr>
                <w:rFonts w:ascii="Arial"/>
                <w:color w:val="auto"/>
                <w:sz w:val="21"/>
                <w:highlight w:val="none"/>
              </w:rPr>
            </w:pPr>
          </w:p>
        </w:tc>
        <w:tc>
          <w:tcPr>
            <w:tcW w:w="1881" w:type="dxa"/>
            <w:vAlign w:val="top"/>
          </w:tcPr>
          <w:p w14:paraId="537247EB">
            <w:pPr>
              <w:pStyle w:val="15"/>
              <w:spacing w:before="35" w:line="295" w:lineRule="auto"/>
              <w:ind w:left="423" w:right="205" w:hanging="212"/>
              <w:rPr>
                <w:color w:val="auto"/>
                <w:highlight w:val="none"/>
              </w:rPr>
            </w:pPr>
            <w:r>
              <w:rPr>
                <w:color w:val="auto"/>
                <w:spacing w:val="8"/>
                <w:highlight w:val="none"/>
              </w:rPr>
              <w:t>现场提交质疑办</w:t>
            </w:r>
            <w:r>
              <w:rPr>
                <w:color w:val="auto"/>
                <w:spacing w:val="2"/>
                <w:highlight w:val="none"/>
              </w:rPr>
              <w:t xml:space="preserve"> </w:t>
            </w:r>
            <w:r>
              <w:rPr>
                <w:color w:val="auto"/>
                <w:spacing w:val="7"/>
                <w:highlight w:val="none"/>
              </w:rPr>
              <w:t>理业务时间</w:t>
            </w:r>
          </w:p>
        </w:tc>
        <w:tc>
          <w:tcPr>
            <w:tcW w:w="6186" w:type="dxa"/>
            <w:vAlign w:val="top"/>
          </w:tcPr>
          <w:p w14:paraId="6AB6FF30">
            <w:pPr>
              <w:pStyle w:val="15"/>
              <w:spacing w:before="35" w:line="295" w:lineRule="auto"/>
              <w:ind w:left="116" w:right="144" w:hanging="4"/>
              <w:rPr>
                <w:color w:val="auto"/>
                <w:highlight w:val="none"/>
              </w:rPr>
            </w:pPr>
            <w:r>
              <w:rPr>
                <w:color w:val="auto"/>
                <w:spacing w:val="2"/>
                <w:highlight w:val="none"/>
              </w:rPr>
              <w:t>质疑期内每个工作日</w:t>
            </w:r>
            <w:r>
              <w:rPr>
                <w:color w:val="auto"/>
                <w:spacing w:val="2"/>
                <w:highlight w:val="none"/>
                <w:u w:val="single" w:color="auto"/>
              </w:rPr>
              <w:t xml:space="preserve"> </w:t>
            </w:r>
            <w:r>
              <w:rPr>
                <w:rFonts w:hint="eastAsia"/>
                <w:color w:val="auto"/>
                <w:spacing w:val="2"/>
                <w:highlight w:val="none"/>
                <w:u w:val="single" w:color="auto"/>
                <w:lang w:val="en-US" w:eastAsia="zh-CN"/>
              </w:rPr>
              <w:t>8</w:t>
            </w:r>
            <w:r>
              <w:rPr>
                <w:color w:val="auto"/>
                <w:spacing w:val="2"/>
                <w:highlight w:val="none"/>
                <w:u w:val="single" w:color="auto"/>
              </w:rPr>
              <w:t xml:space="preserve"> </w:t>
            </w:r>
            <w:r>
              <w:rPr>
                <w:color w:val="auto"/>
                <w:spacing w:val="2"/>
                <w:highlight w:val="none"/>
              </w:rPr>
              <w:t>时</w:t>
            </w:r>
            <w:r>
              <w:rPr>
                <w:color w:val="auto"/>
                <w:spacing w:val="30"/>
                <w:highlight w:val="none"/>
                <w:u w:val="single" w:color="auto"/>
              </w:rPr>
              <w:t xml:space="preserve"> </w:t>
            </w:r>
            <w:r>
              <w:rPr>
                <w:color w:val="auto"/>
                <w:spacing w:val="2"/>
                <w:highlight w:val="none"/>
                <w:u w:val="single" w:color="auto"/>
              </w:rPr>
              <w:t>00</w:t>
            </w:r>
            <w:r>
              <w:rPr>
                <w:color w:val="auto"/>
                <w:spacing w:val="17"/>
                <w:highlight w:val="none"/>
                <w:u w:val="single" w:color="auto"/>
              </w:rPr>
              <w:t xml:space="preserve"> </w:t>
            </w:r>
            <w:r>
              <w:rPr>
                <w:color w:val="auto"/>
                <w:spacing w:val="2"/>
                <w:highlight w:val="none"/>
              </w:rPr>
              <w:t>分到</w:t>
            </w:r>
            <w:r>
              <w:rPr>
                <w:color w:val="auto"/>
                <w:spacing w:val="29"/>
                <w:highlight w:val="none"/>
                <w:u w:val="single" w:color="auto"/>
              </w:rPr>
              <w:t xml:space="preserve"> </w:t>
            </w:r>
            <w:r>
              <w:rPr>
                <w:color w:val="auto"/>
                <w:spacing w:val="2"/>
                <w:highlight w:val="none"/>
                <w:u w:val="single" w:color="auto"/>
              </w:rPr>
              <w:t>12</w:t>
            </w:r>
            <w:r>
              <w:rPr>
                <w:color w:val="auto"/>
                <w:spacing w:val="25"/>
                <w:highlight w:val="none"/>
                <w:u w:val="single" w:color="auto"/>
              </w:rPr>
              <w:t xml:space="preserve"> </w:t>
            </w:r>
            <w:r>
              <w:rPr>
                <w:color w:val="auto"/>
                <w:spacing w:val="2"/>
                <w:highlight w:val="none"/>
              </w:rPr>
              <w:t>时</w:t>
            </w:r>
            <w:r>
              <w:rPr>
                <w:color w:val="auto"/>
                <w:spacing w:val="15"/>
                <w:highlight w:val="none"/>
                <w:u w:val="single" w:color="auto"/>
              </w:rPr>
              <w:t xml:space="preserve"> </w:t>
            </w:r>
            <w:r>
              <w:rPr>
                <w:color w:val="auto"/>
                <w:spacing w:val="2"/>
                <w:highlight w:val="none"/>
                <w:u w:val="single" w:color="auto"/>
              </w:rPr>
              <w:t>00</w:t>
            </w:r>
            <w:r>
              <w:rPr>
                <w:color w:val="auto"/>
                <w:spacing w:val="15"/>
                <w:highlight w:val="none"/>
                <w:u w:val="single" w:color="auto"/>
              </w:rPr>
              <w:t xml:space="preserve"> </w:t>
            </w:r>
            <w:r>
              <w:rPr>
                <w:color w:val="auto"/>
                <w:spacing w:val="2"/>
                <w:highlight w:val="none"/>
              </w:rPr>
              <w:t>分，</w:t>
            </w:r>
            <w:r>
              <w:rPr>
                <w:color w:val="auto"/>
                <w:spacing w:val="29"/>
                <w:highlight w:val="none"/>
                <w:u w:val="single" w:color="auto"/>
              </w:rPr>
              <w:t xml:space="preserve"> </w:t>
            </w:r>
            <w:r>
              <w:rPr>
                <w:color w:val="auto"/>
                <w:spacing w:val="2"/>
                <w:highlight w:val="none"/>
                <w:u w:val="single" w:color="auto"/>
              </w:rPr>
              <w:t>15</w:t>
            </w:r>
            <w:r>
              <w:rPr>
                <w:color w:val="auto"/>
                <w:spacing w:val="23"/>
                <w:highlight w:val="none"/>
                <w:u w:val="single" w:color="auto"/>
              </w:rPr>
              <w:t xml:space="preserve"> </w:t>
            </w:r>
            <w:r>
              <w:rPr>
                <w:color w:val="auto"/>
                <w:spacing w:val="2"/>
                <w:highlight w:val="none"/>
              </w:rPr>
              <w:t>时</w:t>
            </w:r>
            <w:r>
              <w:rPr>
                <w:color w:val="auto"/>
                <w:spacing w:val="-38"/>
                <w:highlight w:val="none"/>
              </w:rPr>
              <w:t xml:space="preserve"> </w:t>
            </w:r>
            <w:r>
              <w:rPr>
                <w:color w:val="auto"/>
                <w:spacing w:val="2"/>
                <w:highlight w:val="none"/>
                <w:u w:val="single" w:color="auto"/>
              </w:rPr>
              <w:t>00</w:t>
            </w:r>
            <w:r>
              <w:rPr>
                <w:color w:val="auto"/>
                <w:spacing w:val="18"/>
                <w:highlight w:val="none"/>
                <w:u w:val="single" w:color="auto"/>
              </w:rPr>
              <w:t xml:space="preserve"> </w:t>
            </w:r>
            <w:r>
              <w:rPr>
                <w:color w:val="auto"/>
                <w:spacing w:val="2"/>
                <w:highlight w:val="none"/>
              </w:rPr>
              <w:t>分</w:t>
            </w:r>
            <w:r>
              <w:rPr>
                <w:color w:val="auto"/>
                <w:highlight w:val="none"/>
              </w:rPr>
              <w:t xml:space="preserve"> </w:t>
            </w:r>
            <w:r>
              <w:rPr>
                <w:color w:val="auto"/>
                <w:spacing w:val="-5"/>
                <w:highlight w:val="none"/>
              </w:rPr>
              <w:t>到</w:t>
            </w:r>
            <w:r>
              <w:rPr>
                <w:color w:val="auto"/>
                <w:spacing w:val="35"/>
                <w:highlight w:val="none"/>
                <w:u w:val="single" w:color="auto"/>
              </w:rPr>
              <w:t xml:space="preserve"> </w:t>
            </w:r>
            <w:r>
              <w:rPr>
                <w:rFonts w:hint="eastAsia"/>
                <w:color w:val="auto"/>
                <w:spacing w:val="-5"/>
                <w:highlight w:val="none"/>
                <w:u w:val="single" w:color="auto"/>
                <w:lang w:val="en-US" w:eastAsia="zh-CN"/>
              </w:rPr>
              <w:t>18</w:t>
            </w:r>
            <w:r>
              <w:rPr>
                <w:color w:val="auto"/>
                <w:spacing w:val="-30"/>
                <w:highlight w:val="none"/>
                <w:u w:val="single" w:color="auto"/>
              </w:rPr>
              <w:t xml:space="preserve"> </w:t>
            </w:r>
            <w:r>
              <w:rPr>
                <w:color w:val="auto"/>
                <w:spacing w:val="-5"/>
                <w:highlight w:val="none"/>
              </w:rPr>
              <w:t>时</w:t>
            </w:r>
            <w:r>
              <w:rPr>
                <w:color w:val="auto"/>
                <w:spacing w:val="18"/>
                <w:highlight w:val="none"/>
                <w:u w:val="single" w:color="auto"/>
              </w:rPr>
              <w:t xml:space="preserve"> </w:t>
            </w:r>
            <w:r>
              <w:rPr>
                <w:rFonts w:hint="eastAsia"/>
                <w:color w:val="auto"/>
                <w:spacing w:val="-5"/>
                <w:highlight w:val="none"/>
                <w:u w:val="single" w:color="auto"/>
                <w:lang w:val="en-US" w:eastAsia="zh-CN"/>
              </w:rPr>
              <w:t>00</w:t>
            </w:r>
            <w:r>
              <w:rPr>
                <w:color w:val="auto"/>
                <w:spacing w:val="15"/>
                <w:highlight w:val="none"/>
                <w:u w:val="single" w:color="auto"/>
              </w:rPr>
              <w:t xml:space="preserve"> </w:t>
            </w:r>
            <w:r>
              <w:rPr>
                <w:color w:val="auto"/>
                <w:spacing w:val="-5"/>
                <w:highlight w:val="none"/>
              </w:rPr>
              <w:t>分</w:t>
            </w:r>
          </w:p>
        </w:tc>
      </w:tr>
      <w:tr w14:paraId="6FFFAC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7" w:hRule="atLeast"/>
        </w:trPr>
        <w:tc>
          <w:tcPr>
            <w:tcW w:w="883" w:type="dxa"/>
            <w:vAlign w:val="top"/>
          </w:tcPr>
          <w:p w14:paraId="55B987EF">
            <w:pPr>
              <w:spacing w:line="339" w:lineRule="auto"/>
              <w:rPr>
                <w:rFonts w:ascii="Arial"/>
                <w:color w:val="auto"/>
                <w:sz w:val="21"/>
                <w:highlight w:val="none"/>
              </w:rPr>
            </w:pPr>
          </w:p>
          <w:p w14:paraId="671DB673">
            <w:pPr>
              <w:spacing w:line="339" w:lineRule="auto"/>
              <w:rPr>
                <w:rFonts w:ascii="Arial"/>
                <w:color w:val="auto"/>
                <w:sz w:val="21"/>
                <w:highlight w:val="none"/>
              </w:rPr>
            </w:pPr>
          </w:p>
          <w:p w14:paraId="355C7E7D">
            <w:pPr>
              <w:pStyle w:val="15"/>
              <w:spacing w:before="65" w:line="190" w:lineRule="auto"/>
              <w:ind w:left="239"/>
              <w:rPr>
                <w:color w:val="auto"/>
                <w:highlight w:val="none"/>
              </w:rPr>
            </w:pPr>
            <w:r>
              <w:rPr>
                <w:color w:val="auto"/>
                <w:spacing w:val="2"/>
                <w:highlight w:val="none"/>
              </w:rPr>
              <w:t>31.6</w:t>
            </w:r>
          </w:p>
        </w:tc>
        <w:tc>
          <w:tcPr>
            <w:tcW w:w="1881" w:type="dxa"/>
            <w:vAlign w:val="top"/>
          </w:tcPr>
          <w:p w14:paraId="23B536DE">
            <w:pPr>
              <w:spacing w:line="323" w:lineRule="auto"/>
              <w:rPr>
                <w:rFonts w:ascii="Arial"/>
                <w:color w:val="auto"/>
                <w:sz w:val="21"/>
                <w:highlight w:val="none"/>
              </w:rPr>
            </w:pPr>
          </w:p>
          <w:p w14:paraId="1000086D">
            <w:pPr>
              <w:spacing w:line="324" w:lineRule="auto"/>
              <w:rPr>
                <w:rFonts w:ascii="Arial"/>
                <w:color w:val="auto"/>
                <w:sz w:val="21"/>
                <w:highlight w:val="none"/>
              </w:rPr>
            </w:pPr>
          </w:p>
          <w:p w14:paraId="2F578C81">
            <w:pPr>
              <w:pStyle w:val="15"/>
              <w:spacing w:before="65" w:line="228" w:lineRule="auto"/>
              <w:ind w:left="319"/>
              <w:rPr>
                <w:color w:val="auto"/>
                <w:highlight w:val="none"/>
              </w:rPr>
            </w:pPr>
            <w:r>
              <w:rPr>
                <w:color w:val="auto"/>
                <w:spacing w:val="7"/>
                <w:highlight w:val="none"/>
              </w:rPr>
              <w:t>受理投诉方式</w:t>
            </w:r>
          </w:p>
        </w:tc>
        <w:tc>
          <w:tcPr>
            <w:tcW w:w="6186" w:type="dxa"/>
            <w:vAlign w:val="top"/>
          </w:tcPr>
          <w:p w14:paraId="39C06D2A">
            <w:pPr>
              <w:pStyle w:val="15"/>
              <w:spacing w:before="33" w:line="271" w:lineRule="auto"/>
              <w:ind w:left="110" w:right="108" w:firstLine="16"/>
              <w:rPr>
                <w:color w:val="auto"/>
                <w:highlight w:val="none"/>
              </w:rPr>
            </w:pPr>
            <w:r>
              <w:rPr>
                <w:color w:val="auto"/>
                <w:spacing w:val="8"/>
                <w:highlight w:val="none"/>
              </w:rPr>
              <w:t>1、受理方式：纸质方式受理，投诉书正、副本（经过质疑的事项</w:t>
            </w:r>
            <w:r>
              <w:rPr>
                <w:color w:val="auto"/>
                <w:spacing w:val="5"/>
                <w:highlight w:val="none"/>
              </w:rPr>
              <w:t>才可投诉）。</w:t>
            </w:r>
          </w:p>
          <w:p w14:paraId="20EE49F3">
            <w:pPr>
              <w:pStyle w:val="15"/>
              <w:spacing w:before="95" w:line="229" w:lineRule="auto"/>
              <w:ind w:left="114"/>
              <w:rPr>
                <w:color w:val="auto"/>
                <w:highlight w:val="none"/>
              </w:rPr>
            </w:pPr>
            <w:r>
              <w:rPr>
                <w:color w:val="auto"/>
                <w:spacing w:val="6"/>
                <w:highlight w:val="none"/>
              </w:rPr>
              <w:t>2、邮寄地址：</w:t>
            </w:r>
          </w:p>
          <w:p w14:paraId="76C71D18">
            <w:pPr>
              <w:pStyle w:val="15"/>
              <w:spacing w:before="91" w:line="296" w:lineRule="auto"/>
              <w:ind w:left="135" w:right="2297" w:hanging="21"/>
              <w:rPr>
                <w:color w:val="auto"/>
                <w:highlight w:val="none"/>
              </w:rPr>
            </w:pPr>
            <w:r>
              <w:rPr>
                <w:color w:val="auto"/>
                <w:spacing w:val="9"/>
                <w:highlight w:val="none"/>
              </w:rPr>
              <w:t>名称：大新县财政局政府采购监督管理股</w:t>
            </w:r>
            <w:r>
              <w:rPr>
                <w:color w:val="auto"/>
                <w:spacing w:val="3"/>
                <w:highlight w:val="none"/>
              </w:rPr>
              <w:t>电话：0771-3626646</w:t>
            </w:r>
          </w:p>
        </w:tc>
      </w:tr>
      <w:tr w14:paraId="67A35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0" w:hRule="atLeast"/>
        </w:trPr>
        <w:tc>
          <w:tcPr>
            <w:tcW w:w="883" w:type="dxa"/>
            <w:vAlign w:val="top"/>
          </w:tcPr>
          <w:p w14:paraId="5D422DB7">
            <w:pPr>
              <w:spacing w:line="254" w:lineRule="auto"/>
              <w:rPr>
                <w:rFonts w:ascii="Arial"/>
                <w:color w:val="auto"/>
                <w:sz w:val="21"/>
                <w:highlight w:val="none"/>
              </w:rPr>
            </w:pPr>
          </w:p>
          <w:p w14:paraId="667EAFB0">
            <w:pPr>
              <w:spacing w:line="254" w:lineRule="auto"/>
              <w:rPr>
                <w:rFonts w:ascii="Arial"/>
                <w:color w:val="auto"/>
                <w:sz w:val="21"/>
                <w:highlight w:val="none"/>
              </w:rPr>
            </w:pPr>
          </w:p>
          <w:p w14:paraId="46E30A5C">
            <w:pPr>
              <w:spacing w:line="254" w:lineRule="auto"/>
              <w:rPr>
                <w:rFonts w:ascii="Arial"/>
                <w:color w:val="auto"/>
                <w:sz w:val="21"/>
                <w:highlight w:val="none"/>
              </w:rPr>
            </w:pPr>
          </w:p>
          <w:p w14:paraId="27006A0D">
            <w:pPr>
              <w:spacing w:line="254" w:lineRule="auto"/>
              <w:rPr>
                <w:rFonts w:ascii="Arial"/>
                <w:color w:val="auto"/>
                <w:sz w:val="21"/>
                <w:highlight w:val="none"/>
              </w:rPr>
            </w:pPr>
          </w:p>
          <w:p w14:paraId="35BB7C9A">
            <w:pPr>
              <w:pStyle w:val="15"/>
              <w:spacing w:before="65" w:line="190" w:lineRule="auto"/>
              <w:ind w:left="239"/>
              <w:rPr>
                <w:color w:val="auto"/>
                <w:highlight w:val="none"/>
              </w:rPr>
            </w:pPr>
            <w:r>
              <w:rPr>
                <w:color w:val="auto"/>
                <w:spacing w:val="2"/>
                <w:highlight w:val="none"/>
              </w:rPr>
              <w:t>31.7</w:t>
            </w:r>
          </w:p>
        </w:tc>
        <w:tc>
          <w:tcPr>
            <w:tcW w:w="1881" w:type="dxa"/>
            <w:vAlign w:val="top"/>
          </w:tcPr>
          <w:p w14:paraId="0AB7E049">
            <w:pPr>
              <w:spacing w:line="271" w:lineRule="auto"/>
              <w:rPr>
                <w:rFonts w:ascii="Arial"/>
                <w:color w:val="auto"/>
                <w:sz w:val="21"/>
                <w:highlight w:val="none"/>
              </w:rPr>
            </w:pPr>
          </w:p>
          <w:p w14:paraId="0E6208BF">
            <w:pPr>
              <w:spacing w:line="272" w:lineRule="auto"/>
              <w:rPr>
                <w:rFonts w:ascii="Arial"/>
                <w:color w:val="auto"/>
                <w:sz w:val="21"/>
                <w:highlight w:val="none"/>
              </w:rPr>
            </w:pPr>
          </w:p>
          <w:p w14:paraId="2CA456A1">
            <w:pPr>
              <w:spacing w:line="272" w:lineRule="auto"/>
              <w:rPr>
                <w:rFonts w:ascii="Arial"/>
                <w:color w:val="auto"/>
                <w:sz w:val="21"/>
                <w:highlight w:val="none"/>
              </w:rPr>
            </w:pPr>
          </w:p>
          <w:p w14:paraId="26E60FC5">
            <w:pPr>
              <w:pStyle w:val="15"/>
              <w:spacing w:before="65" w:line="303" w:lineRule="auto"/>
              <w:ind w:left="841" w:right="205" w:hanging="632"/>
              <w:rPr>
                <w:color w:val="auto"/>
                <w:highlight w:val="none"/>
              </w:rPr>
            </w:pPr>
            <w:r>
              <w:rPr>
                <w:color w:val="auto"/>
                <w:spacing w:val="8"/>
                <w:highlight w:val="none"/>
              </w:rPr>
              <w:t>农民工工资保证</w:t>
            </w:r>
            <w:r>
              <w:rPr>
                <w:color w:val="auto"/>
                <w:highlight w:val="none"/>
              </w:rPr>
              <w:t>金</w:t>
            </w:r>
          </w:p>
        </w:tc>
        <w:tc>
          <w:tcPr>
            <w:tcW w:w="6186" w:type="dxa"/>
            <w:vAlign w:val="top"/>
          </w:tcPr>
          <w:p w14:paraId="625B9E33">
            <w:pPr>
              <w:pStyle w:val="15"/>
              <w:spacing w:before="36" w:line="309" w:lineRule="auto"/>
              <w:ind w:left="110" w:right="108" w:firstLine="2"/>
              <w:jc w:val="both"/>
              <w:rPr>
                <w:color w:val="auto"/>
                <w:highlight w:val="none"/>
              </w:rPr>
            </w:pPr>
            <w:r>
              <w:rPr>
                <w:color w:val="auto"/>
                <w:spacing w:val="11"/>
                <w:highlight w:val="none"/>
              </w:rPr>
              <w:t>按广西壮族自治区人力资源和社会保障厅等</w:t>
            </w:r>
            <w:r>
              <w:rPr>
                <w:rFonts w:ascii="Times New Roman" w:hAnsi="Times New Roman" w:eastAsia="Times New Roman" w:cs="Times New Roman"/>
                <w:color w:val="auto"/>
                <w:spacing w:val="11"/>
                <w:highlight w:val="none"/>
              </w:rPr>
              <w:t>8</w:t>
            </w:r>
            <w:r>
              <w:rPr>
                <w:color w:val="auto"/>
                <w:spacing w:val="11"/>
                <w:highlight w:val="none"/>
              </w:rPr>
              <w:t>部门《关于印发广</w:t>
            </w:r>
            <w:r>
              <w:rPr>
                <w:color w:val="auto"/>
                <w:spacing w:val="13"/>
                <w:highlight w:val="none"/>
              </w:rPr>
              <w:t>西壮族自治区工程建设领域农民工工资专用帐户管理暂</w:t>
            </w:r>
            <w:r>
              <w:rPr>
                <w:color w:val="auto"/>
                <w:spacing w:val="12"/>
                <w:highlight w:val="none"/>
              </w:rPr>
              <w:t>行办法实</w:t>
            </w:r>
            <w:r>
              <w:rPr>
                <w:color w:val="auto"/>
                <w:spacing w:val="6"/>
                <w:highlight w:val="none"/>
              </w:rPr>
              <w:t>施细则的通知》（桂人社规【</w:t>
            </w:r>
            <w:r>
              <w:rPr>
                <w:rFonts w:ascii="Times New Roman" w:hAnsi="Times New Roman" w:eastAsia="Times New Roman" w:cs="Times New Roman"/>
                <w:color w:val="auto"/>
                <w:spacing w:val="6"/>
                <w:highlight w:val="none"/>
              </w:rPr>
              <w:t>2022</w:t>
            </w:r>
            <w:r>
              <w:rPr>
                <w:color w:val="auto"/>
                <w:spacing w:val="6"/>
                <w:highlight w:val="none"/>
              </w:rPr>
              <w:t>】</w:t>
            </w:r>
            <w:r>
              <w:rPr>
                <w:rFonts w:ascii="Times New Roman" w:hAnsi="Times New Roman" w:eastAsia="Times New Roman" w:cs="Times New Roman"/>
                <w:color w:val="auto"/>
                <w:spacing w:val="6"/>
                <w:highlight w:val="none"/>
              </w:rPr>
              <w:t>5</w:t>
            </w:r>
            <w:r>
              <w:rPr>
                <w:color w:val="auto"/>
                <w:spacing w:val="6"/>
                <w:highlight w:val="none"/>
              </w:rPr>
              <w:t>号）执行，承包人在合签订</w:t>
            </w:r>
            <w:r>
              <w:rPr>
                <w:color w:val="auto"/>
                <w:spacing w:val="7"/>
                <w:highlight w:val="none"/>
              </w:rPr>
              <w:t>之日起</w:t>
            </w:r>
            <w:r>
              <w:rPr>
                <w:rFonts w:ascii="Times New Roman" w:hAnsi="Times New Roman" w:eastAsia="Times New Roman" w:cs="Times New Roman"/>
                <w:color w:val="auto"/>
                <w:spacing w:val="7"/>
                <w:highlight w:val="none"/>
              </w:rPr>
              <w:t>30</w:t>
            </w:r>
            <w:r>
              <w:rPr>
                <w:color w:val="auto"/>
                <w:spacing w:val="7"/>
                <w:highlight w:val="none"/>
              </w:rPr>
              <w:t>日内，自主选择在自治区行政区域内依法设立或设</w:t>
            </w:r>
            <w:r>
              <w:rPr>
                <w:color w:val="auto"/>
                <w:spacing w:val="6"/>
                <w:highlight w:val="none"/>
              </w:rPr>
              <w:t>有分</w:t>
            </w:r>
            <w:r>
              <w:rPr>
                <w:color w:val="auto"/>
                <w:spacing w:val="13"/>
                <w:highlight w:val="none"/>
              </w:rPr>
              <w:t>支机构的银行开立专用帐户。办理得施工许可证后，按</w:t>
            </w:r>
            <w:r>
              <w:rPr>
                <w:color w:val="auto"/>
                <w:spacing w:val="12"/>
                <w:highlight w:val="none"/>
              </w:rPr>
              <w:t>照《关于</w:t>
            </w:r>
            <w:r>
              <w:rPr>
                <w:color w:val="auto"/>
                <w:spacing w:val="13"/>
                <w:highlight w:val="none"/>
              </w:rPr>
              <w:t>印发广西壮族自治区工程建设领域农民工工资保证金规</w:t>
            </w:r>
            <w:r>
              <w:rPr>
                <w:color w:val="auto"/>
                <w:spacing w:val="12"/>
                <w:highlight w:val="none"/>
              </w:rPr>
              <w:t>定实施办</w:t>
            </w:r>
            <w:r>
              <w:rPr>
                <w:color w:val="auto"/>
                <w:spacing w:val="9"/>
                <w:highlight w:val="none"/>
              </w:rPr>
              <w:t>法的通知》桂人社规【</w:t>
            </w:r>
            <w:r>
              <w:rPr>
                <w:rFonts w:ascii="Times New Roman" w:hAnsi="Times New Roman" w:eastAsia="Times New Roman" w:cs="Times New Roman"/>
                <w:color w:val="auto"/>
                <w:spacing w:val="9"/>
                <w:highlight w:val="none"/>
              </w:rPr>
              <w:t>2021</w:t>
            </w:r>
            <w:r>
              <w:rPr>
                <w:color w:val="auto"/>
                <w:spacing w:val="9"/>
                <w:highlight w:val="none"/>
              </w:rPr>
              <w:t>】</w:t>
            </w:r>
            <w:r>
              <w:rPr>
                <w:rFonts w:ascii="Times New Roman" w:hAnsi="Times New Roman" w:eastAsia="Times New Roman" w:cs="Times New Roman"/>
                <w:color w:val="auto"/>
                <w:spacing w:val="9"/>
                <w:highlight w:val="none"/>
              </w:rPr>
              <w:t>16</w:t>
            </w:r>
            <w:r>
              <w:rPr>
                <w:color w:val="auto"/>
                <w:spacing w:val="9"/>
                <w:highlight w:val="none"/>
              </w:rPr>
              <w:t>号）缴存保证金，也可以使用银</w:t>
            </w:r>
            <w:r>
              <w:rPr>
                <w:color w:val="auto"/>
                <w:spacing w:val="13"/>
                <w:highlight w:val="none"/>
              </w:rPr>
              <w:t>行保函。工程竣工验收结算经审定后，按照规</w:t>
            </w:r>
            <w:r>
              <w:rPr>
                <w:color w:val="auto"/>
                <w:spacing w:val="12"/>
                <w:highlight w:val="none"/>
              </w:rPr>
              <w:t>定程序，将农民工</w:t>
            </w:r>
            <w:r>
              <w:rPr>
                <w:color w:val="auto"/>
                <w:spacing w:val="9"/>
                <w:highlight w:val="none"/>
              </w:rPr>
              <w:t>工资保证金没有使用或剩余的金额退还给承包人。</w:t>
            </w:r>
          </w:p>
        </w:tc>
      </w:tr>
      <w:tr w14:paraId="5C438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0" w:hRule="atLeast"/>
        </w:trPr>
        <w:tc>
          <w:tcPr>
            <w:tcW w:w="883" w:type="dxa"/>
            <w:vAlign w:val="top"/>
          </w:tcPr>
          <w:p w14:paraId="3A6A2BE2">
            <w:pPr>
              <w:spacing w:line="253" w:lineRule="auto"/>
              <w:rPr>
                <w:rFonts w:ascii="Arial"/>
                <w:color w:val="auto"/>
                <w:sz w:val="21"/>
                <w:highlight w:val="none"/>
              </w:rPr>
            </w:pPr>
          </w:p>
          <w:p w14:paraId="3C231FEA">
            <w:pPr>
              <w:spacing w:line="253" w:lineRule="auto"/>
              <w:rPr>
                <w:rFonts w:ascii="Arial"/>
                <w:color w:val="auto"/>
                <w:sz w:val="21"/>
                <w:highlight w:val="none"/>
              </w:rPr>
            </w:pPr>
          </w:p>
          <w:p w14:paraId="3FA8309B">
            <w:pPr>
              <w:spacing w:line="253" w:lineRule="auto"/>
              <w:rPr>
                <w:rFonts w:ascii="Arial"/>
                <w:color w:val="auto"/>
                <w:sz w:val="21"/>
                <w:highlight w:val="none"/>
              </w:rPr>
            </w:pPr>
          </w:p>
          <w:p w14:paraId="4DB0E756">
            <w:pPr>
              <w:spacing w:line="253" w:lineRule="auto"/>
              <w:rPr>
                <w:rFonts w:ascii="Arial"/>
                <w:color w:val="auto"/>
                <w:sz w:val="21"/>
                <w:highlight w:val="none"/>
              </w:rPr>
            </w:pPr>
          </w:p>
          <w:p w14:paraId="391CB3B5">
            <w:pPr>
              <w:spacing w:line="254" w:lineRule="auto"/>
              <w:rPr>
                <w:rFonts w:ascii="Arial"/>
                <w:color w:val="auto"/>
                <w:sz w:val="21"/>
                <w:highlight w:val="none"/>
              </w:rPr>
            </w:pPr>
          </w:p>
          <w:p w14:paraId="6EA2630F">
            <w:pPr>
              <w:spacing w:line="254" w:lineRule="auto"/>
              <w:rPr>
                <w:rFonts w:ascii="Arial"/>
                <w:color w:val="auto"/>
                <w:sz w:val="21"/>
                <w:highlight w:val="none"/>
              </w:rPr>
            </w:pPr>
          </w:p>
          <w:p w14:paraId="020F23DF">
            <w:pPr>
              <w:spacing w:line="254" w:lineRule="auto"/>
              <w:rPr>
                <w:rFonts w:ascii="Arial"/>
                <w:color w:val="auto"/>
                <w:sz w:val="21"/>
                <w:highlight w:val="none"/>
              </w:rPr>
            </w:pPr>
          </w:p>
          <w:p w14:paraId="3CA556EA">
            <w:pPr>
              <w:spacing w:line="254" w:lineRule="auto"/>
              <w:rPr>
                <w:rFonts w:ascii="Arial"/>
                <w:color w:val="auto"/>
                <w:sz w:val="21"/>
                <w:highlight w:val="none"/>
              </w:rPr>
            </w:pPr>
          </w:p>
          <w:p w14:paraId="4D5A04B8">
            <w:pPr>
              <w:pStyle w:val="15"/>
              <w:spacing w:before="65" w:line="189" w:lineRule="auto"/>
              <w:ind w:left="345" w:leftChars="0"/>
              <w:rPr>
                <w:color w:val="auto"/>
                <w:spacing w:val="2"/>
                <w:highlight w:val="none"/>
              </w:rPr>
            </w:pPr>
            <w:r>
              <w:rPr>
                <w:color w:val="auto"/>
                <w:spacing w:val="-2"/>
                <w:highlight w:val="none"/>
              </w:rPr>
              <w:t>33</w:t>
            </w:r>
          </w:p>
        </w:tc>
        <w:tc>
          <w:tcPr>
            <w:tcW w:w="1881" w:type="dxa"/>
            <w:vAlign w:val="top"/>
          </w:tcPr>
          <w:p w14:paraId="0271DE22">
            <w:pPr>
              <w:spacing w:line="249" w:lineRule="auto"/>
              <w:rPr>
                <w:rFonts w:ascii="Arial"/>
                <w:color w:val="auto"/>
                <w:sz w:val="21"/>
                <w:highlight w:val="none"/>
              </w:rPr>
            </w:pPr>
          </w:p>
          <w:p w14:paraId="2FC24B49">
            <w:pPr>
              <w:spacing w:line="249" w:lineRule="auto"/>
              <w:rPr>
                <w:rFonts w:ascii="Arial"/>
                <w:color w:val="auto"/>
                <w:sz w:val="21"/>
                <w:highlight w:val="none"/>
              </w:rPr>
            </w:pPr>
          </w:p>
          <w:p w14:paraId="30B8BA2F">
            <w:pPr>
              <w:spacing w:line="249" w:lineRule="auto"/>
              <w:rPr>
                <w:rFonts w:ascii="Arial"/>
                <w:color w:val="auto"/>
                <w:sz w:val="21"/>
                <w:highlight w:val="none"/>
              </w:rPr>
            </w:pPr>
          </w:p>
          <w:p w14:paraId="01E5D652">
            <w:pPr>
              <w:spacing w:line="249" w:lineRule="auto"/>
              <w:rPr>
                <w:rFonts w:ascii="Arial"/>
                <w:color w:val="auto"/>
                <w:sz w:val="21"/>
                <w:highlight w:val="none"/>
              </w:rPr>
            </w:pPr>
          </w:p>
          <w:p w14:paraId="11D2869C">
            <w:pPr>
              <w:spacing w:line="249" w:lineRule="auto"/>
              <w:rPr>
                <w:rFonts w:ascii="Arial"/>
                <w:color w:val="auto"/>
                <w:sz w:val="21"/>
                <w:highlight w:val="none"/>
              </w:rPr>
            </w:pPr>
          </w:p>
          <w:p w14:paraId="2BC71609">
            <w:pPr>
              <w:spacing w:line="250" w:lineRule="auto"/>
              <w:rPr>
                <w:rFonts w:ascii="Arial"/>
                <w:color w:val="auto"/>
                <w:sz w:val="21"/>
                <w:highlight w:val="none"/>
              </w:rPr>
            </w:pPr>
          </w:p>
          <w:p w14:paraId="03C5E3B7">
            <w:pPr>
              <w:spacing w:line="250" w:lineRule="auto"/>
              <w:rPr>
                <w:rFonts w:ascii="Arial"/>
                <w:color w:val="auto"/>
                <w:sz w:val="21"/>
                <w:highlight w:val="none"/>
              </w:rPr>
            </w:pPr>
          </w:p>
          <w:p w14:paraId="1106F9D9">
            <w:pPr>
              <w:spacing w:line="250" w:lineRule="auto"/>
              <w:rPr>
                <w:rFonts w:ascii="Arial"/>
                <w:color w:val="auto"/>
                <w:sz w:val="21"/>
                <w:highlight w:val="none"/>
              </w:rPr>
            </w:pPr>
          </w:p>
          <w:p w14:paraId="17476BCC">
            <w:pPr>
              <w:pStyle w:val="15"/>
              <w:spacing w:before="65" w:line="227" w:lineRule="auto"/>
              <w:ind w:left="419" w:leftChars="0"/>
              <w:rPr>
                <w:color w:val="auto"/>
                <w:spacing w:val="8"/>
                <w:highlight w:val="none"/>
              </w:rPr>
            </w:pPr>
            <w:r>
              <w:rPr>
                <w:color w:val="auto"/>
                <w:spacing w:val="8"/>
                <w:highlight w:val="none"/>
              </w:rPr>
              <w:t>采购代理费</w:t>
            </w:r>
          </w:p>
        </w:tc>
        <w:tc>
          <w:tcPr>
            <w:tcW w:w="6186" w:type="dxa"/>
            <w:vAlign w:val="top"/>
          </w:tcPr>
          <w:p w14:paraId="6472DAF0">
            <w:pPr>
              <w:pStyle w:val="15"/>
              <w:spacing w:before="30" w:line="227" w:lineRule="auto"/>
              <w:ind w:left="127"/>
              <w:rPr>
                <w:color w:val="auto"/>
                <w:highlight w:val="none"/>
              </w:rPr>
            </w:pPr>
            <w:r>
              <w:rPr>
                <w:color w:val="auto"/>
                <w:spacing w:val="6"/>
                <w:highlight w:val="none"/>
              </w:rPr>
              <w:t>1.采购代理费支付方式：</w:t>
            </w:r>
          </w:p>
          <w:p w14:paraId="1D8ED024">
            <w:pPr>
              <w:pStyle w:val="15"/>
              <w:spacing w:before="91" w:line="300" w:lineRule="auto"/>
              <w:ind w:left="110" w:right="110" w:firstLine="8"/>
              <w:rPr>
                <w:color w:val="auto"/>
                <w:highlight w:val="none"/>
              </w:rPr>
            </w:pPr>
            <w:r>
              <w:rPr>
                <w:rFonts w:ascii="MS Gothic" w:hAnsi="MS Gothic" w:eastAsia="MS Gothic" w:cs="MS Gothic"/>
                <w:color w:val="auto"/>
                <w:spacing w:val="12"/>
                <w:highlight w:val="none"/>
              </w:rPr>
              <w:t>☑</w:t>
            </w:r>
            <w:r>
              <w:rPr>
                <w:color w:val="auto"/>
                <w:spacing w:val="12"/>
                <w:highlight w:val="none"/>
              </w:rPr>
              <w:t>本项目代理服务费由</w:t>
            </w:r>
            <w:r>
              <w:rPr>
                <w:color w:val="auto"/>
                <w:spacing w:val="12"/>
                <w:highlight w:val="none"/>
                <w:u w:val="single" w:color="auto"/>
              </w:rPr>
              <w:t>成交供应商</w:t>
            </w:r>
            <w:r>
              <w:rPr>
                <w:color w:val="auto"/>
                <w:spacing w:val="12"/>
                <w:highlight w:val="none"/>
              </w:rPr>
              <w:t>领取成交通知书前，一次性向</w:t>
            </w:r>
            <w:r>
              <w:rPr>
                <w:color w:val="auto"/>
                <w:spacing w:val="7"/>
                <w:highlight w:val="none"/>
              </w:rPr>
              <w:t>采购代理机构支付。</w:t>
            </w:r>
          </w:p>
          <w:p w14:paraId="5386880B">
            <w:pPr>
              <w:pStyle w:val="15"/>
              <w:spacing w:before="32" w:line="227" w:lineRule="auto"/>
              <w:ind w:left="133"/>
              <w:rPr>
                <w:color w:val="auto"/>
                <w:highlight w:val="none"/>
              </w:rPr>
            </w:pPr>
            <w:r>
              <w:rPr>
                <w:color w:val="auto"/>
                <w:spacing w:val="4"/>
                <w:highlight w:val="none"/>
              </w:rPr>
              <w:t>□采购人支付。</w:t>
            </w:r>
          </w:p>
          <w:p w14:paraId="297010ED">
            <w:pPr>
              <w:pStyle w:val="15"/>
              <w:spacing w:before="94" w:line="227" w:lineRule="auto"/>
              <w:ind w:left="114"/>
              <w:rPr>
                <w:color w:val="auto"/>
                <w:highlight w:val="none"/>
              </w:rPr>
            </w:pPr>
            <w:r>
              <w:rPr>
                <w:color w:val="auto"/>
                <w:spacing w:val="7"/>
                <w:highlight w:val="none"/>
              </w:rPr>
              <w:t>2.采购代理费收取标准：</w:t>
            </w:r>
          </w:p>
          <w:p w14:paraId="6C802312">
            <w:pPr>
              <w:pStyle w:val="15"/>
              <w:spacing w:before="95" w:line="310" w:lineRule="auto"/>
              <w:ind w:left="110" w:right="21" w:firstLine="8"/>
              <w:rPr>
                <w:color w:val="auto"/>
                <w:highlight w:val="none"/>
              </w:rPr>
            </w:pPr>
            <w:r>
              <w:rPr>
                <w:rFonts w:ascii="MS Gothic" w:hAnsi="MS Gothic" w:eastAsia="MS Gothic" w:cs="MS Gothic"/>
                <w:color w:val="auto"/>
                <w:spacing w:val="7"/>
                <w:highlight w:val="none"/>
              </w:rPr>
              <w:t>☑</w:t>
            </w:r>
            <w:r>
              <w:rPr>
                <w:color w:val="auto"/>
                <w:spacing w:val="7"/>
                <w:highlight w:val="none"/>
              </w:rPr>
              <w:t>以分标 (</w:t>
            </w:r>
            <w:r>
              <w:rPr>
                <w:rFonts w:ascii="MS Gothic" w:hAnsi="MS Gothic" w:eastAsia="MS Gothic" w:cs="MS Gothic"/>
                <w:color w:val="auto"/>
                <w:spacing w:val="7"/>
                <w:highlight w:val="none"/>
              </w:rPr>
              <w:t>☑</w:t>
            </w:r>
            <w:r>
              <w:rPr>
                <w:color w:val="auto"/>
                <w:spacing w:val="7"/>
                <w:highlight w:val="none"/>
              </w:rPr>
              <w:t>成交金额/□采购预算/□暂定成交金额/□其他</w:t>
            </w:r>
            <w:r>
              <w:rPr>
                <w:color w:val="auto"/>
                <w:spacing w:val="-92"/>
                <w:highlight w:val="none"/>
              </w:rPr>
              <w:t xml:space="preserve"> </w:t>
            </w:r>
            <w:r>
              <w:rPr>
                <w:color w:val="auto"/>
                <w:spacing w:val="7"/>
                <w:highlight w:val="none"/>
                <w:u w:val="single" w:color="auto"/>
              </w:rPr>
              <w:t xml:space="preserve">   </w:t>
            </w:r>
            <w:r>
              <w:rPr>
                <w:color w:val="auto"/>
                <w:spacing w:val="7"/>
                <w:highlight w:val="none"/>
              </w:rPr>
              <w:t>）</w:t>
            </w:r>
            <w:r>
              <w:rPr>
                <w:color w:val="auto"/>
                <w:highlight w:val="none"/>
              </w:rPr>
              <w:t xml:space="preserve"> </w:t>
            </w:r>
            <w:r>
              <w:rPr>
                <w:color w:val="auto"/>
                <w:spacing w:val="13"/>
                <w:highlight w:val="none"/>
              </w:rPr>
              <w:t>为计费额，按</w:t>
            </w:r>
            <w:r>
              <w:rPr>
                <w:rFonts w:hint="eastAsia"/>
                <w:color w:val="auto"/>
                <w:spacing w:val="13"/>
                <w:highlight w:val="none"/>
                <w:lang w:val="en-US" w:eastAsia="zh-CN"/>
              </w:rPr>
              <w:t>《</w:t>
            </w:r>
            <w:r>
              <w:rPr>
                <w:rFonts w:hint="eastAsia"/>
                <w:color w:val="auto"/>
                <w:spacing w:val="13"/>
                <w:highlight w:val="none"/>
                <w:u w:val="single" w:color="auto"/>
                <w:lang w:eastAsia="zh-CN"/>
              </w:rPr>
              <w:t>招标代理服务费收费管理暂行办法</w:t>
            </w:r>
            <w:r>
              <w:rPr>
                <w:rFonts w:hint="eastAsia"/>
                <w:color w:val="auto"/>
                <w:spacing w:val="13"/>
                <w:highlight w:val="none"/>
                <w:lang w:val="en-US" w:eastAsia="zh-CN"/>
              </w:rPr>
              <w:t>》</w:t>
            </w:r>
            <w:r>
              <w:rPr>
                <w:color w:val="auto"/>
                <w:spacing w:val="9"/>
                <w:highlight w:val="none"/>
                <w:u w:val="single" w:color="auto"/>
              </w:rPr>
              <w:t>（</w:t>
            </w:r>
            <w:r>
              <w:rPr>
                <w:rFonts w:hint="eastAsia"/>
                <w:color w:val="auto"/>
                <w:spacing w:val="9"/>
                <w:highlight w:val="none"/>
                <w:u w:val="single" w:color="auto"/>
                <w:lang w:eastAsia="zh-CN"/>
              </w:rPr>
              <w:t>计价格[2002]1980号</w:t>
            </w:r>
            <w:r>
              <w:rPr>
                <w:color w:val="auto"/>
                <w:spacing w:val="9"/>
                <w:highlight w:val="none"/>
                <w:u w:val="single" w:color="auto"/>
              </w:rPr>
              <w:t>)和《</w:t>
            </w:r>
            <w:r>
              <w:rPr>
                <w:rFonts w:hint="eastAsia"/>
                <w:color w:val="auto"/>
                <w:spacing w:val="9"/>
                <w:highlight w:val="none"/>
                <w:u w:val="single" w:color="auto"/>
                <w:lang w:val="en-US" w:eastAsia="zh-CN"/>
              </w:rPr>
              <w:t>招标代理合同</w:t>
            </w:r>
            <w:r>
              <w:rPr>
                <w:color w:val="auto"/>
                <w:spacing w:val="8"/>
                <w:highlight w:val="none"/>
                <w:u w:val="single" w:color="auto"/>
              </w:rPr>
              <w:t>》</w:t>
            </w:r>
            <w:r>
              <w:rPr>
                <w:color w:val="auto"/>
                <w:spacing w:val="8"/>
                <w:highlight w:val="none"/>
              </w:rPr>
              <w:t>的收费计算标准 (□货物类/□服务类/</w:t>
            </w:r>
            <w:r>
              <w:rPr>
                <w:rFonts w:ascii="MS Gothic" w:hAnsi="MS Gothic" w:eastAsia="MS Gothic" w:cs="MS Gothic"/>
                <w:color w:val="auto"/>
                <w:spacing w:val="8"/>
                <w:highlight w:val="none"/>
              </w:rPr>
              <w:t>☑</w:t>
            </w:r>
            <w:r>
              <w:rPr>
                <w:color w:val="auto"/>
                <w:spacing w:val="8"/>
                <w:highlight w:val="none"/>
              </w:rPr>
              <w:t>工程类）</w:t>
            </w:r>
            <w:r>
              <w:rPr>
                <w:color w:val="auto"/>
                <w:spacing w:val="12"/>
                <w:highlight w:val="none"/>
              </w:rPr>
              <w:t>采用差额定率累进法计算出收费基准价格，采购代理收费以(</w:t>
            </w:r>
            <w:r>
              <w:rPr>
                <w:rFonts w:ascii="MS Gothic" w:hAnsi="MS Gothic" w:eastAsia="MS Gothic" w:cs="MS Gothic"/>
                <w:color w:val="auto"/>
                <w:spacing w:val="12"/>
                <w:highlight w:val="none"/>
              </w:rPr>
              <w:t>☑</w:t>
            </w:r>
            <w:r>
              <w:rPr>
                <w:color w:val="auto"/>
                <w:spacing w:val="25"/>
                <w:highlight w:val="none"/>
              </w:rPr>
              <w:t>收费基准价格/□收费基准价格下浮</w:t>
            </w:r>
            <w:r>
              <w:rPr>
                <w:color w:val="auto"/>
                <w:spacing w:val="-65"/>
                <w:highlight w:val="none"/>
              </w:rPr>
              <w:t xml:space="preserve"> </w:t>
            </w:r>
            <w:r>
              <w:rPr>
                <w:color w:val="auto"/>
                <w:spacing w:val="25"/>
                <w:highlight w:val="none"/>
                <w:u w:val="single" w:color="auto"/>
              </w:rPr>
              <w:t xml:space="preserve">   %</w:t>
            </w:r>
            <w:r>
              <w:rPr>
                <w:color w:val="auto"/>
                <w:spacing w:val="25"/>
                <w:highlight w:val="none"/>
              </w:rPr>
              <w:t>/□收费基准价格上</w:t>
            </w:r>
            <w:r>
              <w:rPr>
                <w:color w:val="auto"/>
                <w:spacing w:val="5"/>
                <w:highlight w:val="none"/>
              </w:rPr>
              <w:t>浮</w:t>
            </w:r>
            <w:r>
              <w:rPr>
                <w:color w:val="auto"/>
                <w:spacing w:val="5"/>
                <w:highlight w:val="none"/>
                <w:u w:val="single" w:color="auto"/>
              </w:rPr>
              <w:t xml:space="preserve">   %</w:t>
            </w:r>
            <w:r>
              <w:rPr>
                <w:color w:val="auto"/>
                <w:spacing w:val="5"/>
                <w:highlight w:val="none"/>
              </w:rPr>
              <w:t>）收取。</w:t>
            </w:r>
          </w:p>
          <w:p w14:paraId="58AC3B43">
            <w:pPr>
              <w:pStyle w:val="15"/>
              <w:spacing w:before="32" w:line="227" w:lineRule="auto"/>
              <w:ind w:left="133" w:leftChars="0"/>
              <w:rPr>
                <w:color w:val="auto"/>
                <w:spacing w:val="5"/>
                <w:highlight w:val="none"/>
              </w:rPr>
            </w:pPr>
            <w:r>
              <w:rPr>
                <w:color w:val="auto"/>
                <w:spacing w:val="5"/>
                <w:highlight w:val="none"/>
              </w:rPr>
              <w:t>□固定采购代理收费</w:t>
            </w:r>
            <w:r>
              <w:rPr>
                <w:color w:val="auto"/>
                <w:spacing w:val="-92"/>
                <w:highlight w:val="none"/>
              </w:rPr>
              <w:t xml:space="preserve"> </w:t>
            </w:r>
            <w:r>
              <w:rPr>
                <w:color w:val="auto"/>
                <w:spacing w:val="5"/>
                <w:highlight w:val="none"/>
                <w:u w:val="single" w:color="auto"/>
              </w:rPr>
              <w:t xml:space="preserve">              </w:t>
            </w:r>
            <w:r>
              <w:rPr>
                <w:color w:val="auto"/>
                <w:spacing w:val="5"/>
                <w:highlight w:val="none"/>
              </w:rPr>
              <w:t>。</w:t>
            </w:r>
          </w:p>
          <w:p w14:paraId="7FFA39C0">
            <w:pPr>
              <w:pStyle w:val="15"/>
              <w:spacing w:before="32" w:line="227" w:lineRule="auto"/>
              <w:ind w:left="133" w:leftChars="0"/>
              <w:rPr>
                <w:rFonts w:hint="eastAsia" w:eastAsia="宋体"/>
                <w:color w:val="auto"/>
                <w:spacing w:val="5"/>
                <w:highlight w:val="none"/>
                <w:lang w:eastAsia="zh-CN"/>
              </w:rPr>
            </w:pPr>
            <w:r>
              <w:rPr>
                <w:rFonts w:hint="eastAsia"/>
                <w:color w:val="auto"/>
                <w:spacing w:val="5"/>
                <w:highlight w:val="none"/>
                <w:lang w:eastAsia="zh-CN"/>
              </w:rPr>
              <w:t>代理费收取账户：</w:t>
            </w:r>
          </w:p>
          <w:p w14:paraId="057899AF">
            <w:pPr>
              <w:pStyle w:val="15"/>
              <w:spacing w:before="32" w:line="227" w:lineRule="auto"/>
              <w:ind w:left="133" w:leftChars="0"/>
              <w:rPr>
                <w:rFonts w:hint="eastAsia"/>
                <w:color w:val="auto"/>
                <w:spacing w:val="5"/>
                <w:highlight w:val="none"/>
              </w:rPr>
            </w:pPr>
            <w:r>
              <w:rPr>
                <w:rFonts w:hint="eastAsia"/>
                <w:color w:val="auto"/>
                <w:spacing w:val="5"/>
                <w:highlight w:val="none"/>
              </w:rPr>
              <w:t>【开户名称：海之特工程管理有限公司广西第四分公司】</w:t>
            </w:r>
          </w:p>
          <w:p w14:paraId="4C17780C">
            <w:pPr>
              <w:pStyle w:val="15"/>
              <w:spacing w:before="32" w:line="227" w:lineRule="auto"/>
              <w:ind w:left="133" w:leftChars="0"/>
              <w:rPr>
                <w:rFonts w:hint="eastAsia"/>
                <w:color w:val="auto"/>
                <w:spacing w:val="5"/>
                <w:highlight w:val="none"/>
              </w:rPr>
            </w:pPr>
            <w:r>
              <w:rPr>
                <w:rFonts w:hint="eastAsia"/>
                <w:color w:val="auto"/>
                <w:spacing w:val="5"/>
                <w:highlight w:val="none"/>
              </w:rPr>
              <w:t>【开户银行：中国农业银行南宁万象支行】</w:t>
            </w:r>
          </w:p>
          <w:p w14:paraId="73EC9FE5">
            <w:pPr>
              <w:pStyle w:val="15"/>
              <w:spacing w:before="32" w:line="227" w:lineRule="auto"/>
              <w:ind w:left="133" w:leftChars="0"/>
              <w:rPr>
                <w:rFonts w:hint="eastAsia"/>
                <w:color w:val="auto"/>
                <w:spacing w:val="5"/>
                <w:highlight w:val="none"/>
              </w:rPr>
            </w:pPr>
            <w:r>
              <w:rPr>
                <w:rFonts w:hint="eastAsia"/>
                <w:color w:val="auto"/>
                <w:spacing w:val="5"/>
                <w:highlight w:val="none"/>
              </w:rPr>
              <w:t>【账号：2001</w:t>
            </w:r>
            <w:r>
              <w:rPr>
                <w:rFonts w:hint="eastAsia"/>
                <w:color w:val="auto"/>
                <w:spacing w:val="5"/>
                <w:highlight w:val="none"/>
                <w:lang w:val="en-US" w:eastAsia="zh-CN"/>
              </w:rPr>
              <w:t xml:space="preserve"> </w:t>
            </w:r>
            <w:r>
              <w:rPr>
                <w:rFonts w:hint="eastAsia"/>
                <w:color w:val="auto"/>
                <w:spacing w:val="5"/>
                <w:highlight w:val="none"/>
              </w:rPr>
              <w:t>7301</w:t>
            </w:r>
            <w:r>
              <w:rPr>
                <w:rFonts w:hint="eastAsia"/>
                <w:color w:val="auto"/>
                <w:spacing w:val="5"/>
                <w:highlight w:val="none"/>
                <w:lang w:val="en-US" w:eastAsia="zh-CN"/>
              </w:rPr>
              <w:t xml:space="preserve"> </w:t>
            </w:r>
            <w:r>
              <w:rPr>
                <w:rFonts w:hint="eastAsia"/>
                <w:color w:val="auto"/>
                <w:spacing w:val="5"/>
                <w:highlight w:val="none"/>
              </w:rPr>
              <w:t>0400</w:t>
            </w:r>
            <w:r>
              <w:rPr>
                <w:rFonts w:hint="eastAsia"/>
                <w:color w:val="auto"/>
                <w:spacing w:val="5"/>
                <w:highlight w:val="none"/>
                <w:lang w:val="en-US" w:eastAsia="zh-CN"/>
              </w:rPr>
              <w:t xml:space="preserve"> </w:t>
            </w:r>
            <w:r>
              <w:rPr>
                <w:rFonts w:hint="eastAsia"/>
                <w:color w:val="auto"/>
                <w:spacing w:val="5"/>
                <w:highlight w:val="none"/>
              </w:rPr>
              <w:t>1876</w:t>
            </w:r>
            <w:r>
              <w:rPr>
                <w:rFonts w:hint="eastAsia"/>
                <w:color w:val="auto"/>
                <w:spacing w:val="5"/>
                <w:highlight w:val="none"/>
                <w:lang w:val="en-US" w:eastAsia="zh-CN"/>
              </w:rPr>
              <w:t xml:space="preserve"> </w:t>
            </w:r>
            <w:r>
              <w:rPr>
                <w:rFonts w:hint="eastAsia"/>
                <w:color w:val="auto"/>
                <w:spacing w:val="5"/>
                <w:highlight w:val="none"/>
              </w:rPr>
              <w:t>7】</w:t>
            </w:r>
          </w:p>
          <w:p w14:paraId="5582FA5F">
            <w:pPr>
              <w:pStyle w:val="15"/>
              <w:spacing w:before="32" w:line="227" w:lineRule="auto"/>
              <w:ind w:left="133" w:leftChars="0"/>
              <w:rPr>
                <w:color w:val="auto"/>
                <w:spacing w:val="5"/>
                <w:highlight w:val="none"/>
              </w:rPr>
            </w:pPr>
            <w:r>
              <w:rPr>
                <w:rFonts w:hint="eastAsia"/>
                <w:color w:val="auto"/>
                <w:spacing w:val="5"/>
                <w:highlight w:val="none"/>
              </w:rPr>
              <w:t>注：转账时请备注“项目名称或项目编号的采购代理服务费”</w:t>
            </w:r>
          </w:p>
        </w:tc>
      </w:tr>
      <w:tr w14:paraId="4148D8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83" w:type="dxa"/>
            <w:vAlign w:val="top"/>
          </w:tcPr>
          <w:p w14:paraId="4A974776">
            <w:pPr>
              <w:spacing w:line="253" w:lineRule="auto"/>
              <w:rPr>
                <w:rFonts w:ascii="Arial"/>
                <w:color w:val="auto"/>
                <w:sz w:val="21"/>
                <w:highlight w:val="none"/>
              </w:rPr>
            </w:pPr>
          </w:p>
          <w:p w14:paraId="64F1A44E">
            <w:pPr>
              <w:spacing w:line="253" w:lineRule="auto"/>
              <w:rPr>
                <w:rFonts w:ascii="Arial"/>
                <w:color w:val="auto"/>
                <w:sz w:val="21"/>
                <w:highlight w:val="none"/>
              </w:rPr>
            </w:pPr>
          </w:p>
          <w:p w14:paraId="61E64532">
            <w:pPr>
              <w:spacing w:line="253" w:lineRule="auto"/>
              <w:rPr>
                <w:rFonts w:ascii="Arial"/>
                <w:color w:val="auto"/>
                <w:sz w:val="21"/>
                <w:highlight w:val="none"/>
              </w:rPr>
            </w:pPr>
          </w:p>
          <w:p w14:paraId="63F255B0">
            <w:pPr>
              <w:spacing w:line="253" w:lineRule="auto"/>
              <w:rPr>
                <w:rFonts w:ascii="Arial"/>
                <w:color w:val="auto"/>
                <w:sz w:val="21"/>
                <w:highlight w:val="none"/>
              </w:rPr>
            </w:pPr>
          </w:p>
          <w:p w14:paraId="0B659C9D">
            <w:pPr>
              <w:spacing w:line="253" w:lineRule="auto"/>
              <w:rPr>
                <w:rFonts w:ascii="Arial"/>
                <w:color w:val="auto"/>
                <w:sz w:val="21"/>
                <w:highlight w:val="none"/>
              </w:rPr>
            </w:pPr>
          </w:p>
          <w:p w14:paraId="648AEE21">
            <w:pPr>
              <w:spacing w:line="254" w:lineRule="auto"/>
              <w:rPr>
                <w:rFonts w:ascii="Arial"/>
                <w:color w:val="auto"/>
                <w:sz w:val="21"/>
                <w:highlight w:val="none"/>
              </w:rPr>
            </w:pPr>
          </w:p>
          <w:p w14:paraId="29AD087E">
            <w:pPr>
              <w:spacing w:line="254" w:lineRule="auto"/>
              <w:rPr>
                <w:rFonts w:ascii="Arial"/>
                <w:color w:val="auto"/>
                <w:sz w:val="21"/>
                <w:highlight w:val="none"/>
              </w:rPr>
            </w:pPr>
          </w:p>
          <w:p w14:paraId="0A8F2574">
            <w:pPr>
              <w:spacing w:line="254" w:lineRule="auto"/>
              <w:rPr>
                <w:rFonts w:ascii="Arial"/>
                <w:color w:val="auto"/>
                <w:sz w:val="21"/>
                <w:highlight w:val="none"/>
              </w:rPr>
            </w:pPr>
          </w:p>
          <w:p w14:paraId="5A56B4F5">
            <w:pPr>
              <w:spacing w:line="254" w:lineRule="auto"/>
              <w:rPr>
                <w:rFonts w:ascii="Arial"/>
                <w:color w:val="auto"/>
                <w:sz w:val="21"/>
                <w:highlight w:val="none"/>
              </w:rPr>
            </w:pPr>
          </w:p>
          <w:p w14:paraId="0CF1B721">
            <w:pPr>
              <w:spacing w:line="254" w:lineRule="auto"/>
              <w:rPr>
                <w:rFonts w:ascii="Arial"/>
                <w:color w:val="auto"/>
                <w:sz w:val="21"/>
                <w:highlight w:val="none"/>
              </w:rPr>
            </w:pPr>
          </w:p>
          <w:p w14:paraId="634EAA4D">
            <w:pPr>
              <w:spacing w:line="254" w:lineRule="auto"/>
              <w:rPr>
                <w:rFonts w:ascii="Arial"/>
                <w:color w:val="auto"/>
                <w:sz w:val="21"/>
                <w:highlight w:val="none"/>
              </w:rPr>
            </w:pPr>
          </w:p>
          <w:p w14:paraId="5FBF4D11">
            <w:pPr>
              <w:spacing w:line="254" w:lineRule="auto"/>
              <w:rPr>
                <w:rFonts w:ascii="Arial"/>
                <w:color w:val="auto"/>
                <w:sz w:val="21"/>
                <w:highlight w:val="none"/>
              </w:rPr>
            </w:pPr>
          </w:p>
          <w:p w14:paraId="1A7E5F22">
            <w:pPr>
              <w:spacing w:line="254" w:lineRule="auto"/>
              <w:rPr>
                <w:rFonts w:ascii="Arial"/>
                <w:color w:val="auto"/>
                <w:sz w:val="21"/>
                <w:highlight w:val="none"/>
              </w:rPr>
            </w:pPr>
          </w:p>
          <w:p w14:paraId="55E8D557">
            <w:pPr>
              <w:spacing w:line="254" w:lineRule="auto"/>
              <w:rPr>
                <w:rFonts w:ascii="Arial"/>
                <w:color w:val="auto"/>
                <w:sz w:val="21"/>
                <w:highlight w:val="none"/>
              </w:rPr>
            </w:pPr>
          </w:p>
          <w:p w14:paraId="5D46EAE1">
            <w:pPr>
              <w:pStyle w:val="15"/>
              <w:spacing w:before="65" w:line="190" w:lineRule="auto"/>
              <w:ind w:left="239" w:leftChars="0"/>
              <w:rPr>
                <w:color w:val="auto"/>
                <w:spacing w:val="-2"/>
                <w:highlight w:val="none"/>
              </w:rPr>
            </w:pPr>
            <w:r>
              <w:rPr>
                <w:color w:val="auto"/>
                <w:spacing w:val="2"/>
                <w:highlight w:val="none"/>
              </w:rPr>
              <w:t>34.1</w:t>
            </w:r>
          </w:p>
        </w:tc>
        <w:tc>
          <w:tcPr>
            <w:tcW w:w="1881" w:type="dxa"/>
            <w:vAlign w:val="top"/>
          </w:tcPr>
          <w:p w14:paraId="2337094E">
            <w:pPr>
              <w:spacing w:line="251" w:lineRule="auto"/>
              <w:rPr>
                <w:rFonts w:ascii="Arial"/>
                <w:color w:val="auto"/>
                <w:sz w:val="21"/>
                <w:highlight w:val="none"/>
              </w:rPr>
            </w:pPr>
          </w:p>
          <w:p w14:paraId="20F7218D">
            <w:pPr>
              <w:spacing w:line="251" w:lineRule="auto"/>
              <w:rPr>
                <w:rFonts w:ascii="Arial"/>
                <w:color w:val="auto"/>
                <w:sz w:val="21"/>
                <w:highlight w:val="none"/>
              </w:rPr>
            </w:pPr>
          </w:p>
          <w:p w14:paraId="49BF0980">
            <w:pPr>
              <w:spacing w:line="251" w:lineRule="auto"/>
              <w:rPr>
                <w:rFonts w:ascii="Arial"/>
                <w:color w:val="auto"/>
                <w:sz w:val="21"/>
                <w:highlight w:val="none"/>
              </w:rPr>
            </w:pPr>
          </w:p>
          <w:p w14:paraId="30486356">
            <w:pPr>
              <w:spacing w:line="251" w:lineRule="auto"/>
              <w:rPr>
                <w:rFonts w:ascii="Arial"/>
                <w:color w:val="auto"/>
                <w:sz w:val="21"/>
                <w:highlight w:val="none"/>
              </w:rPr>
            </w:pPr>
          </w:p>
          <w:p w14:paraId="0978B2A8">
            <w:pPr>
              <w:spacing w:line="251" w:lineRule="auto"/>
              <w:rPr>
                <w:rFonts w:ascii="Arial"/>
                <w:color w:val="auto"/>
                <w:sz w:val="21"/>
                <w:highlight w:val="none"/>
              </w:rPr>
            </w:pPr>
          </w:p>
          <w:p w14:paraId="1C45CDC8">
            <w:pPr>
              <w:spacing w:line="251" w:lineRule="auto"/>
              <w:rPr>
                <w:rFonts w:ascii="Arial"/>
                <w:color w:val="auto"/>
                <w:sz w:val="21"/>
                <w:highlight w:val="none"/>
              </w:rPr>
            </w:pPr>
          </w:p>
          <w:p w14:paraId="18F8B78B">
            <w:pPr>
              <w:spacing w:line="251" w:lineRule="auto"/>
              <w:rPr>
                <w:rFonts w:ascii="Arial"/>
                <w:color w:val="auto"/>
                <w:sz w:val="21"/>
                <w:highlight w:val="none"/>
              </w:rPr>
            </w:pPr>
          </w:p>
          <w:p w14:paraId="78F72939">
            <w:pPr>
              <w:spacing w:line="251" w:lineRule="auto"/>
              <w:rPr>
                <w:rFonts w:ascii="Arial"/>
                <w:color w:val="auto"/>
                <w:sz w:val="21"/>
                <w:highlight w:val="none"/>
              </w:rPr>
            </w:pPr>
          </w:p>
          <w:p w14:paraId="3E0A08F5">
            <w:pPr>
              <w:spacing w:line="251" w:lineRule="auto"/>
              <w:rPr>
                <w:rFonts w:ascii="Arial"/>
                <w:color w:val="auto"/>
                <w:sz w:val="21"/>
                <w:highlight w:val="none"/>
              </w:rPr>
            </w:pPr>
          </w:p>
          <w:p w14:paraId="0BD7975A">
            <w:pPr>
              <w:spacing w:line="252" w:lineRule="auto"/>
              <w:rPr>
                <w:rFonts w:ascii="Arial"/>
                <w:color w:val="auto"/>
                <w:sz w:val="21"/>
                <w:highlight w:val="none"/>
              </w:rPr>
            </w:pPr>
          </w:p>
          <w:p w14:paraId="1B8B79B4">
            <w:pPr>
              <w:spacing w:line="252" w:lineRule="auto"/>
              <w:rPr>
                <w:rFonts w:ascii="Arial"/>
                <w:color w:val="auto"/>
                <w:sz w:val="21"/>
                <w:highlight w:val="none"/>
              </w:rPr>
            </w:pPr>
          </w:p>
          <w:p w14:paraId="03A5EC1D">
            <w:pPr>
              <w:spacing w:line="252" w:lineRule="auto"/>
              <w:rPr>
                <w:rFonts w:ascii="Arial"/>
                <w:color w:val="auto"/>
                <w:sz w:val="21"/>
                <w:highlight w:val="none"/>
              </w:rPr>
            </w:pPr>
          </w:p>
          <w:p w14:paraId="2484FF66">
            <w:pPr>
              <w:spacing w:line="252" w:lineRule="auto"/>
              <w:rPr>
                <w:rFonts w:ascii="Arial"/>
                <w:color w:val="auto"/>
                <w:sz w:val="21"/>
                <w:highlight w:val="none"/>
              </w:rPr>
            </w:pPr>
          </w:p>
          <w:p w14:paraId="584974DC">
            <w:pPr>
              <w:spacing w:line="252" w:lineRule="auto"/>
              <w:rPr>
                <w:rFonts w:ascii="Arial"/>
                <w:color w:val="auto"/>
                <w:sz w:val="21"/>
                <w:highlight w:val="none"/>
              </w:rPr>
            </w:pPr>
          </w:p>
          <w:p w14:paraId="127E1BE8">
            <w:pPr>
              <w:pStyle w:val="15"/>
              <w:spacing w:before="65" w:line="228" w:lineRule="auto"/>
              <w:ind w:left="734" w:leftChars="0"/>
              <w:rPr>
                <w:color w:val="auto"/>
                <w:spacing w:val="8"/>
                <w:highlight w:val="none"/>
              </w:rPr>
            </w:pPr>
            <w:r>
              <w:rPr>
                <w:color w:val="auto"/>
                <w:spacing w:val="5"/>
                <w:highlight w:val="none"/>
              </w:rPr>
              <w:t>解释</w:t>
            </w:r>
          </w:p>
        </w:tc>
        <w:tc>
          <w:tcPr>
            <w:tcW w:w="6186" w:type="dxa"/>
            <w:vAlign w:val="top"/>
          </w:tcPr>
          <w:p w14:paraId="3AE5FF23">
            <w:pPr>
              <w:pStyle w:val="15"/>
              <w:spacing w:before="32" w:line="228" w:lineRule="auto"/>
              <w:ind w:left="110"/>
              <w:rPr>
                <w:color w:val="auto"/>
                <w:highlight w:val="none"/>
              </w:rPr>
            </w:pPr>
            <w:r>
              <w:rPr>
                <w:b/>
                <w:bCs/>
                <w:color w:val="auto"/>
                <w:spacing w:val="3"/>
                <w:highlight w:val="none"/>
              </w:rPr>
              <w:t>解释权：</w:t>
            </w:r>
          </w:p>
          <w:p w14:paraId="0398BE1F">
            <w:pPr>
              <w:pStyle w:val="15"/>
              <w:spacing w:before="91" w:line="311" w:lineRule="auto"/>
              <w:ind w:left="110" w:right="56" w:firstLine="3"/>
              <w:jc w:val="both"/>
              <w:rPr>
                <w:color w:val="auto"/>
                <w:highlight w:val="none"/>
              </w:rPr>
            </w:pPr>
            <w:r>
              <w:rPr>
                <w:color w:val="auto"/>
                <w:spacing w:val="9"/>
                <w:highlight w:val="none"/>
              </w:rPr>
              <w:t>构成本磋商文件的各个组成文件应互为解释，互为说明；除磋商</w:t>
            </w:r>
            <w:r>
              <w:rPr>
                <w:color w:val="auto"/>
                <w:spacing w:val="5"/>
                <w:highlight w:val="none"/>
              </w:rPr>
              <w:t>文件中有特别规定外，仅适用于竞标阶段的规定，按更正公告（澄</w:t>
            </w:r>
            <w:r>
              <w:rPr>
                <w:color w:val="auto"/>
                <w:spacing w:val="9"/>
                <w:highlight w:val="none"/>
              </w:rPr>
              <w:t>清公告）、竞争性磋商公告、供应商须知、</w:t>
            </w:r>
            <w:r>
              <w:rPr>
                <w:color w:val="auto"/>
                <w:spacing w:val="9"/>
                <w:sz w:val="19"/>
                <w:szCs w:val="19"/>
                <w:highlight w:val="none"/>
              </w:rPr>
              <w:t>采</w:t>
            </w:r>
            <w:r>
              <w:rPr>
                <w:color w:val="auto"/>
                <w:spacing w:val="8"/>
                <w:sz w:val="19"/>
                <w:szCs w:val="19"/>
                <w:highlight w:val="none"/>
              </w:rPr>
              <w:t>购需求</w:t>
            </w:r>
            <w:r>
              <w:rPr>
                <w:color w:val="auto"/>
                <w:spacing w:val="8"/>
                <w:highlight w:val="none"/>
              </w:rPr>
              <w:t>、评审程序、</w:t>
            </w:r>
            <w:r>
              <w:rPr>
                <w:color w:val="auto"/>
                <w:spacing w:val="7"/>
                <w:highlight w:val="none"/>
              </w:rPr>
              <w:t>评审方法和评审标准、响应文件格式、合同文本的先后顺序解释；</w:t>
            </w:r>
            <w:r>
              <w:rPr>
                <w:color w:val="auto"/>
                <w:spacing w:val="8"/>
                <w:highlight w:val="none"/>
              </w:rPr>
              <w:t>同一组成文件中就同一事项的规定或者约定不一致的，以编排顺</w:t>
            </w:r>
            <w:r>
              <w:rPr>
                <w:color w:val="auto"/>
                <w:spacing w:val="9"/>
                <w:highlight w:val="none"/>
              </w:rPr>
              <w:t>序在后者为准；同一组成文件不同版本之间有不一致的，以形成时间在后者为准；更正公告（澄清公告）与同步更新的磋商文件不一致时以更正公告（澄清公告）为准。按本款前述规定仍不能</w:t>
            </w:r>
            <w:r>
              <w:rPr>
                <w:color w:val="auto"/>
                <w:spacing w:val="6"/>
                <w:highlight w:val="none"/>
              </w:rPr>
              <w:t>形成结论的，</w:t>
            </w:r>
            <w:r>
              <w:rPr>
                <w:b/>
                <w:bCs/>
                <w:color w:val="auto"/>
                <w:spacing w:val="6"/>
                <w:highlight w:val="none"/>
              </w:rPr>
              <w:t>由采购人或者采购代理机构负责解释。</w:t>
            </w:r>
          </w:p>
          <w:p w14:paraId="703743E6">
            <w:pPr>
              <w:pStyle w:val="15"/>
              <w:spacing w:before="32" w:line="228" w:lineRule="auto"/>
              <w:ind w:left="112"/>
              <w:rPr>
                <w:color w:val="auto"/>
                <w:highlight w:val="none"/>
              </w:rPr>
            </w:pPr>
            <w:r>
              <w:rPr>
                <w:b/>
                <w:bCs/>
                <w:color w:val="auto"/>
                <w:spacing w:val="4"/>
                <w:highlight w:val="none"/>
              </w:rPr>
              <w:t>法律责任：</w:t>
            </w:r>
          </w:p>
          <w:p w14:paraId="0972470D">
            <w:pPr>
              <w:pStyle w:val="15"/>
              <w:spacing w:before="92" w:line="309" w:lineRule="auto"/>
              <w:ind w:left="110" w:right="108" w:firstLine="16"/>
              <w:rPr>
                <w:color w:val="auto"/>
                <w:highlight w:val="none"/>
              </w:rPr>
            </w:pPr>
            <w:r>
              <w:rPr>
                <w:b/>
                <w:bCs/>
                <w:color w:val="auto"/>
                <w:spacing w:val="9"/>
                <w:highlight w:val="none"/>
              </w:rPr>
              <w:t>1.</w:t>
            </w:r>
            <w:r>
              <w:rPr>
                <w:color w:val="auto"/>
                <w:spacing w:val="9"/>
                <w:highlight w:val="none"/>
              </w:rPr>
              <w:t>本采购文件根据《中华人民共和国政府</w:t>
            </w:r>
            <w:r>
              <w:rPr>
                <w:color w:val="auto"/>
                <w:spacing w:val="8"/>
                <w:highlight w:val="none"/>
              </w:rPr>
              <w:t>采购法》、《中华人民</w:t>
            </w:r>
            <w:r>
              <w:rPr>
                <w:color w:val="auto"/>
                <w:spacing w:val="5"/>
                <w:highlight w:val="none"/>
              </w:rPr>
              <w:t>共和国民法典》；《中华人民共和国政府采购法实施条例》、《政</w:t>
            </w:r>
            <w:r>
              <w:rPr>
                <w:color w:val="auto"/>
                <w:spacing w:val="9"/>
                <w:highlight w:val="none"/>
              </w:rPr>
              <w:t>府采购竞争性磋商采购方式管理暂行办法》等有关法律、法规编制，参与本项目的各政府采购当事人依法享有上述法律法规所赋</w:t>
            </w:r>
            <w:r>
              <w:rPr>
                <w:color w:val="auto"/>
                <w:spacing w:val="7"/>
                <w:highlight w:val="none"/>
              </w:rPr>
              <w:t>予的权利与义务。</w:t>
            </w:r>
          </w:p>
          <w:p w14:paraId="1B35524A">
            <w:pPr>
              <w:pStyle w:val="15"/>
              <w:spacing w:before="31" w:line="308" w:lineRule="auto"/>
              <w:ind w:left="110" w:leftChars="0" w:right="75" w:rightChars="0" w:firstLine="3" w:firstLineChars="0"/>
              <w:jc w:val="both"/>
              <w:rPr>
                <w:color w:val="auto"/>
                <w:spacing w:val="5"/>
                <w:highlight w:val="none"/>
              </w:rPr>
            </w:pPr>
            <w:r>
              <w:rPr>
                <w:color w:val="auto"/>
                <w:spacing w:val="6"/>
                <w:highlight w:val="none"/>
              </w:rPr>
              <w:t>2.</w:t>
            </w:r>
            <w:r>
              <w:rPr>
                <w:b/>
                <w:bCs/>
                <w:color w:val="auto"/>
                <w:spacing w:val="6"/>
                <w:highlight w:val="none"/>
              </w:rPr>
              <w:t>本项目采购代理机构应严格按照“广西</w:t>
            </w:r>
            <w:r>
              <w:rPr>
                <w:b/>
                <w:bCs/>
                <w:color w:val="auto"/>
                <w:spacing w:val="5"/>
                <w:highlight w:val="none"/>
              </w:rPr>
              <w:t>政府采购云平台”项目</w:t>
            </w:r>
            <w:r>
              <w:rPr>
                <w:b/>
                <w:bCs/>
                <w:color w:val="auto"/>
                <w:spacing w:val="8"/>
                <w:highlight w:val="none"/>
              </w:rPr>
              <w:t>采购全流程电子化电子开评标规程执行项目采购活动，代理机构</w:t>
            </w:r>
            <w:r>
              <w:rPr>
                <w:b/>
                <w:bCs/>
                <w:color w:val="auto"/>
                <w:spacing w:val="9"/>
                <w:highlight w:val="none"/>
              </w:rPr>
              <w:t>在“广西政府采购云平台</w:t>
            </w:r>
            <w:r>
              <w:rPr>
                <w:color w:val="auto"/>
                <w:spacing w:val="-69"/>
                <w:highlight w:val="none"/>
              </w:rPr>
              <w:t xml:space="preserve"> </w:t>
            </w:r>
            <w:r>
              <w:rPr>
                <w:b/>
                <w:bCs/>
                <w:color w:val="auto"/>
                <w:spacing w:val="9"/>
                <w:highlight w:val="none"/>
              </w:rPr>
              <w:t>”的“项目管理</w:t>
            </w:r>
            <w:r>
              <w:rPr>
                <w:color w:val="auto"/>
                <w:spacing w:val="-73"/>
                <w:highlight w:val="none"/>
              </w:rPr>
              <w:t xml:space="preserve"> </w:t>
            </w:r>
            <w:r>
              <w:rPr>
                <w:b/>
                <w:bCs/>
                <w:color w:val="auto"/>
                <w:spacing w:val="9"/>
                <w:highlight w:val="none"/>
              </w:rPr>
              <w:t>”—“采</w:t>
            </w:r>
            <w:r>
              <w:rPr>
                <w:b/>
                <w:bCs/>
                <w:color w:val="auto"/>
                <w:spacing w:val="8"/>
                <w:highlight w:val="none"/>
              </w:rPr>
              <w:t>购文件管理”内开评标规则设置作为本采购文件的组成部分，截标之后不可更改，因代理机构开评标规则设置错误导致采购活动无法开展下去</w:t>
            </w:r>
            <w:r>
              <w:rPr>
                <w:b/>
                <w:bCs/>
                <w:color w:val="auto"/>
                <w:spacing w:val="7"/>
                <w:highlight w:val="none"/>
              </w:rPr>
              <w:t>的情况，由代理机构负责解释并承担其后果</w:t>
            </w:r>
            <w:r>
              <w:rPr>
                <w:color w:val="auto"/>
                <w:spacing w:val="7"/>
                <w:highlight w:val="none"/>
              </w:rPr>
              <w:t>。</w:t>
            </w:r>
          </w:p>
        </w:tc>
      </w:tr>
      <w:tr w14:paraId="43EBC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83" w:type="dxa"/>
            <w:vAlign w:val="top"/>
          </w:tcPr>
          <w:p w14:paraId="7A8C12BE">
            <w:pPr>
              <w:spacing w:line="339" w:lineRule="auto"/>
              <w:rPr>
                <w:rFonts w:ascii="Arial"/>
                <w:color w:val="auto"/>
                <w:sz w:val="21"/>
                <w:highlight w:val="none"/>
              </w:rPr>
            </w:pPr>
          </w:p>
          <w:p w14:paraId="5AC18667">
            <w:pPr>
              <w:spacing w:line="339" w:lineRule="auto"/>
              <w:rPr>
                <w:rFonts w:ascii="Arial"/>
                <w:color w:val="auto"/>
                <w:sz w:val="21"/>
                <w:highlight w:val="none"/>
              </w:rPr>
            </w:pPr>
          </w:p>
          <w:p w14:paraId="6718D90C">
            <w:pPr>
              <w:pStyle w:val="15"/>
              <w:spacing w:before="65" w:line="189" w:lineRule="auto"/>
              <w:ind w:left="239" w:leftChars="0"/>
              <w:rPr>
                <w:color w:val="auto"/>
                <w:spacing w:val="2"/>
                <w:highlight w:val="none"/>
              </w:rPr>
            </w:pPr>
          </w:p>
          <w:p w14:paraId="02BB6C62">
            <w:pPr>
              <w:pStyle w:val="15"/>
              <w:spacing w:before="65" w:line="189" w:lineRule="auto"/>
              <w:ind w:left="239" w:leftChars="0"/>
              <w:rPr>
                <w:color w:val="auto"/>
                <w:spacing w:val="2"/>
                <w:highlight w:val="none"/>
              </w:rPr>
            </w:pPr>
          </w:p>
          <w:p w14:paraId="5E0A75C8">
            <w:pPr>
              <w:pStyle w:val="15"/>
              <w:spacing w:before="65" w:line="189" w:lineRule="auto"/>
              <w:ind w:left="239" w:leftChars="0"/>
              <w:rPr>
                <w:color w:val="auto"/>
                <w:spacing w:val="2"/>
                <w:highlight w:val="none"/>
              </w:rPr>
            </w:pPr>
          </w:p>
          <w:p w14:paraId="4A59604C">
            <w:pPr>
              <w:pStyle w:val="15"/>
              <w:spacing w:before="65" w:line="189" w:lineRule="auto"/>
              <w:ind w:left="239" w:leftChars="0"/>
              <w:rPr>
                <w:color w:val="auto"/>
                <w:spacing w:val="2"/>
                <w:highlight w:val="none"/>
              </w:rPr>
            </w:pPr>
          </w:p>
          <w:p w14:paraId="7BDB3ED4">
            <w:pPr>
              <w:pStyle w:val="15"/>
              <w:spacing w:before="65" w:line="189" w:lineRule="auto"/>
              <w:ind w:left="0" w:leftChars="0"/>
              <w:jc w:val="center"/>
              <w:rPr>
                <w:color w:val="auto"/>
                <w:spacing w:val="2"/>
                <w:highlight w:val="none"/>
              </w:rPr>
            </w:pPr>
            <w:r>
              <w:rPr>
                <w:color w:val="auto"/>
                <w:spacing w:val="2"/>
                <w:highlight w:val="none"/>
              </w:rPr>
              <w:t>34.2</w:t>
            </w:r>
          </w:p>
        </w:tc>
        <w:tc>
          <w:tcPr>
            <w:tcW w:w="1881" w:type="dxa"/>
            <w:vAlign w:val="top"/>
          </w:tcPr>
          <w:p w14:paraId="37F38493">
            <w:pPr>
              <w:spacing w:line="323" w:lineRule="auto"/>
              <w:rPr>
                <w:rFonts w:ascii="Arial"/>
                <w:color w:val="auto"/>
                <w:sz w:val="21"/>
                <w:highlight w:val="none"/>
              </w:rPr>
            </w:pPr>
          </w:p>
          <w:p w14:paraId="476FC554">
            <w:pPr>
              <w:spacing w:line="323" w:lineRule="auto"/>
              <w:rPr>
                <w:rFonts w:ascii="Arial"/>
                <w:color w:val="auto"/>
                <w:sz w:val="21"/>
                <w:highlight w:val="none"/>
              </w:rPr>
            </w:pPr>
          </w:p>
          <w:p w14:paraId="6FC21368">
            <w:pPr>
              <w:pStyle w:val="2"/>
              <w:rPr>
                <w:rFonts w:ascii="Arial"/>
                <w:color w:val="auto"/>
                <w:sz w:val="21"/>
                <w:highlight w:val="none"/>
              </w:rPr>
            </w:pPr>
          </w:p>
          <w:p w14:paraId="1F51F5E5">
            <w:pPr>
              <w:rPr>
                <w:rFonts w:ascii="Arial"/>
                <w:color w:val="auto"/>
                <w:sz w:val="21"/>
                <w:highlight w:val="none"/>
              </w:rPr>
            </w:pPr>
          </w:p>
          <w:p w14:paraId="1A3F1BC2">
            <w:pPr>
              <w:pStyle w:val="2"/>
              <w:rPr>
                <w:rFonts w:ascii="Arial"/>
                <w:color w:val="auto"/>
                <w:sz w:val="21"/>
                <w:highlight w:val="none"/>
              </w:rPr>
            </w:pPr>
          </w:p>
          <w:p w14:paraId="2AC26EFF">
            <w:pPr>
              <w:rPr>
                <w:rFonts w:ascii="Arial"/>
                <w:color w:val="auto"/>
                <w:sz w:val="21"/>
                <w:highlight w:val="none"/>
              </w:rPr>
            </w:pPr>
          </w:p>
          <w:p w14:paraId="4058E550">
            <w:pPr>
              <w:pStyle w:val="2"/>
              <w:rPr>
                <w:color w:val="auto"/>
                <w:highlight w:val="none"/>
              </w:rPr>
            </w:pPr>
          </w:p>
          <w:p w14:paraId="754B6A06">
            <w:pPr>
              <w:pStyle w:val="15"/>
              <w:spacing w:before="65" w:line="228" w:lineRule="auto"/>
              <w:ind w:left="735" w:leftChars="0"/>
              <w:rPr>
                <w:color w:val="auto"/>
                <w:spacing w:val="5"/>
                <w:highlight w:val="none"/>
              </w:rPr>
            </w:pPr>
            <w:r>
              <w:rPr>
                <w:color w:val="auto"/>
                <w:spacing w:val="4"/>
                <w:highlight w:val="none"/>
              </w:rPr>
              <w:t>其他</w:t>
            </w:r>
          </w:p>
        </w:tc>
        <w:tc>
          <w:tcPr>
            <w:tcW w:w="6186" w:type="dxa"/>
            <w:vAlign w:val="top"/>
          </w:tcPr>
          <w:p w14:paraId="72D2EF2E">
            <w:pPr>
              <w:pStyle w:val="15"/>
              <w:spacing w:before="37" w:line="303" w:lineRule="auto"/>
              <w:ind w:left="112" w:right="197" w:firstLine="14"/>
              <w:rPr>
                <w:color w:val="auto"/>
                <w:highlight w:val="none"/>
              </w:rPr>
            </w:pPr>
            <w:r>
              <w:rPr>
                <w:color w:val="auto"/>
                <w:spacing w:val="8"/>
                <w:highlight w:val="none"/>
              </w:rPr>
              <w:t>1.本磋商文件中描述供应商的“公章”是指根据</w:t>
            </w:r>
            <w:r>
              <w:rPr>
                <w:color w:val="auto"/>
                <w:spacing w:val="7"/>
                <w:highlight w:val="none"/>
              </w:rPr>
              <w:t>我国对公章的管</w:t>
            </w:r>
            <w:r>
              <w:rPr>
                <w:color w:val="auto"/>
                <w:spacing w:val="9"/>
                <w:highlight w:val="none"/>
              </w:rPr>
              <w:t>理规定，用供应商法定主体行为名称制作的印章，除本磋商文件有特殊规定外，供应商的财务章、部门章、分公司章、工会章、</w:t>
            </w:r>
          </w:p>
          <w:p w14:paraId="3EBD6A9C">
            <w:pPr>
              <w:pStyle w:val="15"/>
              <w:spacing w:before="35" w:line="307" w:lineRule="auto"/>
              <w:ind w:left="112" w:right="197" w:firstLine="1"/>
              <w:jc w:val="both"/>
              <w:rPr>
                <w:color w:val="auto"/>
                <w:highlight w:val="none"/>
              </w:rPr>
            </w:pPr>
            <w:r>
              <w:rPr>
                <w:color w:val="auto"/>
                <w:spacing w:val="9"/>
                <w:highlight w:val="none"/>
              </w:rPr>
              <w:t>合同章、竞标/投标专用章、业务专用章及银行的转账章、</w:t>
            </w:r>
            <w:r>
              <w:rPr>
                <w:color w:val="auto"/>
                <w:spacing w:val="8"/>
                <w:highlight w:val="none"/>
              </w:rPr>
              <w:t>现金收</w:t>
            </w:r>
            <w:r>
              <w:rPr>
                <w:color w:val="auto"/>
                <w:spacing w:val="9"/>
                <w:highlight w:val="none"/>
              </w:rPr>
              <w:t>讫章、现金付讫章等其他形式印章均不能代替公章。2.供应商为其他组织或者自然人时，本磋商文件规定的法定代表人指负责人或者自然人。本磋商文件所称负责人是指参加竞标的其他组织营业执照上的负责人，本磋商文件所称自然人指参与竞</w:t>
            </w:r>
            <w:r>
              <w:rPr>
                <w:color w:val="auto"/>
                <w:spacing w:val="7"/>
                <w:highlight w:val="none"/>
              </w:rPr>
              <w:t>标的自然人本人。</w:t>
            </w:r>
          </w:p>
          <w:p w14:paraId="46281DEA">
            <w:pPr>
              <w:pStyle w:val="15"/>
              <w:spacing w:before="30" w:line="307" w:lineRule="auto"/>
              <w:ind w:left="110" w:right="37" w:firstLine="5"/>
              <w:rPr>
                <w:color w:val="auto"/>
                <w:highlight w:val="none"/>
              </w:rPr>
            </w:pPr>
            <w:r>
              <w:rPr>
                <w:color w:val="auto"/>
                <w:spacing w:val="8"/>
                <w:highlight w:val="none"/>
              </w:rPr>
              <w:t>3.本磋商文件中描述供应商的“签字</w:t>
            </w:r>
            <w:r>
              <w:rPr>
                <w:color w:val="auto"/>
                <w:spacing w:val="-66"/>
                <w:highlight w:val="none"/>
              </w:rPr>
              <w:t xml:space="preserve"> </w:t>
            </w:r>
            <w:r>
              <w:rPr>
                <w:color w:val="auto"/>
                <w:spacing w:val="8"/>
                <w:highlight w:val="none"/>
              </w:rPr>
              <w:t>”是指供应商的法定代表人</w:t>
            </w:r>
            <w:r>
              <w:rPr>
                <w:color w:val="auto"/>
                <w:spacing w:val="9"/>
                <w:highlight w:val="none"/>
              </w:rPr>
              <w:t>或者委托代理人亲自在文件规定签署处亲笔写上个人的名字的行</w:t>
            </w:r>
            <w:r>
              <w:rPr>
                <w:color w:val="auto"/>
                <w:spacing w:val="8"/>
                <w:highlight w:val="none"/>
              </w:rPr>
              <w:t>为，私章、签字章、印鉴、影印等其他形式均不能代替亲笔签字。</w:t>
            </w:r>
            <w:r>
              <w:rPr>
                <w:color w:val="auto"/>
                <w:highlight w:val="none"/>
              </w:rPr>
              <w:t xml:space="preserve"> </w:t>
            </w:r>
            <w:r>
              <w:rPr>
                <w:color w:val="auto"/>
                <w:spacing w:val="7"/>
                <w:highlight w:val="none"/>
              </w:rPr>
              <w:t>4.自然人竞标的，磋商文件规定盖公章处由自然人摁手指指印。</w:t>
            </w:r>
          </w:p>
          <w:p w14:paraId="2288A2ED">
            <w:pPr>
              <w:pStyle w:val="15"/>
              <w:spacing w:before="33" w:line="297" w:lineRule="auto"/>
              <w:ind w:left="112" w:leftChars="0" w:right="108" w:rightChars="0"/>
              <w:rPr>
                <w:color w:val="auto"/>
                <w:spacing w:val="6"/>
                <w:highlight w:val="none"/>
              </w:rPr>
            </w:pPr>
            <w:r>
              <w:rPr>
                <w:color w:val="auto"/>
                <w:spacing w:val="1"/>
                <w:highlight w:val="none"/>
              </w:rPr>
              <w:t>5.本磋商文件所称的“以上”“以下”“以内”“届满”，包括</w:t>
            </w:r>
            <w:r>
              <w:rPr>
                <w:color w:val="auto"/>
                <w:spacing w:val="4"/>
                <w:highlight w:val="none"/>
              </w:rPr>
              <w:t>本数；所称的“不满”“超过”“以外”，不包括本数。</w:t>
            </w:r>
          </w:p>
        </w:tc>
      </w:tr>
      <w:tr w14:paraId="20CF1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83" w:type="dxa"/>
            <w:vAlign w:val="center"/>
          </w:tcPr>
          <w:p w14:paraId="1FBB1521">
            <w:pPr>
              <w:pStyle w:val="15"/>
              <w:spacing w:before="65" w:line="189" w:lineRule="auto"/>
              <w:ind w:left="239" w:leftChars="0"/>
              <w:jc w:val="both"/>
              <w:rPr>
                <w:rFonts w:hint="default" w:eastAsia="宋体"/>
                <w:color w:val="auto"/>
                <w:spacing w:val="2"/>
                <w:highlight w:val="none"/>
                <w:lang w:val="en-US" w:eastAsia="zh-CN"/>
              </w:rPr>
            </w:pPr>
            <w:r>
              <w:rPr>
                <w:rFonts w:hint="eastAsia"/>
                <w:color w:val="auto"/>
                <w:spacing w:val="2"/>
                <w:highlight w:val="none"/>
                <w:lang w:val="en-US" w:eastAsia="zh-CN"/>
              </w:rPr>
              <w:t>34.3</w:t>
            </w:r>
          </w:p>
        </w:tc>
        <w:tc>
          <w:tcPr>
            <w:tcW w:w="1881" w:type="dxa"/>
            <w:vAlign w:val="top"/>
          </w:tcPr>
          <w:p w14:paraId="4553CD9D">
            <w:pPr>
              <w:spacing w:line="244" w:lineRule="auto"/>
              <w:rPr>
                <w:rFonts w:ascii="Arial"/>
                <w:color w:val="auto"/>
                <w:sz w:val="21"/>
                <w:highlight w:val="none"/>
              </w:rPr>
            </w:pPr>
          </w:p>
          <w:p w14:paraId="68062C8B">
            <w:pPr>
              <w:spacing w:line="244" w:lineRule="auto"/>
              <w:rPr>
                <w:rFonts w:ascii="Arial"/>
                <w:color w:val="auto"/>
                <w:sz w:val="21"/>
                <w:highlight w:val="none"/>
              </w:rPr>
            </w:pPr>
          </w:p>
          <w:p w14:paraId="25BEEC28">
            <w:pPr>
              <w:spacing w:line="244" w:lineRule="auto"/>
              <w:rPr>
                <w:rFonts w:ascii="Arial"/>
                <w:color w:val="auto"/>
                <w:sz w:val="21"/>
                <w:highlight w:val="none"/>
              </w:rPr>
            </w:pPr>
          </w:p>
          <w:p w14:paraId="071CCE2A">
            <w:pPr>
              <w:spacing w:line="244" w:lineRule="auto"/>
              <w:rPr>
                <w:rFonts w:ascii="Arial"/>
                <w:color w:val="auto"/>
                <w:sz w:val="21"/>
                <w:highlight w:val="none"/>
              </w:rPr>
            </w:pPr>
          </w:p>
          <w:p w14:paraId="63C3165D">
            <w:pPr>
              <w:spacing w:line="245" w:lineRule="auto"/>
              <w:rPr>
                <w:rFonts w:ascii="Arial"/>
                <w:color w:val="auto"/>
                <w:sz w:val="21"/>
                <w:highlight w:val="none"/>
              </w:rPr>
            </w:pPr>
          </w:p>
          <w:p w14:paraId="13B7CE60">
            <w:pPr>
              <w:spacing w:line="245" w:lineRule="auto"/>
              <w:rPr>
                <w:rFonts w:ascii="Arial"/>
                <w:color w:val="auto"/>
                <w:sz w:val="21"/>
                <w:highlight w:val="none"/>
              </w:rPr>
            </w:pPr>
          </w:p>
          <w:p w14:paraId="7D381C30">
            <w:pPr>
              <w:spacing w:line="245" w:lineRule="auto"/>
              <w:rPr>
                <w:rFonts w:ascii="Arial"/>
                <w:color w:val="auto"/>
                <w:sz w:val="21"/>
                <w:highlight w:val="none"/>
              </w:rPr>
            </w:pPr>
          </w:p>
          <w:p w14:paraId="775798A4">
            <w:pPr>
              <w:spacing w:line="245" w:lineRule="auto"/>
              <w:rPr>
                <w:rFonts w:ascii="Arial"/>
                <w:color w:val="auto"/>
                <w:sz w:val="21"/>
                <w:highlight w:val="none"/>
              </w:rPr>
            </w:pPr>
          </w:p>
          <w:p w14:paraId="45B53479">
            <w:pPr>
              <w:spacing w:line="245" w:lineRule="auto"/>
              <w:rPr>
                <w:rFonts w:ascii="Arial"/>
                <w:color w:val="auto"/>
                <w:sz w:val="21"/>
                <w:highlight w:val="none"/>
              </w:rPr>
            </w:pPr>
          </w:p>
          <w:p w14:paraId="29000082">
            <w:pPr>
              <w:spacing w:line="245" w:lineRule="auto"/>
              <w:rPr>
                <w:rFonts w:ascii="Arial"/>
                <w:color w:val="auto"/>
                <w:sz w:val="21"/>
                <w:highlight w:val="none"/>
              </w:rPr>
            </w:pPr>
          </w:p>
          <w:p w14:paraId="6F921BAB">
            <w:pPr>
              <w:spacing w:line="245" w:lineRule="auto"/>
              <w:rPr>
                <w:rFonts w:ascii="Arial"/>
                <w:color w:val="auto"/>
                <w:sz w:val="21"/>
                <w:highlight w:val="none"/>
              </w:rPr>
            </w:pPr>
          </w:p>
          <w:p w14:paraId="2DC1BE60">
            <w:pPr>
              <w:spacing w:line="245" w:lineRule="auto"/>
              <w:rPr>
                <w:rFonts w:ascii="Arial"/>
                <w:color w:val="auto"/>
                <w:sz w:val="21"/>
                <w:highlight w:val="none"/>
              </w:rPr>
            </w:pPr>
          </w:p>
          <w:p w14:paraId="79EF47D8">
            <w:pPr>
              <w:spacing w:line="245" w:lineRule="auto"/>
              <w:rPr>
                <w:rFonts w:ascii="Arial"/>
                <w:color w:val="auto"/>
                <w:sz w:val="21"/>
                <w:highlight w:val="none"/>
              </w:rPr>
            </w:pPr>
          </w:p>
          <w:p w14:paraId="7FEBC55B">
            <w:pPr>
              <w:pStyle w:val="15"/>
              <w:spacing w:before="65" w:line="228" w:lineRule="auto"/>
              <w:ind w:left="523" w:leftChars="0"/>
              <w:rPr>
                <w:color w:val="auto"/>
                <w:spacing w:val="4"/>
                <w:highlight w:val="none"/>
              </w:rPr>
            </w:pPr>
            <w:r>
              <w:rPr>
                <w:color w:val="auto"/>
                <w:spacing w:val="7"/>
                <w:highlight w:val="none"/>
              </w:rPr>
              <w:t>特别说明</w:t>
            </w:r>
          </w:p>
        </w:tc>
        <w:tc>
          <w:tcPr>
            <w:tcW w:w="6186" w:type="dxa"/>
            <w:vAlign w:val="top"/>
          </w:tcPr>
          <w:p w14:paraId="0E43B147">
            <w:pPr>
              <w:pStyle w:val="15"/>
              <w:spacing w:before="30" w:line="311" w:lineRule="auto"/>
              <w:ind w:left="110" w:right="108" w:firstLine="440"/>
              <w:rPr>
                <w:color w:val="auto"/>
                <w:highlight w:val="none"/>
              </w:rPr>
            </w:pPr>
            <w:r>
              <w:rPr>
                <w:b/>
                <w:bCs/>
                <w:color w:val="auto"/>
                <w:spacing w:val="12"/>
                <w:highlight w:val="none"/>
              </w:rPr>
              <w:t>（</w:t>
            </w:r>
            <w:r>
              <w:rPr>
                <w:rFonts w:ascii="Times New Roman" w:hAnsi="Times New Roman" w:eastAsia="Times New Roman" w:cs="Times New Roman"/>
                <w:b/>
                <w:bCs/>
                <w:color w:val="auto"/>
                <w:spacing w:val="12"/>
                <w:highlight w:val="none"/>
              </w:rPr>
              <w:t>1</w:t>
            </w:r>
            <w:r>
              <w:rPr>
                <w:b/>
                <w:bCs/>
                <w:color w:val="auto"/>
                <w:spacing w:val="12"/>
                <w:highlight w:val="none"/>
              </w:rPr>
              <w:t>）电子响应文件中须加盖供应商公章部</w:t>
            </w:r>
            <w:r>
              <w:rPr>
                <w:b/>
                <w:bCs/>
                <w:color w:val="auto"/>
                <w:spacing w:val="11"/>
                <w:highlight w:val="none"/>
              </w:rPr>
              <w:t>分均采用</w:t>
            </w:r>
            <w:r>
              <w:rPr>
                <w:b/>
                <w:bCs/>
                <w:color w:val="auto"/>
                <w:highlight w:val="none"/>
              </w:rPr>
              <w:t>CA</w:t>
            </w:r>
            <w:r>
              <w:rPr>
                <w:b/>
                <w:bCs/>
                <w:color w:val="auto"/>
                <w:spacing w:val="11"/>
                <w:highlight w:val="none"/>
              </w:rPr>
              <w:t>签</w:t>
            </w:r>
            <w:r>
              <w:rPr>
                <w:b/>
                <w:bCs/>
                <w:color w:val="auto"/>
                <w:spacing w:val="6"/>
                <w:highlight w:val="none"/>
              </w:rPr>
              <w:t>章，并根据“政府采购项目电子交易管理操作指南-供应商”</w:t>
            </w:r>
            <w:r>
              <w:rPr>
                <w:b/>
                <w:bCs/>
                <w:color w:val="auto"/>
                <w:spacing w:val="5"/>
                <w:highlight w:val="none"/>
              </w:rPr>
              <w:t>及本</w:t>
            </w:r>
            <w:r>
              <w:rPr>
                <w:b/>
                <w:bCs/>
                <w:color w:val="auto"/>
                <w:spacing w:val="11"/>
                <w:highlight w:val="none"/>
              </w:rPr>
              <w:t>采购文件规定的格式和顺序编制电子响应文件并</w:t>
            </w:r>
            <w:r>
              <w:rPr>
                <w:b/>
                <w:bCs/>
                <w:color w:val="auto"/>
                <w:spacing w:val="10"/>
                <w:highlight w:val="none"/>
              </w:rPr>
              <w:t>进行关联定位，</w:t>
            </w:r>
            <w:r>
              <w:rPr>
                <w:b/>
                <w:bCs/>
                <w:color w:val="auto"/>
                <w:spacing w:val="11"/>
                <w:highlight w:val="none"/>
              </w:rPr>
              <w:t>以便评审时，点击评分项可直接定位到该评</w:t>
            </w:r>
            <w:r>
              <w:rPr>
                <w:b/>
                <w:bCs/>
                <w:color w:val="auto"/>
                <w:spacing w:val="10"/>
                <w:highlight w:val="none"/>
              </w:rPr>
              <w:t>分项内容。如对采购</w:t>
            </w:r>
            <w:r>
              <w:rPr>
                <w:b/>
                <w:bCs/>
                <w:color w:val="auto"/>
                <w:spacing w:val="11"/>
                <w:highlight w:val="none"/>
              </w:rPr>
              <w:t>文件的某项要求，供应商的电子响应文件未</w:t>
            </w:r>
            <w:r>
              <w:rPr>
                <w:b/>
                <w:bCs/>
                <w:color w:val="auto"/>
                <w:spacing w:val="10"/>
                <w:highlight w:val="none"/>
              </w:rPr>
              <w:t>能关联定位提供相应</w:t>
            </w:r>
            <w:r>
              <w:rPr>
                <w:b/>
                <w:bCs/>
                <w:color w:val="auto"/>
                <w:spacing w:val="11"/>
                <w:highlight w:val="none"/>
              </w:rPr>
              <w:t>的内容与其对应，则评审时如做出对供应商</w:t>
            </w:r>
            <w:r>
              <w:rPr>
                <w:b/>
                <w:bCs/>
                <w:color w:val="auto"/>
                <w:spacing w:val="10"/>
                <w:highlight w:val="none"/>
              </w:rPr>
              <w:t>不利的评审由供应商</w:t>
            </w:r>
            <w:r>
              <w:rPr>
                <w:b/>
                <w:bCs/>
                <w:color w:val="auto"/>
                <w:spacing w:val="9"/>
                <w:highlight w:val="none"/>
              </w:rPr>
              <w:t>自行承担。</w:t>
            </w:r>
            <w:r>
              <w:rPr>
                <w:color w:val="auto"/>
                <w:spacing w:val="-53"/>
                <w:highlight w:val="none"/>
              </w:rPr>
              <w:t xml:space="preserve"> </w:t>
            </w:r>
            <w:r>
              <w:rPr>
                <w:b/>
                <w:bCs/>
                <w:color w:val="auto"/>
                <w:spacing w:val="9"/>
                <w:highlight w:val="none"/>
              </w:rPr>
              <w:t>电子响应文件如内容不完整、编排混乱导致响应文件</w:t>
            </w:r>
            <w:r>
              <w:rPr>
                <w:b/>
                <w:bCs/>
                <w:color w:val="auto"/>
                <w:spacing w:val="7"/>
                <w:highlight w:val="none"/>
              </w:rPr>
              <w:t>被误读、漏读，或者在按采购文件规定的部位查找不到相关</w:t>
            </w:r>
            <w:r>
              <w:rPr>
                <w:b/>
                <w:bCs/>
                <w:color w:val="auto"/>
                <w:spacing w:val="6"/>
                <w:highlight w:val="none"/>
              </w:rPr>
              <w:t>内容</w:t>
            </w:r>
            <w:r>
              <w:rPr>
                <w:b/>
                <w:bCs/>
                <w:color w:val="auto"/>
                <w:spacing w:val="3"/>
                <w:highlight w:val="none"/>
              </w:rPr>
              <w:t>的，由供应商自行承担。</w:t>
            </w:r>
          </w:p>
          <w:p w14:paraId="004DA8D3">
            <w:pPr>
              <w:pStyle w:val="15"/>
              <w:spacing w:before="32" w:line="300" w:lineRule="auto"/>
              <w:ind w:left="111" w:right="109" w:firstLine="427"/>
              <w:rPr>
                <w:color w:val="auto"/>
                <w:highlight w:val="none"/>
              </w:rPr>
            </w:pPr>
            <w:r>
              <w:rPr>
                <w:b/>
                <w:bCs/>
                <w:color w:val="auto"/>
                <w:spacing w:val="4"/>
                <w:highlight w:val="none"/>
              </w:rPr>
              <w:t>（</w:t>
            </w:r>
            <w:r>
              <w:rPr>
                <w:rFonts w:ascii="Times New Roman" w:hAnsi="Times New Roman" w:eastAsia="Times New Roman" w:cs="Times New Roman"/>
                <w:b/>
                <w:bCs/>
                <w:color w:val="auto"/>
                <w:spacing w:val="4"/>
                <w:highlight w:val="none"/>
              </w:rPr>
              <w:t>2</w:t>
            </w:r>
            <w:r>
              <w:rPr>
                <w:b/>
                <w:bCs/>
                <w:color w:val="auto"/>
                <w:spacing w:val="4"/>
                <w:highlight w:val="none"/>
              </w:rPr>
              <w:t>）采购文件要求提供的的各种复印件，必须加盖供应商</w:t>
            </w:r>
            <w:r>
              <w:rPr>
                <w:b/>
                <w:bCs/>
                <w:color w:val="auto"/>
                <w:highlight w:val="none"/>
              </w:rPr>
              <w:t>CA</w:t>
            </w:r>
            <w:r>
              <w:rPr>
                <w:b/>
                <w:bCs/>
                <w:color w:val="auto"/>
                <w:spacing w:val="6"/>
                <w:highlight w:val="none"/>
              </w:rPr>
              <w:t>签章，否则无效。</w:t>
            </w:r>
          </w:p>
          <w:p w14:paraId="6756FC96">
            <w:pPr>
              <w:pStyle w:val="15"/>
              <w:spacing w:before="32" w:line="307" w:lineRule="auto"/>
              <w:ind w:left="112" w:right="108" w:firstLine="426"/>
              <w:jc w:val="both"/>
              <w:rPr>
                <w:color w:val="auto"/>
                <w:highlight w:val="none"/>
              </w:rPr>
            </w:pPr>
            <w:r>
              <w:rPr>
                <w:b/>
                <w:bCs/>
                <w:color w:val="auto"/>
                <w:spacing w:val="10"/>
                <w:highlight w:val="none"/>
              </w:rPr>
              <w:t>（</w:t>
            </w:r>
            <w:r>
              <w:rPr>
                <w:rFonts w:ascii="Times New Roman" w:hAnsi="Times New Roman" w:eastAsia="Times New Roman" w:cs="Times New Roman"/>
                <w:b/>
                <w:bCs/>
                <w:color w:val="auto"/>
                <w:spacing w:val="10"/>
                <w:highlight w:val="none"/>
              </w:rPr>
              <w:t>3</w:t>
            </w:r>
            <w:r>
              <w:rPr>
                <w:b/>
                <w:bCs/>
                <w:color w:val="auto"/>
                <w:spacing w:val="10"/>
                <w:highlight w:val="none"/>
              </w:rPr>
              <w:t>）供应商法定代表人或授权代表持有政采云个人</w:t>
            </w:r>
            <w:r>
              <w:rPr>
                <w:b/>
                <w:bCs/>
                <w:color w:val="auto"/>
                <w:highlight w:val="none"/>
              </w:rPr>
              <w:t>CA</w:t>
            </w:r>
            <w:r>
              <w:rPr>
                <w:b/>
                <w:bCs/>
                <w:color w:val="auto"/>
                <w:spacing w:val="10"/>
                <w:highlight w:val="none"/>
              </w:rPr>
              <w:t>签章</w:t>
            </w:r>
            <w:r>
              <w:rPr>
                <w:b/>
                <w:bCs/>
                <w:color w:val="auto"/>
                <w:spacing w:val="6"/>
                <w:highlight w:val="none"/>
              </w:rPr>
              <w:t>的，应在响应文件中涉及到签字的位置使用个人</w:t>
            </w:r>
            <w:r>
              <w:rPr>
                <w:b/>
                <w:bCs/>
                <w:color w:val="auto"/>
                <w:highlight w:val="none"/>
              </w:rPr>
              <w:t>CA</w:t>
            </w:r>
            <w:r>
              <w:rPr>
                <w:b/>
                <w:bCs/>
                <w:color w:val="auto"/>
                <w:spacing w:val="6"/>
                <w:highlight w:val="none"/>
              </w:rPr>
              <w:t>签章，没有办</w:t>
            </w:r>
            <w:r>
              <w:rPr>
                <w:b/>
                <w:bCs/>
                <w:color w:val="auto"/>
                <w:spacing w:val="9"/>
                <w:highlight w:val="none"/>
              </w:rPr>
              <w:t>理政采云个人</w:t>
            </w:r>
            <w:r>
              <w:rPr>
                <w:b/>
                <w:bCs/>
                <w:color w:val="auto"/>
                <w:highlight w:val="none"/>
              </w:rPr>
              <w:t>CA</w:t>
            </w:r>
            <w:r>
              <w:rPr>
                <w:color w:val="auto"/>
                <w:spacing w:val="-46"/>
                <w:highlight w:val="none"/>
              </w:rPr>
              <w:t xml:space="preserve"> </w:t>
            </w:r>
            <w:r>
              <w:rPr>
                <w:b/>
                <w:bCs/>
                <w:color w:val="auto"/>
                <w:spacing w:val="9"/>
                <w:highlight w:val="none"/>
              </w:rPr>
              <w:t>签章的可在响应文件中涉及到签字的位置手写签</w:t>
            </w:r>
            <w:r>
              <w:rPr>
                <w:b/>
                <w:bCs/>
                <w:color w:val="auto"/>
                <w:spacing w:val="6"/>
                <w:highlight w:val="none"/>
              </w:rPr>
              <w:t>字后扫描或者拍照做成</w:t>
            </w:r>
            <w:r>
              <w:rPr>
                <w:b/>
                <w:bCs/>
                <w:color w:val="auto"/>
                <w:highlight w:val="none"/>
              </w:rPr>
              <w:t>PDF</w:t>
            </w:r>
            <w:r>
              <w:rPr>
                <w:b/>
                <w:bCs/>
                <w:color w:val="auto"/>
                <w:spacing w:val="6"/>
                <w:highlight w:val="none"/>
              </w:rPr>
              <w:t>的格式上传即可。</w:t>
            </w:r>
          </w:p>
          <w:p w14:paraId="5A61FB7A">
            <w:pPr>
              <w:pStyle w:val="15"/>
              <w:spacing w:before="28" w:line="305" w:lineRule="auto"/>
              <w:ind w:left="110" w:right="108" w:firstLine="428"/>
              <w:jc w:val="both"/>
              <w:rPr>
                <w:color w:val="auto"/>
                <w:highlight w:val="none"/>
              </w:rPr>
            </w:pPr>
            <w:r>
              <w:rPr>
                <w:b/>
                <w:bCs/>
                <w:color w:val="auto"/>
                <w:spacing w:val="6"/>
                <w:highlight w:val="none"/>
              </w:rPr>
              <w:t>（</w:t>
            </w:r>
            <w:r>
              <w:rPr>
                <w:rFonts w:ascii="Times New Roman" w:hAnsi="Times New Roman" w:eastAsia="Times New Roman" w:cs="Times New Roman"/>
                <w:b/>
                <w:bCs/>
                <w:color w:val="auto"/>
                <w:spacing w:val="6"/>
                <w:highlight w:val="none"/>
              </w:rPr>
              <w:t>4</w:t>
            </w:r>
            <w:r>
              <w:rPr>
                <w:b/>
                <w:bCs/>
                <w:color w:val="auto"/>
                <w:spacing w:val="6"/>
                <w:highlight w:val="none"/>
              </w:rPr>
              <w:t>）响应文件不得涂改，若有修改错漏处，须法定代表人或授权委托人签字（或个人</w:t>
            </w:r>
            <w:r>
              <w:rPr>
                <w:b/>
                <w:bCs/>
                <w:color w:val="auto"/>
                <w:highlight w:val="none"/>
              </w:rPr>
              <w:t>CA</w:t>
            </w:r>
            <w:r>
              <w:rPr>
                <w:b/>
                <w:bCs/>
                <w:color w:val="auto"/>
                <w:spacing w:val="6"/>
                <w:highlight w:val="none"/>
              </w:rPr>
              <w:t>签章）。响应文件因字迹潦草或表达</w:t>
            </w:r>
            <w:r>
              <w:rPr>
                <w:b/>
                <w:bCs/>
                <w:color w:val="auto"/>
                <w:spacing w:val="7"/>
                <w:highlight w:val="none"/>
              </w:rPr>
              <w:t>不清所引起的后果由供应商负责。</w:t>
            </w:r>
          </w:p>
          <w:p w14:paraId="57ED71D2">
            <w:pPr>
              <w:pStyle w:val="15"/>
              <w:spacing w:before="33" w:line="295" w:lineRule="auto"/>
              <w:ind w:left="114" w:leftChars="0" w:right="182" w:rightChars="0" w:firstLine="7" w:firstLineChars="0"/>
              <w:rPr>
                <w:color w:val="auto"/>
                <w:spacing w:val="1"/>
                <w:highlight w:val="none"/>
              </w:rPr>
            </w:pPr>
            <w:r>
              <w:rPr>
                <w:b/>
                <w:bCs/>
                <w:color w:val="auto"/>
                <w:spacing w:val="10"/>
                <w:highlight w:val="none"/>
              </w:rPr>
              <w:t>（</w:t>
            </w:r>
            <w:r>
              <w:rPr>
                <w:rFonts w:ascii="Times New Roman" w:hAnsi="Times New Roman" w:eastAsia="Times New Roman" w:cs="Times New Roman"/>
                <w:b/>
                <w:bCs/>
                <w:color w:val="auto"/>
                <w:spacing w:val="10"/>
                <w:highlight w:val="none"/>
              </w:rPr>
              <w:t>5</w:t>
            </w:r>
            <w:r>
              <w:rPr>
                <w:b/>
                <w:bCs/>
                <w:color w:val="auto"/>
                <w:spacing w:val="10"/>
                <w:highlight w:val="none"/>
              </w:rPr>
              <w:t>）采购文件要求“必须提供</w:t>
            </w:r>
            <w:r>
              <w:rPr>
                <w:color w:val="auto"/>
                <w:spacing w:val="-62"/>
                <w:highlight w:val="none"/>
              </w:rPr>
              <w:t xml:space="preserve"> </w:t>
            </w:r>
            <w:r>
              <w:rPr>
                <w:b/>
                <w:bCs/>
                <w:color w:val="auto"/>
                <w:spacing w:val="10"/>
                <w:highlight w:val="none"/>
              </w:rPr>
              <w:t>”的证明等材料，供应商必须全部提供，缺一不可，否则无效。</w:t>
            </w:r>
          </w:p>
        </w:tc>
      </w:tr>
      <w:tr w14:paraId="5E730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83" w:type="dxa"/>
            <w:vAlign w:val="center"/>
          </w:tcPr>
          <w:p w14:paraId="242CF1AB">
            <w:pPr>
              <w:pStyle w:val="15"/>
              <w:spacing w:before="65" w:line="189" w:lineRule="auto"/>
              <w:ind w:left="239" w:leftChars="0"/>
              <w:jc w:val="both"/>
              <w:rPr>
                <w:rFonts w:hint="default"/>
                <w:color w:val="auto"/>
                <w:spacing w:val="2"/>
                <w:highlight w:val="none"/>
                <w:lang w:val="en-US" w:eastAsia="zh-CN"/>
              </w:rPr>
            </w:pPr>
            <w:r>
              <w:rPr>
                <w:rFonts w:hint="eastAsia"/>
                <w:color w:val="auto"/>
                <w:spacing w:val="2"/>
                <w:highlight w:val="none"/>
                <w:lang w:val="en-US" w:eastAsia="zh-CN"/>
              </w:rPr>
              <w:t>35</w:t>
            </w:r>
          </w:p>
        </w:tc>
        <w:tc>
          <w:tcPr>
            <w:tcW w:w="1881" w:type="dxa"/>
            <w:vAlign w:val="center"/>
          </w:tcPr>
          <w:p w14:paraId="526858FA">
            <w:pPr>
              <w:pStyle w:val="15"/>
              <w:spacing w:before="65" w:line="228" w:lineRule="auto"/>
              <w:ind w:left="0" w:leftChars="0"/>
              <w:jc w:val="center"/>
              <w:rPr>
                <w:color w:val="auto"/>
                <w:spacing w:val="7"/>
                <w:highlight w:val="none"/>
              </w:rPr>
            </w:pPr>
            <w:r>
              <w:rPr>
                <w:rFonts w:hint="eastAsia"/>
                <w:color w:val="auto"/>
                <w:spacing w:val="7"/>
                <w:highlight w:val="none"/>
              </w:rPr>
              <w:t>“政采贷”融资</w:t>
            </w:r>
          </w:p>
        </w:tc>
        <w:tc>
          <w:tcPr>
            <w:tcW w:w="6186" w:type="dxa"/>
            <w:vAlign w:val="top"/>
          </w:tcPr>
          <w:p w14:paraId="77E4C562">
            <w:pPr>
              <w:pStyle w:val="15"/>
              <w:spacing w:before="33" w:line="295" w:lineRule="auto"/>
              <w:ind w:left="114" w:leftChars="0" w:right="182" w:rightChars="0" w:firstLine="7" w:firstLineChars="0"/>
              <w:rPr>
                <w:b/>
                <w:bCs/>
                <w:color w:val="auto"/>
                <w:spacing w:val="10"/>
                <w:highlight w:val="none"/>
              </w:rPr>
            </w:pPr>
            <w:r>
              <w:rPr>
                <w:b/>
                <w:bCs/>
                <w:color w:val="auto"/>
                <w:spacing w:val="10"/>
                <w:highlight w:val="none"/>
              </w:rPr>
              <w:t>中标人（成交）可凭中标（成交）通知书、政府采购合</w:t>
            </w:r>
            <w:r>
              <w:rPr>
                <w:b/>
                <w:bCs/>
                <w:color w:val="auto"/>
                <w:spacing w:val="9"/>
                <w:highlight w:val="none"/>
              </w:rPr>
              <w:t>同，根据</w:t>
            </w:r>
            <w:r>
              <w:rPr>
                <w:b/>
                <w:bCs/>
                <w:color w:val="auto"/>
                <w:spacing w:val="10"/>
                <w:highlight w:val="none"/>
              </w:rPr>
              <w:t>“崇左市财政局关于进一步做好线上“政采</w:t>
            </w:r>
            <w:r>
              <w:rPr>
                <w:b/>
                <w:bCs/>
                <w:color w:val="auto"/>
                <w:spacing w:val="9"/>
                <w:highlight w:val="none"/>
              </w:rPr>
              <w:t>贷”融资业务工作的</w:t>
            </w:r>
            <w:r>
              <w:rPr>
                <w:b/>
                <w:bCs/>
                <w:color w:val="auto"/>
                <w:spacing w:val="7"/>
                <w:highlight w:val="none"/>
              </w:rPr>
              <w:t>通知”向银行申请“政采贷”融资。</w:t>
            </w:r>
          </w:p>
        </w:tc>
      </w:tr>
      <w:tr w14:paraId="70ABD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883" w:type="dxa"/>
            <w:vAlign w:val="center"/>
          </w:tcPr>
          <w:p w14:paraId="2CC88690">
            <w:pPr>
              <w:pStyle w:val="15"/>
              <w:spacing w:before="65" w:line="189" w:lineRule="auto"/>
              <w:ind w:left="239" w:leftChars="0"/>
              <w:jc w:val="both"/>
              <w:rPr>
                <w:rFonts w:hint="default"/>
                <w:color w:val="auto"/>
                <w:spacing w:val="2"/>
                <w:highlight w:val="none"/>
                <w:lang w:val="en-US" w:eastAsia="zh-CN"/>
              </w:rPr>
            </w:pPr>
            <w:r>
              <w:rPr>
                <w:rFonts w:hint="eastAsia"/>
                <w:color w:val="auto"/>
                <w:spacing w:val="2"/>
                <w:highlight w:val="none"/>
                <w:lang w:val="en-US" w:eastAsia="zh-CN"/>
              </w:rPr>
              <w:t>36</w:t>
            </w:r>
          </w:p>
        </w:tc>
        <w:tc>
          <w:tcPr>
            <w:tcW w:w="1881" w:type="dxa"/>
            <w:vAlign w:val="top"/>
          </w:tcPr>
          <w:p w14:paraId="43E727AC">
            <w:pPr>
              <w:pStyle w:val="15"/>
              <w:spacing w:before="65" w:line="228" w:lineRule="auto"/>
              <w:ind w:left="0" w:leftChars="0"/>
              <w:jc w:val="center"/>
              <w:rPr>
                <w:color w:val="auto"/>
                <w:spacing w:val="7"/>
                <w:highlight w:val="none"/>
              </w:rPr>
            </w:pPr>
            <w:r>
              <w:rPr>
                <w:rFonts w:hint="eastAsia"/>
                <w:color w:val="auto"/>
                <w:spacing w:val="7"/>
                <w:highlight w:val="none"/>
              </w:rPr>
              <w:t>中小企业划分标准所属行业名称</w:t>
            </w:r>
          </w:p>
        </w:tc>
        <w:tc>
          <w:tcPr>
            <w:tcW w:w="6186" w:type="dxa"/>
            <w:vAlign w:val="top"/>
          </w:tcPr>
          <w:p w14:paraId="31B4543D">
            <w:pPr>
              <w:pStyle w:val="15"/>
              <w:spacing w:before="33" w:line="295" w:lineRule="auto"/>
              <w:ind w:left="114" w:leftChars="0" w:right="182" w:rightChars="0" w:firstLine="7" w:firstLineChars="0"/>
              <w:rPr>
                <w:b/>
                <w:bCs/>
                <w:color w:val="auto"/>
                <w:spacing w:val="10"/>
                <w:highlight w:val="none"/>
              </w:rPr>
            </w:pPr>
            <w:r>
              <w:rPr>
                <w:b/>
                <w:bCs/>
                <w:color w:val="auto"/>
                <w:spacing w:val="7"/>
                <w:highlight w:val="none"/>
              </w:rPr>
              <w:t>本项目中小企业划分标准所属行业名称：建筑业。</w:t>
            </w:r>
          </w:p>
        </w:tc>
      </w:tr>
    </w:tbl>
    <w:p w14:paraId="7F85450C">
      <w:pPr>
        <w:pStyle w:val="2"/>
        <w:rPr>
          <w:color w:val="auto"/>
          <w:highlight w:val="none"/>
        </w:rPr>
      </w:pPr>
    </w:p>
    <w:p w14:paraId="4C3023CC">
      <w:pPr>
        <w:pStyle w:val="2"/>
        <w:rPr>
          <w:color w:val="auto"/>
          <w:highlight w:val="none"/>
        </w:rPr>
      </w:pPr>
    </w:p>
    <w:p w14:paraId="5DA32130">
      <w:pPr>
        <w:spacing w:before="0" w:line="240" w:lineRule="auto"/>
        <w:ind w:left="0"/>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br w:type="page"/>
      </w:r>
    </w:p>
    <w:p w14:paraId="0837ACC9">
      <w:pPr>
        <w:spacing w:before="63" w:line="224" w:lineRule="auto"/>
        <w:ind w:left="3189"/>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供应商须知正文</w:t>
      </w:r>
    </w:p>
    <w:p w14:paraId="2C7DD6CC">
      <w:pPr>
        <w:spacing w:before="124" w:line="228" w:lineRule="auto"/>
        <w:ind w:left="4"/>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一、总则</w:t>
      </w:r>
    </w:p>
    <w:p w14:paraId="3B42AC6F">
      <w:pPr>
        <w:spacing w:before="93" w:line="228" w:lineRule="auto"/>
        <w:ind w:left="443"/>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1、适应范围</w:t>
      </w:r>
    </w:p>
    <w:p w14:paraId="78D3A92B">
      <w:pPr>
        <w:spacing w:before="93" w:line="292" w:lineRule="auto"/>
        <w:ind w:right="71" w:firstLine="43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1.1</w:t>
      </w:r>
      <w:r>
        <w:rPr>
          <w:rFonts w:ascii="宋体" w:hAnsi="宋体" w:eastAsia="宋体" w:cs="宋体"/>
          <w:color w:val="auto"/>
          <w:spacing w:val="-27"/>
          <w:sz w:val="20"/>
          <w:szCs w:val="20"/>
          <w:highlight w:val="none"/>
        </w:rPr>
        <w:t xml:space="preserve"> </w:t>
      </w:r>
      <w:r>
        <w:rPr>
          <w:rFonts w:ascii="宋体" w:hAnsi="宋体" w:eastAsia="宋体" w:cs="宋体"/>
          <w:color w:val="auto"/>
          <w:spacing w:val="10"/>
          <w:sz w:val="20"/>
          <w:szCs w:val="20"/>
          <w:highlight w:val="none"/>
        </w:rPr>
        <w:t>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w:t>
      </w:r>
      <w:r>
        <w:rPr>
          <w:rFonts w:ascii="宋体" w:hAnsi="宋体" w:eastAsia="宋体" w:cs="宋体"/>
          <w:color w:val="auto"/>
          <w:spacing w:val="9"/>
          <w:sz w:val="20"/>
          <w:szCs w:val="20"/>
          <w:highlight w:val="none"/>
        </w:rPr>
        <w:t>项目本级和上级财政部门政府采购有关规定的约束和保护。</w:t>
      </w:r>
    </w:p>
    <w:p w14:paraId="35EB10C1">
      <w:pPr>
        <w:spacing w:before="96" w:line="271" w:lineRule="auto"/>
        <w:ind w:left="1" w:firstLine="44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1.2</w:t>
      </w:r>
      <w:r>
        <w:rPr>
          <w:rFonts w:ascii="宋体" w:hAnsi="宋体" w:eastAsia="宋体" w:cs="宋体"/>
          <w:color w:val="auto"/>
          <w:spacing w:val="-42"/>
          <w:sz w:val="20"/>
          <w:szCs w:val="20"/>
          <w:highlight w:val="none"/>
        </w:rPr>
        <w:t xml:space="preserve"> </w:t>
      </w:r>
      <w:r>
        <w:rPr>
          <w:rFonts w:ascii="宋体" w:hAnsi="宋体" w:eastAsia="宋体" w:cs="宋体"/>
          <w:color w:val="auto"/>
          <w:spacing w:val="7"/>
          <w:sz w:val="20"/>
          <w:szCs w:val="20"/>
          <w:highlight w:val="none"/>
        </w:rPr>
        <w:t>本竞争性磋商文件（以下简称磋商文件）适用于本项目的所有采购程</w:t>
      </w:r>
      <w:r>
        <w:rPr>
          <w:rFonts w:ascii="宋体" w:hAnsi="宋体" w:eastAsia="宋体" w:cs="宋体"/>
          <w:color w:val="auto"/>
          <w:spacing w:val="6"/>
          <w:sz w:val="20"/>
          <w:szCs w:val="20"/>
          <w:highlight w:val="none"/>
        </w:rPr>
        <w:t>序和环节（法律、</w:t>
      </w:r>
      <w:r>
        <w:rPr>
          <w:rFonts w:ascii="宋体" w:hAnsi="宋体" w:eastAsia="宋体" w:cs="宋体"/>
          <w:color w:val="auto"/>
          <w:spacing w:val="7"/>
          <w:sz w:val="20"/>
          <w:szCs w:val="20"/>
          <w:highlight w:val="none"/>
        </w:rPr>
        <w:t>法规另有规定的，从其规定）。</w:t>
      </w:r>
    </w:p>
    <w:p w14:paraId="5BF76005">
      <w:pPr>
        <w:spacing w:before="94" w:line="228" w:lineRule="auto"/>
        <w:ind w:left="430"/>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2、定义</w:t>
      </w:r>
    </w:p>
    <w:p w14:paraId="4CDB8F86">
      <w:pPr>
        <w:spacing w:before="93" w:line="227"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2.1“采购人”是指依法进行政府采购的国家机关、事业单位、团体组织。</w:t>
      </w:r>
    </w:p>
    <w:p w14:paraId="52F01E11">
      <w:pPr>
        <w:spacing w:before="96" w:line="297" w:lineRule="auto"/>
        <w:ind w:left="423" w:right="2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2.2“采购代理机构”是指政府采购集中采购机构和集中</w:t>
      </w:r>
      <w:r>
        <w:rPr>
          <w:rFonts w:ascii="宋体" w:hAnsi="宋体" w:eastAsia="宋体" w:cs="宋体"/>
          <w:color w:val="auto"/>
          <w:spacing w:val="7"/>
          <w:sz w:val="20"/>
          <w:szCs w:val="20"/>
          <w:highlight w:val="none"/>
        </w:rPr>
        <w:t>采购机构以外的采购代理机构。</w:t>
      </w:r>
      <w:r>
        <w:rPr>
          <w:rFonts w:ascii="宋体" w:hAnsi="宋体" w:eastAsia="宋体" w:cs="宋体"/>
          <w:color w:val="auto"/>
          <w:spacing w:val="8"/>
          <w:sz w:val="20"/>
          <w:szCs w:val="20"/>
          <w:highlight w:val="none"/>
        </w:rPr>
        <w:t>2.3“供应商”是指向采购人提供货物、工程或者服务的法人、其他组织或者自然人。</w:t>
      </w:r>
    </w:p>
    <w:p w14:paraId="66430AF7">
      <w:pPr>
        <w:spacing w:before="35" w:line="227"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2.4“货物</w:t>
      </w:r>
      <w:r>
        <w:rPr>
          <w:rFonts w:ascii="宋体" w:hAnsi="宋体" w:eastAsia="宋体" w:cs="宋体"/>
          <w:color w:val="auto"/>
          <w:spacing w:val="-68"/>
          <w:sz w:val="20"/>
          <w:szCs w:val="20"/>
          <w:highlight w:val="none"/>
        </w:rPr>
        <w:t xml:space="preserve"> </w:t>
      </w:r>
      <w:r>
        <w:rPr>
          <w:rFonts w:ascii="宋体" w:hAnsi="宋体" w:eastAsia="宋体" w:cs="宋体"/>
          <w:color w:val="auto"/>
          <w:spacing w:val="8"/>
          <w:sz w:val="20"/>
          <w:szCs w:val="20"/>
          <w:highlight w:val="none"/>
        </w:rPr>
        <w:t>”是指各种形态和种类的物品，包括原材料、燃料、设备、产品等。</w:t>
      </w:r>
    </w:p>
    <w:p w14:paraId="08479D70">
      <w:pPr>
        <w:spacing w:before="94" w:line="300" w:lineRule="auto"/>
        <w:ind w:left="621" w:right="305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“服务”是指除货物和工程以外的其他政府采购对象。“工程”是指除货物和服务以外的其他政府采购对象。</w:t>
      </w:r>
    </w:p>
    <w:p w14:paraId="5E3A5BD3">
      <w:pPr>
        <w:spacing w:before="32" w:line="300" w:lineRule="auto"/>
        <w:ind w:left="1" w:right="9"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2.5“竞标”是指供应商按照本项目竞争性磋商公告或者邀请函规定</w:t>
      </w:r>
      <w:r>
        <w:rPr>
          <w:rFonts w:ascii="宋体" w:hAnsi="宋体" w:eastAsia="宋体" w:cs="宋体"/>
          <w:color w:val="auto"/>
          <w:spacing w:val="7"/>
          <w:sz w:val="20"/>
          <w:szCs w:val="20"/>
          <w:highlight w:val="none"/>
        </w:rPr>
        <w:t>的方式获取磋商文件、</w:t>
      </w:r>
      <w:r>
        <w:rPr>
          <w:rFonts w:ascii="宋体" w:hAnsi="宋体" w:eastAsia="宋体" w:cs="宋体"/>
          <w:color w:val="auto"/>
          <w:spacing w:val="8"/>
          <w:sz w:val="20"/>
          <w:szCs w:val="20"/>
          <w:highlight w:val="none"/>
        </w:rPr>
        <w:t>提交响应文件并希望获得标的的行为。</w:t>
      </w:r>
    </w:p>
    <w:p w14:paraId="7918BA84">
      <w:pPr>
        <w:spacing w:before="31" w:line="298" w:lineRule="auto"/>
        <w:ind w:right="70" w:firstLine="42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2.6“响应文件</w:t>
      </w:r>
      <w:r>
        <w:rPr>
          <w:rFonts w:ascii="宋体" w:hAnsi="宋体" w:eastAsia="宋体" w:cs="宋体"/>
          <w:color w:val="auto"/>
          <w:spacing w:val="-60"/>
          <w:sz w:val="20"/>
          <w:szCs w:val="20"/>
          <w:highlight w:val="none"/>
        </w:rPr>
        <w:t xml:space="preserve"> </w:t>
      </w:r>
      <w:r>
        <w:rPr>
          <w:rFonts w:ascii="宋体" w:hAnsi="宋体" w:eastAsia="宋体" w:cs="宋体"/>
          <w:color w:val="auto"/>
          <w:spacing w:val="6"/>
          <w:sz w:val="20"/>
          <w:szCs w:val="20"/>
          <w:highlight w:val="none"/>
        </w:rPr>
        <w:t>”是指：供应商根据本采购文件要求，编制包含资格证明、报价商务技术等</w:t>
      </w:r>
      <w:r>
        <w:rPr>
          <w:rFonts w:ascii="宋体" w:hAnsi="宋体" w:eastAsia="宋体" w:cs="宋体"/>
          <w:color w:val="auto"/>
          <w:spacing w:val="7"/>
          <w:sz w:val="20"/>
          <w:szCs w:val="20"/>
          <w:highlight w:val="none"/>
        </w:rPr>
        <w:t>所有内容的文件。</w:t>
      </w:r>
    </w:p>
    <w:p w14:paraId="4D5EF59C">
      <w:pPr>
        <w:spacing w:before="34" w:line="300" w:lineRule="auto"/>
        <w:ind w:left="2" w:right="73"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2.7</w:t>
      </w:r>
      <w:r>
        <w:rPr>
          <w:rFonts w:ascii="宋体" w:hAnsi="宋体" w:eastAsia="宋体" w:cs="宋体"/>
          <w:color w:val="auto"/>
          <w:spacing w:val="-33"/>
          <w:sz w:val="20"/>
          <w:szCs w:val="20"/>
          <w:highlight w:val="none"/>
        </w:rPr>
        <w:t xml:space="preserve"> </w:t>
      </w:r>
      <w:r>
        <w:rPr>
          <w:rFonts w:ascii="宋体" w:hAnsi="宋体" w:eastAsia="宋体" w:cs="宋体"/>
          <w:color w:val="auto"/>
          <w:spacing w:val="10"/>
          <w:sz w:val="20"/>
          <w:szCs w:val="20"/>
          <w:highlight w:val="none"/>
        </w:rPr>
        <w:t>实质性要求</w:t>
      </w:r>
      <w:r>
        <w:rPr>
          <w:rFonts w:ascii="宋体" w:hAnsi="宋体" w:eastAsia="宋体" w:cs="宋体"/>
          <w:color w:val="auto"/>
          <w:spacing w:val="-70"/>
          <w:sz w:val="20"/>
          <w:szCs w:val="20"/>
          <w:highlight w:val="none"/>
        </w:rPr>
        <w:t xml:space="preserve"> </w:t>
      </w:r>
      <w:r>
        <w:rPr>
          <w:rFonts w:ascii="宋体" w:hAnsi="宋体" w:eastAsia="宋体" w:cs="宋体"/>
          <w:color w:val="auto"/>
          <w:spacing w:val="10"/>
          <w:sz w:val="20"/>
          <w:szCs w:val="20"/>
          <w:highlight w:val="none"/>
        </w:rPr>
        <w:t>”是指采购文件中已经指明不满足则响应文</w:t>
      </w:r>
      <w:r>
        <w:rPr>
          <w:rFonts w:ascii="宋体" w:hAnsi="宋体" w:eastAsia="宋体" w:cs="宋体"/>
          <w:color w:val="auto"/>
          <w:spacing w:val="9"/>
          <w:sz w:val="20"/>
          <w:szCs w:val="20"/>
          <w:highlight w:val="none"/>
        </w:rPr>
        <w:t>件按无效响应处理的条款，或</w:t>
      </w:r>
      <w:r>
        <w:rPr>
          <w:rFonts w:ascii="宋体" w:hAnsi="宋体" w:eastAsia="宋体" w:cs="宋体"/>
          <w:color w:val="auto"/>
          <w:spacing w:val="8"/>
          <w:sz w:val="20"/>
          <w:szCs w:val="20"/>
          <w:highlight w:val="none"/>
        </w:rPr>
        <w:t>者不能负偏离的条款，或者采购需求中带“▲</w:t>
      </w:r>
      <w:r>
        <w:rPr>
          <w:rFonts w:ascii="宋体" w:hAnsi="宋体" w:eastAsia="宋体" w:cs="宋体"/>
          <w:color w:val="auto"/>
          <w:spacing w:val="-71"/>
          <w:sz w:val="20"/>
          <w:szCs w:val="20"/>
          <w:highlight w:val="none"/>
        </w:rPr>
        <w:t xml:space="preserve"> </w:t>
      </w:r>
      <w:r>
        <w:rPr>
          <w:rFonts w:ascii="宋体" w:hAnsi="宋体" w:eastAsia="宋体" w:cs="宋体"/>
          <w:color w:val="auto"/>
          <w:spacing w:val="8"/>
          <w:sz w:val="20"/>
          <w:szCs w:val="20"/>
          <w:highlight w:val="none"/>
        </w:rPr>
        <w:t>”的条款。</w:t>
      </w:r>
    </w:p>
    <w:p w14:paraId="6096609D">
      <w:pPr>
        <w:spacing w:before="31" w:line="300" w:lineRule="auto"/>
        <w:ind w:left="2" w:right="70" w:firstLine="42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2.8“正偏离</w:t>
      </w:r>
      <w:r>
        <w:rPr>
          <w:rFonts w:ascii="宋体" w:hAnsi="宋体" w:eastAsia="宋体" w:cs="宋体"/>
          <w:color w:val="auto"/>
          <w:spacing w:val="-73"/>
          <w:sz w:val="20"/>
          <w:szCs w:val="20"/>
          <w:highlight w:val="none"/>
        </w:rPr>
        <w:t xml:space="preserve"> </w:t>
      </w:r>
      <w:r>
        <w:rPr>
          <w:rFonts w:ascii="宋体" w:hAnsi="宋体" w:eastAsia="宋体" w:cs="宋体"/>
          <w:color w:val="auto"/>
          <w:spacing w:val="6"/>
          <w:sz w:val="20"/>
          <w:szCs w:val="20"/>
          <w:highlight w:val="none"/>
        </w:rPr>
        <w:t>”，是指响应文件对采购文件“采购需</w:t>
      </w:r>
      <w:r>
        <w:rPr>
          <w:rFonts w:ascii="宋体" w:hAnsi="宋体" w:eastAsia="宋体" w:cs="宋体"/>
          <w:color w:val="auto"/>
          <w:spacing w:val="5"/>
          <w:sz w:val="20"/>
          <w:szCs w:val="20"/>
          <w:highlight w:val="none"/>
        </w:rPr>
        <w:t>求</w:t>
      </w:r>
      <w:r>
        <w:rPr>
          <w:rFonts w:ascii="宋体" w:hAnsi="宋体" w:eastAsia="宋体" w:cs="宋体"/>
          <w:color w:val="auto"/>
          <w:spacing w:val="-70"/>
          <w:sz w:val="20"/>
          <w:szCs w:val="20"/>
          <w:highlight w:val="none"/>
        </w:rPr>
        <w:t xml:space="preserve"> </w:t>
      </w:r>
      <w:r>
        <w:rPr>
          <w:rFonts w:ascii="宋体" w:hAnsi="宋体" w:eastAsia="宋体" w:cs="宋体"/>
          <w:color w:val="auto"/>
          <w:spacing w:val="5"/>
          <w:sz w:val="20"/>
          <w:szCs w:val="20"/>
          <w:highlight w:val="none"/>
        </w:rPr>
        <w:t>”中有关条款作出的响应优于条款要</w:t>
      </w:r>
      <w:r>
        <w:rPr>
          <w:rFonts w:ascii="宋体" w:hAnsi="宋体" w:eastAsia="宋体" w:cs="宋体"/>
          <w:color w:val="auto"/>
          <w:spacing w:val="8"/>
          <w:sz w:val="20"/>
          <w:szCs w:val="20"/>
          <w:highlight w:val="none"/>
        </w:rPr>
        <w:t>求并有利于采购人的情形。</w:t>
      </w:r>
    </w:p>
    <w:p w14:paraId="0434993A">
      <w:pPr>
        <w:spacing w:before="30" w:line="302" w:lineRule="auto"/>
        <w:ind w:left="1" w:right="70" w:firstLine="42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2.9“负偏离”，是指响应文件对采购文件“采购需</w:t>
      </w:r>
      <w:r>
        <w:rPr>
          <w:rFonts w:ascii="宋体" w:hAnsi="宋体" w:eastAsia="宋体" w:cs="宋体"/>
          <w:color w:val="auto"/>
          <w:spacing w:val="5"/>
          <w:sz w:val="20"/>
          <w:szCs w:val="20"/>
          <w:highlight w:val="none"/>
        </w:rPr>
        <w:t>求</w:t>
      </w:r>
      <w:r>
        <w:rPr>
          <w:rFonts w:ascii="宋体" w:hAnsi="宋体" w:eastAsia="宋体" w:cs="宋体"/>
          <w:color w:val="auto"/>
          <w:spacing w:val="-70"/>
          <w:sz w:val="20"/>
          <w:szCs w:val="20"/>
          <w:highlight w:val="none"/>
        </w:rPr>
        <w:t xml:space="preserve"> </w:t>
      </w:r>
      <w:r>
        <w:rPr>
          <w:rFonts w:ascii="宋体" w:hAnsi="宋体" w:eastAsia="宋体" w:cs="宋体"/>
          <w:color w:val="auto"/>
          <w:spacing w:val="5"/>
          <w:sz w:val="20"/>
          <w:szCs w:val="20"/>
          <w:highlight w:val="none"/>
        </w:rPr>
        <w:t>”中有关条款作出的响应不满足条款</w:t>
      </w:r>
      <w:r>
        <w:rPr>
          <w:rFonts w:ascii="宋体" w:hAnsi="宋体" w:eastAsia="宋体" w:cs="宋体"/>
          <w:color w:val="auto"/>
          <w:spacing w:val="8"/>
          <w:sz w:val="20"/>
          <w:szCs w:val="20"/>
          <w:highlight w:val="none"/>
        </w:rPr>
        <w:t>要求，导致采购人要求不能得到满足的情形。</w:t>
      </w:r>
    </w:p>
    <w:p w14:paraId="153C5120">
      <w:pPr>
        <w:spacing w:before="28" w:line="227" w:lineRule="auto"/>
        <w:ind w:left="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2.10“允许负偏离的条款</w:t>
      </w:r>
      <w:r>
        <w:rPr>
          <w:rFonts w:ascii="宋体" w:hAnsi="宋体" w:eastAsia="宋体" w:cs="宋体"/>
          <w:color w:val="auto"/>
          <w:spacing w:val="-65"/>
          <w:sz w:val="20"/>
          <w:szCs w:val="20"/>
          <w:highlight w:val="none"/>
        </w:rPr>
        <w:t xml:space="preserve"> </w:t>
      </w:r>
      <w:r>
        <w:rPr>
          <w:rFonts w:ascii="宋体" w:hAnsi="宋体" w:eastAsia="宋体" w:cs="宋体"/>
          <w:color w:val="auto"/>
          <w:spacing w:val="7"/>
          <w:sz w:val="20"/>
          <w:szCs w:val="20"/>
          <w:highlight w:val="none"/>
        </w:rPr>
        <w:t>”是指采购需求中的不属于“实质性要求</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”的条款。</w:t>
      </w:r>
    </w:p>
    <w:p w14:paraId="73820C84">
      <w:pPr>
        <w:spacing w:before="94" w:line="300" w:lineRule="auto"/>
        <w:ind w:left="1" w:right="73"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2.11“书面形式</w:t>
      </w:r>
      <w:r>
        <w:rPr>
          <w:rFonts w:ascii="宋体" w:hAnsi="宋体" w:eastAsia="宋体" w:cs="宋体"/>
          <w:color w:val="auto"/>
          <w:spacing w:val="-72"/>
          <w:sz w:val="20"/>
          <w:szCs w:val="20"/>
          <w:highlight w:val="none"/>
        </w:rPr>
        <w:t xml:space="preserve"> </w:t>
      </w:r>
      <w:r>
        <w:rPr>
          <w:rFonts w:ascii="宋体" w:hAnsi="宋体" w:eastAsia="宋体" w:cs="宋体"/>
          <w:color w:val="auto"/>
          <w:spacing w:val="8"/>
          <w:sz w:val="20"/>
          <w:szCs w:val="20"/>
          <w:highlight w:val="none"/>
        </w:rPr>
        <w:t>”是指合同书、信件和数据电文（包括电报</w:t>
      </w:r>
      <w:r>
        <w:rPr>
          <w:rFonts w:ascii="宋体" w:hAnsi="宋体" w:eastAsia="宋体" w:cs="宋体"/>
          <w:color w:val="auto"/>
          <w:spacing w:val="7"/>
          <w:sz w:val="20"/>
          <w:szCs w:val="20"/>
          <w:highlight w:val="none"/>
        </w:rPr>
        <w:t>、</w:t>
      </w:r>
      <w:r>
        <w:rPr>
          <w:rFonts w:ascii="宋体" w:hAnsi="宋体" w:eastAsia="宋体" w:cs="宋体"/>
          <w:color w:val="auto"/>
          <w:spacing w:val="-59"/>
          <w:sz w:val="20"/>
          <w:szCs w:val="20"/>
          <w:highlight w:val="none"/>
        </w:rPr>
        <w:t xml:space="preserve"> </w:t>
      </w:r>
      <w:r>
        <w:rPr>
          <w:rFonts w:ascii="宋体" w:hAnsi="宋体" w:eastAsia="宋体" w:cs="宋体"/>
          <w:color w:val="auto"/>
          <w:spacing w:val="7"/>
          <w:sz w:val="20"/>
          <w:szCs w:val="20"/>
          <w:highlight w:val="none"/>
        </w:rPr>
        <w:t>电传、传真、电子数据交换</w:t>
      </w:r>
      <w:r>
        <w:rPr>
          <w:rFonts w:ascii="宋体" w:hAnsi="宋体" w:eastAsia="宋体" w:cs="宋体"/>
          <w:color w:val="auto"/>
          <w:spacing w:val="9"/>
          <w:sz w:val="20"/>
          <w:szCs w:val="20"/>
          <w:highlight w:val="none"/>
        </w:rPr>
        <w:t>和电子邮件）等可以有形地表现所载内容的形式。</w:t>
      </w:r>
    </w:p>
    <w:p w14:paraId="7EC2658F">
      <w:pPr>
        <w:spacing w:before="32" w:line="226" w:lineRule="auto"/>
        <w:ind w:left="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2.12“首次报价</w:t>
      </w:r>
      <w:r>
        <w:rPr>
          <w:rFonts w:ascii="宋体" w:hAnsi="宋体" w:eastAsia="宋体" w:cs="宋体"/>
          <w:color w:val="auto"/>
          <w:spacing w:val="-57"/>
          <w:sz w:val="20"/>
          <w:szCs w:val="20"/>
          <w:highlight w:val="none"/>
        </w:rPr>
        <w:t xml:space="preserve"> </w:t>
      </w:r>
      <w:r>
        <w:rPr>
          <w:rFonts w:ascii="宋体" w:hAnsi="宋体" w:eastAsia="宋体" w:cs="宋体"/>
          <w:color w:val="auto"/>
          <w:spacing w:val="7"/>
          <w:sz w:val="20"/>
          <w:szCs w:val="20"/>
          <w:highlight w:val="none"/>
        </w:rPr>
        <w:t>”是指供应商提交的首次响应文件中的报价。</w:t>
      </w:r>
    </w:p>
    <w:p w14:paraId="1B691C3D">
      <w:pPr>
        <w:spacing w:before="96" w:line="297" w:lineRule="auto"/>
        <w:ind w:left="1" w:right="71" w:firstLine="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2.13“评审报价</w:t>
      </w:r>
      <w:r>
        <w:rPr>
          <w:rFonts w:ascii="宋体" w:hAnsi="宋体" w:eastAsia="宋体" w:cs="宋体"/>
          <w:color w:val="auto"/>
          <w:spacing w:val="-72"/>
          <w:sz w:val="20"/>
          <w:szCs w:val="20"/>
          <w:highlight w:val="none"/>
        </w:rPr>
        <w:t xml:space="preserve"> </w:t>
      </w:r>
      <w:r>
        <w:rPr>
          <w:rFonts w:ascii="宋体" w:hAnsi="宋体" w:eastAsia="宋体" w:cs="宋体"/>
          <w:color w:val="auto"/>
          <w:spacing w:val="9"/>
          <w:sz w:val="20"/>
          <w:szCs w:val="20"/>
          <w:highlight w:val="none"/>
        </w:rPr>
        <w:t>”是指供应商提交的最后报价并</w:t>
      </w:r>
      <w:r>
        <w:rPr>
          <w:rFonts w:ascii="宋体" w:hAnsi="宋体" w:eastAsia="宋体" w:cs="宋体"/>
          <w:color w:val="auto"/>
          <w:spacing w:val="8"/>
          <w:sz w:val="20"/>
          <w:szCs w:val="20"/>
          <w:highlight w:val="none"/>
        </w:rPr>
        <w:t>经修正（如有）和政策功能价格扣除（如</w:t>
      </w:r>
      <w:r>
        <w:rPr>
          <w:rFonts w:ascii="宋体" w:hAnsi="宋体" w:eastAsia="宋体" w:cs="宋体"/>
          <w:color w:val="auto"/>
          <w:spacing w:val="6"/>
          <w:sz w:val="20"/>
          <w:szCs w:val="20"/>
          <w:highlight w:val="none"/>
        </w:rPr>
        <w:t>有）后的价格。</w:t>
      </w:r>
    </w:p>
    <w:p w14:paraId="23BB2B61">
      <w:pPr>
        <w:spacing w:before="36" w:line="227" w:lineRule="auto"/>
        <w:ind w:left="432"/>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3、供应商资格</w:t>
      </w:r>
    </w:p>
    <w:p w14:paraId="4CB16DFF">
      <w:pPr>
        <w:spacing w:before="95" w:line="227"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供应商的资格条件详见“供应商须知前附表”。</w:t>
      </w:r>
    </w:p>
    <w:p w14:paraId="08AABACF">
      <w:pPr>
        <w:spacing w:before="95" w:line="228" w:lineRule="auto"/>
        <w:ind w:left="427"/>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4、磋商费用</w:t>
      </w:r>
    </w:p>
    <w:p w14:paraId="664106AF">
      <w:pPr>
        <w:spacing w:before="93" w:line="300" w:lineRule="auto"/>
        <w:ind w:left="11" w:right="68" w:firstLine="41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供应商应承担参与本次采购活动有关的所有费用，包括但不限于、勘查现场</w:t>
      </w:r>
      <w:r>
        <w:rPr>
          <w:rFonts w:ascii="宋体" w:hAnsi="宋体" w:eastAsia="宋体" w:cs="宋体"/>
          <w:color w:val="auto"/>
          <w:spacing w:val="9"/>
          <w:sz w:val="20"/>
          <w:szCs w:val="20"/>
          <w:highlight w:val="none"/>
        </w:rPr>
        <w:t>、编制和提交响应文件、参加磋商与应答、签订合同等，不论竞标结果如何，均应自行承担。</w:t>
      </w:r>
    </w:p>
    <w:p w14:paraId="364309E8">
      <w:pPr>
        <w:spacing w:before="32" w:line="228" w:lineRule="auto"/>
        <w:ind w:left="432"/>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5、联合体竞标</w:t>
      </w:r>
    </w:p>
    <w:p w14:paraId="307F84A9">
      <w:pPr>
        <w:spacing w:before="91" w:line="227"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5.1</w:t>
      </w:r>
      <w:r>
        <w:rPr>
          <w:rFonts w:ascii="宋体" w:hAnsi="宋体" w:eastAsia="宋体" w:cs="宋体"/>
          <w:color w:val="auto"/>
          <w:spacing w:val="-31"/>
          <w:sz w:val="20"/>
          <w:szCs w:val="20"/>
          <w:highlight w:val="none"/>
        </w:rPr>
        <w:t xml:space="preserve"> </w:t>
      </w:r>
      <w:r>
        <w:rPr>
          <w:rFonts w:ascii="宋体" w:hAnsi="宋体" w:eastAsia="宋体" w:cs="宋体"/>
          <w:color w:val="auto"/>
          <w:spacing w:val="8"/>
          <w:sz w:val="20"/>
          <w:szCs w:val="20"/>
          <w:highlight w:val="none"/>
        </w:rPr>
        <w:t>本项目是否接受联合体竞标，详见“供应商须知前附表”。</w:t>
      </w:r>
    </w:p>
    <w:p w14:paraId="0144BA3D">
      <w:pPr>
        <w:spacing w:before="95" w:line="227"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5.2</w:t>
      </w:r>
      <w:r>
        <w:rPr>
          <w:rFonts w:ascii="宋体" w:hAnsi="宋体" w:eastAsia="宋体" w:cs="宋体"/>
          <w:color w:val="auto"/>
          <w:spacing w:val="-24"/>
          <w:sz w:val="20"/>
          <w:szCs w:val="20"/>
          <w:highlight w:val="none"/>
        </w:rPr>
        <w:t xml:space="preserve"> </w:t>
      </w:r>
      <w:r>
        <w:rPr>
          <w:rFonts w:ascii="宋体" w:hAnsi="宋体" w:eastAsia="宋体" w:cs="宋体"/>
          <w:color w:val="auto"/>
          <w:spacing w:val="8"/>
          <w:sz w:val="20"/>
          <w:szCs w:val="20"/>
          <w:highlight w:val="none"/>
        </w:rPr>
        <w:t>如接受联合体竞标，联合体竞标要求详见“供应商须知前附表”。</w:t>
      </w:r>
    </w:p>
    <w:p w14:paraId="3303C4DE">
      <w:pPr>
        <w:spacing w:before="95" w:line="227"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5.3</w:t>
      </w:r>
      <w:r>
        <w:rPr>
          <w:rFonts w:ascii="宋体" w:hAnsi="宋体" w:eastAsia="宋体" w:cs="宋体"/>
          <w:color w:val="auto"/>
          <w:spacing w:val="-32"/>
          <w:sz w:val="20"/>
          <w:szCs w:val="20"/>
          <w:highlight w:val="none"/>
        </w:rPr>
        <w:t xml:space="preserve"> </w:t>
      </w:r>
      <w:r>
        <w:rPr>
          <w:rFonts w:ascii="宋体" w:hAnsi="宋体" w:eastAsia="宋体" w:cs="宋体"/>
          <w:color w:val="auto"/>
          <w:spacing w:val="8"/>
          <w:sz w:val="20"/>
          <w:szCs w:val="20"/>
          <w:highlight w:val="none"/>
        </w:rPr>
        <w:t>根据《政府采购促进中小企业发展管理办法》（财库[2020]46号）第九条及《广西壮</w:t>
      </w:r>
    </w:p>
    <w:p w14:paraId="160A6A65">
      <w:pPr>
        <w:spacing w:line="227" w:lineRule="auto"/>
        <w:rPr>
          <w:rFonts w:ascii="宋体" w:hAnsi="宋体" w:eastAsia="宋体" w:cs="宋体"/>
          <w:color w:val="auto"/>
          <w:sz w:val="20"/>
          <w:szCs w:val="20"/>
          <w:highlight w:val="none"/>
        </w:rPr>
        <w:sectPr>
          <w:footerReference r:id="rId9" w:type="default"/>
          <w:pgSz w:w="11910" w:h="16840"/>
          <w:pgMar w:top="1357" w:right="1559" w:bottom="1019" w:left="1668" w:header="0" w:footer="856" w:gutter="0"/>
          <w:pgNumType w:fmt="decimal"/>
          <w:cols w:space="720" w:num="1"/>
        </w:sectPr>
      </w:pPr>
    </w:p>
    <w:p w14:paraId="66467752">
      <w:pPr>
        <w:spacing w:before="41" w:line="309" w:lineRule="auto"/>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族自治区财政厅关于进一步发挥政府采购政策功能促进企业发展的通知》（桂财采〔2022〕30</w:t>
      </w:r>
      <w:r>
        <w:rPr>
          <w:rFonts w:ascii="宋体" w:hAnsi="宋体" w:eastAsia="宋体" w:cs="宋体"/>
          <w:color w:val="auto"/>
          <w:spacing w:val="10"/>
          <w:sz w:val="20"/>
          <w:szCs w:val="20"/>
          <w:highlight w:val="none"/>
        </w:rPr>
        <w:t>号）、《广西壮族自治区财政厅关于贯彻落实政府采购支持中小企业发展政策的通知》（桂财</w:t>
      </w:r>
      <w:r>
        <w:rPr>
          <w:rFonts w:ascii="宋体" w:hAnsi="宋体" w:eastAsia="宋体" w:cs="宋体"/>
          <w:color w:val="auto"/>
          <w:spacing w:val="8"/>
          <w:sz w:val="20"/>
          <w:szCs w:val="20"/>
          <w:highlight w:val="none"/>
        </w:rPr>
        <w:t>采〔2022〕31号）规定，接受大中型企业与小微企业组成联合体的采购项</w:t>
      </w:r>
      <w:r>
        <w:rPr>
          <w:rFonts w:ascii="宋体" w:hAnsi="宋体" w:eastAsia="宋体" w:cs="宋体"/>
          <w:color w:val="auto"/>
          <w:spacing w:val="7"/>
          <w:sz w:val="20"/>
          <w:szCs w:val="20"/>
          <w:highlight w:val="none"/>
        </w:rPr>
        <w:t>目，对于联合协议约</w:t>
      </w:r>
      <w:r>
        <w:rPr>
          <w:rFonts w:ascii="宋体" w:hAnsi="宋体" w:eastAsia="宋体" w:cs="宋体"/>
          <w:color w:val="auto"/>
          <w:spacing w:val="11"/>
          <w:sz w:val="20"/>
          <w:szCs w:val="20"/>
          <w:highlight w:val="none"/>
        </w:rPr>
        <w:t>定小微企业的合同份额占到合同总金额</w:t>
      </w:r>
      <w:r>
        <w:rPr>
          <w:rFonts w:ascii="宋体" w:hAnsi="宋体" w:eastAsia="宋体" w:cs="宋体"/>
          <w:color w:val="auto"/>
          <w:spacing w:val="-34"/>
          <w:sz w:val="20"/>
          <w:szCs w:val="20"/>
          <w:highlight w:val="none"/>
        </w:rPr>
        <w:t xml:space="preserve"> </w:t>
      </w:r>
      <w:r>
        <w:rPr>
          <w:rFonts w:ascii="宋体" w:hAnsi="宋体" w:eastAsia="宋体" w:cs="宋体"/>
          <w:color w:val="auto"/>
          <w:spacing w:val="11"/>
          <w:sz w:val="20"/>
          <w:szCs w:val="20"/>
          <w:highlight w:val="none"/>
        </w:rPr>
        <w:t>30%以上的，</w:t>
      </w:r>
      <w:r>
        <w:rPr>
          <w:rFonts w:ascii="宋体" w:hAnsi="宋体" w:eastAsia="宋体" w:cs="宋体"/>
          <w:color w:val="auto"/>
          <w:spacing w:val="10"/>
          <w:sz w:val="20"/>
          <w:szCs w:val="20"/>
          <w:highlight w:val="none"/>
        </w:rPr>
        <w:t>采购人、采购代理机构应当对联合体的报价给予4%-6%（工程项目为</w:t>
      </w:r>
      <w:r>
        <w:rPr>
          <w:rFonts w:ascii="宋体" w:hAnsi="宋体" w:eastAsia="宋体" w:cs="宋体"/>
          <w:color w:val="auto"/>
          <w:spacing w:val="-21"/>
          <w:sz w:val="20"/>
          <w:szCs w:val="20"/>
          <w:highlight w:val="none"/>
        </w:rPr>
        <w:t xml:space="preserve"> </w:t>
      </w:r>
      <w:r>
        <w:rPr>
          <w:rFonts w:ascii="宋体" w:hAnsi="宋体" w:eastAsia="宋体" w:cs="宋体"/>
          <w:color w:val="auto"/>
          <w:spacing w:val="10"/>
          <w:sz w:val="20"/>
          <w:szCs w:val="20"/>
          <w:highlight w:val="none"/>
        </w:rPr>
        <w:t>1%—2%）的扣除，用扣</w:t>
      </w:r>
      <w:r>
        <w:rPr>
          <w:rFonts w:ascii="宋体" w:hAnsi="宋体" w:eastAsia="宋体" w:cs="宋体"/>
          <w:color w:val="auto"/>
          <w:spacing w:val="9"/>
          <w:sz w:val="20"/>
          <w:szCs w:val="20"/>
          <w:highlight w:val="none"/>
        </w:rPr>
        <w:t>除后的价格参加评审。组成联合体的小微企</w:t>
      </w:r>
      <w:r>
        <w:rPr>
          <w:rFonts w:ascii="宋体" w:hAnsi="宋体" w:eastAsia="宋体" w:cs="宋体"/>
          <w:color w:val="auto"/>
          <w:spacing w:val="7"/>
          <w:sz w:val="20"/>
          <w:szCs w:val="20"/>
          <w:highlight w:val="none"/>
        </w:rPr>
        <w:t>业与联合体内其他企业、分包企业之间存在直接控股、管理关系的</w:t>
      </w:r>
      <w:r>
        <w:rPr>
          <w:rFonts w:ascii="宋体" w:hAnsi="宋体" w:eastAsia="宋体" w:cs="宋体"/>
          <w:color w:val="auto"/>
          <w:spacing w:val="6"/>
          <w:sz w:val="20"/>
          <w:szCs w:val="20"/>
          <w:highlight w:val="none"/>
        </w:rPr>
        <w:t>，不享受价格扣除优惠政策。</w:t>
      </w:r>
    </w:p>
    <w:p w14:paraId="2A97CD6C">
      <w:pPr>
        <w:spacing w:before="34" w:line="228" w:lineRule="auto"/>
        <w:ind w:left="422"/>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6、转包与分包</w:t>
      </w:r>
    </w:p>
    <w:p w14:paraId="2F06068C">
      <w:pPr>
        <w:spacing w:before="93" w:line="227"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6.1</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本项目是否允许分包详见“供应商须知前附表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”，本项目不允许</w:t>
      </w:r>
      <w:r>
        <w:rPr>
          <w:rFonts w:ascii="宋体" w:hAnsi="宋体" w:eastAsia="宋体" w:cs="宋体"/>
          <w:color w:val="auto"/>
          <w:spacing w:val="7"/>
          <w:sz w:val="20"/>
          <w:szCs w:val="20"/>
          <w:highlight w:val="none"/>
        </w:rPr>
        <w:t>违法分包。</w:t>
      </w:r>
    </w:p>
    <w:p w14:paraId="53BEC2DF">
      <w:pPr>
        <w:spacing w:before="92" w:line="302" w:lineRule="auto"/>
        <w:ind w:right="70"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6.2</w:t>
      </w:r>
      <w:r>
        <w:rPr>
          <w:rFonts w:ascii="宋体" w:hAnsi="宋体" w:eastAsia="宋体" w:cs="宋体"/>
          <w:color w:val="auto"/>
          <w:spacing w:val="-30"/>
          <w:sz w:val="20"/>
          <w:szCs w:val="20"/>
          <w:highlight w:val="none"/>
        </w:rPr>
        <w:t xml:space="preserve"> </w:t>
      </w:r>
      <w:r>
        <w:rPr>
          <w:rFonts w:ascii="宋体" w:hAnsi="宋体" w:eastAsia="宋体" w:cs="宋体"/>
          <w:color w:val="auto"/>
          <w:spacing w:val="8"/>
          <w:sz w:val="20"/>
          <w:szCs w:val="20"/>
          <w:highlight w:val="none"/>
        </w:rPr>
        <w:t>根据《政府采购促进中小企业发展管理办法》（财库[2020]46</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号）第九条及《广西壮</w:t>
      </w:r>
      <w:r>
        <w:rPr>
          <w:rFonts w:ascii="宋体" w:hAnsi="宋体" w:eastAsia="宋体" w:cs="宋体"/>
          <w:color w:val="auto"/>
          <w:spacing w:val="9"/>
          <w:sz w:val="20"/>
          <w:szCs w:val="20"/>
          <w:highlight w:val="none"/>
        </w:rPr>
        <w:t>族自治区财政厅关于进一步发挥政府采购政策功能促进企业发展的通知》（桂财采〔2022〕30</w:t>
      </w:r>
      <w:r>
        <w:rPr>
          <w:rFonts w:ascii="宋体" w:hAnsi="宋体" w:eastAsia="宋体" w:cs="宋体"/>
          <w:color w:val="auto"/>
          <w:spacing w:val="10"/>
          <w:sz w:val="20"/>
          <w:szCs w:val="20"/>
          <w:highlight w:val="none"/>
        </w:rPr>
        <w:t>号）、《广西壮族自治区财政厅关于贯彻落实政府采购支持中小企业发展政策的通知》（桂财</w:t>
      </w:r>
      <w:r>
        <w:rPr>
          <w:rFonts w:ascii="宋体" w:hAnsi="宋体" w:eastAsia="宋体" w:cs="宋体"/>
          <w:color w:val="auto"/>
          <w:spacing w:val="8"/>
          <w:sz w:val="20"/>
          <w:szCs w:val="20"/>
          <w:highlight w:val="none"/>
        </w:rPr>
        <w:t>采〔2022〕31</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号）规定，允许大中型企业向一家或者多家小微企业分包的</w:t>
      </w:r>
      <w:r>
        <w:rPr>
          <w:rFonts w:ascii="宋体" w:hAnsi="宋体" w:eastAsia="宋体" w:cs="宋体"/>
          <w:color w:val="auto"/>
          <w:spacing w:val="7"/>
          <w:sz w:val="20"/>
          <w:szCs w:val="20"/>
          <w:highlight w:val="none"/>
        </w:rPr>
        <w:t>采购项目，对于分包</w:t>
      </w:r>
      <w:r>
        <w:rPr>
          <w:rFonts w:ascii="宋体" w:hAnsi="宋体" w:eastAsia="宋体" w:cs="宋体"/>
          <w:color w:val="auto"/>
          <w:spacing w:val="11"/>
          <w:sz w:val="20"/>
          <w:szCs w:val="20"/>
          <w:highlight w:val="none"/>
        </w:rPr>
        <w:t>意向协议约定小微企业的合同份额占到合同总金额</w:t>
      </w:r>
      <w:r>
        <w:rPr>
          <w:rFonts w:ascii="宋体" w:hAnsi="宋体" w:eastAsia="宋体" w:cs="宋体"/>
          <w:color w:val="auto"/>
          <w:spacing w:val="-32"/>
          <w:sz w:val="20"/>
          <w:szCs w:val="20"/>
          <w:highlight w:val="none"/>
        </w:rPr>
        <w:t xml:space="preserve"> </w:t>
      </w:r>
      <w:r>
        <w:rPr>
          <w:rFonts w:ascii="宋体" w:hAnsi="宋体" w:eastAsia="宋体" w:cs="宋体"/>
          <w:color w:val="auto"/>
          <w:spacing w:val="10"/>
          <w:sz w:val="20"/>
          <w:szCs w:val="20"/>
          <w:highlight w:val="none"/>
        </w:rPr>
        <w:t>30%以上的，采购人、采购代理机构应当对</w:t>
      </w:r>
      <w:r>
        <w:rPr>
          <w:rFonts w:ascii="宋体" w:hAnsi="宋体" w:eastAsia="宋体" w:cs="宋体"/>
          <w:color w:val="auto"/>
          <w:spacing w:val="11"/>
          <w:sz w:val="20"/>
          <w:szCs w:val="20"/>
          <w:highlight w:val="none"/>
        </w:rPr>
        <w:t>大中型企业的报价给予</w:t>
      </w:r>
      <w:r>
        <w:rPr>
          <w:rFonts w:ascii="宋体" w:hAnsi="宋体" w:eastAsia="宋体" w:cs="宋体"/>
          <w:color w:val="auto"/>
          <w:spacing w:val="-40"/>
          <w:sz w:val="20"/>
          <w:szCs w:val="20"/>
          <w:highlight w:val="none"/>
        </w:rPr>
        <w:t xml:space="preserve"> </w:t>
      </w:r>
      <w:r>
        <w:rPr>
          <w:rFonts w:ascii="宋体" w:hAnsi="宋体" w:eastAsia="宋体" w:cs="宋体"/>
          <w:color w:val="auto"/>
          <w:spacing w:val="11"/>
          <w:sz w:val="20"/>
          <w:szCs w:val="20"/>
          <w:highlight w:val="none"/>
        </w:rPr>
        <w:t>4%-6%的扣除，</w:t>
      </w:r>
      <w:r>
        <w:rPr>
          <w:rFonts w:ascii="宋体" w:hAnsi="宋体" w:eastAsia="宋体" w:cs="宋体"/>
          <w:color w:val="auto"/>
          <w:spacing w:val="10"/>
          <w:sz w:val="20"/>
          <w:szCs w:val="20"/>
          <w:highlight w:val="none"/>
        </w:rPr>
        <w:t>用扣除后的价格参加评审。接受分包的小微企业与分包</w:t>
      </w:r>
      <w:r>
        <w:rPr>
          <w:rFonts w:ascii="宋体" w:hAnsi="宋体" w:eastAsia="宋体" w:cs="宋体"/>
          <w:color w:val="auto"/>
          <w:spacing w:val="9"/>
          <w:sz w:val="20"/>
          <w:szCs w:val="20"/>
          <w:highlight w:val="none"/>
        </w:rPr>
        <w:t>企业之间存在直接控股、管理关系的，不享受价格扣除优惠政策。</w:t>
      </w:r>
    </w:p>
    <w:p w14:paraId="61F2C2FF">
      <w:pPr>
        <w:spacing w:before="95" w:line="228" w:lineRule="auto"/>
        <w:ind w:left="425"/>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7、特别说明</w:t>
      </w:r>
    </w:p>
    <w:p w14:paraId="1414B32B">
      <w:pPr>
        <w:spacing w:before="91" w:line="271" w:lineRule="auto"/>
        <w:ind w:right="71" w:firstLine="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7.1</w:t>
      </w:r>
      <w:r>
        <w:rPr>
          <w:rFonts w:ascii="宋体" w:hAnsi="宋体" w:eastAsia="宋体" w:cs="宋体"/>
          <w:color w:val="auto"/>
          <w:spacing w:val="-16"/>
          <w:sz w:val="20"/>
          <w:szCs w:val="20"/>
          <w:highlight w:val="none"/>
        </w:rPr>
        <w:t xml:space="preserve"> </w:t>
      </w:r>
      <w:r>
        <w:rPr>
          <w:rFonts w:ascii="宋体" w:hAnsi="宋体" w:eastAsia="宋体" w:cs="宋体"/>
          <w:color w:val="auto"/>
          <w:spacing w:val="10"/>
          <w:sz w:val="20"/>
          <w:szCs w:val="20"/>
          <w:highlight w:val="none"/>
        </w:rPr>
        <w:t>如果本采购文件要求提供供应商或制造商的资格、信誉、荣誉、业绩与企业认证等材料的，资格、信誉、荣誉、业绩与企业认证</w:t>
      </w:r>
      <w:r>
        <w:rPr>
          <w:rFonts w:ascii="宋体" w:hAnsi="宋体" w:eastAsia="宋体" w:cs="宋体"/>
          <w:color w:val="auto"/>
          <w:spacing w:val="9"/>
          <w:sz w:val="20"/>
          <w:szCs w:val="20"/>
          <w:highlight w:val="none"/>
        </w:rPr>
        <w:t>等必须为供应商或者制造商所拥有或自身获得。</w:t>
      </w:r>
    </w:p>
    <w:p w14:paraId="1F5F44A9">
      <w:pPr>
        <w:spacing w:before="94" w:line="271" w:lineRule="auto"/>
        <w:ind w:left="1" w:right="70" w:firstLine="42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7.2</w:t>
      </w:r>
      <w:r>
        <w:rPr>
          <w:rFonts w:ascii="宋体" w:hAnsi="宋体" w:eastAsia="宋体" w:cs="宋体"/>
          <w:color w:val="auto"/>
          <w:spacing w:val="-38"/>
          <w:sz w:val="20"/>
          <w:szCs w:val="20"/>
          <w:highlight w:val="none"/>
        </w:rPr>
        <w:t xml:space="preserve"> </w:t>
      </w:r>
      <w:r>
        <w:rPr>
          <w:rFonts w:ascii="宋体" w:hAnsi="宋体" w:eastAsia="宋体" w:cs="宋体"/>
          <w:color w:val="auto"/>
          <w:spacing w:val="11"/>
          <w:sz w:val="20"/>
          <w:szCs w:val="20"/>
          <w:highlight w:val="none"/>
        </w:rPr>
        <w:t>供应商应仔细阅读磋商文件的所有内容，按</w:t>
      </w:r>
      <w:r>
        <w:rPr>
          <w:rFonts w:ascii="宋体" w:hAnsi="宋体" w:eastAsia="宋体" w:cs="宋体"/>
          <w:color w:val="auto"/>
          <w:spacing w:val="10"/>
          <w:sz w:val="20"/>
          <w:szCs w:val="20"/>
          <w:highlight w:val="none"/>
        </w:rPr>
        <w:t>照采购文件的要求提交响应文件，并对所</w:t>
      </w:r>
      <w:r>
        <w:rPr>
          <w:rFonts w:ascii="宋体" w:hAnsi="宋体" w:eastAsia="宋体" w:cs="宋体"/>
          <w:color w:val="auto"/>
          <w:spacing w:val="8"/>
          <w:sz w:val="20"/>
          <w:szCs w:val="20"/>
          <w:highlight w:val="none"/>
        </w:rPr>
        <w:t>提供的全部资料的真实性承担法律责任。</w:t>
      </w:r>
    </w:p>
    <w:p w14:paraId="129FED08">
      <w:pPr>
        <w:spacing w:before="96" w:line="285" w:lineRule="auto"/>
        <w:ind w:left="2" w:right="16" w:firstLine="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7.3</w:t>
      </w:r>
      <w:r>
        <w:rPr>
          <w:rFonts w:ascii="宋体" w:hAnsi="宋体" w:eastAsia="宋体" w:cs="宋体"/>
          <w:color w:val="auto"/>
          <w:spacing w:val="-41"/>
          <w:sz w:val="20"/>
          <w:szCs w:val="20"/>
          <w:highlight w:val="none"/>
        </w:rPr>
        <w:t xml:space="preserve"> </w:t>
      </w:r>
      <w:r>
        <w:rPr>
          <w:rFonts w:ascii="宋体" w:hAnsi="宋体" w:eastAsia="宋体" w:cs="宋体"/>
          <w:color w:val="auto"/>
          <w:spacing w:val="7"/>
          <w:sz w:val="20"/>
          <w:szCs w:val="20"/>
          <w:highlight w:val="none"/>
        </w:rPr>
        <w:t>供应商在竞标活动中提供任何疑似虚假材料，将报监管部门查处；签</w:t>
      </w:r>
      <w:r>
        <w:rPr>
          <w:rFonts w:ascii="宋体" w:hAnsi="宋体" w:eastAsia="宋体" w:cs="宋体"/>
          <w:color w:val="auto"/>
          <w:spacing w:val="6"/>
          <w:sz w:val="20"/>
          <w:szCs w:val="20"/>
          <w:highlight w:val="none"/>
        </w:rPr>
        <w:t>订合同后发现的，</w:t>
      </w:r>
      <w:r>
        <w:rPr>
          <w:rFonts w:ascii="宋体" w:hAnsi="宋体" w:eastAsia="宋体" w:cs="宋体"/>
          <w:color w:val="auto"/>
          <w:spacing w:val="10"/>
          <w:sz w:val="20"/>
          <w:szCs w:val="20"/>
          <w:highlight w:val="none"/>
        </w:rPr>
        <w:t>成交供应商须依照《中华人民共和国消费者权益保护法》规定赔偿采购人，且民事赔偿</w:t>
      </w:r>
      <w:r>
        <w:rPr>
          <w:rFonts w:ascii="宋体" w:hAnsi="宋体" w:eastAsia="宋体" w:cs="宋体"/>
          <w:color w:val="auto"/>
          <w:spacing w:val="9"/>
          <w:sz w:val="20"/>
          <w:szCs w:val="20"/>
          <w:highlight w:val="none"/>
        </w:rPr>
        <w:t>并不免</w:t>
      </w:r>
      <w:r>
        <w:rPr>
          <w:rFonts w:ascii="宋体" w:hAnsi="宋体" w:eastAsia="宋体" w:cs="宋体"/>
          <w:color w:val="auto"/>
          <w:spacing w:val="8"/>
          <w:sz w:val="20"/>
          <w:szCs w:val="20"/>
          <w:highlight w:val="none"/>
        </w:rPr>
        <w:t>除违法供应商的行政与刑事责任。</w:t>
      </w:r>
    </w:p>
    <w:p w14:paraId="12AFBCB2">
      <w:pPr>
        <w:spacing w:before="93" w:line="227" w:lineRule="auto"/>
        <w:jc w:val="right"/>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7.4</w:t>
      </w:r>
      <w:r>
        <w:rPr>
          <w:rFonts w:ascii="宋体" w:hAnsi="宋体" w:eastAsia="宋体" w:cs="宋体"/>
          <w:color w:val="auto"/>
          <w:spacing w:val="-41"/>
          <w:sz w:val="20"/>
          <w:szCs w:val="20"/>
          <w:highlight w:val="none"/>
        </w:rPr>
        <w:t xml:space="preserve"> </w:t>
      </w:r>
      <w:r>
        <w:rPr>
          <w:rFonts w:ascii="宋体" w:hAnsi="宋体" w:eastAsia="宋体" w:cs="宋体"/>
          <w:color w:val="auto"/>
          <w:spacing w:val="7"/>
          <w:sz w:val="20"/>
          <w:szCs w:val="20"/>
          <w:highlight w:val="none"/>
        </w:rPr>
        <w:t>在政府采购活动中，采购人员及相关人员与供应商有下列利害关系</w:t>
      </w:r>
      <w:r>
        <w:rPr>
          <w:rFonts w:ascii="宋体" w:hAnsi="宋体" w:eastAsia="宋体" w:cs="宋体"/>
          <w:color w:val="auto"/>
          <w:spacing w:val="6"/>
          <w:sz w:val="20"/>
          <w:szCs w:val="20"/>
          <w:highlight w:val="none"/>
        </w:rPr>
        <w:t>之一的，应当回避：</w:t>
      </w:r>
    </w:p>
    <w:p w14:paraId="6F017190">
      <w:pPr>
        <w:spacing w:before="95" w:line="227"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（1）参加采购活动前3年内与供应商存在劳动关系；</w:t>
      </w:r>
    </w:p>
    <w:p w14:paraId="1A4AF40E">
      <w:pPr>
        <w:spacing w:before="95" w:line="227"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（2）参加采购活动前3年内担任供应商的董事、监事；</w:t>
      </w:r>
    </w:p>
    <w:p w14:paraId="1F1CB6ED">
      <w:pPr>
        <w:spacing w:before="94"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（3）参加采购活动前3年内是供应商的控股股东或者实际</w:t>
      </w:r>
      <w:r>
        <w:rPr>
          <w:rFonts w:ascii="宋体" w:hAnsi="宋体" w:eastAsia="宋体" w:cs="宋体"/>
          <w:color w:val="auto"/>
          <w:spacing w:val="7"/>
          <w:sz w:val="20"/>
          <w:szCs w:val="20"/>
          <w:highlight w:val="none"/>
        </w:rPr>
        <w:t>控制人；</w:t>
      </w:r>
    </w:p>
    <w:p w14:paraId="77C25460">
      <w:pPr>
        <w:spacing w:before="96" w:line="271" w:lineRule="auto"/>
        <w:ind w:left="4" w:right="70" w:firstLine="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（4）与供应商的法定代表人或者负责人有夫妻、直系血亲、三代以内旁系血亲或者近姻亲</w:t>
      </w:r>
      <w:r>
        <w:rPr>
          <w:rFonts w:ascii="宋体" w:hAnsi="宋体" w:eastAsia="宋体" w:cs="宋体"/>
          <w:color w:val="auto"/>
          <w:spacing w:val="2"/>
          <w:sz w:val="20"/>
          <w:szCs w:val="20"/>
          <w:highlight w:val="none"/>
        </w:rPr>
        <w:t>关系；</w:t>
      </w:r>
    </w:p>
    <w:p w14:paraId="2348B293">
      <w:pPr>
        <w:spacing w:before="91"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（5）与供应商有其他可能影响政府采购活动公平、公正进行</w:t>
      </w:r>
      <w:r>
        <w:rPr>
          <w:rFonts w:ascii="宋体" w:hAnsi="宋体" w:eastAsia="宋体" w:cs="宋体"/>
          <w:color w:val="auto"/>
          <w:spacing w:val="8"/>
          <w:sz w:val="20"/>
          <w:szCs w:val="20"/>
          <w:highlight w:val="none"/>
        </w:rPr>
        <w:t>的关系。</w:t>
      </w:r>
    </w:p>
    <w:p w14:paraId="30B50AF7">
      <w:pPr>
        <w:spacing w:before="95" w:line="305" w:lineRule="auto"/>
        <w:ind w:right="16" w:firstLine="420"/>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供应商认为采购人员及相关人员与其他供应商有利害关系的，可以向采购人或者采购代理</w:t>
      </w:r>
      <w:r>
        <w:rPr>
          <w:rFonts w:ascii="宋体" w:hAnsi="宋体" w:eastAsia="宋体" w:cs="宋体"/>
          <w:color w:val="auto"/>
          <w:spacing w:val="6"/>
          <w:sz w:val="20"/>
          <w:szCs w:val="20"/>
          <w:highlight w:val="none"/>
        </w:rPr>
        <w:t>机构书面提出回避申请，并说明理由。采购人或者采购代理机构应当及时询问被申请回避人员，</w:t>
      </w:r>
      <w:r>
        <w:rPr>
          <w:rFonts w:ascii="宋体" w:hAnsi="宋体" w:eastAsia="宋体" w:cs="宋体"/>
          <w:color w:val="auto"/>
          <w:spacing w:val="8"/>
          <w:sz w:val="20"/>
          <w:szCs w:val="20"/>
          <w:highlight w:val="none"/>
        </w:rPr>
        <w:t>有利害关系的被申请回避人员应当回避。</w:t>
      </w:r>
    </w:p>
    <w:p w14:paraId="12A294C2">
      <w:pPr>
        <w:spacing w:before="31" w:line="227"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7.5</w:t>
      </w:r>
      <w:r>
        <w:rPr>
          <w:rFonts w:ascii="宋体" w:hAnsi="宋体" w:eastAsia="宋体" w:cs="宋体"/>
          <w:color w:val="auto"/>
          <w:spacing w:val="-22"/>
          <w:sz w:val="20"/>
          <w:szCs w:val="20"/>
          <w:highlight w:val="none"/>
        </w:rPr>
        <w:t xml:space="preserve"> </w:t>
      </w:r>
      <w:r>
        <w:rPr>
          <w:rFonts w:ascii="宋体" w:hAnsi="宋体" w:eastAsia="宋体" w:cs="宋体"/>
          <w:color w:val="auto"/>
          <w:spacing w:val="8"/>
          <w:sz w:val="20"/>
          <w:szCs w:val="20"/>
          <w:highlight w:val="none"/>
        </w:rPr>
        <w:t>有下列情形之一的视为供应商相互串通竞标，响应文件将被视为无效：</w:t>
      </w:r>
    </w:p>
    <w:p w14:paraId="13B786B7">
      <w:pPr>
        <w:spacing w:before="96" w:line="271" w:lineRule="auto"/>
        <w:ind w:right="70" w:firstLine="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（1）不同供应商的响应文件由同一单位或者个人编制；或者不同供应商报名的</w:t>
      </w:r>
      <w:r>
        <w:rPr>
          <w:rFonts w:ascii="宋体" w:hAnsi="宋体" w:eastAsia="宋体" w:cs="宋体"/>
          <w:color w:val="auto"/>
          <w:sz w:val="20"/>
          <w:szCs w:val="20"/>
          <w:highlight w:val="none"/>
        </w:rPr>
        <w:t>IP</w:t>
      </w:r>
      <w:r>
        <w:rPr>
          <w:rFonts w:ascii="宋体" w:hAnsi="宋体" w:eastAsia="宋体" w:cs="宋体"/>
          <w:color w:val="auto"/>
          <w:spacing w:val="9"/>
          <w:sz w:val="20"/>
          <w:szCs w:val="20"/>
          <w:highlight w:val="none"/>
        </w:rPr>
        <w:t>地址一致的；或者编制响应文件硬件设备</w:t>
      </w:r>
      <w:r>
        <w:rPr>
          <w:rFonts w:ascii="宋体" w:hAnsi="宋体" w:eastAsia="宋体" w:cs="宋体"/>
          <w:color w:val="auto"/>
          <w:sz w:val="20"/>
          <w:szCs w:val="20"/>
          <w:highlight w:val="none"/>
        </w:rPr>
        <w:t>CPU</w:t>
      </w:r>
      <w:r>
        <w:rPr>
          <w:rFonts w:ascii="宋体" w:hAnsi="宋体" w:eastAsia="宋体" w:cs="宋体"/>
          <w:color w:val="auto"/>
          <w:spacing w:val="9"/>
          <w:sz w:val="20"/>
          <w:szCs w:val="20"/>
          <w:highlight w:val="none"/>
        </w:rPr>
        <w:t>编号、硬盘编号、网卡地址一致的情况；</w:t>
      </w:r>
    </w:p>
    <w:p w14:paraId="795FF086">
      <w:pPr>
        <w:spacing w:before="91"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（2）不同供应商委托同一单位或者个人办理竞标事宜；</w:t>
      </w:r>
    </w:p>
    <w:p w14:paraId="5C2F0E76">
      <w:pPr>
        <w:spacing w:before="95"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（3）不同的供应商的响应文件载明的项目</w:t>
      </w:r>
      <w:r>
        <w:rPr>
          <w:rFonts w:ascii="宋体" w:hAnsi="宋体" w:eastAsia="宋体" w:cs="宋体"/>
          <w:color w:val="auto"/>
          <w:spacing w:val="8"/>
          <w:sz w:val="20"/>
          <w:szCs w:val="20"/>
          <w:highlight w:val="none"/>
        </w:rPr>
        <w:t>管理员为同一个人；</w:t>
      </w:r>
    </w:p>
    <w:p w14:paraId="1938ED20">
      <w:pPr>
        <w:spacing w:before="95" w:line="226"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（4）不同供应商的响应文件异常一致或者</w:t>
      </w:r>
      <w:r>
        <w:rPr>
          <w:rFonts w:ascii="宋体" w:hAnsi="宋体" w:eastAsia="宋体" w:cs="宋体"/>
          <w:color w:val="auto"/>
          <w:spacing w:val="8"/>
          <w:sz w:val="20"/>
          <w:szCs w:val="20"/>
          <w:highlight w:val="none"/>
        </w:rPr>
        <w:t>报价呈规律性差异；</w:t>
      </w:r>
    </w:p>
    <w:p w14:paraId="36A33034">
      <w:pPr>
        <w:spacing w:before="96"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（5）不同供应商的响应文件相互混装；</w:t>
      </w:r>
    </w:p>
    <w:p w14:paraId="6F9C73B1">
      <w:pPr>
        <w:spacing w:before="95"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（6）不同供应商的磋商保证金从同一单位</w:t>
      </w:r>
      <w:r>
        <w:rPr>
          <w:rFonts w:ascii="宋体" w:hAnsi="宋体" w:eastAsia="宋体" w:cs="宋体"/>
          <w:color w:val="auto"/>
          <w:spacing w:val="8"/>
          <w:sz w:val="20"/>
          <w:szCs w:val="20"/>
          <w:highlight w:val="none"/>
        </w:rPr>
        <w:t>或者个人账户转出。</w:t>
      </w:r>
    </w:p>
    <w:p w14:paraId="2CBB4883">
      <w:pPr>
        <w:spacing w:before="95" w:line="227" w:lineRule="auto"/>
        <w:ind w:left="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7.6</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供应商有下列情形之一的，属于恶意串通行</w:t>
      </w:r>
      <w:r>
        <w:rPr>
          <w:rFonts w:ascii="宋体" w:hAnsi="宋体" w:eastAsia="宋体" w:cs="宋体"/>
          <w:color w:val="auto"/>
          <w:spacing w:val="8"/>
          <w:sz w:val="20"/>
          <w:szCs w:val="20"/>
          <w:highlight w:val="none"/>
        </w:rPr>
        <w:t>为，将报同级监督管理部门：</w:t>
      </w:r>
    </w:p>
    <w:p w14:paraId="797BB0DB">
      <w:pPr>
        <w:spacing w:line="227" w:lineRule="auto"/>
        <w:rPr>
          <w:rFonts w:ascii="宋体" w:hAnsi="宋体" w:eastAsia="宋体" w:cs="宋体"/>
          <w:color w:val="auto"/>
          <w:sz w:val="20"/>
          <w:szCs w:val="20"/>
          <w:highlight w:val="none"/>
        </w:rPr>
        <w:sectPr>
          <w:footerReference r:id="rId10" w:type="default"/>
          <w:pgSz w:w="11910" w:h="16840"/>
          <w:pgMar w:top="1361" w:right="1559" w:bottom="1019" w:left="1668" w:header="0" w:footer="856" w:gutter="0"/>
          <w:pgNumType w:fmt="decimal"/>
          <w:cols w:space="720" w:num="1"/>
        </w:sectPr>
      </w:pPr>
    </w:p>
    <w:p w14:paraId="639AF24F">
      <w:pPr>
        <w:spacing w:before="41" w:line="271" w:lineRule="auto"/>
        <w:ind w:left="2" w:right="42" w:firstLine="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（1）供应商直接或者间接从采购人或者采购代理机构处获得其他供应商的相关信息并修改</w:t>
      </w:r>
      <w:r>
        <w:rPr>
          <w:rFonts w:ascii="宋体" w:hAnsi="宋体" w:eastAsia="宋体" w:cs="宋体"/>
          <w:color w:val="auto"/>
          <w:spacing w:val="6"/>
          <w:sz w:val="20"/>
          <w:szCs w:val="20"/>
          <w:highlight w:val="none"/>
        </w:rPr>
        <w:t>其响应文件；</w:t>
      </w:r>
    </w:p>
    <w:p w14:paraId="00F24CCA">
      <w:pPr>
        <w:spacing w:before="91" w:line="227"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（2）供应商按照采购人或者采购代理机构的授意撤换、修改</w:t>
      </w:r>
      <w:r>
        <w:rPr>
          <w:rFonts w:ascii="宋体" w:hAnsi="宋体" w:eastAsia="宋体" w:cs="宋体"/>
          <w:color w:val="auto"/>
          <w:spacing w:val="8"/>
          <w:sz w:val="20"/>
          <w:szCs w:val="20"/>
          <w:highlight w:val="none"/>
        </w:rPr>
        <w:t>响应文件；</w:t>
      </w:r>
    </w:p>
    <w:p w14:paraId="01BC58DC">
      <w:pPr>
        <w:spacing w:before="97" w:line="226"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（3）供应商之间协商报价、技术方案等响应文件或者响应文件的实质性内容；</w:t>
      </w:r>
    </w:p>
    <w:p w14:paraId="393A0F44">
      <w:pPr>
        <w:spacing w:before="93" w:line="227" w:lineRule="auto"/>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（4）属于同一集团、协会、商会等组织成员的供应商按照该组织要求协同参加采购活动；</w:t>
      </w:r>
    </w:p>
    <w:p w14:paraId="26E19093">
      <w:pPr>
        <w:spacing w:before="96" w:line="270" w:lineRule="auto"/>
        <w:ind w:left="1" w:right="42" w:firstLine="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（5）供应商之间事先约定一致抬高或者压低报价，或者在采购活动中事先约定轮流以高价</w:t>
      </w:r>
      <w:r>
        <w:rPr>
          <w:rFonts w:ascii="宋体" w:hAnsi="宋体" w:eastAsia="宋体" w:cs="宋体"/>
          <w:color w:val="auto"/>
          <w:spacing w:val="9"/>
          <w:sz w:val="20"/>
          <w:szCs w:val="20"/>
          <w:highlight w:val="none"/>
        </w:rPr>
        <w:t>位或者低价位成交，或者事先约定由某一特定供应商成交，然后再参加竞标；</w:t>
      </w:r>
    </w:p>
    <w:p w14:paraId="625D305A">
      <w:pPr>
        <w:spacing w:before="96" w:line="227"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（6）供应商之间商定部分供应商放弃参加采购活动</w:t>
      </w:r>
      <w:r>
        <w:rPr>
          <w:rFonts w:ascii="宋体" w:hAnsi="宋体" w:eastAsia="宋体" w:cs="宋体"/>
          <w:color w:val="auto"/>
          <w:spacing w:val="8"/>
          <w:sz w:val="20"/>
          <w:szCs w:val="20"/>
          <w:highlight w:val="none"/>
        </w:rPr>
        <w:t>或者放弃成交；</w:t>
      </w:r>
    </w:p>
    <w:p w14:paraId="01B0C230">
      <w:pPr>
        <w:spacing w:before="94" w:line="270" w:lineRule="auto"/>
        <w:ind w:left="3" w:right="42" w:firstLine="4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（7）供应商与采购人或者采购代理机构之间、供应商相互之间，为谋求特定供应商成交或</w:t>
      </w:r>
      <w:r>
        <w:rPr>
          <w:rFonts w:ascii="宋体" w:hAnsi="宋体" w:eastAsia="宋体" w:cs="宋体"/>
          <w:color w:val="auto"/>
          <w:spacing w:val="8"/>
          <w:sz w:val="20"/>
          <w:szCs w:val="20"/>
          <w:highlight w:val="none"/>
        </w:rPr>
        <w:t>者排斥其他供应商的其他串通行为。</w:t>
      </w:r>
    </w:p>
    <w:p w14:paraId="11DAEAD7">
      <w:pPr>
        <w:spacing w:before="95" w:line="227" w:lineRule="auto"/>
        <w:ind w:left="5"/>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二、采购文件</w:t>
      </w:r>
    </w:p>
    <w:p w14:paraId="0AC77831">
      <w:pPr>
        <w:spacing w:before="94" w:line="227" w:lineRule="auto"/>
        <w:ind w:left="422"/>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8、采购文件的构成</w:t>
      </w:r>
    </w:p>
    <w:p w14:paraId="7EBBED33">
      <w:pPr>
        <w:spacing w:before="96" w:line="226"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（1）采购公告或者邀请函；</w:t>
      </w:r>
    </w:p>
    <w:p w14:paraId="490C012C">
      <w:pPr>
        <w:spacing w:before="95" w:line="227" w:lineRule="auto"/>
        <w:ind w:left="43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（2）供应商须知；</w:t>
      </w:r>
    </w:p>
    <w:p w14:paraId="5476C014">
      <w:pPr>
        <w:spacing w:before="95" w:line="227" w:lineRule="auto"/>
        <w:ind w:left="43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（3）采购需求；</w:t>
      </w:r>
    </w:p>
    <w:p w14:paraId="3008686E">
      <w:pPr>
        <w:spacing w:before="96" w:line="228"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（4）评审程序、评审方法和评审标准；</w:t>
      </w:r>
    </w:p>
    <w:p w14:paraId="5F37F49F">
      <w:pPr>
        <w:spacing w:before="90" w:line="228" w:lineRule="auto"/>
        <w:ind w:left="43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（5）响应文件格式；</w:t>
      </w:r>
    </w:p>
    <w:p w14:paraId="10D99645">
      <w:pPr>
        <w:spacing w:before="94" w:line="227" w:lineRule="auto"/>
        <w:ind w:left="43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（6）合同文本。</w:t>
      </w:r>
    </w:p>
    <w:p w14:paraId="52DB5821">
      <w:pPr>
        <w:spacing w:before="95" w:line="227" w:lineRule="auto"/>
        <w:ind w:left="422"/>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9、供应商的询问</w:t>
      </w:r>
    </w:p>
    <w:p w14:paraId="0C641951">
      <w:pPr>
        <w:spacing w:before="94" w:line="305" w:lineRule="auto"/>
        <w:ind w:right="42" w:firstLine="428"/>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供应商应认真阅读采购文件的采购需求，如供应商对采购文件有疑问的</w:t>
      </w:r>
      <w:r>
        <w:rPr>
          <w:rFonts w:ascii="宋体" w:hAnsi="宋体" w:eastAsia="宋体" w:cs="宋体"/>
          <w:color w:val="auto"/>
          <w:spacing w:val="9"/>
          <w:sz w:val="20"/>
          <w:szCs w:val="20"/>
          <w:highlight w:val="none"/>
        </w:rPr>
        <w:t>，如要求采购人作出澄清或者修改的，供应商尽应在提交首次响应文件截止之日前，以书面形式向采购人、采购</w:t>
      </w:r>
      <w:r>
        <w:rPr>
          <w:rFonts w:ascii="宋体" w:hAnsi="宋体" w:eastAsia="宋体" w:cs="宋体"/>
          <w:color w:val="auto"/>
          <w:spacing w:val="7"/>
          <w:sz w:val="20"/>
          <w:szCs w:val="20"/>
          <w:highlight w:val="none"/>
        </w:rPr>
        <w:t>代理机构提出。</w:t>
      </w:r>
    </w:p>
    <w:p w14:paraId="5FC6526F">
      <w:pPr>
        <w:spacing w:before="32" w:line="227" w:lineRule="auto"/>
        <w:ind w:left="437"/>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10、采购文件的澄清和修改</w:t>
      </w:r>
    </w:p>
    <w:p w14:paraId="2712F395">
      <w:pPr>
        <w:spacing w:before="92" w:line="305" w:lineRule="auto"/>
        <w:ind w:left="5" w:right="42" w:firstLine="431"/>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10.1</w:t>
      </w:r>
      <w:r>
        <w:rPr>
          <w:rFonts w:ascii="宋体" w:hAnsi="宋体" w:eastAsia="宋体" w:cs="宋体"/>
          <w:color w:val="auto"/>
          <w:spacing w:val="-14"/>
          <w:sz w:val="20"/>
          <w:szCs w:val="20"/>
          <w:highlight w:val="none"/>
        </w:rPr>
        <w:t xml:space="preserve"> </w:t>
      </w:r>
      <w:r>
        <w:rPr>
          <w:rFonts w:ascii="宋体" w:hAnsi="宋体" w:eastAsia="宋体" w:cs="宋体"/>
          <w:color w:val="auto"/>
          <w:spacing w:val="7"/>
          <w:sz w:val="20"/>
          <w:szCs w:val="20"/>
          <w:highlight w:val="none"/>
        </w:rPr>
        <w:t>已获取采购文件的潜在供应商，若有问题需要澄清，应于应标截止时间前，以书面形</w:t>
      </w:r>
      <w:r>
        <w:rPr>
          <w:rFonts w:ascii="宋体" w:hAnsi="宋体" w:eastAsia="宋体" w:cs="宋体"/>
          <w:color w:val="auto"/>
          <w:spacing w:val="10"/>
          <w:sz w:val="20"/>
          <w:szCs w:val="20"/>
          <w:highlight w:val="none"/>
        </w:rPr>
        <w:t>式向采购代理机构提出，采购代理机构与采购人研究后，对</w:t>
      </w:r>
      <w:r>
        <w:rPr>
          <w:rFonts w:ascii="宋体" w:hAnsi="宋体" w:eastAsia="宋体" w:cs="宋体"/>
          <w:color w:val="auto"/>
          <w:spacing w:val="9"/>
          <w:sz w:val="20"/>
          <w:szCs w:val="20"/>
          <w:highlight w:val="none"/>
        </w:rPr>
        <w:t>认为有必要回答的问题，按照本章</w:t>
      </w:r>
      <w:r>
        <w:rPr>
          <w:rFonts w:ascii="宋体" w:hAnsi="宋体" w:eastAsia="宋体" w:cs="宋体"/>
          <w:color w:val="auto"/>
          <w:spacing w:val="3"/>
          <w:sz w:val="20"/>
          <w:szCs w:val="20"/>
          <w:highlight w:val="none"/>
        </w:rPr>
        <w:t>10.3</w:t>
      </w:r>
      <w:r>
        <w:rPr>
          <w:rFonts w:ascii="宋体" w:hAnsi="宋体" w:eastAsia="宋体" w:cs="宋体"/>
          <w:color w:val="auto"/>
          <w:spacing w:val="-22"/>
          <w:sz w:val="20"/>
          <w:szCs w:val="20"/>
          <w:highlight w:val="none"/>
        </w:rPr>
        <w:t xml:space="preserve"> </w:t>
      </w:r>
      <w:r>
        <w:rPr>
          <w:rFonts w:ascii="宋体" w:hAnsi="宋体" w:eastAsia="宋体" w:cs="宋体"/>
          <w:color w:val="auto"/>
          <w:spacing w:val="3"/>
          <w:sz w:val="20"/>
          <w:szCs w:val="20"/>
          <w:highlight w:val="none"/>
        </w:rPr>
        <w:t>的内容处理。</w:t>
      </w:r>
    </w:p>
    <w:p w14:paraId="2EF71784">
      <w:pPr>
        <w:spacing w:before="31" w:line="305" w:lineRule="auto"/>
        <w:ind w:left="8" w:right="42" w:firstLine="428"/>
        <w:jc w:val="both"/>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10.2</w:t>
      </w:r>
      <w:r>
        <w:rPr>
          <w:rFonts w:ascii="宋体" w:hAnsi="宋体" w:eastAsia="宋体" w:cs="宋体"/>
          <w:color w:val="auto"/>
          <w:spacing w:val="-42"/>
          <w:sz w:val="20"/>
          <w:szCs w:val="20"/>
          <w:highlight w:val="none"/>
        </w:rPr>
        <w:t xml:space="preserve"> </w:t>
      </w:r>
      <w:r>
        <w:rPr>
          <w:rFonts w:ascii="宋体" w:hAnsi="宋体" w:eastAsia="宋体" w:cs="宋体"/>
          <w:b/>
          <w:bCs/>
          <w:color w:val="auto"/>
          <w:spacing w:val="6"/>
          <w:sz w:val="20"/>
          <w:szCs w:val="20"/>
          <w:highlight w:val="none"/>
        </w:rPr>
        <w:t>采购人或者采购代理机构可以对已发出的采购</w:t>
      </w:r>
      <w:r>
        <w:rPr>
          <w:rFonts w:ascii="宋体" w:hAnsi="宋体" w:eastAsia="宋体" w:cs="宋体"/>
          <w:b/>
          <w:bCs/>
          <w:color w:val="auto"/>
          <w:spacing w:val="5"/>
          <w:sz w:val="20"/>
          <w:szCs w:val="20"/>
          <w:highlight w:val="none"/>
        </w:rPr>
        <w:t>文件进行必要的澄清或者修改，但不得</w:t>
      </w:r>
      <w:r>
        <w:rPr>
          <w:rFonts w:ascii="宋体" w:hAnsi="宋体" w:eastAsia="宋体" w:cs="宋体"/>
          <w:b/>
          <w:bCs/>
          <w:color w:val="auto"/>
          <w:spacing w:val="8"/>
          <w:sz w:val="20"/>
          <w:szCs w:val="20"/>
          <w:highlight w:val="none"/>
        </w:rPr>
        <w:t>改变采购标的和资格条件。澄清或者修改应当在原公告发布</w:t>
      </w:r>
      <w:r>
        <w:rPr>
          <w:rFonts w:ascii="宋体" w:hAnsi="宋体" w:eastAsia="宋体" w:cs="宋体"/>
          <w:b/>
          <w:bCs/>
          <w:color w:val="auto"/>
          <w:spacing w:val="7"/>
          <w:sz w:val="20"/>
          <w:szCs w:val="20"/>
          <w:highlight w:val="none"/>
        </w:rPr>
        <w:t>媒体上发布澄清公告。澄清或者修</w:t>
      </w:r>
      <w:r>
        <w:rPr>
          <w:rFonts w:ascii="宋体" w:hAnsi="宋体" w:eastAsia="宋体" w:cs="宋体"/>
          <w:b/>
          <w:bCs/>
          <w:color w:val="auto"/>
          <w:spacing w:val="6"/>
          <w:sz w:val="20"/>
          <w:szCs w:val="20"/>
          <w:highlight w:val="none"/>
        </w:rPr>
        <w:t>改的内容为采购文件的组成部分。</w:t>
      </w:r>
    </w:p>
    <w:p w14:paraId="7C08DC53">
      <w:pPr>
        <w:spacing w:before="30" w:line="297" w:lineRule="auto"/>
        <w:ind w:right="42" w:firstLine="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10.3</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提交首次响应文件截止之日前，采购人、采购代理</w:t>
      </w:r>
      <w:r>
        <w:rPr>
          <w:rFonts w:ascii="宋体" w:hAnsi="宋体" w:eastAsia="宋体" w:cs="宋体"/>
          <w:color w:val="auto"/>
          <w:spacing w:val="7"/>
          <w:sz w:val="20"/>
          <w:szCs w:val="20"/>
          <w:highlight w:val="none"/>
        </w:rPr>
        <w:t>机构或者磋商小组可以对已发出的</w:t>
      </w:r>
      <w:r>
        <w:rPr>
          <w:rFonts w:ascii="宋体" w:hAnsi="宋体" w:eastAsia="宋体" w:cs="宋体"/>
          <w:color w:val="auto"/>
          <w:spacing w:val="10"/>
          <w:sz w:val="20"/>
          <w:szCs w:val="20"/>
          <w:highlight w:val="none"/>
        </w:rPr>
        <w:t>采购文件进行必要的澄清或者修改，澄清或者修改的内容作为采购文件的组成部分。澄清或者修改的内容可能影响响应文件编制的，采购人、采购代理机构或者磋商小组在提交首次响应文</w:t>
      </w:r>
      <w:r>
        <w:rPr>
          <w:rFonts w:ascii="宋体" w:hAnsi="宋体" w:eastAsia="宋体" w:cs="宋体"/>
          <w:color w:val="auto"/>
          <w:spacing w:val="7"/>
          <w:sz w:val="20"/>
          <w:szCs w:val="20"/>
          <w:highlight w:val="none"/>
        </w:rPr>
        <w:t>件截止之日</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3</w:t>
      </w:r>
      <w:r>
        <w:rPr>
          <w:rFonts w:ascii="宋体" w:hAnsi="宋体" w:eastAsia="宋体" w:cs="宋体"/>
          <w:color w:val="auto"/>
          <w:spacing w:val="-40"/>
          <w:sz w:val="20"/>
          <w:szCs w:val="20"/>
          <w:highlight w:val="none"/>
        </w:rPr>
        <w:t xml:space="preserve"> </w:t>
      </w:r>
      <w:r>
        <w:rPr>
          <w:rFonts w:ascii="宋体" w:hAnsi="宋体" w:eastAsia="宋体" w:cs="宋体"/>
          <w:color w:val="auto"/>
          <w:spacing w:val="7"/>
          <w:sz w:val="20"/>
          <w:szCs w:val="20"/>
          <w:highlight w:val="none"/>
        </w:rPr>
        <w:t>个工作日前，</w:t>
      </w:r>
      <w:r>
        <w:rPr>
          <w:rFonts w:ascii="宋体" w:hAnsi="宋体" w:eastAsia="宋体" w:cs="宋体"/>
          <w:color w:val="auto"/>
          <w:spacing w:val="-60"/>
          <w:sz w:val="20"/>
          <w:szCs w:val="20"/>
          <w:highlight w:val="none"/>
        </w:rPr>
        <w:t xml:space="preserve"> </w:t>
      </w:r>
      <w:r>
        <w:rPr>
          <w:rFonts w:ascii="宋体" w:hAnsi="宋体" w:eastAsia="宋体" w:cs="宋体"/>
          <w:color w:val="auto"/>
          <w:spacing w:val="7"/>
          <w:sz w:val="20"/>
          <w:szCs w:val="20"/>
          <w:highlight w:val="none"/>
        </w:rPr>
        <w:t>以书面形式（目</w:t>
      </w:r>
      <w:r>
        <w:rPr>
          <w:rFonts w:ascii="宋体" w:hAnsi="宋体" w:eastAsia="宋体" w:cs="宋体"/>
          <w:color w:val="auto"/>
          <w:spacing w:val="6"/>
          <w:sz w:val="20"/>
          <w:szCs w:val="20"/>
          <w:highlight w:val="none"/>
        </w:rPr>
        <w:t>前为网上公告和系统短信等形式）通知所有获取采</w:t>
      </w:r>
      <w:r>
        <w:rPr>
          <w:rFonts w:ascii="宋体" w:hAnsi="宋体" w:eastAsia="宋体" w:cs="宋体"/>
          <w:color w:val="auto"/>
          <w:spacing w:val="9"/>
          <w:sz w:val="20"/>
          <w:szCs w:val="20"/>
          <w:highlight w:val="none"/>
        </w:rPr>
        <w:t>购文件的供应商，不足</w:t>
      </w:r>
      <w:r>
        <w:rPr>
          <w:rFonts w:ascii="宋体" w:hAnsi="宋体" w:eastAsia="宋体" w:cs="宋体"/>
          <w:color w:val="auto"/>
          <w:spacing w:val="-35"/>
          <w:sz w:val="20"/>
          <w:szCs w:val="20"/>
          <w:highlight w:val="none"/>
        </w:rPr>
        <w:t xml:space="preserve"> </w:t>
      </w:r>
      <w:r>
        <w:rPr>
          <w:rFonts w:ascii="宋体" w:hAnsi="宋体" w:eastAsia="宋体" w:cs="宋体"/>
          <w:color w:val="auto"/>
          <w:spacing w:val="9"/>
          <w:sz w:val="20"/>
          <w:szCs w:val="20"/>
          <w:highlight w:val="none"/>
        </w:rPr>
        <w:t>3</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个工作日的，应当顺延提</w:t>
      </w:r>
      <w:r>
        <w:rPr>
          <w:rFonts w:ascii="宋体" w:hAnsi="宋体" w:eastAsia="宋体" w:cs="宋体"/>
          <w:color w:val="auto"/>
          <w:spacing w:val="8"/>
          <w:sz w:val="20"/>
          <w:szCs w:val="20"/>
          <w:highlight w:val="none"/>
        </w:rPr>
        <w:t>交首次响应文件截止之日。</w:t>
      </w:r>
    </w:p>
    <w:p w14:paraId="32B867FB">
      <w:pPr>
        <w:spacing w:before="96" w:line="270" w:lineRule="auto"/>
        <w:ind w:left="8" w:right="42" w:firstLine="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10.4</w:t>
      </w:r>
      <w:r>
        <w:rPr>
          <w:rFonts w:ascii="宋体" w:hAnsi="宋体" w:eastAsia="宋体" w:cs="宋体"/>
          <w:color w:val="auto"/>
          <w:spacing w:val="-42"/>
          <w:sz w:val="20"/>
          <w:szCs w:val="20"/>
          <w:highlight w:val="none"/>
        </w:rPr>
        <w:t xml:space="preserve"> </w:t>
      </w:r>
      <w:r>
        <w:rPr>
          <w:rFonts w:ascii="宋体" w:hAnsi="宋体" w:eastAsia="宋体" w:cs="宋体"/>
          <w:color w:val="auto"/>
          <w:spacing w:val="8"/>
          <w:sz w:val="20"/>
          <w:szCs w:val="20"/>
          <w:highlight w:val="none"/>
        </w:rPr>
        <w:t>采购信息更正公告的内容应当包括采购人和采购代理机</w:t>
      </w:r>
      <w:r>
        <w:rPr>
          <w:rFonts w:ascii="宋体" w:hAnsi="宋体" w:eastAsia="宋体" w:cs="宋体"/>
          <w:color w:val="auto"/>
          <w:spacing w:val="7"/>
          <w:sz w:val="20"/>
          <w:szCs w:val="20"/>
          <w:highlight w:val="none"/>
        </w:rPr>
        <w:t>构名称、地址、联系方式，原</w:t>
      </w:r>
      <w:r>
        <w:rPr>
          <w:rFonts w:ascii="宋体" w:hAnsi="宋体" w:eastAsia="宋体" w:cs="宋体"/>
          <w:color w:val="auto"/>
          <w:spacing w:val="8"/>
          <w:sz w:val="20"/>
          <w:szCs w:val="20"/>
          <w:highlight w:val="none"/>
        </w:rPr>
        <w:t>公告的采购项目名称及首次公告日期，更正事项、</w:t>
      </w:r>
      <w:r>
        <w:rPr>
          <w:rFonts w:ascii="宋体" w:hAnsi="宋体" w:eastAsia="宋体" w:cs="宋体"/>
          <w:color w:val="auto"/>
          <w:spacing w:val="-51"/>
          <w:sz w:val="20"/>
          <w:szCs w:val="20"/>
          <w:highlight w:val="none"/>
        </w:rPr>
        <w:t xml:space="preserve"> </w:t>
      </w:r>
      <w:r>
        <w:rPr>
          <w:rFonts w:ascii="宋体" w:hAnsi="宋体" w:eastAsia="宋体" w:cs="宋体"/>
          <w:color w:val="auto"/>
          <w:spacing w:val="8"/>
          <w:sz w:val="20"/>
          <w:szCs w:val="20"/>
          <w:highlight w:val="none"/>
        </w:rPr>
        <w:t>内容及日期，采购项目联系人和电话。</w:t>
      </w:r>
    </w:p>
    <w:p w14:paraId="01125D52">
      <w:pPr>
        <w:spacing w:before="94" w:line="285" w:lineRule="auto"/>
        <w:ind w:left="5" w:right="42" w:firstLine="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10.5 采购人和采购代理机构可以视采购具</w:t>
      </w:r>
      <w:r>
        <w:rPr>
          <w:rFonts w:ascii="宋体" w:hAnsi="宋体" w:eastAsia="宋体" w:cs="宋体"/>
          <w:color w:val="auto"/>
          <w:spacing w:val="6"/>
          <w:sz w:val="20"/>
          <w:szCs w:val="20"/>
          <w:highlight w:val="none"/>
        </w:rPr>
        <w:t>体情况，变更提交首次响应文件截止时间和竞谈</w:t>
      </w:r>
      <w:r>
        <w:rPr>
          <w:rFonts w:ascii="宋体" w:hAnsi="宋体" w:eastAsia="宋体" w:cs="宋体"/>
          <w:color w:val="auto"/>
          <w:spacing w:val="8"/>
          <w:sz w:val="20"/>
          <w:szCs w:val="20"/>
          <w:highlight w:val="none"/>
        </w:rPr>
        <w:t>时间，变更时间将在“采购文件公告</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”中“</w:t>
      </w:r>
      <w:r>
        <w:rPr>
          <w:rFonts w:ascii="宋体" w:hAnsi="宋体" w:eastAsia="宋体" w:cs="宋体"/>
          <w:color w:val="auto"/>
          <w:spacing w:val="-75"/>
          <w:sz w:val="20"/>
          <w:szCs w:val="20"/>
          <w:highlight w:val="none"/>
        </w:rPr>
        <w:t xml:space="preserve"> </w:t>
      </w:r>
      <w:r>
        <w:rPr>
          <w:rFonts w:ascii="宋体" w:hAnsi="宋体" w:eastAsia="宋体" w:cs="宋体"/>
          <w:color w:val="auto"/>
          <w:spacing w:val="8"/>
          <w:sz w:val="20"/>
          <w:szCs w:val="20"/>
          <w:highlight w:val="none"/>
        </w:rPr>
        <w:t>网上查询地址</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”规定的采购信息</w:t>
      </w:r>
      <w:r>
        <w:rPr>
          <w:rFonts w:ascii="宋体" w:hAnsi="宋体" w:eastAsia="宋体" w:cs="宋体"/>
          <w:color w:val="auto"/>
          <w:spacing w:val="7"/>
          <w:sz w:val="20"/>
          <w:szCs w:val="20"/>
          <w:highlight w:val="none"/>
        </w:rPr>
        <w:t>发布媒体上发布更</w:t>
      </w:r>
      <w:r>
        <w:rPr>
          <w:rFonts w:ascii="宋体" w:hAnsi="宋体" w:eastAsia="宋体" w:cs="宋体"/>
          <w:color w:val="auto"/>
          <w:spacing w:val="4"/>
          <w:sz w:val="20"/>
          <w:szCs w:val="20"/>
          <w:highlight w:val="none"/>
        </w:rPr>
        <w:t>正公告。</w:t>
      </w:r>
    </w:p>
    <w:p w14:paraId="2E14DCCF">
      <w:pPr>
        <w:spacing w:before="96" w:line="271" w:lineRule="auto"/>
        <w:ind w:left="2" w:right="45" w:firstLine="432"/>
        <w:rPr>
          <w:rFonts w:ascii="宋体" w:hAnsi="宋体" w:eastAsia="宋体" w:cs="宋体"/>
          <w:color w:val="auto"/>
          <w:sz w:val="20"/>
          <w:szCs w:val="20"/>
          <w:highlight w:val="none"/>
        </w:rPr>
      </w:pPr>
      <w:r>
        <w:rPr>
          <w:rFonts w:ascii="宋体" w:hAnsi="宋体" w:eastAsia="宋体" w:cs="宋体"/>
          <w:color w:val="auto"/>
          <w:spacing w:val="8"/>
          <w:sz w:val="19"/>
          <w:szCs w:val="19"/>
          <w:highlight w:val="none"/>
        </w:rPr>
        <w:t>▲</w:t>
      </w:r>
      <w:r>
        <w:rPr>
          <w:rFonts w:ascii="宋体" w:hAnsi="宋体" w:eastAsia="宋体" w:cs="宋体"/>
          <w:b/>
          <w:bCs/>
          <w:color w:val="auto"/>
          <w:spacing w:val="8"/>
          <w:sz w:val="20"/>
          <w:szCs w:val="20"/>
          <w:highlight w:val="none"/>
        </w:rPr>
        <w:t>响应文件未按采购文件的澄清、修改的内容编制，又不符合实质性</w:t>
      </w:r>
      <w:r>
        <w:rPr>
          <w:rFonts w:ascii="宋体" w:hAnsi="宋体" w:eastAsia="宋体" w:cs="宋体"/>
          <w:b/>
          <w:bCs/>
          <w:color w:val="auto"/>
          <w:spacing w:val="7"/>
          <w:sz w:val="20"/>
          <w:szCs w:val="20"/>
          <w:highlight w:val="none"/>
        </w:rPr>
        <w:t>要求的，其响应文件</w:t>
      </w:r>
      <w:r>
        <w:rPr>
          <w:rFonts w:ascii="宋体" w:hAnsi="宋体" w:eastAsia="宋体" w:cs="宋体"/>
          <w:color w:val="auto"/>
          <w:sz w:val="20"/>
          <w:szCs w:val="20"/>
          <w:highlight w:val="none"/>
        </w:rPr>
        <w:t xml:space="preserve"> </w:t>
      </w:r>
      <w:r>
        <w:rPr>
          <w:rFonts w:ascii="宋体" w:hAnsi="宋体" w:eastAsia="宋体" w:cs="宋体"/>
          <w:b/>
          <w:bCs/>
          <w:color w:val="auto"/>
          <w:spacing w:val="5"/>
          <w:sz w:val="20"/>
          <w:szCs w:val="20"/>
          <w:highlight w:val="none"/>
        </w:rPr>
        <w:t>作无效处理</w:t>
      </w:r>
      <w:r>
        <w:rPr>
          <w:rFonts w:ascii="宋体" w:hAnsi="宋体" w:eastAsia="宋体" w:cs="宋体"/>
          <w:color w:val="auto"/>
          <w:spacing w:val="5"/>
          <w:sz w:val="20"/>
          <w:szCs w:val="20"/>
          <w:highlight w:val="none"/>
        </w:rPr>
        <w:t>。</w:t>
      </w:r>
    </w:p>
    <w:p w14:paraId="7578FDCF">
      <w:pPr>
        <w:spacing w:before="93" w:line="228" w:lineRule="auto"/>
        <w:ind w:left="1"/>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三、响应文件的编制</w:t>
      </w:r>
    </w:p>
    <w:p w14:paraId="6642B66B">
      <w:pPr>
        <w:spacing w:line="228" w:lineRule="auto"/>
        <w:rPr>
          <w:rFonts w:ascii="宋体" w:hAnsi="宋体" w:eastAsia="宋体" w:cs="宋体"/>
          <w:color w:val="auto"/>
          <w:sz w:val="20"/>
          <w:szCs w:val="20"/>
          <w:highlight w:val="none"/>
        </w:rPr>
        <w:sectPr>
          <w:footerReference r:id="rId11" w:type="default"/>
          <w:pgSz w:w="11910" w:h="16840"/>
          <w:pgMar w:top="1361" w:right="1588" w:bottom="1019" w:left="1667" w:header="0" w:footer="857" w:gutter="0"/>
          <w:pgNumType w:fmt="decimal"/>
          <w:cols w:space="720" w:num="1"/>
        </w:sectPr>
      </w:pPr>
    </w:p>
    <w:p w14:paraId="56EC19DD">
      <w:pPr>
        <w:spacing w:before="41" w:line="228" w:lineRule="auto"/>
        <w:ind w:left="436"/>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11、响应文件的编制原则</w:t>
      </w:r>
    </w:p>
    <w:p w14:paraId="753380E3">
      <w:pPr>
        <w:spacing w:before="94" w:line="297" w:lineRule="auto"/>
        <w:ind w:right="1" w:firstLine="42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供应商必须按照采购文件的要求编制响应文件，并对其提交的响应文件</w:t>
      </w:r>
      <w:r>
        <w:rPr>
          <w:rFonts w:ascii="宋体" w:hAnsi="宋体" w:eastAsia="宋体" w:cs="宋体"/>
          <w:color w:val="auto"/>
          <w:spacing w:val="9"/>
          <w:sz w:val="20"/>
          <w:szCs w:val="20"/>
          <w:highlight w:val="none"/>
        </w:rPr>
        <w:t>的真实性、合法性承担法律责任。响应文件必须对采购文件作出实质性响应。</w:t>
      </w:r>
    </w:p>
    <w:p w14:paraId="4E005838">
      <w:pPr>
        <w:spacing w:before="37" w:line="227" w:lineRule="auto"/>
        <w:ind w:left="42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本项目实行全流程电子化采购，因此投标人在制作投标文件时应注意：</w:t>
      </w:r>
    </w:p>
    <w:p w14:paraId="331DC4DF">
      <w:pPr>
        <w:spacing w:before="90" w:line="300" w:lineRule="auto"/>
        <w:ind w:right="1" w:firstLine="44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11.1</w:t>
      </w:r>
      <w:r>
        <w:rPr>
          <w:rFonts w:ascii="宋体" w:hAnsi="宋体" w:eastAsia="宋体" w:cs="宋体"/>
          <w:color w:val="auto"/>
          <w:spacing w:val="-16"/>
          <w:sz w:val="20"/>
          <w:szCs w:val="20"/>
          <w:highlight w:val="none"/>
        </w:rPr>
        <w:t xml:space="preserve"> </w:t>
      </w:r>
      <w:r>
        <w:rPr>
          <w:rFonts w:ascii="宋体" w:hAnsi="宋体" w:eastAsia="宋体" w:cs="宋体"/>
          <w:color w:val="auto"/>
          <w:spacing w:val="7"/>
          <w:sz w:val="20"/>
          <w:szCs w:val="20"/>
          <w:highlight w:val="none"/>
        </w:rPr>
        <w:t>电子响应文件中须加盖供应商公章部分均采用</w:t>
      </w:r>
      <w:r>
        <w:rPr>
          <w:rFonts w:ascii="宋体" w:hAnsi="宋体" w:eastAsia="宋体" w:cs="宋体"/>
          <w:color w:val="auto"/>
          <w:sz w:val="20"/>
          <w:szCs w:val="20"/>
          <w:highlight w:val="none"/>
        </w:rPr>
        <w:t>CA</w:t>
      </w:r>
      <w:r>
        <w:rPr>
          <w:rFonts w:ascii="宋体" w:hAnsi="宋体" w:eastAsia="宋体" w:cs="宋体"/>
          <w:color w:val="auto"/>
          <w:spacing w:val="7"/>
          <w:sz w:val="20"/>
          <w:szCs w:val="20"/>
          <w:highlight w:val="none"/>
        </w:rPr>
        <w:t>签章，并根据“政府采</w:t>
      </w:r>
      <w:r>
        <w:rPr>
          <w:rFonts w:ascii="宋体" w:hAnsi="宋体" w:eastAsia="宋体" w:cs="宋体"/>
          <w:color w:val="auto"/>
          <w:spacing w:val="6"/>
          <w:sz w:val="20"/>
          <w:szCs w:val="20"/>
          <w:highlight w:val="none"/>
        </w:rPr>
        <w:t>购项目电子</w:t>
      </w:r>
      <w:r>
        <w:rPr>
          <w:rFonts w:ascii="宋体" w:hAnsi="宋体" w:eastAsia="宋体" w:cs="宋体"/>
          <w:color w:val="auto"/>
          <w:spacing w:val="12"/>
          <w:sz w:val="20"/>
          <w:szCs w:val="20"/>
          <w:highlight w:val="none"/>
        </w:rPr>
        <w:t>交易管理操作指南-供应商</w:t>
      </w:r>
      <w:r>
        <w:rPr>
          <w:rFonts w:ascii="宋体" w:hAnsi="宋体" w:eastAsia="宋体" w:cs="宋体"/>
          <w:color w:val="auto"/>
          <w:spacing w:val="-67"/>
          <w:sz w:val="20"/>
          <w:szCs w:val="20"/>
          <w:highlight w:val="none"/>
        </w:rPr>
        <w:t xml:space="preserve"> </w:t>
      </w:r>
      <w:r>
        <w:rPr>
          <w:rFonts w:ascii="宋体" w:hAnsi="宋体" w:eastAsia="宋体" w:cs="宋体"/>
          <w:color w:val="auto"/>
          <w:spacing w:val="12"/>
          <w:sz w:val="20"/>
          <w:szCs w:val="20"/>
          <w:highlight w:val="none"/>
        </w:rPr>
        <w:t>”及本采购文件规定的格式和顺</w:t>
      </w:r>
      <w:r>
        <w:rPr>
          <w:rFonts w:ascii="宋体" w:hAnsi="宋体" w:eastAsia="宋体" w:cs="宋体"/>
          <w:color w:val="auto"/>
          <w:spacing w:val="11"/>
          <w:sz w:val="20"/>
          <w:szCs w:val="20"/>
          <w:highlight w:val="none"/>
        </w:rPr>
        <w:t>序编制电子响应文件并进行关联定</w:t>
      </w:r>
      <w:r>
        <w:rPr>
          <w:rFonts w:ascii="宋体" w:hAnsi="宋体" w:eastAsia="宋体" w:cs="宋体"/>
          <w:color w:val="auto"/>
          <w:spacing w:val="10"/>
          <w:sz w:val="20"/>
          <w:szCs w:val="20"/>
          <w:highlight w:val="none"/>
        </w:rPr>
        <w:t>位，以便评审时，点击评分项可直接定位到该评分项内容。如对采购文件的某项要求，供应商的电子响应文件未能关联定位提供相应的内容与其对应，则评审时如做出对供应商不利的评审</w:t>
      </w:r>
      <w:r>
        <w:rPr>
          <w:rFonts w:ascii="宋体" w:hAnsi="宋体" w:eastAsia="宋体" w:cs="宋体"/>
          <w:color w:val="auto"/>
          <w:spacing w:val="7"/>
          <w:sz w:val="20"/>
          <w:szCs w:val="20"/>
          <w:highlight w:val="none"/>
        </w:rPr>
        <w:t>由供应商自行承担。电子响应文件如内容不完整、编排混乱导致响应文件被误读、漏读，或者</w:t>
      </w:r>
      <w:r>
        <w:rPr>
          <w:rFonts w:ascii="宋体" w:hAnsi="宋体" w:eastAsia="宋体" w:cs="宋体"/>
          <w:color w:val="auto"/>
          <w:spacing w:val="9"/>
          <w:sz w:val="20"/>
          <w:szCs w:val="20"/>
          <w:highlight w:val="none"/>
        </w:rPr>
        <w:t>在按采购文件规定的部位查找不到相关内容的，由供应商自行承担。</w:t>
      </w:r>
    </w:p>
    <w:p w14:paraId="78B3710B">
      <w:pPr>
        <w:spacing w:before="94" w:line="227" w:lineRule="auto"/>
        <w:ind w:left="44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11.2</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采购文件要求提供的的各种复印件，必须加盖供应商</w:t>
      </w:r>
      <w:r>
        <w:rPr>
          <w:rFonts w:ascii="宋体" w:hAnsi="宋体" w:eastAsia="宋体" w:cs="宋体"/>
          <w:color w:val="auto"/>
          <w:sz w:val="20"/>
          <w:szCs w:val="20"/>
          <w:highlight w:val="none"/>
        </w:rPr>
        <w:t>CA</w:t>
      </w:r>
      <w:r>
        <w:rPr>
          <w:rFonts w:ascii="宋体" w:hAnsi="宋体" w:eastAsia="宋体" w:cs="宋体"/>
          <w:color w:val="auto"/>
          <w:spacing w:val="8"/>
          <w:sz w:val="20"/>
          <w:szCs w:val="20"/>
          <w:highlight w:val="none"/>
        </w:rPr>
        <w:t>签章，否则无效。</w:t>
      </w:r>
    </w:p>
    <w:p w14:paraId="6D7001AC">
      <w:pPr>
        <w:spacing w:before="96" w:line="285" w:lineRule="auto"/>
        <w:ind w:right="1" w:firstLine="44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11.3</w:t>
      </w:r>
      <w:r>
        <w:rPr>
          <w:rFonts w:ascii="宋体" w:hAnsi="宋体" w:eastAsia="宋体" w:cs="宋体"/>
          <w:color w:val="auto"/>
          <w:spacing w:val="-38"/>
          <w:sz w:val="20"/>
          <w:szCs w:val="20"/>
          <w:highlight w:val="none"/>
        </w:rPr>
        <w:t xml:space="preserve"> </w:t>
      </w:r>
      <w:r>
        <w:rPr>
          <w:rFonts w:ascii="宋体" w:hAnsi="宋体" w:eastAsia="宋体" w:cs="宋体"/>
          <w:color w:val="auto"/>
          <w:spacing w:val="10"/>
          <w:sz w:val="20"/>
          <w:szCs w:val="20"/>
          <w:highlight w:val="none"/>
        </w:rPr>
        <w:t>供应商法定代表人或授权代表持有政采云个人</w:t>
      </w:r>
      <w:r>
        <w:rPr>
          <w:rFonts w:ascii="宋体" w:hAnsi="宋体" w:eastAsia="宋体" w:cs="宋体"/>
          <w:color w:val="auto"/>
          <w:sz w:val="20"/>
          <w:szCs w:val="20"/>
          <w:highlight w:val="none"/>
        </w:rPr>
        <w:t>CA</w:t>
      </w:r>
      <w:r>
        <w:rPr>
          <w:rFonts w:ascii="宋体" w:hAnsi="宋体" w:eastAsia="宋体" w:cs="宋体"/>
          <w:color w:val="auto"/>
          <w:spacing w:val="10"/>
          <w:sz w:val="20"/>
          <w:szCs w:val="20"/>
          <w:highlight w:val="none"/>
        </w:rPr>
        <w:t>签章的，应</w:t>
      </w:r>
      <w:r>
        <w:rPr>
          <w:rFonts w:ascii="宋体" w:hAnsi="宋体" w:eastAsia="宋体" w:cs="宋体"/>
          <w:color w:val="auto"/>
          <w:spacing w:val="9"/>
          <w:sz w:val="20"/>
          <w:szCs w:val="20"/>
          <w:highlight w:val="none"/>
        </w:rPr>
        <w:t>在响应文件中涉及到签</w:t>
      </w:r>
      <w:r>
        <w:rPr>
          <w:rFonts w:ascii="宋体" w:hAnsi="宋体" w:eastAsia="宋体" w:cs="宋体"/>
          <w:color w:val="auto"/>
          <w:spacing w:val="10"/>
          <w:sz w:val="20"/>
          <w:szCs w:val="20"/>
          <w:highlight w:val="none"/>
        </w:rPr>
        <w:t>字的位置使用个人</w:t>
      </w:r>
      <w:r>
        <w:rPr>
          <w:rFonts w:ascii="宋体" w:hAnsi="宋体" w:eastAsia="宋体" w:cs="宋体"/>
          <w:color w:val="auto"/>
          <w:sz w:val="20"/>
          <w:szCs w:val="20"/>
          <w:highlight w:val="none"/>
        </w:rPr>
        <w:t>CA</w:t>
      </w:r>
      <w:r>
        <w:rPr>
          <w:rFonts w:ascii="宋体" w:hAnsi="宋体" w:eastAsia="宋体" w:cs="宋体"/>
          <w:color w:val="auto"/>
          <w:spacing w:val="10"/>
          <w:sz w:val="20"/>
          <w:szCs w:val="20"/>
          <w:highlight w:val="none"/>
        </w:rPr>
        <w:t>签章，没有办理政采云个人</w:t>
      </w:r>
      <w:r>
        <w:rPr>
          <w:rFonts w:ascii="宋体" w:hAnsi="宋体" w:eastAsia="宋体" w:cs="宋体"/>
          <w:color w:val="auto"/>
          <w:spacing w:val="-41"/>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8"/>
          <w:sz w:val="20"/>
          <w:szCs w:val="20"/>
          <w:highlight w:val="none"/>
        </w:rPr>
        <w:t xml:space="preserve"> </w:t>
      </w:r>
      <w:r>
        <w:rPr>
          <w:rFonts w:ascii="宋体" w:hAnsi="宋体" w:eastAsia="宋体" w:cs="宋体"/>
          <w:color w:val="auto"/>
          <w:spacing w:val="10"/>
          <w:sz w:val="20"/>
          <w:szCs w:val="20"/>
          <w:highlight w:val="none"/>
        </w:rPr>
        <w:t>签章的可</w:t>
      </w:r>
      <w:r>
        <w:rPr>
          <w:rFonts w:ascii="宋体" w:hAnsi="宋体" w:eastAsia="宋体" w:cs="宋体"/>
          <w:color w:val="auto"/>
          <w:spacing w:val="9"/>
          <w:sz w:val="20"/>
          <w:szCs w:val="20"/>
          <w:highlight w:val="none"/>
        </w:rPr>
        <w:t>在响应文件中涉及到签字的位置手写签字后扫描或者拍照做成</w:t>
      </w:r>
      <w:r>
        <w:rPr>
          <w:rFonts w:ascii="宋体" w:hAnsi="宋体" w:eastAsia="宋体" w:cs="宋体"/>
          <w:color w:val="auto"/>
          <w:sz w:val="20"/>
          <w:szCs w:val="20"/>
          <w:highlight w:val="none"/>
        </w:rPr>
        <w:t>PDF</w:t>
      </w:r>
      <w:r>
        <w:rPr>
          <w:rFonts w:ascii="宋体" w:hAnsi="宋体" w:eastAsia="宋体" w:cs="宋体"/>
          <w:color w:val="auto"/>
          <w:spacing w:val="9"/>
          <w:sz w:val="20"/>
          <w:szCs w:val="20"/>
          <w:highlight w:val="none"/>
        </w:rPr>
        <w:t>的格式上传即可。</w:t>
      </w:r>
    </w:p>
    <w:p w14:paraId="0C45B32C">
      <w:pPr>
        <w:spacing w:before="95" w:line="271" w:lineRule="auto"/>
        <w:ind w:firstLine="442"/>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11.4</w:t>
      </w:r>
      <w:r>
        <w:rPr>
          <w:rFonts w:ascii="宋体" w:hAnsi="宋体" w:eastAsia="宋体" w:cs="宋体"/>
          <w:color w:val="auto"/>
          <w:spacing w:val="-26"/>
          <w:sz w:val="20"/>
          <w:szCs w:val="20"/>
          <w:highlight w:val="none"/>
        </w:rPr>
        <w:t xml:space="preserve"> </w:t>
      </w:r>
      <w:r>
        <w:rPr>
          <w:rFonts w:ascii="宋体" w:hAnsi="宋体" w:eastAsia="宋体" w:cs="宋体"/>
          <w:color w:val="auto"/>
          <w:spacing w:val="11"/>
          <w:sz w:val="20"/>
          <w:szCs w:val="20"/>
          <w:highlight w:val="none"/>
        </w:rPr>
        <w:t>响应文件不得涂改，若有修改错漏处，须法定代表人或授权委托人签字（或个人</w:t>
      </w:r>
      <w:r>
        <w:rPr>
          <w:rFonts w:ascii="宋体" w:hAnsi="宋体" w:eastAsia="宋体" w:cs="宋体"/>
          <w:color w:val="auto"/>
          <w:sz w:val="20"/>
          <w:szCs w:val="20"/>
          <w:highlight w:val="none"/>
        </w:rPr>
        <w:t>CA</w:t>
      </w:r>
      <w:r>
        <w:rPr>
          <w:rFonts w:ascii="宋体" w:hAnsi="宋体" w:eastAsia="宋体" w:cs="宋体"/>
          <w:color w:val="auto"/>
          <w:spacing w:val="9"/>
          <w:sz w:val="20"/>
          <w:szCs w:val="20"/>
          <w:highlight w:val="none"/>
        </w:rPr>
        <w:t>签章）。响应文件因字迹潦草或表达不清所引起的后果由供应商负责。</w:t>
      </w:r>
    </w:p>
    <w:p w14:paraId="496D532A">
      <w:pPr>
        <w:spacing w:before="93" w:line="271" w:lineRule="auto"/>
        <w:ind w:left="5" w:right="1" w:firstLine="43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11.5</w:t>
      </w:r>
      <w:r>
        <w:rPr>
          <w:rFonts w:ascii="宋体" w:hAnsi="宋体" w:eastAsia="宋体" w:cs="宋体"/>
          <w:color w:val="auto"/>
          <w:spacing w:val="-41"/>
          <w:sz w:val="20"/>
          <w:szCs w:val="20"/>
          <w:highlight w:val="none"/>
        </w:rPr>
        <w:t xml:space="preserve"> </w:t>
      </w:r>
      <w:r>
        <w:rPr>
          <w:rFonts w:ascii="宋体" w:hAnsi="宋体" w:eastAsia="宋体" w:cs="宋体"/>
          <w:color w:val="auto"/>
          <w:spacing w:val="7"/>
          <w:sz w:val="20"/>
          <w:szCs w:val="20"/>
          <w:highlight w:val="none"/>
        </w:rPr>
        <w:t>采购文件要求“必须提供</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”的证明等材料，供应商必须全部提</w:t>
      </w:r>
      <w:r>
        <w:rPr>
          <w:rFonts w:ascii="宋体" w:hAnsi="宋体" w:eastAsia="宋体" w:cs="宋体"/>
          <w:color w:val="auto"/>
          <w:spacing w:val="6"/>
          <w:sz w:val="20"/>
          <w:szCs w:val="20"/>
          <w:highlight w:val="none"/>
        </w:rPr>
        <w:t>供，缺一不可，否则无</w:t>
      </w:r>
      <w:r>
        <w:rPr>
          <w:rFonts w:ascii="宋体" w:hAnsi="宋体" w:eastAsia="宋体" w:cs="宋体"/>
          <w:color w:val="auto"/>
          <w:sz w:val="20"/>
          <w:szCs w:val="20"/>
          <w:highlight w:val="none"/>
        </w:rPr>
        <w:t>效</w:t>
      </w:r>
    </w:p>
    <w:p w14:paraId="279091A2">
      <w:pPr>
        <w:spacing w:before="94" w:line="228" w:lineRule="auto"/>
        <w:ind w:left="44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11.6 评标前准备</w:t>
      </w:r>
    </w:p>
    <w:p w14:paraId="51B0EDDA">
      <w:pPr>
        <w:spacing w:before="94" w:line="271" w:lineRule="auto"/>
        <w:ind w:left="5" w:right="1" w:firstLine="43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11.6.1 本项目为广西政府采购云平台全流程电子化操作，采用电子投标文件；若供应商参</w:t>
      </w:r>
      <w:r>
        <w:rPr>
          <w:rFonts w:ascii="宋体" w:hAnsi="宋体" w:eastAsia="宋体" w:cs="宋体"/>
          <w:color w:val="auto"/>
          <w:spacing w:val="4"/>
          <w:sz w:val="20"/>
          <w:szCs w:val="20"/>
          <w:highlight w:val="none"/>
        </w:rPr>
        <w:t>与投标，</w:t>
      </w:r>
      <w:r>
        <w:rPr>
          <w:rFonts w:ascii="宋体" w:hAnsi="宋体" w:eastAsia="宋体" w:cs="宋体"/>
          <w:color w:val="auto"/>
          <w:spacing w:val="-36"/>
          <w:sz w:val="20"/>
          <w:szCs w:val="20"/>
          <w:highlight w:val="none"/>
        </w:rPr>
        <w:t xml:space="preserve"> </w:t>
      </w:r>
      <w:r>
        <w:rPr>
          <w:rFonts w:ascii="宋体" w:hAnsi="宋体" w:eastAsia="宋体" w:cs="宋体"/>
          <w:color w:val="auto"/>
          <w:spacing w:val="4"/>
          <w:sz w:val="20"/>
          <w:szCs w:val="20"/>
          <w:highlight w:val="none"/>
        </w:rPr>
        <w:t>自行承担投标一切费用。</w:t>
      </w:r>
    </w:p>
    <w:p w14:paraId="4AC39E0C">
      <w:pPr>
        <w:spacing w:before="93" w:line="285" w:lineRule="auto"/>
        <w:ind w:left="2" w:right="1" w:firstLine="44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11.6.2 供应商在投标截止时间前应确保成为广西政府采购云平台正式注册入库供应商，并</w:t>
      </w:r>
      <w:r>
        <w:rPr>
          <w:rFonts w:ascii="宋体" w:hAnsi="宋体" w:eastAsia="宋体" w:cs="宋体"/>
          <w:color w:val="auto"/>
          <w:spacing w:val="10"/>
          <w:sz w:val="20"/>
          <w:szCs w:val="20"/>
          <w:highlight w:val="none"/>
        </w:rPr>
        <w:t>完成</w:t>
      </w:r>
      <w:r>
        <w:rPr>
          <w:rFonts w:ascii="宋体" w:hAnsi="宋体" w:eastAsia="宋体" w:cs="宋体"/>
          <w:color w:val="auto"/>
          <w:spacing w:val="-41"/>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数字证书申领。因未注册入库、未办理</w:t>
      </w:r>
      <w:r>
        <w:rPr>
          <w:rFonts w:ascii="宋体" w:hAnsi="宋体" w:eastAsia="宋体" w:cs="宋体"/>
          <w:color w:val="auto"/>
          <w:spacing w:val="-38"/>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数字证</w:t>
      </w:r>
      <w:r>
        <w:rPr>
          <w:rFonts w:ascii="宋体" w:hAnsi="宋体" w:eastAsia="宋体" w:cs="宋体"/>
          <w:color w:val="auto"/>
          <w:spacing w:val="9"/>
          <w:sz w:val="20"/>
          <w:szCs w:val="20"/>
          <w:highlight w:val="none"/>
        </w:rPr>
        <w:t>书等原因造成无法投标或投标失败等</w:t>
      </w:r>
      <w:r>
        <w:rPr>
          <w:rFonts w:ascii="宋体" w:hAnsi="宋体" w:eastAsia="宋体" w:cs="宋体"/>
          <w:color w:val="auto"/>
          <w:spacing w:val="7"/>
          <w:sz w:val="20"/>
          <w:szCs w:val="20"/>
          <w:highlight w:val="none"/>
        </w:rPr>
        <w:t>后果由供应商自行承担。</w:t>
      </w:r>
    </w:p>
    <w:p w14:paraId="2250ACE8">
      <w:pPr>
        <w:spacing w:before="96" w:line="285" w:lineRule="auto"/>
        <w:ind w:right="1" w:firstLine="44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11.6.3 供应商将广西政府采购云平台电子交易客户端下载、安装完成后，可通过账号密码</w:t>
      </w:r>
      <w:r>
        <w:rPr>
          <w:rFonts w:ascii="宋体" w:hAnsi="宋体" w:eastAsia="宋体" w:cs="宋体"/>
          <w:color w:val="auto"/>
          <w:spacing w:val="7"/>
          <w:sz w:val="20"/>
          <w:szCs w:val="20"/>
          <w:highlight w:val="none"/>
        </w:rPr>
        <w:t>或</w:t>
      </w:r>
      <w:r>
        <w:rPr>
          <w:rFonts w:ascii="宋体" w:hAnsi="宋体" w:eastAsia="宋体" w:cs="宋体"/>
          <w:color w:val="auto"/>
          <w:spacing w:val="-37"/>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登录客户端进行投标文件制作。客户端请至网站下载专区查看，如有问题可拨打广西政府采购云平台客户服务热线 95763 进行咨询。</w:t>
      </w:r>
    </w:p>
    <w:p w14:paraId="2A195B14">
      <w:pPr>
        <w:spacing w:before="94" w:line="228" w:lineRule="auto"/>
        <w:ind w:left="436"/>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12、响应文件的组成</w:t>
      </w:r>
    </w:p>
    <w:p w14:paraId="7163412C">
      <w:pPr>
        <w:spacing w:before="95" w:line="226"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响应文件由资格证明文件、商务文件、技术文件</w:t>
      </w:r>
      <w:r>
        <w:rPr>
          <w:rFonts w:hint="eastAsia" w:ascii="宋体" w:hAnsi="宋体" w:eastAsia="宋体" w:cs="宋体"/>
          <w:color w:val="auto"/>
          <w:spacing w:val="9"/>
          <w:sz w:val="20"/>
          <w:szCs w:val="20"/>
          <w:highlight w:val="none"/>
          <w:lang w:eastAsia="zh-CN"/>
        </w:rPr>
        <w:t>、报价文件四</w:t>
      </w:r>
      <w:r>
        <w:rPr>
          <w:rFonts w:ascii="宋体" w:hAnsi="宋体" w:eastAsia="宋体" w:cs="宋体"/>
          <w:color w:val="auto"/>
          <w:spacing w:val="9"/>
          <w:sz w:val="20"/>
          <w:szCs w:val="20"/>
          <w:highlight w:val="none"/>
        </w:rPr>
        <w:t>部</w:t>
      </w:r>
      <w:r>
        <w:rPr>
          <w:rFonts w:ascii="宋体" w:hAnsi="宋体" w:eastAsia="宋体" w:cs="宋体"/>
          <w:color w:val="auto"/>
          <w:spacing w:val="8"/>
          <w:sz w:val="20"/>
          <w:szCs w:val="20"/>
          <w:highlight w:val="none"/>
        </w:rPr>
        <w:t>分组成。</w:t>
      </w:r>
    </w:p>
    <w:p w14:paraId="252A8D22">
      <w:pPr>
        <w:spacing w:before="93" w:line="227"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12.2.1</w:t>
      </w:r>
      <w:r>
        <w:rPr>
          <w:rFonts w:ascii="宋体" w:hAnsi="宋体" w:eastAsia="宋体" w:cs="宋体"/>
          <w:color w:val="auto"/>
          <w:spacing w:val="-26"/>
          <w:sz w:val="20"/>
          <w:szCs w:val="20"/>
          <w:highlight w:val="none"/>
        </w:rPr>
        <w:t xml:space="preserve"> </w:t>
      </w:r>
      <w:r>
        <w:rPr>
          <w:rFonts w:ascii="宋体" w:hAnsi="宋体" w:eastAsia="宋体" w:cs="宋体"/>
          <w:color w:val="auto"/>
          <w:spacing w:val="6"/>
          <w:sz w:val="20"/>
          <w:szCs w:val="20"/>
          <w:highlight w:val="none"/>
        </w:rPr>
        <w:t>资格证明文件：详见须知前附表</w:t>
      </w:r>
    </w:p>
    <w:p w14:paraId="04B2BDCB">
      <w:pPr>
        <w:spacing w:before="95" w:line="227" w:lineRule="auto"/>
        <w:ind w:left="43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12.2.2</w:t>
      </w:r>
      <w:r>
        <w:rPr>
          <w:rFonts w:ascii="宋体" w:hAnsi="宋体" w:eastAsia="宋体" w:cs="宋体"/>
          <w:color w:val="auto"/>
          <w:spacing w:val="-26"/>
          <w:sz w:val="20"/>
          <w:szCs w:val="20"/>
          <w:highlight w:val="none"/>
        </w:rPr>
        <w:t xml:space="preserve"> </w:t>
      </w:r>
      <w:r>
        <w:rPr>
          <w:rFonts w:ascii="宋体" w:hAnsi="宋体" w:eastAsia="宋体" w:cs="宋体"/>
          <w:color w:val="auto"/>
          <w:spacing w:val="6"/>
          <w:sz w:val="20"/>
          <w:szCs w:val="20"/>
          <w:highlight w:val="none"/>
        </w:rPr>
        <w:t>商务文件：详见须知前附表</w:t>
      </w:r>
    </w:p>
    <w:p w14:paraId="56BEE893">
      <w:pPr>
        <w:spacing w:before="95" w:line="226" w:lineRule="auto"/>
        <w:ind w:left="443"/>
        <w:rPr>
          <w:rFonts w:hint="default" w:ascii="宋体" w:hAnsi="宋体" w:eastAsia="宋体" w:cs="宋体"/>
          <w:color w:val="auto"/>
          <w:spacing w:val="6"/>
          <w:sz w:val="20"/>
          <w:szCs w:val="20"/>
          <w:highlight w:val="none"/>
          <w:lang w:val="en-US" w:eastAsia="zh-CN"/>
        </w:rPr>
      </w:pPr>
      <w:r>
        <w:rPr>
          <w:rFonts w:hint="eastAsia" w:ascii="宋体" w:hAnsi="宋体" w:eastAsia="宋体" w:cs="宋体"/>
          <w:color w:val="auto"/>
          <w:spacing w:val="6"/>
          <w:sz w:val="20"/>
          <w:szCs w:val="20"/>
          <w:highlight w:val="none"/>
          <w:lang w:val="en-US" w:eastAsia="zh-CN"/>
        </w:rPr>
        <w:t>12.2.3 技术文件：</w:t>
      </w:r>
      <w:r>
        <w:rPr>
          <w:rFonts w:ascii="宋体" w:hAnsi="宋体" w:eastAsia="宋体" w:cs="宋体"/>
          <w:color w:val="auto"/>
          <w:spacing w:val="6"/>
          <w:sz w:val="20"/>
          <w:szCs w:val="20"/>
          <w:highlight w:val="none"/>
        </w:rPr>
        <w:t>详见须知前附表</w:t>
      </w:r>
    </w:p>
    <w:p w14:paraId="5C83B5AC">
      <w:pPr>
        <w:spacing w:before="95" w:line="226" w:lineRule="auto"/>
        <w:ind w:left="44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12.2.3</w:t>
      </w:r>
      <w:r>
        <w:rPr>
          <w:rFonts w:ascii="宋体" w:hAnsi="宋体" w:eastAsia="宋体" w:cs="宋体"/>
          <w:color w:val="auto"/>
          <w:spacing w:val="-34"/>
          <w:sz w:val="20"/>
          <w:szCs w:val="20"/>
          <w:highlight w:val="none"/>
        </w:rPr>
        <w:t xml:space="preserve"> </w:t>
      </w:r>
      <w:r>
        <w:rPr>
          <w:rFonts w:ascii="宋体" w:hAnsi="宋体" w:eastAsia="宋体" w:cs="宋体"/>
          <w:color w:val="auto"/>
          <w:spacing w:val="6"/>
          <w:sz w:val="20"/>
          <w:szCs w:val="20"/>
          <w:highlight w:val="none"/>
        </w:rPr>
        <w:t>报价文件：详见须知前附表</w:t>
      </w:r>
    </w:p>
    <w:p w14:paraId="32727297">
      <w:pPr>
        <w:spacing w:before="96" w:line="228" w:lineRule="auto"/>
        <w:ind w:left="436"/>
        <w:rPr>
          <w:rFonts w:ascii="宋体" w:hAnsi="宋体" w:eastAsia="宋体" w:cs="宋体"/>
          <w:color w:val="auto"/>
          <w:sz w:val="20"/>
          <w:szCs w:val="20"/>
          <w:highlight w:val="none"/>
        </w:rPr>
      </w:pPr>
      <w:r>
        <w:rPr>
          <w:rFonts w:ascii="宋体" w:hAnsi="宋体" w:eastAsia="宋体" w:cs="宋体"/>
          <w:b/>
          <w:bCs/>
          <w:color w:val="auto"/>
          <w:spacing w:val="3"/>
          <w:sz w:val="20"/>
          <w:szCs w:val="20"/>
          <w:highlight w:val="none"/>
        </w:rPr>
        <w:t>13、计量单位</w:t>
      </w:r>
    </w:p>
    <w:p w14:paraId="55FE6584">
      <w:pPr>
        <w:spacing w:before="93" w:line="300" w:lineRule="auto"/>
        <w:ind w:left="20" w:right="1" w:firstLine="39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采购文件已有明确规定的，使用采购文件规定的计量单位；采购文件没有规定的，应采用</w:t>
      </w:r>
      <w:r>
        <w:rPr>
          <w:rFonts w:ascii="宋体" w:hAnsi="宋体" w:eastAsia="宋体" w:cs="宋体"/>
          <w:color w:val="auto"/>
          <w:spacing w:val="9"/>
          <w:sz w:val="20"/>
          <w:szCs w:val="20"/>
          <w:highlight w:val="none"/>
        </w:rPr>
        <w:t>中华人民共和国法定计量单位，货币种类为人</w:t>
      </w:r>
      <w:r>
        <w:rPr>
          <w:rFonts w:ascii="宋体" w:hAnsi="宋体" w:eastAsia="宋体" w:cs="宋体"/>
          <w:color w:val="auto"/>
          <w:spacing w:val="8"/>
          <w:sz w:val="20"/>
          <w:szCs w:val="20"/>
          <w:highlight w:val="none"/>
        </w:rPr>
        <w:t>民币，否则视同未响应。</w:t>
      </w:r>
    </w:p>
    <w:p w14:paraId="46A1FCD3">
      <w:pPr>
        <w:spacing w:before="33" w:line="228" w:lineRule="auto"/>
        <w:ind w:left="436"/>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14、竞标的风险</w:t>
      </w:r>
    </w:p>
    <w:p w14:paraId="4013360B">
      <w:pPr>
        <w:spacing w:before="90" w:line="300" w:lineRule="auto"/>
        <w:ind w:left="1" w:right="1" w:firstLine="41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供应商没有按照采购文件要求提供全部资料，或者供应商没有对采购文件在各方面作出实</w:t>
      </w:r>
      <w:r>
        <w:rPr>
          <w:rFonts w:ascii="宋体" w:hAnsi="宋体" w:eastAsia="宋体" w:cs="宋体"/>
          <w:color w:val="auto"/>
          <w:spacing w:val="9"/>
          <w:sz w:val="20"/>
          <w:szCs w:val="20"/>
          <w:highlight w:val="none"/>
        </w:rPr>
        <w:t>质性响应可能导致其响应无效，是供应商应当考虑的风险。</w:t>
      </w:r>
    </w:p>
    <w:p w14:paraId="436F5369">
      <w:pPr>
        <w:spacing w:before="32" w:line="226" w:lineRule="auto"/>
        <w:ind w:left="436"/>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15、竞标报价要求和构成</w:t>
      </w:r>
    </w:p>
    <w:p w14:paraId="2BF56AE7">
      <w:pPr>
        <w:spacing w:before="96" w:line="226"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15.1</w:t>
      </w:r>
      <w:r>
        <w:rPr>
          <w:rFonts w:ascii="宋体" w:hAnsi="宋体" w:eastAsia="宋体" w:cs="宋体"/>
          <w:color w:val="auto"/>
          <w:spacing w:val="-30"/>
          <w:sz w:val="20"/>
          <w:szCs w:val="20"/>
          <w:highlight w:val="none"/>
        </w:rPr>
        <w:t xml:space="preserve"> </w:t>
      </w:r>
      <w:r>
        <w:rPr>
          <w:rFonts w:ascii="宋体" w:hAnsi="宋体" w:eastAsia="宋体" w:cs="宋体"/>
          <w:color w:val="auto"/>
          <w:spacing w:val="7"/>
          <w:sz w:val="20"/>
          <w:szCs w:val="20"/>
          <w:highlight w:val="none"/>
        </w:rPr>
        <w:t>响应报价应按“响应文件格式</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”中“响应报价</w:t>
      </w:r>
      <w:r>
        <w:rPr>
          <w:rFonts w:ascii="宋体" w:hAnsi="宋体" w:eastAsia="宋体" w:cs="宋体"/>
          <w:color w:val="auto"/>
          <w:spacing w:val="6"/>
          <w:sz w:val="20"/>
          <w:szCs w:val="20"/>
          <w:highlight w:val="none"/>
        </w:rPr>
        <w:t>表、已标价工程量清单</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”格式填写。</w:t>
      </w:r>
    </w:p>
    <w:p w14:paraId="092A5DBC">
      <w:pPr>
        <w:spacing w:before="96" w:line="226"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15.2</w:t>
      </w:r>
      <w:r>
        <w:rPr>
          <w:rFonts w:ascii="宋体" w:hAnsi="宋体" w:eastAsia="宋体" w:cs="宋体"/>
          <w:color w:val="auto"/>
          <w:spacing w:val="-29"/>
          <w:sz w:val="20"/>
          <w:szCs w:val="20"/>
          <w:highlight w:val="none"/>
        </w:rPr>
        <w:t xml:space="preserve"> </w:t>
      </w:r>
      <w:r>
        <w:rPr>
          <w:rFonts w:ascii="宋体" w:hAnsi="宋体" w:eastAsia="宋体" w:cs="宋体"/>
          <w:color w:val="auto"/>
          <w:spacing w:val="7"/>
          <w:sz w:val="20"/>
          <w:szCs w:val="20"/>
          <w:highlight w:val="none"/>
        </w:rPr>
        <w:t>响应报价的价格构成见“供应商须知前附表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w:t>
      </w:r>
    </w:p>
    <w:p w14:paraId="6E4AC59B">
      <w:pPr>
        <w:spacing w:before="96" w:line="226" w:lineRule="auto"/>
        <w:ind w:left="44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15.3</w:t>
      </w:r>
      <w:r>
        <w:rPr>
          <w:rFonts w:ascii="宋体" w:hAnsi="宋体" w:eastAsia="宋体" w:cs="宋体"/>
          <w:color w:val="auto"/>
          <w:spacing w:val="-27"/>
          <w:sz w:val="20"/>
          <w:szCs w:val="20"/>
          <w:highlight w:val="none"/>
        </w:rPr>
        <w:t xml:space="preserve"> </w:t>
      </w:r>
      <w:r>
        <w:rPr>
          <w:rFonts w:ascii="宋体" w:hAnsi="宋体" w:eastAsia="宋体" w:cs="宋体"/>
          <w:color w:val="auto"/>
          <w:spacing w:val="3"/>
          <w:sz w:val="20"/>
          <w:szCs w:val="20"/>
          <w:highlight w:val="none"/>
        </w:rPr>
        <w:t>响应报价要求</w:t>
      </w:r>
    </w:p>
    <w:p w14:paraId="3A218FB7">
      <w:pPr>
        <w:spacing w:before="41" w:line="226" w:lineRule="auto"/>
        <w:ind w:left="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15.3.1</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供应商的响应报价应符合以下要求，否则响应文件按无效响应处</w:t>
      </w:r>
      <w:r>
        <w:rPr>
          <w:rFonts w:ascii="宋体" w:hAnsi="宋体" w:eastAsia="宋体" w:cs="宋体"/>
          <w:color w:val="auto"/>
          <w:spacing w:val="7"/>
          <w:sz w:val="20"/>
          <w:szCs w:val="20"/>
          <w:highlight w:val="none"/>
        </w:rPr>
        <w:t>理：</w:t>
      </w:r>
    </w:p>
    <w:p w14:paraId="766FBD28">
      <w:pPr>
        <w:spacing w:before="96" w:line="269" w:lineRule="auto"/>
        <w:ind w:left="4" w:firstLine="42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（1）供应商必须就“采购需求</w:t>
      </w:r>
      <w:r>
        <w:rPr>
          <w:rFonts w:ascii="宋体" w:hAnsi="宋体" w:eastAsia="宋体" w:cs="宋体"/>
          <w:color w:val="auto"/>
          <w:spacing w:val="-70"/>
          <w:sz w:val="20"/>
          <w:szCs w:val="20"/>
          <w:highlight w:val="none"/>
        </w:rPr>
        <w:t xml:space="preserve"> </w:t>
      </w:r>
      <w:r>
        <w:rPr>
          <w:rFonts w:ascii="宋体" w:hAnsi="宋体" w:eastAsia="宋体" w:cs="宋体"/>
          <w:color w:val="auto"/>
          <w:spacing w:val="3"/>
          <w:sz w:val="20"/>
          <w:szCs w:val="20"/>
          <w:highlight w:val="none"/>
        </w:rPr>
        <w:t>”中所竞标的每</w:t>
      </w:r>
      <w:r>
        <w:rPr>
          <w:rFonts w:ascii="宋体" w:hAnsi="宋体" w:eastAsia="宋体" w:cs="宋体"/>
          <w:color w:val="auto"/>
          <w:spacing w:val="2"/>
          <w:sz w:val="20"/>
          <w:szCs w:val="20"/>
          <w:highlight w:val="none"/>
        </w:rPr>
        <w:t>个分标的全部内容分别作完整唯一总价报价，</w:t>
      </w:r>
      <w:r>
        <w:rPr>
          <w:rFonts w:ascii="宋体" w:hAnsi="宋体" w:eastAsia="宋体" w:cs="宋体"/>
          <w:color w:val="auto"/>
          <w:spacing w:val="7"/>
          <w:sz w:val="20"/>
          <w:szCs w:val="20"/>
          <w:highlight w:val="none"/>
        </w:rPr>
        <w:t>不得存在漏项报价；</w:t>
      </w:r>
    </w:p>
    <w:p w14:paraId="53627B3A">
      <w:pPr>
        <w:spacing w:before="98"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（2）供应商必须就所竞标的分标的单项内容作唯一报价。</w:t>
      </w:r>
    </w:p>
    <w:p w14:paraId="7B2262C6">
      <w:pPr>
        <w:spacing w:before="94" w:line="270" w:lineRule="auto"/>
        <w:ind w:left="6" w:right="54" w:firstLine="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15.3.2</w:t>
      </w:r>
      <w:r>
        <w:rPr>
          <w:rFonts w:ascii="宋体" w:hAnsi="宋体" w:eastAsia="宋体" w:cs="宋体"/>
          <w:color w:val="auto"/>
          <w:spacing w:val="-21"/>
          <w:sz w:val="20"/>
          <w:szCs w:val="20"/>
          <w:highlight w:val="none"/>
        </w:rPr>
        <w:t xml:space="preserve"> </w:t>
      </w:r>
      <w:r>
        <w:rPr>
          <w:rFonts w:ascii="宋体" w:hAnsi="宋体" w:eastAsia="宋体" w:cs="宋体"/>
          <w:color w:val="auto"/>
          <w:spacing w:val="7"/>
          <w:sz w:val="20"/>
          <w:szCs w:val="20"/>
          <w:highlight w:val="none"/>
        </w:rPr>
        <w:t>响应报价（包含首次报价、最后报价）超过所竞标分标规定的采购预算金额或者最</w:t>
      </w:r>
      <w:r>
        <w:rPr>
          <w:rFonts w:ascii="宋体" w:hAnsi="宋体" w:eastAsia="宋体" w:cs="宋体"/>
          <w:color w:val="auto"/>
          <w:spacing w:val="8"/>
          <w:sz w:val="20"/>
          <w:szCs w:val="20"/>
          <w:highlight w:val="none"/>
        </w:rPr>
        <w:t>高限价的，其响应文件将作无效处理。</w:t>
      </w:r>
    </w:p>
    <w:p w14:paraId="1D2A496D">
      <w:pPr>
        <w:spacing w:before="96" w:line="271" w:lineRule="auto"/>
        <w:ind w:left="11" w:right="54" w:firstLine="43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15.3.3</w:t>
      </w:r>
      <w:r>
        <w:rPr>
          <w:rFonts w:ascii="宋体" w:hAnsi="宋体" w:eastAsia="宋体" w:cs="宋体"/>
          <w:color w:val="auto"/>
          <w:spacing w:val="-28"/>
          <w:sz w:val="20"/>
          <w:szCs w:val="20"/>
          <w:highlight w:val="none"/>
        </w:rPr>
        <w:t xml:space="preserve"> </w:t>
      </w:r>
      <w:r>
        <w:rPr>
          <w:rFonts w:ascii="宋体" w:hAnsi="宋体" w:eastAsia="宋体" w:cs="宋体"/>
          <w:color w:val="auto"/>
          <w:spacing w:val="7"/>
          <w:sz w:val="20"/>
          <w:szCs w:val="20"/>
          <w:highlight w:val="none"/>
        </w:rPr>
        <w:t>响应报价（包含首次报价、最后报价）超过分项采购预算金额或者最高限价的，其响应文件将作无效处理。</w:t>
      </w:r>
    </w:p>
    <w:p w14:paraId="3B19A4D5">
      <w:pPr>
        <w:spacing w:before="94" w:line="228" w:lineRule="auto"/>
        <w:ind w:left="436"/>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16、竞标有效期</w:t>
      </w:r>
    </w:p>
    <w:p w14:paraId="33015001">
      <w:pPr>
        <w:spacing w:before="90" w:line="271" w:lineRule="auto"/>
        <w:ind w:right="54" w:firstLine="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16.1</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竞标有效期是指为保证采购人有足够的时间在</w:t>
      </w:r>
      <w:r>
        <w:rPr>
          <w:rFonts w:ascii="宋体" w:hAnsi="宋体" w:eastAsia="宋体" w:cs="宋体"/>
          <w:color w:val="auto"/>
          <w:spacing w:val="7"/>
          <w:sz w:val="20"/>
          <w:szCs w:val="20"/>
          <w:highlight w:val="none"/>
        </w:rPr>
        <w:t>提交响应文件后完成评审、确定成交供</w:t>
      </w:r>
      <w:r>
        <w:rPr>
          <w:rFonts w:ascii="宋体" w:hAnsi="宋体" w:eastAsia="宋体" w:cs="宋体"/>
          <w:color w:val="auto"/>
          <w:spacing w:val="9"/>
          <w:sz w:val="20"/>
          <w:szCs w:val="20"/>
          <w:highlight w:val="none"/>
        </w:rPr>
        <w:t>应商、合同签订等工作而要求供应商提交的响应文件在一定时间内保持有效的期限。</w:t>
      </w:r>
    </w:p>
    <w:p w14:paraId="4DB3ABD8">
      <w:pPr>
        <w:spacing w:before="95" w:line="227"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16.2 竞标有效期应由供应商按“供应商须知前附表</w:t>
      </w:r>
      <w:r>
        <w:rPr>
          <w:rFonts w:ascii="宋体" w:hAnsi="宋体" w:eastAsia="宋体" w:cs="宋体"/>
          <w:color w:val="auto"/>
          <w:spacing w:val="-54"/>
          <w:sz w:val="20"/>
          <w:szCs w:val="20"/>
          <w:highlight w:val="none"/>
        </w:rPr>
        <w:t xml:space="preserve"> </w:t>
      </w:r>
      <w:r>
        <w:rPr>
          <w:rFonts w:ascii="宋体" w:hAnsi="宋体" w:eastAsia="宋体" w:cs="宋体"/>
          <w:color w:val="auto"/>
          <w:spacing w:val="7"/>
          <w:sz w:val="20"/>
          <w:szCs w:val="20"/>
          <w:highlight w:val="none"/>
        </w:rPr>
        <w:t>”规定的期限作出响应。</w:t>
      </w:r>
    </w:p>
    <w:p w14:paraId="705D533C">
      <w:pPr>
        <w:spacing w:before="95" w:line="227" w:lineRule="auto"/>
        <w:ind w:left="44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16.3</w:t>
      </w:r>
      <w:r>
        <w:rPr>
          <w:rFonts w:ascii="宋体" w:hAnsi="宋体" w:eastAsia="宋体" w:cs="宋体"/>
          <w:color w:val="auto"/>
          <w:spacing w:val="-32"/>
          <w:sz w:val="20"/>
          <w:szCs w:val="20"/>
          <w:highlight w:val="none"/>
        </w:rPr>
        <w:t xml:space="preserve"> </w:t>
      </w:r>
      <w:r>
        <w:rPr>
          <w:rFonts w:ascii="宋体" w:hAnsi="宋体" w:eastAsia="宋体" w:cs="宋体"/>
          <w:color w:val="auto"/>
          <w:spacing w:val="7"/>
          <w:sz w:val="20"/>
          <w:szCs w:val="20"/>
          <w:highlight w:val="none"/>
        </w:rPr>
        <w:t>供应商的响应文件在竞标有效期内均保持有效。</w:t>
      </w:r>
    </w:p>
    <w:p w14:paraId="2C23E725">
      <w:pPr>
        <w:spacing w:before="96" w:line="228" w:lineRule="auto"/>
        <w:ind w:left="436"/>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17、磋商保证金</w:t>
      </w:r>
    </w:p>
    <w:p w14:paraId="4FA54715">
      <w:pPr>
        <w:spacing w:before="93" w:line="227"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详见“供应商须知前附表</w:t>
      </w:r>
      <w:r>
        <w:rPr>
          <w:rFonts w:ascii="宋体" w:hAnsi="宋体" w:eastAsia="宋体" w:cs="宋体"/>
          <w:color w:val="auto"/>
          <w:spacing w:val="-68"/>
          <w:sz w:val="20"/>
          <w:szCs w:val="20"/>
          <w:highlight w:val="none"/>
        </w:rPr>
        <w:t xml:space="preserve"> </w:t>
      </w:r>
      <w:r>
        <w:rPr>
          <w:rFonts w:ascii="宋体" w:hAnsi="宋体" w:eastAsia="宋体" w:cs="宋体"/>
          <w:color w:val="auto"/>
          <w:spacing w:val="8"/>
          <w:sz w:val="20"/>
          <w:szCs w:val="20"/>
          <w:highlight w:val="none"/>
        </w:rPr>
        <w:t>”。</w:t>
      </w:r>
    </w:p>
    <w:p w14:paraId="39C480D7">
      <w:pPr>
        <w:spacing w:before="94" w:line="228" w:lineRule="auto"/>
        <w:ind w:left="443"/>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18、响应文件编制的要求</w:t>
      </w:r>
    </w:p>
    <w:p w14:paraId="6D7F4D86">
      <w:pPr>
        <w:spacing w:before="93" w:line="285" w:lineRule="auto"/>
        <w:ind w:left="1" w:right="54" w:firstLine="43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18.1</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各供应商在编制响应文件时请按照采购文件“第</w:t>
      </w:r>
      <w:r>
        <w:rPr>
          <w:rFonts w:hint="eastAsia" w:ascii="宋体" w:hAnsi="宋体" w:eastAsia="宋体" w:cs="宋体"/>
          <w:color w:val="auto"/>
          <w:spacing w:val="7"/>
          <w:sz w:val="20"/>
          <w:szCs w:val="20"/>
          <w:highlight w:val="none"/>
          <w:lang w:val="en-US" w:eastAsia="zh-CN"/>
        </w:rPr>
        <w:t xml:space="preserve">五章 </w:t>
      </w:r>
      <w:r>
        <w:rPr>
          <w:rFonts w:ascii="宋体" w:hAnsi="宋体" w:eastAsia="宋体" w:cs="宋体"/>
          <w:color w:val="auto"/>
          <w:spacing w:val="7"/>
          <w:sz w:val="20"/>
          <w:szCs w:val="20"/>
          <w:highlight w:val="none"/>
        </w:rPr>
        <w:t>响应文件格式</w:t>
      </w:r>
      <w:r>
        <w:rPr>
          <w:rFonts w:ascii="宋体" w:hAnsi="宋体" w:eastAsia="宋体" w:cs="宋体"/>
          <w:color w:val="auto"/>
          <w:spacing w:val="-73"/>
          <w:sz w:val="20"/>
          <w:szCs w:val="20"/>
          <w:highlight w:val="none"/>
        </w:rPr>
        <w:t xml:space="preserve"> </w:t>
      </w:r>
      <w:r>
        <w:rPr>
          <w:rFonts w:ascii="宋体" w:hAnsi="宋体" w:eastAsia="宋体" w:cs="宋体"/>
          <w:color w:val="auto"/>
          <w:spacing w:val="7"/>
          <w:sz w:val="20"/>
          <w:szCs w:val="20"/>
          <w:highlight w:val="none"/>
        </w:rPr>
        <w:t>”规定的格式进</w:t>
      </w:r>
      <w:r>
        <w:rPr>
          <w:rFonts w:ascii="宋体" w:hAnsi="宋体" w:eastAsia="宋体" w:cs="宋体"/>
          <w:color w:val="auto"/>
          <w:spacing w:val="6"/>
          <w:sz w:val="20"/>
          <w:szCs w:val="20"/>
          <w:highlight w:val="none"/>
        </w:rPr>
        <w:t>行，混</w:t>
      </w:r>
      <w:r>
        <w:rPr>
          <w:rFonts w:ascii="宋体" w:hAnsi="宋体" w:eastAsia="宋体" w:cs="宋体"/>
          <w:color w:val="auto"/>
          <w:spacing w:val="10"/>
          <w:sz w:val="20"/>
          <w:szCs w:val="20"/>
          <w:highlight w:val="none"/>
        </w:rPr>
        <w:t>乱的编排导致响应文件被误读或磋商小组查找不到有效文件是供应商的风险。不完整、编</w:t>
      </w:r>
      <w:r>
        <w:rPr>
          <w:rFonts w:ascii="宋体" w:hAnsi="宋体" w:eastAsia="宋体" w:cs="宋体"/>
          <w:color w:val="auto"/>
          <w:spacing w:val="9"/>
          <w:sz w:val="20"/>
          <w:szCs w:val="20"/>
          <w:highlight w:val="none"/>
        </w:rPr>
        <w:t>排混乱导致响应文件被误读、漏读或者查找不到相关内容的，由此引发的后果由供应商承担。</w:t>
      </w:r>
    </w:p>
    <w:p w14:paraId="4ED9DDE3">
      <w:pPr>
        <w:spacing w:before="96" w:line="270" w:lineRule="auto"/>
        <w:ind w:left="1" w:right="54" w:firstLine="43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18.2</w:t>
      </w:r>
      <w:r>
        <w:rPr>
          <w:rFonts w:ascii="宋体" w:hAnsi="宋体" w:eastAsia="宋体" w:cs="宋体"/>
          <w:color w:val="auto"/>
          <w:spacing w:val="-14"/>
          <w:sz w:val="20"/>
          <w:szCs w:val="20"/>
          <w:highlight w:val="none"/>
        </w:rPr>
        <w:t xml:space="preserve"> </w:t>
      </w:r>
      <w:r>
        <w:rPr>
          <w:rFonts w:ascii="宋体" w:hAnsi="宋体" w:eastAsia="宋体" w:cs="宋体"/>
          <w:color w:val="auto"/>
          <w:spacing w:val="7"/>
          <w:sz w:val="20"/>
          <w:szCs w:val="20"/>
          <w:highlight w:val="none"/>
        </w:rPr>
        <w:t>响应文件应按资格证明文件、商务</w:t>
      </w:r>
      <w:r>
        <w:rPr>
          <w:rFonts w:hint="eastAsia" w:ascii="宋体" w:hAnsi="宋体" w:eastAsia="宋体" w:cs="宋体"/>
          <w:color w:val="auto"/>
          <w:spacing w:val="7"/>
          <w:sz w:val="20"/>
          <w:szCs w:val="20"/>
          <w:highlight w:val="none"/>
          <w:lang w:val="en-US" w:eastAsia="zh-CN"/>
        </w:rPr>
        <w:t>文件、</w:t>
      </w:r>
      <w:r>
        <w:rPr>
          <w:rFonts w:ascii="宋体" w:hAnsi="宋体" w:eastAsia="宋体" w:cs="宋体"/>
          <w:color w:val="auto"/>
          <w:spacing w:val="7"/>
          <w:sz w:val="20"/>
          <w:szCs w:val="20"/>
          <w:highlight w:val="none"/>
        </w:rPr>
        <w:t>技术文件、报价文件分别编制</w:t>
      </w:r>
      <w:r>
        <w:rPr>
          <w:rFonts w:ascii="宋体" w:hAnsi="宋体" w:eastAsia="宋体" w:cs="宋体"/>
          <w:color w:val="auto"/>
          <w:spacing w:val="9"/>
          <w:sz w:val="20"/>
          <w:szCs w:val="20"/>
          <w:highlight w:val="none"/>
        </w:rPr>
        <w:t>，本磋商只接受电子版响应文件。</w:t>
      </w:r>
    </w:p>
    <w:p w14:paraId="785F4716">
      <w:pPr>
        <w:spacing w:before="95" w:line="271" w:lineRule="auto"/>
        <w:ind w:left="2" w:right="54" w:firstLine="43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18.3</w:t>
      </w:r>
      <w:r>
        <w:rPr>
          <w:rFonts w:ascii="宋体" w:hAnsi="宋体" w:eastAsia="宋体" w:cs="宋体"/>
          <w:color w:val="auto"/>
          <w:spacing w:val="-30"/>
          <w:sz w:val="20"/>
          <w:szCs w:val="20"/>
          <w:highlight w:val="none"/>
        </w:rPr>
        <w:t xml:space="preserve"> </w:t>
      </w:r>
      <w:r>
        <w:rPr>
          <w:rFonts w:ascii="宋体" w:hAnsi="宋体" w:eastAsia="宋体" w:cs="宋体"/>
          <w:color w:val="auto"/>
          <w:spacing w:val="7"/>
          <w:sz w:val="20"/>
          <w:szCs w:val="20"/>
          <w:highlight w:val="none"/>
        </w:rPr>
        <w:t>响应文件须由供应商在“响应文件格式</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”规定位置进</w:t>
      </w:r>
      <w:r>
        <w:rPr>
          <w:rFonts w:ascii="宋体" w:hAnsi="宋体" w:eastAsia="宋体" w:cs="宋体"/>
          <w:color w:val="auto"/>
          <w:spacing w:val="6"/>
          <w:sz w:val="20"/>
          <w:szCs w:val="20"/>
          <w:highlight w:val="none"/>
        </w:rPr>
        <w:t>行签署、盖章，否则其响应文件</w:t>
      </w:r>
      <w:r>
        <w:rPr>
          <w:rFonts w:ascii="宋体" w:hAnsi="宋体" w:eastAsia="宋体" w:cs="宋体"/>
          <w:color w:val="auto"/>
          <w:spacing w:val="9"/>
          <w:sz w:val="20"/>
          <w:szCs w:val="20"/>
          <w:highlight w:val="none"/>
        </w:rPr>
        <w:t>按无效响应处理。骑缝盖公章不视为在规定位置盖章。</w:t>
      </w:r>
    </w:p>
    <w:p w14:paraId="39EA1BA9">
      <w:pPr>
        <w:spacing w:before="92" w:line="271" w:lineRule="auto"/>
        <w:ind w:left="2" w:right="54" w:firstLine="43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18.4</w:t>
      </w:r>
      <w:r>
        <w:rPr>
          <w:rFonts w:ascii="宋体" w:hAnsi="宋体" w:eastAsia="宋体" w:cs="宋体"/>
          <w:color w:val="auto"/>
          <w:spacing w:val="-14"/>
          <w:sz w:val="20"/>
          <w:szCs w:val="20"/>
          <w:highlight w:val="none"/>
        </w:rPr>
        <w:t xml:space="preserve"> </w:t>
      </w:r>
      <w:r>
        <w:rPr>
          <w:rFonts w:ascii="宋体" w:hAnsi="宋体" w:eastAsia="宋体" w:cs="宋体"/>
          <w:color w:val="auto"/>
          <w:spacing w:val="7"/>
          <w:sz w:val="20"/>
          <w:szCs w:val="20"/>
          <w:highlight w:val="none"/>
        </w:rPr>
        <w:t>响应文件中标注的供应商名称应与营业执照（事业单位法人证书、执业许可证、自然</w:t>
      </w:r>
      <w:r>
        <w:rPr>
          <w:rFonts w:ascii="宋体" w:hAnsi="宋体" w:eastAsia="宋体" w:cs="宋体"/>
          <w:color w:val="auto"/>
          <w:spacing w:val="9"/>
          <w:sz w:val="20"/>
          <w:szCs w:val="20"/>
          <w:highlight w:val="none"/>
        </w:rPr>
        <w:t>人身份证）及电子公章一致，否则其响应文件按无效响应处理。</w:t>
      </w:r>
    </w:p>
    <w:p w14:paraId="32AF1CA8">
      <w:pPr>
        <w:spacing w:before="95" w:line="228" w:lineRule="auto"/>
        <w:ind w:left="44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18.5</w:t>
      </w:r>
      <w:r>
        <w:rPr>
          <w:rFonts w:ascii="宋体" w:hAnsi="宋体" w:eastAsia="宋体" w:cs="宋体"/>
          <w:color w:val="auto"/>
          <w:spacing w:val="-30"/>
          <w:sz w:val="20"/>
          <w:szCs w:val="20"/>
          <w:highlight w:val="none"/>
        </w:rPr>
        <w:t xml:space="preserve"> </w:t>
      </w:r>
      <w:r>
        <w:rPr>
          <w:rFonts w:ascii="宋体" w:hAnsi="宋体" w:eastAsia="宋体" w:cs="宋体"/>
          <w:color w:val="auto"/>
          <w:spacing w:val="8"/>
          <w:sz w:val="20"/>
          <w:szCs w:val="20"/>
          <w:highlight w:val="none"/>
        </w:rPr>
        <w:t>响应文件应避免涂改、行间插字或者删除，否则其响应文件按无效响应处理。</w:t>
      </w:r>
    </w:p>
    <w:p w14:paraId="37E3FF9D">
      <w:pPr>
        <w:spacing w:before="94" w:line="228" w:lineRule="auto"/>
        <w:ind w:left="443"/>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19、响应文件的密封和标记</w:t>
      </w:r>
    </w:p>
    <w:p w14:paraId="56BEA30F">
      <w:pPr>
        <w:spacing w:before="94" w:line="285" w:lineRule="auto"/>
        <w:ind w:left="5"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19.1</w:t>
      </w:r>
      <w:r>
        <w:rPr>
          <w:rFonts w:ascii="宋体" w:hAnsi="宋体" w:eastAsia="宋体" w:cs="宋体"/>
          <w:color w:val="auto"/>
          <w:spacing w:val="-30"/>
          <w:sz w:val="20"/>
          <w:szCs w:val="20"/>
          <w:highlight w:val="none"/>
        </w:rPr>
        <w:t xml:space="preserve"> </w:t>
      </w:r>
      <w:r>
        <w:rPr>
          <w:rFonts w:ascii="宋体" w:hAnsi="宋体" w:eastAsia="宋体" w:cs="宋体"/>
          <w:color w:val="auto"/>
          <w:spacing w:val="8"/>
          <w:sz w:val="20"/>
          <w:szCs w:val="20"/>
          <w:highlight w:val="none"/>
        </w:rPr>
        <w:t>供应商进行电子交易应安装客户端软件—“广西政府采购云平台电子交易客户端”，</w:t>
      </w:r>
      <w:r>
        <w:rPr>
          <w:rFonts w:ascii="宋体" w:hAnsi="宋体" w:eastAsia="宋体" w:cs="宋体"/>
          <w:color w:val="auto"/>
          <w:spacing w:val="6"/>
          <w:sz w:val="20"/>
          <w:szCs w:val="20"/>
          <w:highlight w:val="none"/>
        </w:rPr>
        <w:t>并按照采购文件和电子交易平台的要求编制并加密响应文件。供应商未按规定加密的响应文件，</w:t>
      </w:r>
      <w:r>
        <w:rPr>
          <w:rFonts w:ascii="宋体" w:hAnsi="宋体" w:eastAsia="宋体" w:cs="宋体"/>
          <w:color w:val="auto"/>
          <w:spacing w:val="8"/>
          <w:sz w:val="20"/>
          <w:szCs w:val="20"/>
          <w:highlight w:val="none"/>
        </w:rPr>
        <w:t>电子交易平台将拒收并提示。</w:t>
      </w:r>
    </w:p>
    <w:p w14:paraId="6609B24B">
      <w:pPr>
        <w:spacing w:before="95" w:line="270" w:lineRule="auto"/>
        <w:ind w:left="4" w:right="112" w:firstLine="43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19.2</w:t>
      </w:r>
      <w:r>
        <w:rPr>
          <w:rFonts w:ascii="宋体" w:hAnsi="宋体" w:eastAsia="宋体" w:cs="宋体"/>
          <w:color w:val="auto"/>
          <w:spacing w:val="-40"/>
          <w:sz w:val="20"/>
          <w:szCs w:val="20"/>
          <w:highlight w:val="none"/>
        </w:rPr>
        <w:t xml:space="preserve"> </w:t>
      </w:r>
      <w:r>
        <w:rPr>
          <w:rFonts w:ascii="宋体" w:hAnsi="宋体" w:eastAsia="宋体" w:cs="宋体"/>
          <w:color w:val="auto"/>
          <w:spacing w:val="7"/>
          <w:sz w:val="20"/>
          <w:szCs w:val="20"/>
          <w:highlight w:val="none"/>
        </w:rPr>
        <w:t>使用“广西政府采购云平台电子交易</w:t>
      </w:r>
      <w:r>
        <w:rPr>
          <w:rFonts w:ascii="宋体" w:hAnsi="宋体" w:eastAsia="宋体" w:cs="宋体"/>
          <w:color w:val="auto"/>
          <w:spacing w:val="6"/>
          <w:sz w:val="20"/>
          <w:szCs w:val="20"/>
          <w:highlight w:val="none"/>
        </w:rPr>
        <w:t>客户端</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”需要提前申领</w:t>
      </w:r>
      <w:r>
        <w:rPr>
          <w:rFonts w:ascii="宋体" w:hAnsi="宋体" w:eastAsia="宋体" w:cs="宋体"/>
          <w:color w:val="auto"/>
          <w:spacing w:val="-38"/>
          <w:sz w:val="20"/>
          <w:szCs w:val="20"/>
          <w:highlight w:val="none"/>
        </w:rPr>
        <w:t xml:space="preserve"> </w:t>
      </w:r>
      <w:r>
        <w:rPr>
          <w:rFonts w:ascii="宋体" w:hAnsi="宋体" w:eastAsia="宋体" w:cs="宋体"/>
          <w:color w:val="auto"/>
          <w:sz w:val="20"/>
          <w:szCs w:val="20"/>
          <w:highlight w:val="none"/>
        </w:rPr>
        <w:t>CA</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数字证书，</w:t>
      </w:r>
      <w:r>
        <w:rPr>
          <w:rFonts w:ascii="宋体" w:hAnsi="宋体" w:eastAsia="宋体" w:cs="宋体"/>
          <w:color w:val="auto"/>
          <w:spacing w:val="-58"/>
          <w:sz w:val="20"/>
          <w:szCs w:val="20"/>
          <w:highlight w:val="none"/>
        </w:rPr>
        <w:t xml:space="preserve"> </w:t>
      </w:r>
      <w:r>
        <w:rPr>
          <w:rFonts w:ascii="宋体" w:hAnsi="宋体" w:eastAsia="宋体" w:cs="宋体"/>
          <w:color w:val="auto"/>
          <w:spacing w:val="6"/>
          <w:sz w:val="20"/>
          <w:szCs w:val="20"/>
          <w:highlight w:val="none"/>
        </w:rPr>
        <w:t>申领流程</w:t>
      </w:r>
      <w:r>
        <w:rPr>
          <w:rFonts w:ascii="宋体" w:hAnsi="宋体" w:eastAsia="宋体" w:cs="宋体"/>
          <w:color w:val="auto"/>
          <w:spacing w:val="7"/>
          <w:sz w:val="20"/>
          <w:szCs w:val="20"/>
          <w:highlight w:val="none"/>
        </w:rPr>
        <w:t>见该项目采购公告。</w:t>
      </w:r>
    </w:p>
    <w:p w14:paraId="1498E0D7">
      <w:pPr>
        <w:spacing w:before="95" w:line="287" w:lineRule="auto"/>
        <w:ind w:right="54" w:firstLine="443"/>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19.3</w:t>
      </w:r>
      <w:r>
        <w:rPr>
          <w:rFonts w:ascii="宋体" w:hAnsi="宋体" w:eastAsia="宋体" w:cs="宋体"/>
          <w:color w:val="auto"/>
          <w:spacing w:val="-38"/>
          <w:sz w:val="20"/>
          <w:szCs w:val="20"/>
          <w:highlight w:val="none"/>
        </w:rPr>
        <w:t xml:space="preserve"> </w:t>
      </w:r>
      <w:r>
        <w:rPr>
          <w:rFonts w:ascii="宋体" w:hAnsi="宋体" w:eastAsia="宋体" w:cs="宋体"/>
          <w:color w:val="auto"/>
          <w:spacing w:val="3"/>
          <w:sz w:val="20"/>
          <w:szCs w:val="20"/>
          <w:highlight w:val="none"/>
        </w:rPr>
        <w:t>为确保网上操作合法、有效和安全，</w:t>
      </w:r>
      <w:r>
        <w:rPr>
          <w:rFonts w:ascii="宋体" w:hAnsi="宋体" w:eastAsia="宋体" w:cs="宋体"/>
          <w:color w:val="auto"/>
          <w:spacing w:val="2"/>
          <w:sz w:val="20"/>
          <w:szCs w:val="20"/>
          <w:highlight w:val="none"/>
        </w:rPr>
        <w:t>供应商应当在响应文件提交截止时间前完成在“政</w:t>
      </w:r>
      <w:r>
        <w:rPr>
          <w:rFonts w:ascii="宋体" w:hAnsi="宋体" w:eastAsia="宋体" w:cs="宋体"/>
          <w:color w:val="auto"/>
          <w:spacing w:val="9"/>
          <w:sz w:val="20"/>
          <w:szCs w:val="20"/>
          <w:highlight w:val="none"/>
        </w:rPr>
        <w:t>府采购云平台</w:t>
      </w:r>
      <w:r>
        <w:rPr>
          <w:rFonts w:ascii="宋体" w:hAnsi="宋体" w:eastAsia="宋体" w:cs="宋体"/>
          <w:color w:val="auto"/>
          <w:spacing w:val="-69"/>
          <w:sz w:val="20"/>
          <w:szCs w:val="20"/>
          <w:highlight w:val="none"/>
        </w:rPr>
        <w:t xml:space="preserve"> </w:t>
      </w:r>
      <w:r>
        <w:rPr>
          <w:rFonts w:ascii="宋体" w:hAnsi="宋体" w:eastAsia="宋体" w:cs="宋体"/>
          <w:color w:val="auto"/>
          <w:spacing w:val="9"/>
          <w:sz w:val="20"/>
          <w:szCs w:val="20"/>
          <w:highlight w:val="none"/>
        </w:rPr>
        <w:t>”的身份认证，确保在电子交易过程中能够对相关数据电文进行加密和使用电子</w:t>
      </w:r>
      <w:r>
        <w:rPr>
          <w:rFonts w:ascii="宋体" w:hAnsi="宋体" w:eastAsia="宋体" w:cs="宋体"/>
          <w:color w:val="auto"/>
          <w:spacing w:val="3"/>
          <w:sz w:val="20"/>
          <w:szCs w:val="20"/>
          <w:highlight w:val="none"/>
        </w:rPr>
        <w:t>签名。</w:t>
      </w:r>
    </w:p>
    <w:p w14:paraId="7DDCC1AA">
      <w:pPr>
        <w:spacing w:before="90" w:line="228" w:lineRule="auto"/>
        <w:ind w:left="43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20、响应文件的提交</w:t>
      </w:r>
    </w:p>
    <w:p w14:paraId="7F624867">
      <w:pPr>
        <w:spacing w:before="91" w:line="227"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20.1</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供应商必须在“供应商须知前附表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”规定的时</w:t>
      </w:r>
      <w:r>
        <w:rPr>
          <w:rFonts w:ascii="宋体" w:hAnsi="宋体" w:eastAsia="宋体" w:cs="宋体"/>
          <w:color w:val="auto"/>
          <w:spacing w:val="7"/>
          <w:sz w:val="20"/>
          <w:szCs w:val="20"/>
          <w:highlight w:val="none"/>
        </w:rPr>
        <w:t>间和地点提交响应文件。</w:t>
      </w:r>
    </w:p>
    <w:p w14:paraId="2A9328F9">
      <w:pPr>
        <w:spacing w:before="95" w:line="228"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20.2</w:t>
      </w:r>
      <w:r>
        <w:rPr>
          <w:rFonts w:ascii="宋体" w:hAnsi="宋体" w:eastAsia="宋体" w:cs="宋体"/>
          <w:color w:val="auto"/>
          <w:spacing w:val="-31"/>
          <w:sz w:val="20"/>
          <w:szCs w:val="20"/>
          <w:highlight w:val="none"/>
        </w:rPr>
        <w:t xml:space="preserve"> </w:t>
      </w:r>
      <w:r>
        <w:rPr>
          <w:rFonts w:ascii="宋体" w:hAnsi="宋体" w:eastAsia="宋体" w:cs="宋体"/>
          <w:color w:val="auto"/>
          <w:spacing w:val="8"/>
          <w:sz w:val="20"/>
          <w:szCs w:val="20"/>
          <w:highlight w:val="none"/>
        </w:rPr>
        <w:t>在响应文件提交截止时间以后，不能补充、修改响应文件。</w:t>
      </w:r>
    </w:p>
    <w:p w14:paraId="0124C898">
      <w:pPr>
        <w:spacing w:before="94" w:line="226" w:lineRule="auto"/>
        <w:ind w:left="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20.3</w:t>
      </w:r>
      <w:r>
        <w:rPr>
          <w:rFonts w:ascii="宋体" w:hAnsi="宋体" w:eastAsia="宋体" w:cs="宋体"/>
          <w:color w:val="auto"/>
          <w:spacing w:val="-42"/>
          <w:sz w:val="20"/>
          <w:szCs w:val="20"/>
          <w:highlight w:val="none"/>
        </w:rPr>
        <w:t xml:space="preserve"> </w:t>
      </w:r>
      <w:r>
        <w:rPr>
          <w:rFonts w:ascii="宋体" w:hAnsi="宋体" w:eastAsia="宋体" w:cs="宋体"/>
          <w:color w:val="auto"/>
          <w:spacing w:val="7"/>
          <w:sz w:val="20"/>
          <w:szCs w:val="20"/>
          <w:highlight w:val="none"/>
        </w:rPr>
        <w:t>在提交“最后报价</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”后，供应商不能</w:t>
      </w:r>
      <w:r>
        <w:rPr>
          <w:rFonts w:ascii="宋体" w:hAnsi="宋体" w:eastAsia="宋体" w:cs="宋体"/>
          <w:color w:val="auto"/>
          <w:spacing w:val="6"/>
          <w:sz w:val="20"/>
          <w:szCs w:val="20"/>
          <w:highlight w:val="none"/>
        </w:rPr>
        <w:t>退出竞标。</w:t>
      </w:r>
    </w:p>
    <w:p w14:paraId="6F077DE3">
      <w:pPr>
        <w:spacing w:before="95" w:line="286" w:lineRule="auto"/>
        <w:ind w:left="1" w:right="54" w:firstLine="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20.4</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电子交易平台收到响应文件，将妥善保存并即时向供应商发出确认回执通知。在响应</w:t>
      </w:r>
      <w:r>
        <w:rPr>
          <w:rFonts w:ascii="宋体" w:hAnsi="宋体" w:eastAsia="宋体" w:cs="宋体"/>
          <w:color w:val="auto"/>
          <w:spacing w:val="10"/>
          <w:sz w:val="20"/>
          <w:szCs w:val="20"/>
          <w:highlight w:val="none"/>
        </w:rPr>
        <w:t>文件提交截止时间前，除供应商补充、修改或者撤回响应文件外，任何单位和个人不得解</w:t>
      </w:r>
      <w:r>
        <w:rPr>
          <w:rFonts w:ascii="宋体" w:hAnsi="宋体" w:eastAsia="宋体" w:cs="宋体"/>
          <w:color w:val="auto"/>
          <w:spacing w:val="9"/>
          <w:sz w:val="20"/>
          <w:szCs w:val="20"/>
          <w:highlight w:val="none"/>
        </w:rPr>
        <w:t>密或</w:t>
      </w:r>
      <w:r>
        <w:rPr>
          <w:rFonts w:ascii="宋体" w:hAnsi="宋体" w:eastAsia="宋体" w:cs="宋体"/>
          <w:color w:val="auto"/>
          <w:spacing w:val="6"/>
          <w:sz w:val="20"/>
          <w:szCs w:val="20"/>
          <w:highlight w:val="none"/>
        </w:rPr>
        <w:t>提取响应文件。</w:t>
      </w:r>
    </w:p>
    <w:p w14:paraId="58D1B9A3">
      <w:pPr>
        <w:spacing w:before="41" w:line="227"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20.5 采购机构不可视情况延长提交响应文件的截止时间。</w:t>
      </w:r>
    </w:p>
    <w:p w14:paraId="6E543F4F">
      <w:pPr>
        <w:spacing w:before="94" w:line="227"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20.6</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备份响应文件。详见在“供应商须知前附</w:t>
      </w:r>
      <w:r>
        <w:rPr>
          <w:rFonts w:ascii="宋体" w:hAnsi="宋体" w:eastAsia="宋体" w:cs="宋体"/>
          <w:color w:val="auto"/>
          <w:spacing w:val="7"/>
          <w:sz w:val="20"/>
          <w:szCs w:val="20"/>
          <w:highlight w:val="none"/>
        </w:rPr>
        <w:t>表”。</w:t>
      </w:r>
    </w:p>
    <w:p w14:paraId="4859A384">
      <w:pPr>
        <w:spacing w:before="92" w:line="228" w:lineRule="auto"/>
        <w:ind w:left="43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21、首次响应文件的补充、修改与撤回</w:t>
      </w:r>
    </w:p>
    <w:p w14:paraId="3B8E22E8">
      <w:pPr>
        <w:spacing w:before="95" w:line="304" w:lineRule="auto"/>
        <w:ind w:right="71"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供应商在首次响应文件提交截止时间前，可以对所提交的响应文件进行补充、修改或者撤回，并书面通知采购人、采购代理机构。补充、修改的内容作为响应文件的组成部分。补充、</w:t>
      </w:r>
      <w:r>
        <w:rPr>
          <w:rFonts w:ascii="宋体" w:hAnsi="宋体" w:eastAsia="宋体" w:cs="宋体"/>
          <w:color w:val="auto"/>
          <w:spacing w:val="9"/>
          <w:sz w:val="20"/>
          <w:szCs w:val="20"/>
          <w:highlight w:val="none"/>
        </w:rPr>
        <w:t>修改的内容与响应文件不一致的，以补充、修改的内容为准。</w:t>
      </w:r>
    </w:p>
    <w:p w14:paraId="71E73920">
      <w:pPr>
        <w:spacing w:before="32" w:line="228" w:lineRule="auto"/>
        <w:ind w:left="43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22、首次响应文件的退回</w:t>
      </w:r>
    </w:p>
    <w:p w14:paraId="680BA7CD">
      <w:pPr>
        <w:spacing w:before="94" w:line="304" w:lineRule="auto"/>
        <w:ind w:left="2" w:right="70" w:firstLine="417"/>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在首次响应文件提交截止时间止提交响应文件的供应商不足</w:t>
      </w:r>
      <w:r>
        <w:rPr>
          <w:rFonts w:ascii="宋体" w:hAnsi="宋体" w:eastAsia="宋体" w:cs="宋体"/>
          <w:color w:val="auto"/>
          <w:spacing w:val="-23"/>
          <w:sz w:val="20"/>
          <w:szCs w:val="20"/>
          <w:highlight w:val="none"/>
        </w:rPr>
        <w:t xml:space="preserve"> </w:t>
      </w:r>
      <w:r>
        <w:rPr>
          <w:rFonts w:ascii="宋体" w:hAnsi="宋体" w:eastAsia="宋体" w:cs="宋体"/>
          <w:color w:val="auto"/>
          <w:spacing w:val="9"/>
          <w:sz w:val="20"/>
          <w:szCs w:val="20"/>
          <w:highlight w:val="none"/>
        </w:rPr>
        <w:t>3</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家时电子响应文件由代理机构在“广西政府采购云平台</w:t>
      </w:r>
      <w:r>
        <w:rPr>
          <w:rFonts w:ascii="宋体" w:hAnsi="宋体" w:eastAsia="宋体" w:cs="宋体"/>
          <w:color w:val="auto"/>
          <w:spacing w:val="-62"/>
          <w:sz w:val="20"/>
          <w:szCs w:val="20"/>
          <w:highlight w:val="none"/>
        </w:rPr>
        <w:t xml:space="preserve"> </w:t>
      </w:r>
      <w:r>
        <w:rPr>
          <w:rFonts w:ascii="宋体" w:hAnsi="宋体" w:eastAsia="宋体" w:cs="宋体"/>
          <w:color w:val="auto"/>
          <w:spacing w:val="9"/>
          <w:sz w:val="20"/>
          <w:szCs w:val="20"/>
          <w:highlight w:val="none"/>
        </w:rPr>
        <w:t>”操作退回，除此之外采购人和采购代理机构对已提交的电子响应</w:t>
      </w:r>
      <w:r>
        <w:rPr>
          <w:rFonts w:ascii="宋体" w:hAnsi="宋体" w:eastAsia="宋体" w:cs="宋体"/>
          <w:color w:val="auto"/>
          <w:spacing w:val="6"/>
          <w:sz w:val="20"/>
          <w:szCs w:val="20"/>
          <w:highlight w:val="none"/>
        </w:rPr>
        <w:t>文件概不退回。</w:t>
      </w:r>
    </w:p>
    <w:p w14:paraId="4C8D2062">
      <w:pPr>
        <w:spacing w:before="33" w:line="228" w:lineRule="auto"/>
        <w:ind w:left="43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23、截止时间后的撤回</w:t>
      </w:r>
    </w:p>
    <w:p w14:paraId="31FD0D8E">
      <w:pPr>
        <w:spacing w:before="92" w:line="300" w:lineRule="auto"/>
        <w:ind w:left="5" w:right="71" w:firstLine="41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本项目不收取保证金，供应商在首次响应文件提交截止时间后可向采购人、采购代理</w:t>
      </w:r>
      <w:r>
        <w:rPr>
          <w:rFonts w:ascii="宋体" w:hAnsi="宋体" w:eastAsia="宋体" w:cs="宋体"/>
          <w:color w:val="auto"/>
          <w:spacing w:val="9"/>
          <w:sz w:val="20"/>
          <w:szCs w:val="20"/>
          <w:highlight w:val="none"/>
        </w:rPr>
        <w:t>机构</w:t>
      </w:r>
      <w:r>
        <w:rPr>
          <w:rFonts w:ascii="宋体" w:hAnsi="宋体" w:eastAsia="宋体" w:cs="宋体"/>
          <w:color w:val="auto"/>
          <w:spacing w:val="8"/>
          <w:sz w:val="20"/>
          <w:szCs w:val="20"/>
          <w:highlight w:val="none"/>
        </w:rPr>
        <w:t>书面申请撤回电子响应文件。</w:t>
      </w:r>
    </w:p>
    <w:p w14:paraId="76C5D612">
      <w:pPr>
        <w:spacing w:before="33" w:line="228" w:lineRule="auto"/>
        <w:ind w:left="20"/>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四、评审与磋商</w:t>
      </w:r>
    </w:p>
    <w:p w14:paraId="111DE450">
      <w:pPr>
        <w:spacing w:before="94" w:line="228" w:lineRule="auto"/>
        <w:ind w:left="430"/>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24、磋商小组成立</w:t>
      </w:r>
    </w:p>
    <w:p w14:paraId="555BF6ED">
      <w:pPr>
        <w:spacing w:before="91" w:line="297" w:lineRule="auto"/>
        <w:ind w:right="70" w:firstLine="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24.1</w:t>
      </w:r>
      <w:r>
        <w:rPr>
          <w:rFonts w:ascii="宋体" w:hAnsi="宋体" w:eastAsia="宋体" w:cs="宋体"/>
          <w:color w:val="auto"/>
          <w:spacing w:val="-29"/>
          <w:sz w:val="20"/>
          <w:szCs w:val="20"/>
          <w:highlight w:val="none"/>
        </w:rPr>
        <w:t xml:space="preserve"> </w:t>
      </w:r>
      <w:r>
        <w:rPr>
          <w:rFonts w:ascii="宋体" w:hAnsi="宋体" w:eastAsia="宋体" w:cs="宋体"/>
          <w:color w:val="auto"/>
          <w:spacing w:val="7"/>
          <w:sz w:val="20"/>
          <w:szCs w:val="20"/>
          <w:highlight w:val="none"/>
        </w:rPr>
        <w:t>磋商小组由采购人代表和评审专家共3人以上单数组成，其中评审专家人数不得少于</w:t>
      </w:r>
      <w:r>
        <w:rPr>
          <w:rFonts w:ascii="宋体" w:hAnsi="宋体" w:eastAsia="宋体" w:cs="宋体"/>
          <w:color w:val="auto"/>
          <w:spacing w:val="11"/>
          <w:sz w:val="20"/>
          <w:szCs w:val="20"/>
          <w:highlight w:val="none"/>
        </w:rPr>
        <w:t>磋商小组成员总数的2/3。采购人代表不得以评审专</w:t>
      </w:r>
      <w:r>
        <w:rPr>
          <w:rFonts w:ascii="宋体" w:hAnsi="宋体" w:eastAsia="宋体" w:cs="宋体"/>
          <w:color w:val="auto"/>
          <w:spacing w:val="10"/>
          <w:sz w:val="20"/>
          <w:szCs w:val="20"/>
          <w:highlight w:val="none"/>
        </w:rPr>
        <w:t>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w:t>
      </w:r>
      <w:r>
        <w:rPr>
          <w:rFonts w:ascii="宋体" w:hAnsi="宋体" w:eastAsia="宋体" w:cs="宋体"/>
          <w:color w:val="auto"/>
          <w:spacing w:val="7"/>
          <w:sz w:val="20"/>
          <w:szCs w:val="20"/>
          <w:highlight w:val="none"/>
        </w:rPr>
        <w:t>式采购的，磋商小组由5人以上单数组成。</w:t>
      </w:r>
    </w:p>
    <w:p w14:paraId="792263C2">
      <w:pPr>
        <w:spacing w:before="96" w:line="292" w:lineRule="auto"/>
        <w:ind w:left="1" w:right="70"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24.2</w:t>
      </w:r>
      <w:r>
        <w:rPr>
          <w:rFonts w:ascii="宋体" w:hAnsi="宋体" w:eastAsia="宋体" w:cs="宋体"/>
          <w:color w:val="auto"/>
          <w:spacing w:val="-42"/>
          <w:sz w:val="20"/>
          <w:szCs w:val="20"/>
          <w:highlight w:val="none"/>
        </w:rPr>
        <w:t xml:space="preserve"> </w:t>
      </w:r>
      <w:r>
        <w:rPr>
          <w:rFonts w:ascii="宋体" w:hAnsi="宋体" w:eastAsia="宋体" w:cs="宋体"/>
          <w:color w:val="auto"/>
          <w:spacing w:val="8"/>
          <w:sz w:val="20"/>
          <w:szCs w:val="20"/>
          <w:highlight w:val="none"/>
        </w:rPr>
        <w:t>评审专家应当从政府采购评审专家库内相关专业的专家名单中随机抽取。市场竞争不</w:t>
      </w:r>
      <w:r>
        <w:rPr>
          <w:rFonts w:ascii="宋体" w:hAnsi="宋体" w:eastAsia="宋体" w:cs="宋体"/>
          <w:color w:val="auto"/>
          <w:spacing w:val="9"/>
          <w:sz w:val="20"/>
          <w:szCs w:val="20"/>
          <w:highlight w:val="none"/>
        </w:rPr>
        <w:t>充分的科研项目，以及需要扶持的科技成果转化项目，以及情况特殊、通过随机方式难以</w:t>
      </w:r>
      <w:r>
        <w:rPr>
          <w:rFonts w:ascii="宋体" w:hAnsi="宋体" w:eastAsia="宋体" w:cs="宋体"/>
          <w:color w:val="auto"/>
          <w:spacing w:val="8"/>
          <w:sz w:val="20"/>
          <w:szCs w:val="20"/>
          <w:highlight w:val="none"/>
        </w:rPr>
        <w:t>确定</w:t>
      </w:r>
      <w:r>
        <w:rPr>
          <w:rFonts w:ascii="宋体" w:hAnsi="宋体" w:eastAsia="宋体" w:cs="宋体"/>
          <w:color w:val="auto"/>
          <w:spacing w:val="10"/>
          <w:sz w:val="20"/>
          <w:szCs w:val="20"/>
          <w:highlight w:val="none"/>
        </w:rPr>
        <w:t>合适的评审专家的项目，经主管预算单位同意，可以自行选定评审专家。技术复杂、专业</w:t>
      </w:r>
      <w:r>
        <w:rPr>
          <w:rFonts w:ascii="宋体" w:hAnsi="宋体" w:eastAsia="宋体" w:cs="宋体"/>
          <w:color w:val="auto"/>
          <w:spacing w:val="9"/>
          <w:sz w:val="20"/>
          <w:szCs w:val="20"/>
          <w:highlight w:val="none"/>
        </w:rPr>
        <w:t>性强</w:t>
      </w:r>
      <w:r>
        <w:rPr>
          <w:rFonts w:ascii="宋体" w:hAnsi="宋体" w:eastAsia="宋体" w:cs="宋体"/>
          <w:color w:val="auto"/>
          <w:spacing w:val="7"/>
          <w:sz w:val="20"/>
          <w:szCs w:val="20"/>
          <w:highlight w:val="none"/>
        </w:rPr>
        <w:t>的采购项目，评审专家中应当包含</w:t>
      </w:r>
      <w:r>
        <w:rPr>
          <w:rFonts w:ascii="宋体" w:hAnsi="宋体" w:eastAsia="宋体" w:cs="宋体"/>
          <w:color w:val="auto"/>
          <w:spacing w:val="-20"/>
          <w:sz w:val="20"/>
          <w:szCs w:val="20"/>
          <w:highlight w:val="none"/>
        </w:rPr>
        <w:t xml:space="preserve"> </w:t>
      </w:r>
      <w:r>
        <w:rPr>
          <w:rFonts w:ascii="宋体" w:hAnsi="宋体" w:eastAsia="宋体" w:cs="宋体"/>
          <w:color w:val="auto"/>
          <w:spacing w:val="7"/>
          <w:sz w:val="20"/>
          <w:szCs w:val="20"/>
          <w:highlight w:val="none"/>
        </w:rPr>
        <w:t>1</w:t>
      </w:r>
      <w:r>
        <w:rPr>
          <w:rFonts w:ascii="宋体" w:hAnsi="宋体" w:eastAsia="宋体" w:cs="宋体"/>
          <w:color w:val="auto"/>
          <w:spacing w:val="-36"/>
          <w:sz w:val="20"/>
          <w:szCs w:val="20"/>
          <w:highlight w:val="none"/>
        </w:rPr>
        <w:t xml:space="preserve"> </w:t>
      </w:r>
      <w:r>
        <w:rPr>
          <w:rFonts w:ascii="宋体" w:hAnsi="宋体" w:eastAsia="宋体" w:cs="宋体"/>
          <w:color w:val="auto"/>
          <w:spacing w:val="7"/>
          <w:sz w:val="20"/>
          <w:szCs w:val="20"/>
          <w:highlight w:val="none"/>
        </w:rPr>
        <w:t>名法律专家。</w:t>
      </w:r>
    </w:p>
    <w:p w14:paraId="1F1CC114">
      <w:pPr>
        <w:spacing w:before="95" w:line="228" w:lineRule="auto"/>
        <w:ind w:left="43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25、首次响应文件的开启</w:t>
      </w:r>
    </w:p>
    <w:p w14:paraId="74E05674">
      <w:pPr>
        <w:spacing w:before="94" w:line="227" w:lineRule="auto"/>
        <w:jc w:val="right"/>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25.1</w:t>
      </w:r>
      <w:r>
        <w:rPr>
          <w:rFonts w:ascii="宋体" w:hAnsi="宋体" w:eastAsia="宋体" w:cs="宋体"/>
          <w:color w:val="auto"/>
          <w:spacing w:val="-37"/>
          <w:sz w:val="20"/>
          <w:szCs w:val="20"/>
          <w:highlight w:val="none"/>
        </w:rPr>
        <w:t xml:space="preserve"> </w:t>
      </w:r>
      <w:r>
        <w:rPr>
          <w:rFonts w:ascii="宋体" w:hAnsi="宋体" w:eastAsia="宋体" w:cs="宋体"/>
          <w:color w:val="auto"/>
          <w:spacing w:val="4"/>
          <w:sz w:val="20"/>
          <w:szCs w:val="20"/>
          <w:highlight w:val="none"/>
        </w:rPr>
        <w:t>首次响应文件由磋商小组或者采购代理机构在“供应商须知前附表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4"/>
          <w:sz w:val="20"/>
          <w:szCs w:val="20"/>
          <w:highlight w:val="none"/>
        </w:rPr>
        <w:t>”规定的时</w:t>
      </w:r>
      <w:r>
        <w:rPr>
          <w:rFonts w:ascii="宋体" w:hAnsi="宋体" w:eastAsia="宋体" w:cs="宋体"/>
          <w:color w:val="auto"/>
          <w:spacing w:val="3"/>
          <w:sz w:val="20"/>
          <w:szCs w:val="20"/>
          <w:highlight w:val="none"/>
        </w:rPr>
        <w:t>间开启。</w:t>
      </w:r>
    </w:p>
    <w:p w14:paraId="3AE6CA31">
      <w:pPr>
        <w:spacing w:before="94" w:line="228" w:lineRule="auto"/>
        <w:ind w:left="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25.2</w:t>
      </w:r>
      <w:r>
        <w:rPr>
          <w:rFonts w:ascii="宋体" w:hAnsi="宋体" w:eastAsia="宋体" w:cs="宋体"/>
          <w:color w:val="auto"/>
          <w:spacing w:val="31"/>
          <w:sz w:val="20"/>
          <w:szCs w:val="20"/>
          <w:highlight w:val="none"/>
        </w:rPr>
        <w:t xml:space="preserve"> </w:t>
      </w:r>
      <w:r>
        <w:rPr>
          <w:rFonts w:ascii="宋体" w:hAnsi="宋体" w:eastAsia="宋体" w:cs="宋体"/>
          <w:color w:val="auto"/>
          <w:spacing w:val="4"/>
          <w:sz w:val="20"/>
          <w:szCs w:val="20"/>
          <w:highlight w:val="none"/>
        </w:rPr>
        <w:t>响应文件解密</w:t>
      </w:r>
    </w:p>
    <w:p w14:paraId="6A781F5D">
      <w:pPr>
        <w:spacing w:before="92" w:line="373" w:lineRule="auto"/>
        <w:ind w:right="16" w:firstLine="420"/>
        <w:jc w:val="both"/>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采购代理机构将在“供应商须知前附表</w:t>
      </w:r>
      <w:r>
        <w:rPr>
          <w:rFonts w:ascii="宋体" w:hAnsi="宋体" w:eastAsia="宋体" w:cs="宋体"/>
          <w:color w:val="auto"/>
          <w:spacing w:val="-56"/>
          <w:sz w:val="20"/>
          <w:szCs w:val="20"/>
          <w:highlight w:val="none"/>
        </w:rPr>
        <w:t xml:space="preserve"> </w:t>
      </w:r>
      <w:r>
        <w:rPr>
          <w:rFonts w:ascii="宋体" w:hAnsi="宋体" w:eastAsia="宋体" w:cs="宋体"/>
          <w:color w:val="auto"/>
          <w:spacing w:val="5"/>
          <w:sz w:val="20"/>
          <w:szCs w:val="20"/>
          <w:highlight w:val="none"/>
        </w:rPr>
        <w:t>”规定的时间通过电子交易平台组织响应文件开启，</w:t>
      </w:r>
      <w:r>
        <w:rPr>
          <w:rFonts w:ascii="宋体" w:hAnsi="宋体" w:eastAsia="宋体" w:cs="宋体"/>
          <w:color w:val="auto"/>
          <w:spacing w:val="10"/>
          <w:sz w:val="20"/>
          <w:szCs w:val="20"/>
          <w:highlight w:val="none"/>
        </w:rPr>
        <w:t>采购机构依托电子交易平台发起开始解密指令，供应商的法定代表人或其</w:t>
      </w:r>
      <w:r>
        <w:rPr>
          <w:rFonts w:ascii="宋体" w:hAnsi="宋体" w:eastAsia="宋体" w:cs="宋体"/>
          <w:color w:val="auto"/>
          <w:spacing w:val="9"/>
          <w:sz w:val="20"/>
          <w:szCs w:val="20"/>
          <w:highlight w:val="none"/>
        </w:rPr>
        <w:t>委托代理人</w:t>
      </w:r>
      <w:r>
        <w:rPr>
          <w:rFonts w:ascii="宋体" w:hAnsi="宋体" w:eastAsia="宋体" w:cs="宋体"/>
          <w:b/>
          <w:bCs/>
          <w:color w:val="auto"/>
          <w:spacing w:val="9"/>
          <w:sz w:val="20"/>
          <w:szCs w:val="20"/>
          <w:highlight w:val="none"/>
        </w:rPr>
        <w:t>须携带加</w:t>
      </w:r>
      <w:r>
        <w:rPr>
          <w:rFonts w:ascii="宋体" w:hAnsi="宋体" w:eastAsia="宋体" w:cs="宋体"/>
          <w:b/>
          <w:bCs/>
          <w:color w:val="auto"/>
          <w:spacing w:val="11"/>
          <w:sz w:val="20"/>
          <w:szCs w:val="20"/>
          <w:highlight w:val="none"/>
        </w:rPr>
        <w:t>密时所用的</w:t>
      </w:r>
      <w:r>
        <w:rPr>
          <w:rFonts w:ascii="宋体" w:hAnsi="宋体" w:eastAsia="宋体" w:cs="宋体"/>
          <w:b/>
          <w:bCs/>
          <w:color w:val="auto"/>
          <w:sz w:val="20"/>
          <w:szCs w:val="20"/>
          <w:highlight w:val="none"/>
        </w:rPr>
        <w:t>CA</w:t>
      </w:r>
      <w:r>
        <w:rPr>
          <w:rFonts w:ascii="宋体" w:hAnsi="宋体" w:eastAsia="宋体" w:cs="宋体"/>
          <w:color w:val="auto"/>
          <w:spacing w:val="-35"/>
          <w:sz w:val="20"/>
          <w:szCs w:val="20"/>
          <w:highlight w:val="none"/>
        </w:rPr>
        <w:t xml:space="preserve"> </w:t>
      </w:r>
      <w:r>
        <w:rPr>
          <w:rFonts w:ascii="宋体" w:hAnsi="宋体" w:eastAsia="宋体" w:cs="宋体"/>
          <w:b/>
          <w:bCs/>
          <w:color w:val="auto"/>
          <w:spacing w:val="11"/>
          <w:sz w:val="20"/>
          <w:szCs w:val="20"/>
          <w:highlight w:val="none"/>
        </w:rPr>
        <w:t>锁按平台提示和采购文件的规定登录到“广西政府采购云平台</w:t>
      </w:r>
      <w:r>
        <w:rPr>
          <w:rFonts w:ascii="宋体" w:hAnsi="宋体" w:eastAsia="宋体" w:cs="宋体"/>
          <w:color w:val="auto"/>
          <w:spacing w:val="-70"/>
          <w:sz w:val="20"/>
          <w:szCs w:val="20"/>
          <w:highlight w:val="none"/>
        </w:rPr>
        <w:t xml:space="preserve"> </w:t>
      </w:r>
      <w:r>
        <w:rPr>
          <w:rFonts w:ascii="宋体" w:hAnsi="宋体" w:eastAsia="宋体" w:cs="宋体"/>
          <w:b/>
          <w:bCs/>
          <w:color w:val="auto"/>
          <w:spacing w:val="11"/>
          <w:sz w:val="20"/>
          <w:szCs w:val="20"/>
          <w:highlight w:val="none"/>
        </w:rPr>
        <w:t>”电子开标大厅</w:t>
      </w:r>
      <w:r>
        <w:rPr>
          <w:rFonts w:ascii="宋体" w:hAnsi="宋体" w:eastAsia="宋体" w:cs="宋体"/>
          <w:b/>
          <w:bCs/>
          <w:color w:val="auto"/>
          <w:spacing w:val="6"/>
          <w:sz w:val="20"/>
          <w:szCs w:val="20"/>
          <w:highlight w:val="none"/>
        </w:rPr>
        <w:t>签到并在发起解密指令之时起</w:t>
      </w:r>
      <w:r>
        <w:rPr>
          <w:rFonts w:ascii="宋体" w:hAnsi="宋体" w:eastAsia="宋体" w:cs="宋体"/>
          <w:color w:val="auto"/>
          <w:spacing w:val="-32"/>
          <w:sz w:val="20"/>
          <w:szCs w:val="20"/>
          <w:highlight w:val="none"/>
        </w:rPr>
        <w:t xml:space="preserve"> </w:t>
      </w:r>
      <w:r>
        <w:rPr>
          <w:rFonts w:ascii="宋体" w:hAnsi="宋体" w:eastAsia="宋体" w:cs="宋体"/>
          <w:b/>
          <w:bCs/>
          <w:color w:val="auto"/>
          <w:spacing w:val="6"/>
          <w:sz w:val="20"/>
          <w:szCs w:val="20"/>
          <w:highlight w:val="none"/>
        </w:rPr>
        <w:t>30</w:t>
      </w:r>
      <w:r>
        <w:rPr>
          <w:rFonts w:ascii="宋体" w:hAnsi="宋体" w:eastAsia="宋体" w:cs="宋体"/>
          <w:color w:val="auto"/>
          <w:spacing w:val="-36"/>
          <w:sz w:val="20"/>
          <w:szCs w:val="20"/>
          <w:highlight w:val="none"/>
        </w:rPr>
        <w:t xml:space="preserve"> </w:t>
      </w:r>
      <w:r>
        <w:rPr>
          <w:rFonts w:ascii="宋体" w:hAnsi="宋体" w:eastAsia="宋体" w:cs="宋体"/>
          <w:b/>
          <w:bCs/>
          <w:color w:val="auto"/>
          <w:spacing w:val="6"/>
          <w:sz w:val="20"/>
          <w:szCs w:val="20"/>
          <w:highlight w:val="none"/>
        </w:rPr>
        <w:t>分钟内完成对电子响应文件在线解密</w:t>
      </w:r>
      <w:r>
        <w:rPr>
          <w:rFonts w:ascii="宋体" w:hAnsi="宋体" w:eastAsia="宋体" w:cs="宋体"/>
          <w:color w:val="auto"/>
          <w:spacing w:val="6"/>
          <w:sz w:val="20"/>
          <w:szCs w:val="20"/>
          <w:highlight w:val="none"/>
        </w:rPr>
        <w:t>。发起解密</w:t>
      </w:r>
      <w:r>
        <w:rPr>
          <w:rFonts w:ascii="宋体" w:hAnsi="宋体" w:eastAsia="宋体" w:cs="宋体"/>
          <w:color w:val="auto"/>
          <w:spacing w:val="5"/>
          <w:sz w:val="20"/>
          <w:szCs w:val="20"/>
          <w:highlight w:val="none"/>
        </w:rPr>
        <w:t>指令之时起5</w:t>
      </w:r>
      <w:r>
        <w:rPr>
          <w:rFonts w:ascii="宋体" w:hAnsi="宋体" w:eastAsia="宋体" w:cs="宋体"/>
          <w:color w:val="auto"/>
          <w:spacing w:val="10"/>
          <w:sz w:val="20"/>
          <w:szCs w:val="20"/>
          <w:highlight w:val="none"/>
        </w:rPr>
        <w:t>分钟内供应商还未进行解密的，代理机构要通知供应商，供应商没预留联系方式或预留联系方式无效，导致代理机构无法联系到供应商进行解密</w:t>
      </w:r>
      <w:r>
        <w:rPr>
          <w:rFonts w:ascii="宋体" w:hAnsi="宋体" w:eastAsia="宋体" w:cs="宋体"/>
          <w:color w:val="auto"/>
          <w:spacing w:val="9"/>
          <w:sz w:val="20"/>
          <w:szCs w:val="20"/>
          <w:highlight w:val="none"/>
        </w:rPr>
        <w:t>的，</w:t>
      </w:r>
      <w:r>
        <w:rPr>
          <w:rFonts w:ascii="宋体" w:hAnsi="宋体" w:eastAsia="宋体" w:cs="宋体"/>
          <w:b/>
          <w:bCs/>
          <w:color w:val="auto"/>
          <w:spacing w:val="9"/>
          <w:sz w:val="20"/>
          <w:szCs w:val="20"/>
          <w:highlight w:val="none"/>
        </w:rPr>
        <w:t>视为响应文件无效</w:t>
      </w:r>
      <w:r>
        <w:rPr>
          <w:rFonts w:ascii="宋体" w:hAnsi="宋体" w:eastAsia="宋体" w:cs="宋体"/>
          <w:color w:val="auto"/>
          <w:spacing w:val="9"/>
          <w:sz w:val="20"/>
          <w:szCs w:val="20"/>
          <w:highlight w:val="none"/>
        </w:rPr>
        <w:t>。（解密异常情况处</w:t>
      </w:r>
      <w:r>
        <w:rPr>
          <w:rFonts w:ascii="宋体" w:hAnsi="宋体" w:eastAsia="宋体" w:cs="宋体"/>
          <w:color w:val="auto"/>
          <w:spacing w:val="4"/>
          <w:sz w:val="20"/>
          <w:szCs w:val="20"/>
          <w:highlight w:val="none"/>
        </w:rPr>
        <w:t>理：详见本章26.3电子交易活动的中止。）</w:t>
      </w:r>
    </w:p>
    <w:p w14:paraId="14AC5FC5">
      <w:pPr>
        <w:spacing w:before="32" w:line="305" w:lineRule="auto"/>
        <w:ind w:right="16" w:firstLine="42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如供应商成功解密响应文件，但未在“广西政府</w:t>
      </w:r>
      <w:r>
        <w:rPr>
          <w:rFonts w:ascii="宋体" w:hAnsi="宋体" w:eastAsia="宋体" w:cs="宋体"/>
          <w:color w:val="auto"/>
          <w:spacing w:val="9"/>
          <w:sz w:val="20"/>
          <w:szCs w:val="20"/>
          <w:highlight w:val="none"/>
        </w:rPr>
        <w:t>采购云平台</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”电子开标大厅参加磋商的，</w:t>
      </w:r>
      <w:r>
        <w:rPr>
          <w:rFonts w:ascii="宋体" w:hAnsi="宋体" w:eastAsia="宋体" w:cs="宋体"/>
          <w:color w:val="auto"/>
          <w:spacing w:val="6"/>
          <w:sz w:val="20"/>
          <w:szCs w:val="20"/>
          <w:highlight w:val="none"/>
        </w:rPr>
        <w:t>视同认可磋商过程和结果，由此产生的后果由供应商</w:t>
      </w:r>
      <w:r>
        <w:rPr>
          <w:rFonts w:ascii="宋体" w:hAnsi="宋体" w:eastAsia="宋体" w:cs="宋体"/>
          <w:color w:val="auto"/>
          <w:spacing w:val="5"/>
          <w:sz w:val="20"/>
          <w:szCs w:val="20"/>
          <w:highlight w:val="none"/>
        </w:rPr>
        <w:t>自行负责。参与磋商的供应商不足3家的，</w:t>
      </w:r>
      <w:r>
        <w:rPr>
          <w:rFonts w:ascii="宋体" w:hAnsi="宋体" w:eastAsia="宋体" w:cs="宋体"/>
          <w:color w:val="auto"/>
          <w:spacing w:val="6"/>
          <w:sz w:val="20"/>
          <w:szCs w:val="20"/>
          <w:highlight w:val="none"/>
        </w:rPr>
        <w:t>不得磋商。</w:t>
      </w:r>
    </w:p>
    <w:p w14:paraId="7062D876">
      <w:pPr>
        <w:spacing w:before="32" w:line="228" w:lineRule="auto"/>
        <w:ind w:left="43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26、评审程序、评审方法和评审标准</w:t>
      </w:r>
    </w:p>
    <w:p w14:paraId="0B532665">
      <w:pPr>
        <w:spacing w:before="91" w:line="272" w:lineRule="auto"/>
        <w:ind w:right="70" w:firstLine="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26.1</w:t>
      </w:r>
      <w:r>
        <w:rPr>
          <w:rFonts w:ascii="宋体" w:hAnsi="宋体" w:eastAsia="宋体" w:cs="宋体"/>
          <w:color w:val="auto"/>
          <w:spacing w:val="-28"/>
          <w:sz w:val="20"/>
          <w:szCs w:val="20"/>
          <w:highlight w:val="none"/>
        </w:rPr>
        <w:t xml:space="preserve"> </w:t>
      </w:r>
      <w:r>
        <w:rPr>
          <w:rFonts w:ascii="宋体" w:hAnsi="宋体" w:eastAsia="宋体" w:cs="宋体"/>
          <w:color w:val="auto"/>
          <w:spacing w:val="7"/>
          <w:sz w:val="20"/>
          <w:szCs w:val="20"/>
          <w:highlight w:val="none"/>
        </w:rPr>
        <w:t>磋商小组按照“评审程序、评审方法和评审标准</w:t>
      </w:r>
      <w:r>
        <w:rPr>
          <w:rFonts w:ascii="宋体" w:hAnsi="宋体" w:eastAsia="宋体" w:cs="宋体"/>
          <w:color w:val="auto"/>
          <w:spacing w:val="-73"/>
          <w:sz w:val="20"/>
          <w:szCs w:val="20"/>
          <w:highlight w:val="none"/>
        </w:rPr>
        <w:t xml:space="preserve"> </w:t>
      </w:r>
      <w:r>
        <w:rPr>
          <w:rFonts w:ascii="宋体" w:hAnsi="宋体" w:eastAsia="宋体" w:cs="宋体"/>
          <w:color w:val="auto"/>
          <w:spacing w:val="7"/>
          <w:sz w:val="20"/>
          <w:szCs w:val="20"/>
          <w:highlight w:val="none"/>
        </w:rPr>
        <w:t>”规定的方法、评审因素、标准和程</w:t>
      </w:r>
      <w:r>
        <w:rPr>
          <w:rFonts w:ascii="宋体" w:hAnsi="宋体" w:eastAsia="宋体" w:cs="宋体"/>
          <w:color w:val="auto"/>
          <w:spacing w:val="8"/>
          <w:sz w:val="20"/>
          <w:szCs w:val="20"/>
          <w:highlight w:val="none"/>
        </w:rPr>
        <w:t>序对响应文件进行评审。</w:t>
      </w:r>
    </w:p>
    <w:p w14:paraId="64E243D2">
      <w:pPr>
        <w:spacing w:before="92" w:line="227" w:lineRule="auto"/>
        <w:ind w:left="423"/>
        <w:rPr>
          <w:color w:val="auto"/>
          <w:highlight w:val="none"/>
        </w:rPr>
      </w:pPr>
      <w:r>
        <w:rPr>
          <w:rFonts w:ascii="宋体" w:hAnsi="宋体" w:eastAsia="宋体" w:cs="宋体"/>
          <w:color w:val="auto"/>
          <w:spacing w:val="7"/>
          <w:sz w:val="20"/>
          <w:szCs w:val="20"/>
          <w:highlight w:val="none"/>
        </w:rPr>
        <w:t>26.2 采购文件内容违反国家有关强制性规定的，磋商小组应当停止评审</w:t>
      </w:r>
      <w:r>
        <w:rPr>
          <w:rFonts w:ascii="宋体" w:hAnsi="宋体" w:eastAsia="宋体" w:cs="宋体"/>
          <w:color w:val="auto"/>
          <w:spacing w:val="6"/>
          <w:sz w:val="20"/>
          <w:szCs w:val="20"/>
          <w:highlight w:val="none"/>
        </w:rPr>
        <w:t>并向采购人或者采</w:t>
      </w:r>
    </w:p>
    <w:p w14:paraId="16AB9068">
      <w:pPr>
        <w:spacing w:before="41" w:line="226" w:lineRule="auto"/>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购代理机构说明情况，并在评审报告中书面体现。</w:t>
      </w:r>
    </w:p>
    <w:p w14:paraId="7DDBB874">
      <w:pPr>
        <w:spacing w:before="95" w:line="227" w:lineRule="auto"/>
        <w:ind w:left="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26.3</w:t>
      </w:r>
      <w:r>
        <w:rPr>
          <w:rFonts w:ascii="宋体" w:hAnsi="宋体" w:eastAsia="宋体" w:cs="宋体"/>
          <w:color w:val="auto"/>
          <w:spacing w:val="-29"/>
          <w:sz w:val="20"/>
          <w:szCs w:val="20"/>
          <w:highlight w:val="none"/>
        </w:rPr>
        <w:t xml:space="preserve"> </w:t>
      </w:r>
      <w:r>
        <w:rPr>
          <w:rFonts w:ascii="宋体" w:hAnsi="宋体" w:eastAsia="宋体" w:cs="宋体"/>
          <w:color w:val="auto"/>
          <w:spacing w:val="8"/>
          <w:sz w:val="20"/>
          <w:szCs w:val="20"/>
          <w:highlight w:val="none"/>
        </w:rPr>
        <w:t>采购需求负偏离要求及磋商顺序详见“供应商须知前附表”。</w:t>
      </w:r>
    </w:p>
    <w:p w14:paraId="124752E8">
      <w:pPr>
        <w:spacing w:before="92" w:line="272" w:lineRule="auto"/>
        <w:ind w:left="4" w:right="62"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26.4</w:t>
      </w:r>
      <w:r>
        <w:rPr>
          <w:rFonts w:ascii="宋体" w:hAnsi="宋体" w:eastAsia="宋体" w:cs="宋体"/>
          <w:color w:val="auto"/>
          <w:spacing w:val="-8"/>
          <w:sz w:val="20"/>
          <w:szCs w:val="20"/>
          <w:highlight w:val="none"/>
        </w:rPr>
        <w:t xml:space="preserve"> </w:t>
      </w:r>
      <w:r>
        <w:rPr>
          <w:rFonts w:ascii="宋体" w:hAnsi="宋体" w:eastAsia="宋体" w:cs="宋体"/>
          <w:color w:val="auto"/>
          <w:spacing w:val="7"/>
          <w:sz w:val="20"/>
          <w:szCs w:val="20"/>
          <w:highlight w:val="none"/>
        </w:rPr>
        <w:t>电子交易活动的中止。采购过程中出现以下情形，导致电子交易平台无法正常运行，</w:t>
      </w:r>
      <w:r>
        <w:rPr>
          <w:rFonts w:ascii="宋体" w:hAnsi="宋体" w:eastAsia="宋体" w:cs="宋体"/>
          <w:color w:val="auto"/>
          <w:spacing w:val="9"/>
          <w:sz w:val="20"/>
          <w:szCs w:val="20"/>
          <w:highlight w:val="none"/>
        </w:rPr>
        <w:t>或者无法保证电子交易的公平、公正和安全时，采购机构可中止电子交易活动：</w:t>
      </w:r>
    </w:p>
    <w:p w14:paraId="7B5B0697">
      <w:pPr>
        <w:spacing w:before="92" w:line="228" w:lineRule="auto"/>
        <w:ind w:left="43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w:t>
      </w:r>
      <w:r>
        <w:rPr>
          <w:rFonts w:ascii="宋体" w:hAnsi="宋体" w:eastAsia="宋体" w:cs="宋体"/>
          <w:color w:val="auto"/>
          <w:spacing w:val="-49"/>
          <w:sz w:val="20"/>
          <w:szCs w:val="20"/>
          <w:highlight w:val="none"/>
        </w:rPr>
        <w:t xml:space="preserve"> </w:t>
      </w:r>
      <w:r>
        <w:rPr>
          <w:rFonts w:ascii="宋体" w:hAnsi="宋体" w:eastAsia="宋体" w:cs="宋体"/>
          <w:color w:val="auto"/>
          <w:spacing w:val="6"/>
          <w:sz w:val="20"/>
          <w:szCs w:val="20"/>
          <w:highlight w:val="none"/>
        </w:rPr>
        <w:t>电子交易平台发生故障而无法登录访问的；</w:t>
      </w:r>
    </w:p>
    <w:p w14:paraId="3EB49FD5">
      <w:pPr>
        <w:spacing w:before="93" w:line="228"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w:t>
      </w:r>
      <w:r>
        <w:rPr>
          <w:rFonts w:ascii="宋体" w:hAnsi="宋体" w:eastAsia="宋体" w:cs="宋体"/>
          <w:color w:val="auto"/>
          <w:spacing w:val="-47"/>
          <w:sz w:val="20"/>
          <w:szCs w:val="20"/>
          <w:highlight w:val="none"/>
        </w:rPr>
        <w:t xml:space="preserve"> </w:t>
      </w:r>
      <w:r>
        <w:rPr>
          <w:rFonts w:ascii="宋体" w:hAnsi="宋体" w:eastAsia="宋体" w:cs="宋体"/>
          <w:color w:val="auto"/>
          <w:spacing w:val="7"/>
          <w:sz w:val="20"/>
          <w:szCs w:val="20"/>
          <w:highlight w:val="none"/>
        </w:rPr>
        <w:t>电子交易平台应用或数据库出现错误，不能进行正常操作的；</w:t>
      </w:r>
    </w:p>
    <w:p w14:paraId="14361145">
      <w:pPr>
        <w:spacing w:before="95" w:line="228"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w:t>
      </w:r>
      <w:r>
        <w:rPr>
          <w:rFonts w:ascii="宋体" w:hAnsi="宋体" w:eastAsia="宋体" w:cs="宋体"/>
          <w:color w:val="auto"/>
          <w:spacing w:val="-54"/>
          <w:sz w:val="20"/>
          <w:szCs w:val="20"/>
          <w:highlight w:val="none"/>
        </w:rPr>
        <w:t xml:space="preserve"> </w:t>
      </w:r>
      <w:r>
        <w:rPr>
          <w:rFonts w:ascii="宋体" w:hAnsi="宋体" w:eastAsia="宋体" w:cs="宋体"/>
          <w:color w:val="auto"/>
          <w:spacing w:val="7"/>
          <w:sz w:val="20"/>
          <w:szCs w:val="20"/>
          <w:highlight w:val="none"/>
        </w:rPr>
        <w:t>电子交易平台发现严重安全漏洞，有潜在泄密危险的；</w:t>
      </w:r>
    </w:p>
    <w:p w14:paraId="341A1805">
      <w:pPr>
        <w:spacing w:before="93" w:line="228"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（4）病毒发作导致不能进行正常操作的；</w:t>
      </w:r>
    </w:p>
    <w:p w14:paraId="7178066C">
      <w:pPr>
        <w:spacing w:before="95" w:line="228"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（5）其他无法保证电子交易的公平、公正和安全的情况。</w:t>
      </w:r>
    </w:p>
    <w:p w14:paraId="7FD62ADD">
      <w:pPr>
        <w:spacing w:before="92" w:line="285" w:lineRule="auto"/>
        <w:ind w:left="2" w:right="54" w:firstLine="42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26.5</w:t>
      </w:r>
      <w:r>
        <w:rPr>
          <w:rFonts w:ascii="宋体" w:hAnsi="宋体" w:eastAsia="宋体" w:cs="宋体"/>
          <w:color w:val="auto"/>
          <w:spacing w:val="-8"/>
          <w:sz w:val="20"/>
          <w:szCs w:val="20"/>
          <w:highlight w:val="none"/>
        </w:rPr>
        <w:t xml:space="preserve"> </w:t>
      </w:r>
      <w:r>
        <w:rPr>
          <w:rFonts w:ascii="宋体" w:hAnsi="宋体" w:eastAsia="宋体" w:cs="宋体"/>
          <w:color w:val="auto"/>
          <w:spacing w:val="7"/>
          <w:sz w:val="20"/>
          <w:szCs w:val="20"/>
          <w:highlight w:val="none"/>
        </w:rPr>
        <w:t>出现以上情形，不影响采购公平、公正性的，采购组织机构可以待上述情形消除后继</w:t>
      </w:r>
      <w:r>
        <w:rPr>
          <w:rFonts w:ascii="宋体" w:hAnsi="宋体" w:eastAsia="宋体" w:cs="宋体"/>
          <w:color w:val="auto"/>
          <w:spacing w:val="10"/>
          <w:sz w:val="20"/>
          <w:szCs w:val="20"/>
          <w:highlight w:val="none"/>
        </w:rPr>
        <w:t>续组织电子交易活动；影响或可能影响采购公平、公正性的，经采购代理机构确认后，应</w:t>
      </w:r>
      <w:r>
        <w:rPr>
          <w:rFonts w:ascii="宋体" w:hAnsi="宋体" w:eastAsia="宋体" w:cs="宋体"/>
          <w:color w:val="auto"/>
          <w:spacing w:val="9"/>
          <w:sz w:val="20"/>
          <w:szCs w:val="20"/>
          <w:highlight w:val="none"/>
        </w:rPr>
        <w:t>当重新采购。采购代理机构必须对原有的资料及信息作出妥善保密处理，并报财政部门备案。</w:t>
      </w:r>
    </w:p>
    <w:p w14:paraId="3024C5D1">
      <w:pPr>
        <w:spacing w:before="95" w:line="229" w:lineRule="auto"/>
        <w:ind w:left="5"/>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五、成交及合同</w:t>
      </w:r>
    </w:p>
    <w:p w14:paraId="2C46AC91">
      <w:pPr>
        <w:spacing w:before="93" w:line="226" w:lineRule="auto"/>
        <w:ind w:left="431"/>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27、确定成交供应商及结果公告</w:t>
      </w:r>
    </w:p>
    <w:p w14:paraId="00150929">
      <w:pPr>
        <w:spacing w:before="95" w:line="271" w:lineRule="auto"/>
        <w:ind w:left="5" w:right="54" w:firstLine="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27.1 确定成交供应商。</w:t>
      </w:r>
      <w:r>
        <w:rPr>
          <w:rFonts w:ascii="宋体" w:hAnsi="宋体" w:eastAsia="宋体" w:cs="宋体"/>
          <w:color w:val="auto"/>
          <w:spacing w:val="7"/>
          <w:sz w:val="20"/>
          <w:szCs w:val="20"/>
          <w:highlight w:val="none"/>
          <w:u w:val="single" w:color="auto"/>
        </w:rPr>
        <w:t>由采购人直接委托评审专家确定，评审报告提出</w:t>
      </w:r>
      <w:r>
        <w:rPr>
          <w:rFonts w:ascii="宋体" w:hAnsi="宋体" w:eastAsia="宋体" w:cs="宋体"/>
          <w:color w:val="auto"/>
          <w:spacing w:val="6"/>
          <w:sz w:val="20"/>
          <w:szCs w:val="20"/>
          <w:highlight w:val="none"/>
          <w:u w:val="single" w:color="auto"/>
        </w:rPr>
        <w:t>的排序第一的供应</w:t>
      </w:r>
      <w:r>
        <w:rPr>
          <w:rFonts w:ascii="宋体" w:hAnsi="宋体" w:eastAsia="宋体" w:cs="宋体"/>
          <w:color w:val="auto"/>
          <w:spacing w:val="7"/>
          <w:sz w:val="20"/>
          <w:szCs w:val="20"/>
          <w:highlight w:val="none"/>
          <w:u w:val="single" w:color="auto"/>
        </w:rPr>
        <w:t>商为成交供应商</w:t>
      </w:r>
      <w:r>
        <w:rPr>
          <w:rFonts w:ascii="宋体" w:hAnsi="宋体" w:eastAsia="宋体" w:cs="宋体"/>
          <w:color w:val="auto"/>
          <w:spacing w:val="7"/>
          <w:sz w:val="20"/>
          <w:szCs w:val="20"/>
          <w:highlight w:val="none"/>
        </w:rPr>
        <w:t>。</w:t>
      </w:r>
    </w:p>
    <w:p w14:paraId="012D2947">
      <w:pPr>
        <w:spacing w:before="93" w:line="297" w:lineRule="auto"/>
        <w:ind w:right="54" w:firstLine="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27.2</w:t>
      </w:r>
      <w:r>
        <w:rPr>
          <w:rFonts w:ascii="宋体" w:hAnsi="宋体" w:eastAsia="宋体" w:cs="宋体"/>
          <w:color w:val="auto"/>
          <w:spacing w:val="-26"/>
          <w:sz w:val="20"/>
          <w:szCs w:val="20"/>
          <w:highlight w:val="none"/>
        </w:rPr>
        <w:t xml:space="preserve"> </w:t>
      </w:r>
      <w:r>
        <w:rPr>
          <w:rFonts w:ascii="宋体" w:hAnsi="宋体" w:eastAsia="宋体" w:cs="宋体"/>
          <w:color w:val="auto"/>
          <w:spacing w:val="7"/>
          <w:sz w:val="20"/>
          <w:szCs w:val="20"/>
          <w:highlight w:val="none"/>
        </w:rPr>
        <w:t>成交通知及成交结果公告。成交供应商确定后</w:t>
      </w:r>
      <w:r>
        <w:rPr>
          <w:rFonts w:ascii="宋体" w:hAnsi="宋体" w:eastAsia="宋体" w:cs="宋体"/>
          <w:color w:val="auto"/>
          <w:spacing w:val="-34"/>
          <w:sz w:val="20"/>
          <w:szCs w:val="20"/>
          <w:highlight w:val="none"/>
        </w:rPr>
        <w:t xml:space="preserve"> </w:t>
      </w:r>
      <w:r>
        <w:rPr>
          <w:rFonts w:ascii="宋体" w:hAnsi="宋体" w:eastAsia="宋体" w:cs="宋体"/>
          <w:color w:val="auto"/>
          <w:spacing w:val="7"/>
          <w:sz w:val="20"/>
          <w:szCs w:val="20"/>
          <w:highlight w:val="none"/>
        </w:rPr>
        <w:t>2</w:t>
      </w:r>
      <w:r>
        <w:rPr>
          <w:rFonts w:ascii="宋体" w:hAnsi="宋体" w:eastAsia="宋体" w:cs="宋体"/>
          <w:color w:val="auto"/>
          <w:spacing w:val="-41"/>
          <w:sz w:val="20"/>
          <w:szCs w:val="20"/>
          <w:highlight w:val="none"/>
        </w:rPr>
        <w:t xml:space="preserve"> </w:t>
      </w:r>
      <w:r>
        <w:rPr>
          <w:rFonts w:ascii="宋体" w:hAnsi="宋体" w:eastAsia="宋体" w:cs="宋体"/>
          <w:color w:val="auto"/>
          <w:spacing w:val="7"/>
          <w:sz w:val="20"/>
          <w:szCs w:val="20"/>
          <w:highlight w:val="none"/>
        </w:rPr>
        <w:t>个工作日内，在指定的媒体上公告成</w:t>
      </w:r>
      <w:r>
        <w:rPr>
          <w:rFonts w:ascii="宋体" w:hAnsi="宋体" w:eastAsia="宋体" w:cs="宋体"/>
          <w:color w:val="auto"/>
          <w:spacing w:val="10"/>
          <w:sz w:val="20"/>
          <w:szCs w:val="20"/>
          <w:highlight w:val="none"/>
        </w:rPr>
        <w:t>交结果（成交通知及成交结果公告应使用模板进行公告，公告内容除包含《政府采购公告和公</w:t>
      </w:r>
      <w:r>
        <w:rPr>
          <w:rFonts w:ascii="宋体" w:hAnsi="宋体" w:eastAsia="宋体" w:cs="宋体"/>
          <w:color w:val="auto"/>
          <w:spacing w:val="8"/>
          <w:sz w:val="20"/>
          <w:szCs w:val="20"/>
          <w:highlight w:val="none"/>
        </w:rPr>
        <w:t>示信息格式规范（2020年版）》要求内容外，还应包含采购人专门面向中小企业预留份额情况</w:t>
      </w:r>
      <w:r>
        <w:rPr>
          <w:rFonts w:ascii="宋体" w:hAnsi="宋体" w:eastAsia="宋体" w:cs="宋体"/>
          <w:color w:val="auto"/>
          <w:spacing w:val="9"/>
          <w:sz w:val="20"/>
          <w:szCs w:val="20"/>
          <w:highlight w:val="none"/>
        </w:rPr>
        <w:t>及成交供应商评审价格、优惠率等内容</w:t>
      </w:r>
      <w:r>
        <w:rPr>
          <w:rFonts w:ascii="宋体" w:hAnsi="宋体" w:eastAsia="宋体" w:cs="宋体"/>
          <w:color w:val="auto"/>
          <w:spacing w:val="29"/>
          <w:sz w:val="20"/>
          <w:szCs w:val="20"/>
          <w:highlight w:val="none"/>
        </w:rPr>
        <w:t>），</w:t>
      </w:r>
      <w:r>
        <w:rPr>
          <w:rFonts w:ascii="宋体" w:hAnsi="宋体" w:eastAsia="宋体" w:cs="宋体"/>
          <w:color w:val="auto"/>
          <w:spacing w:val="9"/>
          <w:sz w:val="20"/>
          <w:szCs w:val="20"/>
          <w:highlight w:val="none"/>
        </w:rPr>
        <w:t>同时向成交供应商发出成交通知书，成交通知书规</w:t>
      </w:r>
      <w:r>
        <w:rPr>
          <w:rFonts w:ascii="宋体" w:hAnsi="宋体" w:eastAsia="宋体" w:cs="宋体"/>
          <w:color w:val="auto"/>
          <w:spacing w:val="4"/>
          <w:sz w:val="20"/>
          <w:szCs w:val="20"/>
          <w:highlight w:val="none"/>
        </w:rPr>
        <w:t>定签订合同的时间不得超过</w:t>
      </w:r>
      <w:r>
        <w:rPr>
          <w:rFonts w:hint="eastAsia" w:ascii="宋体" w:hAnsi="宋体" w:eastAsia="宋体" w:cs="宋体"/>
          <w:color w:val="auto"/>
          <w:spacing w:val="4"/>
          <w:sz w:val="20"/>
          <w:szCs w:val="20"/>
          <w:highlight w:val="none"/>
          <w:lang w:val="en-US" w:eastAsia="zh-CN"/>
        </w:rPr>
        <w:t>15</w:t>
      </w:r>
      <w:r>
        <w:rPr>
          <w:rFonts w:ascii="宋体" w:hAnsi="宋体" w:eastAsia="宋体" w:cs="宋体"/>
          <w:color w:val="auto"/>
          <w:spacing w:val="4"/>
          <w:sz w:val="20"/>
          <w:szCs w:val="20"/>
          <w:highlight w:val="none"/>
        </w:rPr>
        <w:t>日。</w:t>
      </w:r>
    </w:p>
    <w:p w14:paraId="77ED8B22">
      <w:pPr>
        <w:spacing w:before="98" w:line="303" w:lineRule="auto"/>
        <w:ind w:right="9"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27.3 采购人或者采购代理机构发出成交通知书前，应当对成交供应商信用进行</w:t>
      </w:r>
      <w:r>
        <w:rPr>
          <w:rFonts w:ascii="宋体" w:hAnsi="宋体" w:eastAsia="宋体" w:cs="宋体"/>
          <w:color w:val="auto"/>
          <w:spacing w:val="7"/>
          <w:sz w:val="20"/>
          <w:szCs w:val="20"/>
          <w:highlight w:val="none"/>
        </w:rPr>
        <w:t>查询核实，</w:t>
      </w:r>
      <w:r>
        <w:rPr>
          <w:rFonts w:ascii="宋体" w:hAnsi="宋体" w:eastAsia="宋体" w:cs="宋体"/>
          <w:color w:val="auto"/>
          <w:spacing w:val="10"/>
          <w:sz w:val="20"/>
          <w:szCs w:val="20"/>
          <w:highlight w:val="none"/>
        </w:rPr>
        <w:t>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w:t>
      </w:r>
      <w:r>
        <w:rPr>
          <w:rFonts w:ascii="宋体" w:hAnsi="宋体" w:eastAsia="宋体" w:cs="宋体"/>
          <w:color w:val="auto"/>
          <w:spacing w:val="9"/>
          <w:sz w:val="20"/>
          <w:szCs w:val="20"/>
          <w:highlight w:val="none"/>
        </w:rPr>
        <w:t>交资格的，采购人可以确定排名第三的成交候选人为成交供应商，</w:t>
      </w:r>
      <w:r>
        <w:rPr>
          <w:rFonts w:ascii="宋体" w:hAnsi="宋体" w:eastAsia="宋体" w:cs="宋体"/>
          <w:color w:val="auto"/>
          <w:spacing w:val="-60"/>
          <w:sz w:val="20"/>
          <w:szCs w:val="20"/>
          <w:highlight w:val="none"/>
        </w:rPr>
        <w:t xml:space="preserve"> </w:t>
      </w:r>
      <w:r>
        <w:rPr>
          <w:rFonts w:ascii="宋体" w:hAnsi="宋体" w:eastAsia="宋体" w:cs="宋体"/>
          <w:color w:val="auto"/>
          <w:spacing w:val="9"/>
          <w:sz w:val="20"/>
          <w:szCs w:val="20"/>
          <w:highlight w:val="none"/>
        </w:rPr>
        <w:t>以此类推。以上信息查询记</w:t>
      </w:r>
      <w:r>
        <w:rPr>
          <w:rFonts w:ascii="宋体" w:hAnsi="宋体" w:eastAsia="宋体" w:cs="宋体"/>
          <w:color w:val="auto"/>
          <w:spacing w:val="10"/>
          <w:sz w:val="20"/>
          <w:szCs w:val="20"/>
          <w:highlight w:val="none"/>
        </w:rPr>
        <w:t>录及相关证据与竞磋文件一并保存。成交供应商享受《政府采购</w:t>
      </w:r>
      <w:r>
        <w:rPr>
          <w:rFonts w:ascii="宋体" w:hAnsi="宋体" w:eastAsia="宋体" w:cs="宋体"/>
          <w:color w:val="auto"/>
          <w:spacing w:val="9"/>
          <w:sz w:val="20"/>
          <w:szCs w:val="20"/>
          <w:highlight w:val="none"/>
        </w:rPr>
        <w:t>促进中小企业发展管理办法》</w:t>
      </w:r>
      <w:r>
        <w:rPr>
          <w:rFonts w:ascii="宋体" w:hAnsi="宋体" w:eastAsia="宋体" w:cs="宋体"/>
          <w:color w:val="auto"/>
          <w:spacing w:val="8"/>
          <w:sz w:val="20"/>
          <w:szCs w:val="20"/>
          <w:highlight w:val="none"/>
        </w:rPr>
        <w:t>（财库〔2020〕46号）规定的中小企业扶持政策的，采购人、采购代理机</w:t>
      </w:r>
      <w:r>
        <w:rPr>
          <w:rFonts w:ascii="宋体" w:hAnsi="宋体" w:eastAsia="宋体" w:cs="宋体"/>
          <w:color w:val="auto"/>
          <w:spacing w:val="7"/>
          <w:sz w:val="20"/>
          <w:szCs w:val="20"/>
          <w:highlight w:val="none"/>
        </w:rPr>
        <w:t>构应当随成交结果公</w:t>
      </w:r>
      <w:r>
        <w:rPr>
          <w:rFonts w:ascii="宋体" w:hAnsi="宋体" w:eastAsia="宋体" w:cs="宋体"/>
          <w:color w:val="auto"/>
          <w:spacing w:val="8"/>
          <w:sz w:val="20"/>
          <w:szCs w:val="20"/>
          <w:highlight w:val="none"/>
        </w:rPr>
        <w:t>开成交供应商的《中小企业声明函》。</w:t>
      </w:r>
    </w:p>
    <w:p w14:paraId="4C688BE3">
      <w:pPr>
        <w:spacing w:before="93" w:line="285" w:lineRule="auto"/>
        <w:ind w:left="1" w:right="54"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27.4</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采购人、采购代理机构认为供应商对采购过程、成交结果提出的质疑成立且影</w:t>
      </w:r>
      <w:r>
        <w:rPr>
          <w:rFonts w:ascii="宋体" w:hAnsi="宋体" w:eastAsia="宋体" w:cs="宋体"/>
          <w:color w:val="auto"/>
          <w:spacing w:val="7"/>
          <w:sz w:val="20"/>
          <w:szCs w:val="20"/>
          <w:highlight w:val="none"/>
        </w:rPr>
        <w:t>响或者</w:t>
      </w:r>
      <w:r>
        <w:rPr>
          <w:rFonts w:ascii="宋体" w:hAnsi="宋体" w:eastAsia="宋体" w:cs="宋体"/>
          <w:color w:val="auto"/>
          <w:spacing w:val="10"/>
          <w:sz w:val="20"/>
          <w:szCs w:val="20"/>
          <w:highlight w:val="none"/>
        </w:rPr>
        <w:t>可能影响成交结果的，合格供应商符合法定数量时，可以从合格的成</w:t>
      </w:r>
      <w:r>
        <w:rPr>
          <w:rFonts w:ascii="宋体" w:hAnsi="宋体" w:eastAsia="宋体" w:cs="宋体"/>
          <w:color w:val="auto"/>
          <w:spacing w:val="9"/>
          <w:sz w:val="20"/>
          <w:szCs w:val="20"/>
          <w:highlight w:val="none"/>
        </w:rPr>
        <w:t>交候选人中另行确定成交供应商的，应当依法另行确定成交供应商；否则应当重新开展采购活动。</w:t>
      </w:r>
    </w:p>
    <w:p w14:paraId="1A10D1FB">
      <w:pPr>
        <w:spacing w:before="97" w:line="285" w:lineRule="auto"/>
        <w:ind w:left="4" w:right="54"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27.5</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排名第一的成交候选人放弃成交、因不可抗力提出不能履行合同，采购人可</w:t>
      </w:r>
      <w:r>
        <w:rPr>
          <w:rFonts w:ascii="宋体" w:hAnsi="宋体" w:eastAsia="宋体" w:cs="宋体"/>
          <w:color w:val="auto"/>
          <w:spacing w:val="7"/>
          <w:sz w:val="20"/>
          <w:szCs w:val="20"/>
          <w:highlight w:val="none"/>
        </w:rPr>
        <w:t>以确定排</w:t>
      </w:r>
      <w:r>
        <w:rPr>
          <w:rFonts w:ascii="宋体" w:hAnsi="宋体" w:eastAsia="宋体" w:cs="宋体"/>
          <w:color w:val="auto"/>
          <w:spacing w:val="10"/>
          <w:sz w:val="20"/>
          <w:szCs w:val="20"/>
          <w:highlight w:val="none"/>
        </w:rPr>
        <w:t>名第二的成交候选人为成交供应商。排名第二的成交候选人因前</w:t>
      </w:r>
      <w:r>
        <w:rPr>
          <w:rFonts w:ascii="宋体" w:hAnsi="宋体" w:eastAsia="宋体" w:cs="宋体"/>
          <w:color w:val="auto"/>
          <w:spacing w:val="9"/>
          <w:sz w:val="20"/>
          <w:szCs w:val="20"/>
          <w:highlight w:val="none"/>
        </w:rPr>
        <w:t>款规定的同样原因不能签订合同的，采购人可以确定排名第三的成交候选人为成交供应商。</w:t>
      </w:r>
    </w:p>
    <w:p w14:paraId="03A90235">
      <w:pPr>
        <w:spacing w:before="95" w:line="228" w:lineRule="auto"/>
        <w:ind w:left="424"/>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28、履约保证金</w:t>
      </w:r>
    </w:p>
    <w:p w14:paraId="74FBF9EF">
      <w:pPr>
        <w:spacing w:before="92" w:line="285" w:lineRule="auto"/>
        <w:ind w:left="1" w:right="54" w:firstLine="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28.1 履约保证金的金额、提交方式、退付的时间和条件详见 “供应商须知前附表</w:t>
      </w:r>
      <w:r>
        <w:rPr>
          <w:rFonts w:ascii="宋体" w:hAnsi="宋体" w:eastAsia="宋体" w:cs="宋体"/>
          <w:color w:val="auto"/>
          <w:spacing w:val="-54"/>
          <w:sz w:val="20"/>
          <w:szCs w:val="20"/>
          <w:highlight w:val="none"/>
        </w:rPr>
        <w:t xml:space="preserve"> </w:t>
      </w:r>
      <w:r>
        <w:rPr>
          <w:rFonts w:ascii="宋体" w:hAnsi="宋体" w:eastAsia="宋体" w:cs="宋体"/>
          <w:color w:val="auto"/>
          <w:spacing w:val="8"/>
          <w:sz w:val="20"/>
          <w:szCs w:val="20"/>
          <w:highlight w:val="none"/>
        </w:rPr>
        <w:t>”。成</w:t>
      </w:r>
      <w:r>
        <w:rPr>
          <w:rFonts w:ascii="宋体" w:hAnsi="宋体" w:eastAsia="宋体" w:cs="宋体"/>
          <w:color w:val="auto"/>
          <w:spacing w:val="10"/>
          <w:sz w:val="20"/>
          <w:szCs w:val="20"/>
          <w:highlight w:val="none"/>
        </w:rPr>
        <w:t>交供应商未按规定提交履约保证金的，视为拒绝与采购人签订合同，采购人可以按照评审报告推荐的成交候选人名单排序，确定下一候选</w:t>
      </w:r>
      <w:r>
        <w:rPr>
          <w:rFonts w:ascii="宋体" w:hAnsi="宋体" w:eastAsia="宋体" w:cs="宋体"/>
          <w:color w:val="auto"/>
          <w:spacing w:val="9"/>
          <w:sz w:val="20"/>
          <w:szCs w:val="20"/>
          <w:highlight w:val="none"/>
        </w:rPr>
        <w:t>人为成交供应商，也可以重新开展政府采购活动。</w:t>
      </w:r>
    </w:p>
    <w:p w14:paraId="5610D950">
      <w:pPr>
        <w:spacing w:before="95" w:line="271" w:lineRule="auto"/>
        <w:ind w:left="5" w:firstLine="42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28.2</w:t>
      </w:r>
      <w:r>
        <w:rPr>
          <w:rFonts w:ascii="宋体" w:hAnsi="宋体" w:eastAsia="宋体" w:cs="宋体"/>
          <w:color w:val="auto"/>
          <w:spacing w:val="-32"/>
          <w:sz w:val="20"/>
          <w:szCs w:val="20"/>
          <w:highlight w:val="none"/>
        </w:rPr>
        <w:t xml:space="preserve"> </w:t>
      </w:r>
      <w:r>
        <w:rPr>
          <w:rFonts w:ascii="宋体" w:hAnsi="宋体" w:eastAsia="宋体" w:cs="宋体"/>
          <w:color w:val="auto"/>
          <w:spacing w:val="4"/>
          <w:sz w:val="20"/>
          <w:szCs w:val="20"/>
          <w:highlight w:val="none"/>
        </w:rPr>
        <w:t>签订合同后，如成交供应商不按双方签订的合同规定履约，则没收其全部履约保证金，</w:t>
      </w:r>
      <w:r>
        <w:rPr>
          <w:rFonts w:ascii="宋体" w:hAnsi="宋体" w:eastAsia="宋体" w:cs="宋体"/>
          <w:color w:val="auto"/>
          <w:spacing w:val="9"/>
          <w:sz w:val="20"/>
          <w:szCs w:val="20"/>
          <w:highlight w:val="none"/>
        </w:rPr>
        <w:t>履约保证金不足以赔偿损失的，按实际损失赔</w:t>
      </w:r>
      <w:r>
        <w:rPr>
          <w:rFonts w:ascii="宋体" w:hAnsi="宋体" w:eastAsia="宋体" w:cs="宋体"/>
          <w:color w:val="auto"/>
          <w:spacing w:val="8"/>
          <w:sz w:val="20"/>
          <w:szCs w:val="20"/>
          <w:highlight w:val="none"/>
        </w:rPr>
        <w:t>偿。</w:t>
      </w:r>
    </w:p>
    <w:p w14:paraId="468FC44C">
      <w:pPr>
        <w:spacing w:before="40" w:line="300" w:lineRule="auto"/>
        <w:ind w:left="25" w:right="70" w:firstLine="39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28.3</w:t>
      </w:r>
      <w:r>
        <w:rPr>
          <w:rFonts w:ascii="宋体" w:hAnsi="宋体" w:eastAsia="宋体" w:cs="宋体"/>
          <w:color w:val="auto"/>
          <w:spacing w:val="-42"/>
          <w:sz w:val="20"/>
          <w:szCs w:val="20"/>
          <w:highlight w:val="none"/>
        </w:rPr>
        <w:t xml:space="preserve"> </w:t>
      </w:r>
      <w:r>
        <w:rPr>
          <w:rFonts w:ascii="宋体" w:hAnsi="宋体" w:eastAsia="宋体" w:cs="宋体"/>
          <w:color w:val="auto"/>
          <w:spacing w:val="8"/>
          <w:sz w:val="20"/>
          <w:szCs w:val="20"/>
          <w:highlight w:val="none"/>
        </w:rPr>
        <w:t>在履约保证金退还日期前，若成交供应商的开户名称、开户银行、帐号有变动的，请</w:t>
      </w:r>
      <w:r>
        <w:rPr>
          <w:rFonts w:ascii="宋体" w:hAnsi="宋体" w:eastAsia="宋体" w:cs="宋体"/>
          <w:color w:val="auto"/>
          <w:spacing w:val="9"/>
          <w:sz w:val="20"/>
          <w:szCs w:val="20"/>
          <w:highlight w:val="none"/>
        </w:rPr>
        <w:t>以书面形式通知履约保证金收取单位，否则由此产生的后果由成</w:t>
      </w:r>
      <w:r>
        <w:rPr>
          <w:rFonts w:ascii="宋体" w:hAnsi="宋体" w:eastAsia="宋体" w:cs="宋体"/>
          <w:color w:val="auto"/>
          <w:spacing w:val="8"/>
          <w:sz w:val="20"/>
          <w:szCs w:val="20"/>
          <w:highlight w:val="none"/>
        </w:rPr>
        <w:t>交供应商自行承担。</w:t>
      </w:r>
    </w:p>
    <w:p w14:paraId="55D75C25">
      <w:pPr>
        <w:spacing w:before="29" w:line="230" w:lineRule="auto"/>
        <w:ind w:left="424"/>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29、签订合同</w:t>
      </w:r>
    </w:p>
    <w:p w14:paraId="096CD03D">
      <w:pPr>
        <w:spacing w:before="93" w:line="285" w:lineRule="auto"/>
        <w:ind w:left="5" w:right="70"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29.1</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采购人与成交供应商应当在成交通知书规定的时间内，按照采购文件确定</w:t>
      </w:r>
      <w:r>
        <w:rPr>
          <w:rFonts w:ascii="宋体" w:hAnsi="宋体" w:eastAsia="宋体" w:cs="宋体"/>
          <w:color w:val="auto"/>
          <w:spacing w:val="7"/>
          <w:sz w:val="20"/>
          <w:szCs w:val="20"/>
          <w:highlight w:val="none"/>
        </w:rPr>
        <w:t>的合同文本</w:t>
      </w:r>
      <w:r>
        <w:rPr>
          <w:rFonts w:ascii="宋体" w:hAnsi="宋体" w:eastAsia="宋体" w:cs="宋体"/>
          <w:color w:val="auto"/>
          <w:spacing w:val="10"/>
          <w:sz w:val="20"/>
          <w:szCs w:val="20"/>
          <w:highlight w:val="none"/>
        </w:rPr>
        <w:t>以及采购标的、服务技术、采购金额、采购数量、技术和服务要求等事项签订采</w:t>
      </w:r>
      <w:r>
        <w:rPr>
          <w:rFonts w:ascii="宋体" w:hAnsi="宋体" w:eastAsia="宋体" w:cs="宋体"/>
          <w:color w:val="auto"/>
          <w:spacing w:val="9"/>
          <w:sz w:val="20"/>
          <w:szCs w:val="20"/>
          <w:highlight w:val="none"/>
        </w:rPr>
        <w:t>购合同。如成</w:t>
      </w:r>
      <w:r>
        <w:rPr>
          <w:rFonts w:ascii="宋体" w:hAnsi="宋体" w:eastAsia="宋体" w:cs="宋体"/>
          <w:color w:val="auto"/>
          <w:spacing w:val="8"/>
          <w:sz w:val="20"/>
          <w:szCs w:val="20"/>
          <w:highlight w:val="none"/>
        </w:rPr>
        <w:t>交供应商为联合体的，</w:t>
      </w:r>
      <w:r>
        <w:rPr>
          <w:rFonts w:ascii="宋体" w:hAnsi="宋体" w:eastAsia="宋体" w:cs="宋体"/>
          <w:color w:val="auto"/>
          <w:spacing w:val="-45"/>
          <w:sz w:val="20"/>
          <w:szCs w:val="20"/>
          <w:highlight w:val="none"/>
        </w:rPr>
        <w:t xml:space="preserve"> </w:t>
      </w:r>
      <w:r>
        <w:rPr>
          <w:rFonts w:ascii="宋体" w:hAnsi="宋体" w:eastAsia="宋体" w:cs="宋体"/>
          <w:color w:val="auto"/>
          <w:spacing w:val="8"/>
          <w:sz w:val="20"/>
          <w:szCs w:val="20"/>
          <w:highlight w:val="none"/>
        </w:rPr>
        <w:t>由联合体成员各方法定代表人或其授权代表与采购人代表签订合同。</w:t>
      </w:r>
    </w:p>
    <w:p w14:paraId="6078E13B">
      <w:pPr>
        <w:spacing w:before="93" w:line="286" w:lineRule="auto"/>
        <w:ind w:left="2" w:right="70" w:firstLine="42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29.2 采购人不得向成交供应商提出超出采购文件以外的任何要</w:t>
      </w:r>
      <w:r>
        <w:rPr>
          <w:rFonts w:ascii="宋体" w:hAnsi="宋体" w:eastAsia="宋体" w:cs="宋体"/>
          <w:color w:val="auto"/>
          <w:spacing w:val="6"/>
          <w:sz w:val="20"/>
          <w:szCs w:val="20"/>
          <w:highlight w:val="none"/>
        </w:rPr>
        <w:t>求作为签订合同的条件，不</w:t>
      </w:r>
      <w:r>
        <w:rPr>
          <w:rFonts w:ascii="宋体" w:hAnsi="宋体" w:eastAsia="宋体" w:cs="宋体"/>
          <w:color w:val="auto"/>
          <w:spacing w:val="10"/>
          <w:sz w:val="20"/>
          <w:szCs w:val="20"/>
          <w:highlight w:val="none"/>
        </w:rPr>
        <w:t>得与成交供应商订立背离采购文件确定的合同文本以及采购标的、服务技术、采购金额、</w:t>
      </w:r>
      <w:r>
        <w:rPr>
          <w:rFonts w:ascii="宋体" w:hAnsi="宋体" w:eastAsia="宋体" w:cs="宋体"/>
          <w:color w:val="auto"/>
          <w:spacing w:val="9"/>
          <w:sz w:val="20"/>
          <w:szCs w:val="20"/>
          <w:highlight w:val="none"/>
        </w:rPr>
        <w:t>采购</w:t>
      </w:r>
      <w:r>
        <w:rPr>
          <w:rFonts w:ascii="宋体" w:hAnsi="宋体" w:eastAsia="宋体" w:cs="宋体"/>
          <w:color w:val="auto"/>
          <w:spacing w:val="8"/>
          <w:sz w:val="20"/>
          <w:szCs w:val="20"/>
          <w:highlight w:val="none"/>
        </w:rPr>
        <w:t>数量、技术和服务要求等实质性内容的协议。</w:t>
      </w:r>
    </w:p>
    <w:p w14:paraId="5C1C7A8F">
      <w:pPr>
        <w:spacing w:before="93" w:line="285" w:lineRule="auto"/>
        <w:ind w:right="70" w:firstLine="42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29.3</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成交供应商拒绝签订采购合同的，采购人可以按照评审报告推荐的</w:t>
      </w:r>
      <w:r>
        <w:rPr>
          <w:rFonts w:ascii="宋体" w:hAnsi="宋体" w:eastAsia="宋体" w:cs="宋体"/>
          <w:color w:val="auto"/>
          <w:spacing w:val="7"/>
          <w:sz w:val="20"/>
          <w:szCs w:val="20"/>
          <w:highlight w:val="none"/>
        </w:rPr>
        <w:t>成交候选人名单排</w:t>
      </w:r>
      <w:r>
        <w:rPr>
          <w:rFonts w:ascii="宋体" w:hAnsi="宋体" w:eastAsia="宋体" w:cs="宋体"/>
          <w:color w:val="auto"/>
          <w:spacing w:val="10"/>
          <w:sz w:val="20"/>
          <w:szCs w:val="20"/>
          <w:highlight w:val="none"/>
        </w:rPr>
        <w:t>序，确定下一候选人为成交供应商，也可以重新开展采购活动。拒绝签订采购合同的成交供应</w:t>
      </w:r>
      <w:r>
        <w:rPr>
          <w:rFonts w:ascii="宋体" w:hAnsi="宋体" w:eastAsia="宋体" w:cs="宋体"/>
          <w:color w:val="auto"/>
          <w:spacing w:val="8"/>
          <w:sz w:val="20"/>
          <w:szCs w:val="20"/>
          <w:highlight w:val="none"/>
        </w:rPr>
        <w:t>商不得参加对该项目重新开展的采购活动。</w:t>
      </w:r>
    </w:p>
    <w:p w14:paraId="0E303248">
      <w:pPr>
        <w:spacing w:before="95" w:line="271" w:lineRule="auto"/>
        <w:ind w:left="4" w:right="70"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29.4</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如签订合同并生效后，供应商无故拒绝或延期，除按照合同条款</w:t>
      </w:r>
      <w:r>
        <w:rPr>
          <w:rFonts w:ascii="宋体" w:hAnsi="宋体" w:eastAsia="宋体" w:cs="宋体"/>
          <w:color w:val="auto"/>
          <w:spacing w:val="7"/>
          <w:sz w:val="20"/>
          <w:szCs w:val="20"/>
          <w:highlight w:val="none"/>
        </w:rPr>
        <w:t>处理外，列入不良行为记录，并给予通报。</w:t>
      </w:r>
    </w:p>
    <w:p w14:paraId="3052EAFA">
      <w:pPr>
        <w:spacing w:before="94" w:line="271" w:lineRule="auto"/>
        <w:ind w:left="17" w:right="70" w:firstLine="41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29.5</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采购合同由采购人与成交供应商根据采购文件、响应文件等内容通过采购</w:t>
      </w:r>
      <w:r>
        <w:rPr>
          <w:rFonts w:ascii="宋体" w:hAnsi="宋体" w:eastAsia="宋体" w:cs="宋体"/>
          <w:color w:val="auto"/>
          <w:spacing w:val="7"/>
          <w:sz w:val="20"/>
          <w:szCs w:val="20"/>
          <w:highlight w:val="none"/>
        </w:rPr>
        <w:t>电子交易平台在线签订，自动备案，在线签订须携带的材料见“供应商须知前附表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w:t>
      </w:r>
    </w:p>
    <w:p w14:paraId="521CCECD">
      <w:pPr>
        <w:spacing w:before="93" w:line="226" w:lineRule="auto"/>
        <w:ind w:left="425"/>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30、采购合同公告</w:t>
      </w:r>
    </w:p>
    <w:p w14:paraId="6FDB9FFA">
      <w:pPr>
        <w:spacing w:before="95" w:line="305" w:lineRule="auto"/>
        <w:ind w:left="8" w:right="80" w:firstLine="412"/>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采购人或者受托采购代理机构应当自采购合同签订之日起</w:t>
      </w:r>
      <w:r>
        <w:rPr>
          <w:rFonts w:ascii="宋体" w:hAnsi="宋体" w:eastAsia="宋体" w:cs="宋体"/>
          <w:color w:val="auto"/>
          <w:spacing w:val="-33"/>
          <w:sz w:val="20"/>
          <w:szCs w:val="20"/>
          <w:highlight w:val="none"/>
        </w:rPr>
        <w:t xml:space="preserve"> </w:t>
      </w:r>
      <w:r>
        <w:rPr>
          <w:rFonts w:ascii="宋体" w:hAnsi="宋体" w:eastAsia="宋体" w:cs="宋体"/>
          <w:color w:val="auto"/>
          <w:spacing w:val="9"/>
          <w:sz w:val="20"/>
          <w:szCs w:val="20"/>
          <w:highlight w:val="none"/>
        </w:rPr>
        <w:t>2</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个工作日内，将采购合同在以</w:t>
      </w:r>
      <w:r>
        <w:rPr>
          <w:rFonts w:ascii="宋体" w:hAnsi="宋体" w:eastAsia="宋体" w:cs="宋体"/>
          <w:color w:val="auto"/>
          <w:spacing w:val="10"/>
          <w:sz w:val="20"/>
          <w:szCs w:val="20"/>
          <w:highlight w:val="none"/>
        </w:rPr>
        <w:t>下媒体上发布“广西政府采购网</w:t>
      </w:r>
      <w:r>
        <w:rPr>
          <w:rFonts w:ascii="宋体" w:hAnsi="宋体" w:eastAsia="宋体" w:cs="宋体"/>
          <w:color w:val="auto"/>
          <w:spacing w:val="-57"/>
          <w:sz w:val="20"/>
          <w:szCs w:val="20"/>
          <w:highlight w:val="none"/>
        </w:rPr>
        <w:t xml:space="preserve"> </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http</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zfcg</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gxzf</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10"/>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10"/>
          <w:sz w:val="20"/>
          <w:szCs w:val="20"/>
          <w:highlight w:val="none"/>
        </w:rPr>
        <w:t>）上公告，但采购合同中涉及</w:t>
      </w:r>
      <w:r>
        <w:rPr>
          <w:rFonts w:ascii="宋体" w:hAnsi="宋体" w:eastAsia="宋体" w:cs="宋体"/>
          <w:color w:val="auto"/>
          <w:spacing w:val="8"/>
          <w:sz w:val="20"/>
          <w:szCs w:val="20"/>
          <w:highlight w:val="none"/>
        </w:rPr>
        <w:t>国家秘密、商业秘密的内容除外。</w:t>
      </w:r>
    </w:p>
    <w:p w14:paraId="0E33DF1A">
      <w:pPr>
        <w:spacing w:before="32" w:line="228" w:lineRule="auto"/>
        <w:ind w:left="425"/>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31、询问、质疑和投诉</w:t>
      </w:r>
    </w:p>
    <w:p w14:paraId="3AA37CA8">
      <w:pPr>
        <w:spacing w:before="93" w:line="271" w:lineRule="auto"/>
        <w:ind w:left="3" w:right="70"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30.1</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供应商对政府采购活动事项有疑问的，可以向采购人、采购代理机构提出询问</w:t>
      </w:r>
      <w:r>
        <w:rPr>
          <w:rFonts w:ascii="宋体" w:hAnsi="宋体" w:eastAsia="宋体" w:cs="宋体"/>
          <w:color w:val="auto"/>
          <w:spacing w:val="7"/>
          <w:sz w:val="20"/>
          <w:szCs w:val="20"/>
          <w:highlight w:val="none"/>
        </w:rPr>
        <w:t>，采购</w:t>
      </w:r>
      <w:r>
        <w:rPr>
          <w:rFonts w:ascii="宋体" w:hAnsi="宋体" w:eastAsia="宋体" w:cs="宋体"/>
          <w:color w:val="auto"/>
          <w:spacing w:val="8"/>
          <w:sz w:val="20"/>
          <w:szCs w:val="20"/>
          <w:highlight w:val="none"/>
        </w:rPr>
        <w:t>人或者采购代理机构应当在</w:t>
      </w:r>
      <w:r>
        <w:rPr>
          <w:rFonts w:ascii="宋体" w:hAnsi="宋体" w:eastAsia="宋体" w:cs="宋体"/>
          <w:color w:val="auto"/>
          <w:spacing w:val="-17"/>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个工作日内对供应商依法提出的询问作出答复。</w:t>
      </w:r>
    </w:p>
    <w:p w14:paraId="0E0F0EB0">
      <w:pPr>
        <w:spacing w:before="93" w:line="285" w:lineRule="auto"/>
        <w:ind w:left="2"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30.2</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供应商认为采购文件、采购过程或者成交结果使自己的合法权益受到损害</w:t>
      </w:r>
      <w:r>
        <w:rPr>
          <w:rFonts w:ascii="宋体" w:hAnsi="宋体" w:eastAsia="宋体" w:cs="宋体"/>
          <w:color w:val="auto"/>
          <w:spacing w:val="7"/>
          <w:sz w:val="20"/>
          <w:szCs w:val="20"/>
          <w:highlight w:val="none"/>
        </w:rPr>
        <w:t>的，应当在</w:t>
      </w:r>
      <w:r>
        <w:rPr>
          <w:rFonts w:ascii="宋体" w:hAnsi="宋体" w:eastAsia="宋体" w:cs="宋体"/>
          <w:color w:val="auto"/>
          <w:spacing w:val="8"/>
          <w:sz w:val="20"/>
          <w:szCs w:val="20"/>
          <w:highlight w:val="none"/>
        </w:rPr>
        <w:t>知道或者应知其权益受到损害之日起</w:t>
      </w:r>
      <w:r>
        <w:rPr>
          <w:rFonts w:ascii="宋体" w:hAnsi="宋体" w:eastAsia="宋体" w:cs="宋体"/>
          <w:color w:val="auto"/>
          <w:spacing w:val="-23"/>
          <w:sz w:val="20"/>
          <w:szCs w:val="20"/>
          <w:highlight w:val="none"/>
        </w:rPr>
        <w:t xml:space="preserve"> </w:t>
      </w:r>
      <w:r>
        <w:rPr>
          <w:rFonts w:ascii="宋体" w:hAnsi="宋体" w:eastAsia="宋体" w:cs="宋体"/>
          <w:color w:val="auto"/>
          <w:spacing w:val="8"/>
          <w:sz w:val="20"/>
          <w:szCs w:val="20"/>
          <w:highlight w:val="none"/>
        </w:rPr>
        <w:t>7</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个工作日内，</w:t>
      </w:r>
      <w:r>
        <w:rPr>
          <w:rFonts w:ascii="宋体" w:hAnsi="宋体" w:eastAsia="宋体" w:cs="宋体"/>
          <w:color w:val="auto"/>
          <w:spacing w:val="-59"/>
          <w:sz w:val="20"/>
          <w:szCs w:val="20"/>
          <w:highlight w:val="none"/>
        </w:rPr>
        <w:t xml:space="preserve"> </w:t>
      </w:r>
      <w:r>
        <w:rPr>
          <w:rFonts w:ascii="宋体" w:hAnsi="宋体" w:eastAsia="宋体" w:cs="宋体"/>
          <w:color w:val="auto"/>
          <w:spacing w:val="8"/>
          <w:sz w:val="20"/>
          <w:szCs w:val="20"/>
          <w:highlight w:val="none"/>
        </w:rPr>
        <w:t>以书面形式向采购人、采购代理机构提出</w:t>
      </w:r>
      <w:r>
        <w:rPr>
          <w:rFonts w:ascii="宋体" w:hAnsi="宋体" w:eastAsia="宋体" w:cs="宋体"/>
          <w:color w:val="auto"/>
          <w:spacing w:val="6"/>
          <w:sz w:val="20"/>
          <w:szCs w:val="20"/>
          <w:highlight w:val="none"/>
        </w:rPr>
        <w:t>质疑，接收质疑函的方式、联系部门、联系电话和通讯地址等信息详见“供应商须知前附</w:t>
      </w:r>
      <w:r>
        <w:rPr>
          <w:rFonts w:ascii="宋体" w:hAnsi="宋体" w:eastAsia="宋体" w:cs="宋体"/>
          <w:color w:val="auto"/>
          <w:spacing w:val="5"/>
          <w:sz w:val="20"/>
          <w:szCs w:val="20"/>
          <w:highlight w:val="none"/>
        </w:rPr>
        <w:t>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5"/>
          <w:sz w:val="20"/>
          <w:szCs w:val="20"/>
          <w:highlight w:val="none"/>
        </w:rPr>
        <w:t>”。</w:t>
      </w:r>
    </w:p>
    <w:p w14:paraId="3A498FAD">
      <w:pPr>
        <w:spacing w:before="95" w:line="228" w:lineRule="auto"/>
        <w:ind w:left="5"/>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具体质疑起算时间及处理方式如下：</w:t>
      </w:r>
    </w:p>
    <w:p w14:paraId="00E5ABB5">
      <w:pPr>
        <w:spacing w:before="95" w:line="292" w:lineRule="auto"/>
        <w:ind w:right="71" w:firstLine="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（1）潜在供应商依法获取采购文件后，认为采购文件使自己的权益受到损害的，</w:t>
      </w:r>
      <w:r>
        <w:rPr>
          <w:rFonts w:ascii="宋体" w:hAnsi="宋体" w:eastAsia="宋体" w:cs="宋体"/>
          <w:color w:val="auto"/>
          <w:spacing w:val="6"/>
          <w:sz w:val="20"/>
          <w:szCs w:val="20"/>
          <w:highlight w:val="none"/>
        </w:rPr>
        <w:t>应当在采</w:t>
      </w:r>
      <w:r>
        <w:rPr>
          <w:rFonts w:ascii="宋体" w:hAnsi="宋体" w:eastAsia="宋体" w:cs="宋体"/>
          <w:color w:val="auto"/>
          <w:spacing w:val="9"/>
          <w:sz w:val="20"/>
          <w:szCs w:val="20"/>
          <w:highlight w:val="none"/>
        </w:rPr>
        <w:t>购文件公告期限届满之日起</w:t>
      </w:r>
      <w:r>
        <w:rPr>
          <w:rFonts w:ascii="宋体" w:hAnsi="宋体" w:eastAsia="宋体" w:cs="宋体"/>
          <w:color w:val="auto"/>
          <w:spacing w:val="-21"/>
          <w:sz w:val="20"/>
          <w:szCs w:val="20"/>
          <w:highlight w:val="none"/>
        </w:rPr>
        <w:t xml:space="preserve"> </w:t>
      </w:r>
      <w:r>
        <w:rPr>
          <w:rFonts w:ascii="宋体" w:hAnsi="宋体" w:eastAsia="宋体" w:cs="宋体"/>
          <w:color w:val="auto"/>
          <w:spacing w:val="9"/>
          <w:sz w:val="20"/>
          <w:szCs w:val="20"/>
          <w:highlight w:val="none"/>
        </w:rPr>
        <w:t>7</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个工作日内提出质疑。委托代理协议无特殊约定的，对采购文件</w:t>
      </w:r>
      <w:r>
        <w:rPr>
          <w:rFonts w:ascii="宋体" w:hAnsi="宋体" w:eastAsia="宋体" w:cs="宋体"/>
          <w:color w:val="auto"/>
          <w:spacing w:val="10"/>
          <w:sz w:val="20"/>
          <w:szCs w:val="20"/>
          <w:highlight w:val="none"/>
        </w:rPr>
        <w:t>中采购需求（含资格要求、采购预算和评分办法）的质疑由采购人受理并负责答复；对采购文</w:t>
      </w:r>
      <w:r>
        <w:rPr>
          <w:rFonts w:ascii="宋体" w:hAnsi="宋体" w:eastAsia="宋体" w:cs="宋体"/>
          <w:color w:val="auto"/>
          <w:spacing w:val="9"/>
          <w:sz w:val="20"/>
          <w:szCs w:val="20"/>
          <w:highlight w:val="none"/>
        </w:rPr>
        <w:t>件中的采购执行程序的质疑由采购代理机构受理并负责答复。</w:t>
      </w:r>
    </w:p>
    <w:p w14:paraId="2EEF79A2">
      <w:pPr>
        <w:spacing w:before="93" w:line="293" w:lineRule="auto"/>
        <w:ind w:right="69" w:firstLine="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（2）供应商认为采购过程使自己的权益受到损害的，应当在各采购程序</w:t>
      </w:r>
      <w:r>
        <w:rPr>
          <w:rFonts w:ascii="宋体" w:hAnsi="宋体" w:eastAsia="宋体" w:cs="宋体"/>
          <w:color w:val="auto"/>
          <w:spacing w:val="7"/>
          <w:sz w:val="20"/>
          <w:szCs w:val="20"/>
          <w:highlight w:val="none"/>
        </w:rPr>
        <w:t>环节结束之日起7</w:t>
      </w:r>
      <w:r>
        <w:rPr>
          <w:rFonts w:ascii="宋体" w:hAnsi="宋体" w:eastAsia="宋体" w:cs="宋体"/>
          <w:color w:val="auto"/>
          <w:spacing w:val="10"/>
          <w:sz w:val="20"/>
          <w:szCs w:val="20"/>
          <w:highlight w:val="none"/>
        </w:rPr>
        <w:t>个工作日内提出质疑。对采购过程中资格审查、符合性审查等具体评审情况的质疑应向采购人</w:t>
      </w:r>
      <w:r>
        <w:rPr>
          <w:rFonts w:ascii="宋体" w:hAnsi="宋体" w:eastAsia="宋体" w:cs="宋体"/>
          <w:color w:val="auto"/>
          <w:spacing w:val="9"/>
          <w:sz w:val="20"/>
          <w:szCs w:val="20"/>
          <w:highlight w:val="none"/>
        </w:rPr>
        <w:t>或代理机构提出，</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由采购人或代理机构受理并负责答复；对采购过程中采购执行程序的质</w:t>
      </w:r>
      <w:r>
        <w:rPr>
          <w:rFonts w:ascii="宋体" w:hAnsi="宋体" w:eastAsia="宋体" w:cs="宋体"/>
          <w:color w:val="auto"/>
          <w:spacing w:val="8"/>
          <w:sz w:val="20"/>
          <w:szCs w:val="20"/>
          <w:highlight w:val="none"/>
        </w:rPr>
        <w:t>疑由采购代理机构受理并负责答复。</w:t>
      </w:r>
    </w:p>
    <w:p w14:paraId="4B796BDA">
      <w:pPr>
        <w:spacing w:before="95" w:line="226"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（3）供应商认为成交结果使自己的权益受到损害的，应当在成交结果公告期限届满之日起</w:t>
      </w:r>
    </w:p>
    <w:p w14:paraId="30E70369">
      <w:pPr>
        <w:spacing w:before="94" w:line="227" w:lineRule="auto"/>
        <w:ind w:left="6"/>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7个工作日内提出质疑，</w:t>
      </w:r>
      <w:r>
        <w:rPr>
          <w:rFonts w:ascii="宋体" w:hAnsi="宋体" w:eastAsia="宋体" w:cs="宋体"/>
          <w:color w:val="auto"/>
          <w:spacing w:val="-58"/>
          <w:sz w:val="20"/>
          <w:szCs w:val="20"/>
          <w:highlight w:val="none"/>
        </w:rPr>
        <w:t xml:space="preserve"> </w:t>
      </w:r>
      <w:r>
        <w:rPr>
          <w:rFonts w:ascii="宋体" w:hAnsi="宋体" w:eastAsia="宋体" w:cs="宋体"/>
          <w:color w:val="auto"/>
          <w:spacing w:val="6"/>
          <w:sz w:val="20"/>
          <w:szCs w:val="20"/>
          <w:highlight w:val="none"/>
        </w:rPr>
        <w:t>由采购人受理并负责答复。</w:t>
      </w:r>
    </w:p>
    <w:p w14:paraId="180335EA">
      <w:pPr>
        <w:spacing w:before="94" w:line="286" w:lineRule="auto"/>
        <w:ind w:left="4" w:right="70"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31.3</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供应商提出的询问或者质疑超出采购人对采购代理机构委托授权范围的，采购</w:t>
      </w:r>
      <w:r>
        <w:rPr>
          <w:rFonts w:ascii="宋体" w:hAnsi="宋体" w:eastAsia="宋体" w:cs="宋体"/>
          <w:color w:val="auto"/>
          <w:spacing w:val="7"/>
          <w:sz w:val="20"/>
          <w:szCs w:val="20"/>
          <w:highlight w:val="none"/>
        </w:rPr>
        <w:t>代理机</w:t>
      </w:r>
      <w:r>
        <w:rPr>
          <w:rFonts w:ascii="宋体" w:hAnsi="宋体" w:eastAsia="宋体" w:cs="宋体"/>
          <w:color w:val="auto"/>
          <w:spacing w:val="10"/>
          <w:sz w:val="20"/>
          <w:szCs w:val="20"/>
          <w:highlight w:val="none"/>
        </w:rPr>
        <w:t>构应当告知供应商向采购人提出。采购评审专家应当配合采购人或者采购代理机构答</w:t>
      </w:r>
      <w:r>
        <w:rPr>
          <w:rFonts w:ascii="宋体" w:hAnsi="宋体" w:eastAsia="宋体" w:cs="宋体"/>
          <w:color w:val="auto"/>
          <w:spacing w:val="9"/>
          <w:sz w:val="20"/>
          <w:szCs w:val="20"/>
          <w:highlight w:val="none"/>
        </w:rPr>
        <w:t>复供应商</w:t>
      </w:r>
      <w:r>
        <w:rPr>
          <w:rFonts w:ascii="宋体" w:hAnsi="宋体" w:eastAsia="宋体" w:cs="宋体"/>
          <w:color w:val="auto"/>
          <w:spacing w:val="6"/>
          <w:sz w:val="20"/>
          <w:szCs w:val="20"/>
          <w:highlight w:val="none"/>
        </w:rPr>
        <w:t>的询问和质疑。</w:t>
      </w:r>
    </w:p>
    <w:p w14:paraId="34132A28">
      <w:pPr>
        <w:spacing w:before="93" w:line="271" w:lineRule="auto"/>
        <w:ind w:left="5" w:right="70"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31.4 供应商提出质疑应当提交质疑函和必要的证明材料，针对同一采</w:t>
      </w:r>
      <w:r>
        <w:rPr>
          <w:rFonts w:ascii="宋体" w:hAnsi="宋体" w:eastAsia="宋体" w:cs="宋体"/>
          <w:color w:val="auto"/>
          <w:spacing w:val="6"/>
          <w:sz w:val="20"/>
          <w:szCs w:val="20"/>
          <w:highlight w:val="none"/>
        </w:rPr>
        <w:t>购程序环节的质疑必</w:t>
      </w:r>
      <w:r>
        <w:rPr>
          <w:rFonts w:ascii="宋体" w:hAnsi="宋体" w:eastAsia="宋体" w:cs="宋体"/>
          <w:color w:val="auto"/>
          <w:spacing w:val="10"/>
          <w:sz w:val="20"/>
          <w:szCs w:val="20"/>
          <w:highlight w:val="none"/>
        </w:rPr>
        <w:t>须在法定质疑期内一次性提出。质疑函应当</w:t>
      </w:r>
      <w:r>
        <w:rPr>
          <w:rFonts w:ascii="宋体" w:hAnsi="宋体" w:eastAsia="宋体" w:cs="宋体"/>
          <w:color w:val="auto"/>
          <w:spacing w:val="9"/>
          <w:sz w:val="20"/>
          <w:szCs w:val="20"/>
          <w:highlight w:val="none"/>
        </w:rPr>
        <w:t>包括下列内容（质疑函格式后附</w:t>
      </w:r>
      <w:r>
        <w:rPr>
          <w:rFonts w:ascii="宋体" w:hAnsi="宋体" w:eastAsia="宋体" w:cs="宋体"/>
          <w:color w:val="auto"/>
          <w:sz w:val="20"/>
          <w:szCs w:val="20"/>
          <w:highlight w:val="none"/>
        </w:rPr>
        <w:t>）：</w:t>
      </w:r>
    </w:p>
    <w:p w14:paraId="43710EA0">
      <w:pPr>
        <w:spacing w:before="41" w:line="227"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（1）供应商的姓名或者名称、地址、邮编、联系人</w:t>
      </w:r>
      <w:r>
        <w:rPr>
          <w:rFonts w:ascii="宋体" w:hAnsi="宋体" w:eastAsia="宋体" w:cs="宋体"/>
          <w:color w:val="auto"/>
          <w:spacing w:val="8"/>
          <w:sz w:val="20"/>
          <w:szCs w:val="20"/>
          <w:highlight w:val="none"/>
        </w:rPr>
        <w:t>及联系电话；</w:t>
      </w:r>
    </w:p>
    <w:p w14:paraId="2B3AFF62">
      <w:pPr>
        <w:spacing w:before="161"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（2）质疑项目的名称、编号；</w:t>
      </w:r>
    </w:p>
    <w:p w14:paraId="2C4AEC9E">
      <w:pPr>
        <w:spacing w:before="163"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（3）具体、明确的质疑事项和与质疑事项相关的请求；</w:t>
      </w:r>
    </w:p>
    <w:p w14:paraId="6EF03547">
      <w:pPr>
        <w:spacing w:before="161" w:line="227" w:lineRule="auto"/>
        <w:ind w:left="43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（4）事实依据；</w:t>
      </w:r>
    </w:p>
    <w:p w14:paraId="7F555CE0">
      <w:pPr>
        <w:spacing w:before="162" w:line="227"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（5）必要的法律依据；</w:t>
      </w:r>
    </w:p>
    <w:p w14:paraId="03893DC1">
      <w:pPr>
        <w:spacing w:before="162" w:line="228"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（6）提出质疑的日期。</w:t>
      </w:r>
    </w:p>
    <w:p w14:paraId="459D8E59">
      <w:pPr>
        <w:spacing w:before="93" w:line="300" w:lineRule="auto"/>
        <w:ind w:left="2" w:firstLine="418"/>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供应商为自然人的，应当由本人签字；供应商</w:t>
      </w:r>
      <w:r>
        <w:rPr>
          <w:rFonts w:ascii="宋体" w:hAnsi="宋体" w:eastAsia="宋体" w:cs="宋体"/>
          <w:color w:val="auto"/>
          <w:spacing w:val="6"/>
          <w:sz w:val="20"/>
          <w:szCs w:val="20"/>
          <w:highlight w:val="none"/>
        </w:rPr>
        <w:t>为法人或者其他组织的，应当由法定代表人、</w:t>
      </w:r>
      <w:r>
        <w:rPr>
          <w:rFonts w:ascii="宋体" w:hAnsi="宋体" w:eastAsia="宋体" w:cs="宋体"/>
          <w:color w:val="auto"/>
          <w:spacing w:val="9"/>
          <w:sz w:val="20"/>
          <w:szCs w:val="20"/>
          <w:highlight w:val="none"/>
        </w:rPr>
        <w:t>主要负责人，或者其委托代理人签字或者盖章，并加盖公章。</w:t>
      </w:r>
    </w:p>
    <w:p w14:paraId="0D5FBE6D">
      <w:pPr>
        <w:spacing w:before="29" w:line="271" w:lineRule="auto"/>
        <w:ind w:left="5" w:right="16" w:firstLine="4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31.5</w:t>
      </w:r>
      <w:r>
        <w:rPr>
          <w:rFonts w:ascii="宋体" w:hAnsi="宋体" w:eastAsia="宋体" w:cs="宋体"/>
          <w:color w:val="auto"/>
          <w:spacing w:val="-29"/>
          <w:sz w:val="20"/>
          <w:szCs w:val="20"/>
          <w:highlight w:val="none"/>
        </w:rPr>
        <w:t xml:space="preserve"> </w:t>
      </w:r>
      <w:r>
        <w:rPr>
          <w:rFonts w:ascii="宋体" w:hAnsi="宋体" w:eastAsia="宋体" w:cs="宋体"/>
          <w:color w:val="auto"/>
          <w:spacing w:val="4"/>
          <w:sz w:val="20"/>
          <w:szCs w:val="20"/>
          <w:highlight w:val="none"/>
        </w:rPr>
        <w:t>采购人、采购代理机构认为供应商质疑不成立，或者成立但未对成交结果构成影响的，</w:t>
      </w:r>
      <w:r>
        <w:rPr>
          <w:rFonts w:ascii="宋体" w:hAnsi="宋体" w:eastAsia="宋体" w:cs="宋体"/>
          <w:color w:val="auto"/>
          <w:spacing w:val="6"/>
          <w:sz w:val="20"/>
          <w:szCs w:val="20"/>
          <w:highlight w:val="none"/>
        </w:rPr>
        <w:t>继续开展采购活动；认为供应商质疑成立且影响或者可能影响成交结果的，按照下列情况处理：</w:t>
      </w:r>
    </w:p>
    <w:p w14:paraId="0D6BA8E6">
      <w:pPr>
        <w:spacing w:before="95" w:line="271" w:lineRule="auto"/>
        <w:ind w:left="2" w:right="71" w:firstLine="42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（一）对采购文件提出的质疑，依法通过澄清或者修改可以继续</w:t>
      </w:r>
      <w:r>
        <w:rPr>
          <w:rFonts w:ascii="宋体" w:hAnsi="宋体" w:eastAsia="宋体" w:cs="宋体"/>
          <w:color w:val="auto"/>
          <w:spacing w:val="9"/>
          <w:sz w:val="20"/>
          <w:szCs w:val="20"/>
          <w:highlight w:val="none"/>
        </w:rPr>
        <w:t>开展采购活动的，澄清或者修改采购文件后继续开展采购活动；否则应当修改采购文件后重新开展采购活动。</w:t>
      </w:r>
    </w:p>
    <w:p w14:paraId="1FC9104B">
      <w:pPr>
        <w:spacing w:before="94" w:line="286" w:lineRule="auto"/>
        <w:ind w:left="2" w:right="71" w:firstLine="42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（二）对采购过程或者成交结果提出的质疑，合格供应商符合法</w:t>
      </w:r>
      <w:r>
        <w:rPr>
          <w:rFonts w:ascii="宋体" w:hAnsi="宋体" w:eastAsia="宋体" w:cs="宋体"/>
          <w:color w:val="auto"/>
          <w:spacing w:val="9"/>
          <w:sz w:val="20"/>
          <w:szCs w:val="20"/>
          <w:highlight w:val="none"/>
        </w:rPr>
        <w:t>定数量时，可以从合格的</w:t>
      </w:r>
      <w:r>
        <w:rPr>
          <w:rFonts w:ascii="宋体" w:hAnsi="宋体" w:eastAsia="宋体" w:cs="宋体"/>
          <w:color w:val="auto"/>
          <w:spacing w:val="10"/>
          <w:sz w:val="20"/>
          <w:szCs w:val="20"/>
          <w:highlight w:val="none"/>
        </w:rPr>
        <w:t>成交候选人中另行确定成交供应商的，应当依法另行确定成交供应商；否则应当重新开</w:t>
      </w:r>
      <w:r>
        <w:rPr>
          <w:rFonts w:ascii="宋体" w:hAnsi="宋体" w:eastAsia="宋体" w:cs="宋体"/>
          <w:color w:val="auto"/>
          <w:spacing w:val="9"/>
          <w:sz w:val="20"/>
          <w:szCs w:val="20"/>
          <w:highlight w:val="none"/>
        </w:rPr>
        <w:t>展采购</w:t>
      </w:r>
      <w:r>
        <w:rPr>
          <w:rFonts w:ascii="宋体" w:hAnsi="宋体" w:eastAsia="宋体" w:cs="宋体"/>
          <w:color w:val="auto"/>
          <w:spacing w:val="2"/>
          <w:sz w:val="20"/>
          <w:szCs w:val="20"/>
          <w:highlight w:val="none"/>
        </w:rPr>
        <w:t>活动。</w:t>
      </w:r>
    </w:p>
    <w:p w14:paraId="05582408">
      <w:pPr>
        <w:spacing w:before="91" w:line="300" w:lineRule="auto"/>
        <w:ind w:right="71"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质疑答复导致成交结果改变的，采购人或者采购代理机构应当将有关情况书面报告本</w:t>
      </w:r>
      <w:r>
        <w:rPr>
          <w:rFonts w:ascii="宋体" w:hAnsi="宋体" w:eastAsia="宋体" w:cs="宋体"/>
          <w:color w:val="auto"/>
          <w:spacing w:val="9"/>
          <w:sz w:val="20"/>
          <w:szCs w:val="20"/>
          <w:highlight w:val="none"/>
        </w:rPr>
        <w:t>级财</w:t>
      </w:r>
      <w:r>
        <w:rPr>
          <w:rFonts w:ascii="宋体" w:hAnsi="宋体" w:eastAsia="宋体" w:cs="宋体"/>
          <w:color w:val="auto"/>
          <w:spacing w:val="5"/>
          <w:sz w:val="20"/>
          <w:szCs w:val="20"/>
          <w:highlight w:val="none"/>
        </w:rPr>
        <w:t>政部门。</w:t>
      </w:r>
    </w:p>
    <w:p w14:paraId="37BB7AA6">
      <w:pPr>
        <w:spacing w:before="32" w:line="307" w:lineRule="auto"/>
        <w:ind w:right="70" w:firstLine="425"/>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31.6</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投诉的权利。质疑供应商对采购人、采购代理机构的答复不满意，或者采</w:t>
      </w:r>
      <w:r>
        <w:rPr>
          <w:rFonts w:ascii="宋体" w:hAnsi="宋体" w:eastAsia="宋体" w:cs="宋体"/>
          <w:color w:val="auto"/>
          <w:spacing w:val="7"/>
          <w:sz w:val="20"/>
          <w:szCs w:val="20"/>
          <w:highlight w:val="none"/>
        </w:rPr>
        <w:t>购人、采购代理机构未在规定时间内作出答复的，可以</w:t>
      </w:r>
      <w:r>
        <w:rPr>
          <w:rFonts w:ascii="宋体" w:hAnsi="宋体" w:eastAsia="宋体" w:cs="宋体"/>
          <w:color w:val="auto"/>
          <w:spacing w:val="6"/>
          <w:sz w:val="20"/>
          <w:szCs w:val="20"/>
          <w:highlight w:val="none"/>
        </w:rPr>
        <w:t>在答复期满后</w:t>
      </w:r>
      <w:r>
        <w:rPr>
          <w:rFonts w:ascii="宋体" w:hAnsi="宋体" w:eastAsia="宋体" w:cs="宋体"/>
          <w:color w:val="auto"/>
          <w:spacing w:val="-21"/>
          <w:sz w:val="20"/>
          <w:szCs w:val="20"/>
          <w:highlight w:val="none"/>
        </w:rPr>
        <w:t xml:space="preserve"> </w:t>
      </w:r>
      <w:r>
        <w:rPr>
          <w:rFonts w:ascii="宋体" w:hAnsi="宋体" w:eastAsia="宋体" w:cs="宋体"/>
          <w:color w:val="auto"/>
          <w:spacing w:val="6"/>
          <w:sz w:val="20"/>
          <w:szCs w:val="20"/>
          <w:highlight w:val="none"/>
        </w:rPr>
        <w:t>15</w:t>
      </w:r>
      <w:r>
        <w:rPr>
          <w:rFonts w:ascii="宋体" w:hAnsi="宋体" w:eastAsia="宋体" w:cs="宋体"/>
          <w:color w:val="auto"/>
          <w:spacing w:val="-40"/>
          <w:sz w:val="20"/>
          <w:szCs w:val="20"/>
          <w:highlight w:val="none"/>
        </w:rPr>
        <w:t xml:space="preserve"> </w:t>
      </w:r>
      <w:r>
        <w:rPr>
          <w:rFonts w:ascii="宋体" w:hAnsi="宋体" w:eastAsia="宋体" w:cs="宋体"/>
          <w:color w:val="auto"/>
          <w:spacing w:val="6"/>
          <w:sz w:val="20"/>
          <w:szCs w:val="20"/>
          <w:highlight w:val="none"/>
        </w:rPr>
        <w:t>个工作日内向《政府采购质疑和投</w:t>
      </w:r>
      <w:r>
        <w:rPr>
          <w:rFonts w:ascii="宋体" w:hAnsi="宋体" w:eastAsia="宋体" w:cs="宋体"/>
          <w:color w:val="auto"/>
          <w:spacing w:val="7"/>
          <w:sz w:val="20"/>
          <w:szCs w:val="20"/>
          <w:highlight w:val="none"/>
        </w:rPr>
        <w:t>诉办法》（财政部令第</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94</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号）第六条规定的财政部门提起投诉（投诉书格式后附</w:t>
      </w:r>
      <w:r>
        <w:rPr>
          <w:rFonts w:ascii="宋体" w:hAnsi="宋体" w:eastAsia="宋体" w:cs="宋体"/>
          <w:color w:val="auto"/>
          <w:spacing w:val="1"/>
          <w:sz w:val="20"/>
          <w:szCs w:val="20"/>
          <w:highlight w:val="none"/>
        </w:rPr>
        <w:t>），</w:t>
      </w:r>
      <w:r>
        <w:rPr>
          <w:rFonts w:ascii="宋体" w:hAnsi="宋体" w:eastAsia="宋体" w:cs="宋体"/>
          <w:color w:val="auto"/>
          <w:spacing w:val="7"/>
          <w:sz w:val="20"/>
          <w:szCs w:val="20"/>
          <w:highlight w:val="none"/>
        </w:rPr>
        <w:t>受理</w:t>
      </w:r>
      <w:r>
        <w:rPr>
          <w:rFonts w:ascii="宋体" w:hAnsi="宋体" w:eastAsia="宋体" w:cs="宋体"/>
          <w:color w:val="auto"/>
          <w:spacing w:val="6"/>
          <w:sz w:val="20"/>
          <w:szCs w:val="20"/>
          <w:highlight w:val="none"/>
        </w:rPr>
        <w:t>投诉</w:t>
      </w:r>
      <w:r>
        <w:rPr>
          <w:rFonts w:ascii="宋体" w:hAnsi="宋体" w:eastAsia="宋体" w:cs="宋体"/>
          <w:color w:val="auto"/>
          <w:spacing w:val="8"/>
          <w:sz w:val="20"/>
          <w:szCs w:val="20"/>
          <w:highlight w:val="none"/>
        </w:rPr>
        <w:t>方式见“供应商须知前附表</w:t>
      </w:r>
      <w:r>
        <w:rPr>
          <w:rFonts w:ascii="宋体" w:hAnsi="宋体" w:eastAsia="宋体" w:cs="宋体"/>
          <w:color w:val="auto"/>
          <w:spacing w:val="-61"/>
          <w:sz w:val="20"/>
          <w:szCs w:val="20"/>
          <w:highlight w:val="none"/>
        </w:rPr>
        <w:t xml:space="preserve"> </w:t>
      </w:r>
      <w:r>
        <w:rPr>
          <w:rFonts w:ascii="宋体" w:hAnsi="宋体" w:eastAsia="宋体" w:cs="宋体"/>
          <w:color w:val="auto"/>
          <w:spacing w:val="8"/>
          <w:sz w:val="20"/>
          <w:szCs w:val="20"/>
          <w:highlight w:val="none"/>
        </w:rPr>
        <w:t>”。</w:t>
      </w:r>
    </w:p>
    <w:p w14:paraId="26910484">
      <w:pPr>
        <w:spacing w:before="32" w:line="228" w:lineRule="auto"/>
        <w:ind w:left="2"/>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六、验收</w:t>
      </w:r>
    </w:p>
    <w:p w14:paraId="687B6D5E">
      <w:pPr>
        <w:spacing w:before="92" w:line="228" w:lineRule="auto"/>
        <w:ind w:left="425"/>
        <w:rPr>
          <w:rFonts w:ascii="宋体" w:hAnsi="宋体" w:eastAsia="宋体" w:cs="宋体"/>
          <w:color w:val="auto"/>
          <w:sz w:val="20"/>
          <w:szCs w:val="20"/>
          <w:highlight w:val="none"/>
        </w:rPr>
      </w:pPr>
      <w:r>
        <w:rPr>
          <w:rFonts w:ascii="宋体" w:hAnsi="宋体" w:eastAsia="宋体" w:cs="宋体"/>
          <w:b/>
          <w:bCs/>
          <w:color w:val="auto"/>
          <w:spacing w:val="2"/>
          <w:sz w:val="20"/>
          <w:szCs w:val="20"/>
          <w:highlight w:val="none"/>
        </w:rPr>
        <w:t>32.验收</w:t>
      </w:r>
    </w:p>
    <w:p w14:paraId="655E1688">
      <w:pPr>
        <w:spacing w:before="96" w:line="293" w:lineRule="auto"/>
        <w:ind w:right="70"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32.1</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采购人会同实际使用人组织对供应商履约的验收。大型或者复杂的政府采购项目</w:t>
      </w:r>
      <w:r>
        <w:rPr>
          <w:rFonts w:ascii="宋体" w:hAnsi="宋体" w:eastAsia="宋体" w:cs="宋体"/>
          <w:color w:val="auto"/>
          <w:spacing w:val="7"/>
          <w:sz w:val="20"/>
          <w:szCs w:val="20"/>
          <w:highlight w:val="none"/>
        </w:rPr>
        <w:t>，应</w:t>
      </w:r>
      <w:r>
        <w:rPr>
          <w:rFonts w:ascii="宋体" w:hAnsi="宋体" w:eastAsia="宋体" w:cs="宋体"/>
          <w:color w:val="auto"/>
          <w:spacing w:val="10"/>
          <w:sz w:val="20"/>
          <w:szCs w:val="20"/>
          <w:highlight w:val="none"/>
        </w:rPr>
        <w:t>当邀请国家认可的质量检测机构参加验收工作。验收方成员应当在验收书上签字，并承担相应的法律责任。如果发现与合同中要求不符，供应商须承担由此发生的一切损失和费用，并接受</w:t>
      </w:r>
      <w:r>
        <w:rPr>
          <w:rFonts w:ascii="宋体" w:hAnsi="宋体" w:eastAsia="宋体" w:cs="宋体"/>
          <w:color w:val="auto"/>
          <w:spacing w:val="6"/>
          <w:sz w:val="20"/>
          <w:szCs w:val="20"/>
          <w:highlight w:val="none"/>
        </w:rPr>
        <w:t>相应的处理。</w:t>
      </w:r>
    </w:p>
    <w:p w14:paraId="20C7848E">
      <w:pPr>
        <w:spacing w:before="91" w:line="270" w:lineRule="auto"/>
        <w:ind w:left="5" w:right="70"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32.2</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采购人可以邀请参加本项目的其他供应商或者第三方机构参与验收。参与验收的</w:t>
      </w:r>
      <w:r>
        <w:rPr>
          <w:rFonts w:ascii="宋体" w:hAnsi="宋体" w:eastAsia="宋体" w:cs="宋体"/>
          <w:color w:val="auto"/>
          <w:spacing w:val="7"/>
          <w:sz w:val="20"/>
          <w:szCs w:val="20"/>
          <w:highlight w:val="none"/>
        </w:rPr>
        <w:t>供应</w:t>
      </w:r>
      <w:r>
        <w:rPr>
          <w:rFonts w:ascii="宋体" w:hAnsi="宋体" w:eastAsia="宋体" w:cs="宋体"/>
          <w:color w:val="auto"/>
          <w:spacing w:val="9"/>
          <w:sz w:val="20"/>
          <w:szCs w:val="20"/>
          <w:highlight w:val="none"/>
        </w:rPr>
        <w:t>商或者第三方机构的意见作为验收书的参考资料一并存档。</w:t>
      </w:r>
    </w:p>
    <w:p w14:paraId="6912F95B">
      <w:pPr>
        <w:spacing w:before="96" w:line="297" w:lineRule="auto"/>
        <w:ind w:left="2" w:right="70"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32.3</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严格按照采购合同开展履约验收。采购人成立验收小组，按照采购合同的约</w:t>
      </w:r>
      <w:r>
        <w:rPr>
          <w:rFonts w:ascii="宋体" w:hAnsi="宋体" w:eastAsia="宋体" w:cs="宋体"/>
          <w:color w:val="auto"/>
          <w:spacing w:val="7"/>
          <w:sz w:val="20"/>
          <w:szCs w:val="20"/>
          <w:highlight w:val="none"/>
        </w:rPr>
        <w:t>定对供应</w:t>
      </w:r>
      <w:r>
        <w:rPr>
          <w:rFonts w:ascii="宋体" w:hAnsi="宋体" w:eastAsia="宋体" w:cs="宋体"/>
          <w:color w:val="auto"/>
          <w:spacing w:val="10"/>
          <w:sz w:val="20"/>
          <w:szCs w:val="20"/>
          <w:highlight w:val="none"/>
        </w:rPr>
        <w:t>商履约情况进行验收。验收时，按照采购合同的约定对每一项技术、服务、安全标准的</w:t>
      </w:r>
      <w:r>
        <w:rPr>
          <w:rFonts w:ascii="宋体" w:hAnsi="宋体" w:eastAsia="宋体" w:cs="宋体"/>
          <w:color w:val="auto"/>
          <w:spacing w:val="9"/>
          <w:sz w:val="20"/>
          <w:szCs w:val="20"/>
          <w:highlight w:val="none"/>
        </w:rPr>
        <w:t>履约情况进行确认。验收结束后，应当出具验收书，列明各项标准的验收情况及项目总体评</w:t>
      </w:r>
      <w:r>
        <w:rPr>
          <w:rFonts w:ascii="宋体" w:hAnsi="宋体" w:eastAsia="宋体" w:cs="宋体"/>
          <w:color w:val="auto"/>
          <w:spacing w:val="8"/>
          <w:sz w:val="20"/>
          <w:szCs w:val="20"/>
          <w:highlight w:val="none"/>
        </w:rPr>
        <w:t>价，</w:t>
      </w:r>
      <w:r>
        <w:rPr>
          <w:rFonts w:ascii="宋体" w:hAnsi="宋体" w:eastAsia="宋体" w:cs="宋体"/>
          <w:color w:val="auto"/>
          <w:spacing w:val="-58"/>
          <w:sz w:val="20"/>
          <w:szCs w:val="20"/>
          <w:highlight w:val="none"/>
        </w:rPr>
        <w:t xml:space="preserve"> </w:t>
      </w:r>
      <w:r>
        <w:rPr>
          <w:rFonts w:ascii="宋体" w:hAnsi="宋体" w:eastAsia="宋体" w:cs="宋体"/>
          <w:color w:val="auto"/>
          <w:spacing w:val="8"/>
          <w:sz w:val="20"/>
          <w:szCs w:val="20"/>
          <w:highlight w:val="none"/>
        </w:rPr>
        <w:t>由验</w:t>
      </w:r>
      <w:r>
        <w:rPr>
          <w:rFonts w:ascii="宋体" w:hAnsi="宋体" w:eastAsia="宋体" w:cs="宋体"/>
          <w:color w:val="auto"/>
          <w:spacing w:val="10"/>
          <w:sz w:val="20"/>
          <w:szCs w:val="20"/>
          <w:highlight w:val="none"/>
        </w:rPr>
        <w:t>收双方共同签署。验收结果与采购合同约定的资金支付及履约保证金返还条件挂钩。履</w:t>
      </w:r>
      <w:r>
        <w:rPr>
          <w:rFonts w:ascii="宋体" w:hAnsi="宋体" w:eastAsia="宋体" w:cs="宋体"/>
          <w:color w:val="auto"/>
          <w:spacing w:val="9"/>
          <w:sz w:val="20"/>
          <w:szCs w:val="20"/>
          <w:highlight w:val="none"/>
        </w:rPr>
        <w:t>约验收</w:t>
      </w:r>
      <w:r>
        <w:rPr>
          <w:rFonts w:ascii="宋体" w:hAnsi="宋体" w:eastAsia="宋体" w:cs="宋体"/>
          <w:color w:val="auto"/>
          <w:spacing w:val="8"/>
          <w:sz w:val="20"/>
          <w:szCs w:val="20"/>
          <w:highlight w:val="none"/>
        </w:rPr>
        <w:t>的各项资料应当存档备查。</w:t>
      </w:r>
    </w:p>
    <w:p w14:paraId="23C1C0FB">
      <w:pPr>
        <w:spacing w:before="94" w:line="292" w:lineRule="auto"/>
        <w:ind w:left="2" w:right="70"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32.4</w:t>
      </w:r>
      <w:r>
        <w:rPr>
          <w:rFonts w:ascii="宋体" w:hAnsi="宋体" w:eastAsia="宋体" w:cs="宋体"/>
          <w:color w:val="auto"/>
          <w:spacing w:val="-41"/>
          <w:sz w:val="20"/>
          <w:szCs w:val="20"/>
          <w:highlight w:val="none"/>
        </w:rPr>
        <w:t xml:space="preserve"> </w:t>
      </w:r>
      <w:r>
        <w:rPr>
          <w:rFonts w:ascii="宋体" w:hAnsi="宋体" w:eastAsia="宋体" w:cs="宋体"/>
          <w:color w:val="auto"/>
          <w:spacing w:val="8"/>
          <w:sz w:val="20"/>
          <w:szCs w:val="20"/>
          <w:highlight w:val="none"/>
        </w:rPr>
        <w:t>验收合格的项目，实际使用人将根据采购合同的约定及时向供应商支付采购资金</w:t>
      </w:r>
      <w:r>
        <w:rPr>
          <w:rFonts w:ascii="宋体" w:hAnsi="宋体" w:eastAsia="宋体" w:cs="宋体"/>
          <w:color w:val="auto"/>
          <w:spacing w:val="7"/>
          <w:sz w:val="20"/>
          <w:szCs w:val="20"/>
          <w:highlight w:val="none"/>
        </w:rPr>
        <w:t>。验</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收不合格的项目，采购人将依法及时处理。采购合同的履行、违约责任和解决争议的方</w:t>
      </w:r>
      <w:r>
        <w:rPr>
          <w:rFonts w:ascii="宋体" w:hAnsi="宋体" w:eastAsia="宋体" w:cs="宋体"/>
          <w:color w:val="auto"/>
          <w:spacing w:val="9"/>
          <w:sz w:val="20"/>
          <w:szCs w:val="20"/>
          <w:highlight w:val="none"/>
        </w:rPr>
        <w:t>式等适</w:t>
      </w:r>
      <w:r>
        <w:rPr>
          <w:rFonts w:ascii="宋体" w:hAnsi="宋体" w:eastAsia="宋体" w:cs="宋体"/>
          <w:color w:val="auto"/>
          <w:sz w:val="20"/>
          <w:szCs w:val="20"/>
          <w:highlight w:val="none"/>
        </w:rPr>
        <w:t xml:space="preserve"> </w:t>
      </w:r>
      <w:r>
        <w:rPr>
          <w:rFonts w:ascii="宋体" w:hAnsi="宋体" w:eastAsia="宋体" w:cs="宋体"/>
          <w:color w:val="auto"/>
          <w:spacing w:val="10"/>
          <w:sz w:val="20"/>
          <w:szCs w:val="20"/>
          <w:highlight w:val="none"/>
        </w:rPr>
        <w:t>用《中华人民共和国民法典》。供应商在履约过程中有政府采购法律法规规定的违法违</w:t>
      </w:r>
      <w:r>
        <w:rPr>
          <w:rFonts w:ascii="宋体" w:hAnsi="宋体" w:eastAsia="宋体" w:cs="宋体"/>
          <w:color w:val="auto"/>
          <w:spacing w:val="9"/>
          <w:sz w:val="20"/>
          <w:szCs w:val="20"/>
          <w:highlight w:val="none"/>
        </w:rPr>
        <w:t>规情形</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的，采购人应当及时报告本级财政部门。</w:t>
      </w:r>
    </w:p>
    <w:p w14:paraId="4771A95B">
      <w:pPr>
        <w:spacing w:before="96" w:line="228" w:lineRule="auto"/>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七、其他事项</w:t>
      </w:r>
    </w:p>
    <w:p w14:paraId="5A1B5819">
      <w:pPr>
        <w:spacing w:before="93" w:line="228" w:lineRule="auto"/>
        <w:ind w:left="425"/>
        <w:rPr>
          <w:rFonts w:ascii="宋体" w:hAnsi="宋体" w:eastAsia="宋体" w:cs="宋体"/>
          <w:color w:val="auto"/>
          <w:sz w:val="20"/>
          <w:szCs w:val="20"/>
          <w:highlight w:val="none"/>
        </w:rPr>
      </w:pPr>
      <w:r>
        <w:rPr>
          <w:rFonts w:ascii="宋体" w:hAnsi="宋体" w:eastAsia="宋体" w:cs="宋体"/>
          <w:b/>
          <w:bCs/>
          <w:color w:val="auto"/>
          <w:spacing w:val="4"/>
          <w:sz w:val="20"/>
          <w:szCs w:val="20"/>
          <w:highlight w:val="none"/>
        </w:rPr>
        <w:t>33.代理服务费</w:t>
      </w:r>
    </w:p>
    <w:p w14:paraId="7E254AB6">
      <w:pPr>
        <w:spacing w:before="94" w:line="227"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代理服务收费标准及缴费账户详见“供应商须知前附表</w:t>
      </w:r>
      <w:r>
        <w:rPr>
          <w:rFonts w:ascii="宋体" w:hAnsi="宋体" w:eastAsia="宋体" w:cs="宋体"/>
          <w:color w:val="auto"/>
          <w:spacing w:val="-61"/>
          <w:sz w:val="20"/>
          <w:szCs w:val="20"/>
          <w:highlight w:val="none"/>
        </w:rPr>
        <w:t xml:space="preserve"> </w:t>
      </w:r>
      <w:r>
        <w:rPr>
          <w:rFonts w:ascii="宋体" w:hAnsi="宋体" w:eastAsia="宋体" w:cs="宋体"/>
          <w:color w:val="auto"/>
          <w:spacing w:val="9"/>
          <w:sz w:val="20"/>
          <w:szCs w:val="20"/>
          <w:highlight w:val="none"/>
        </w:rPr>
        <w:t>”，供应商为联合体的，可以由联</w:t>
      </w:r>
    </w:p>
    <w:p w14:paraId="568F5A75">
      <w:pPr>
        <w:spacing w:before="41" w:line="228"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合体中的一方或者多方共同交纳代理服务费。</w:t>
      </w:r>
    </w:p>
    <w:p w14:paraId="79FF5E1C">
      <w:pPr>
        <w:spacing w:before="93" w:line="228" w:lineRule="auto"/>
        <w:ind w:left="423"/>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34.需要补充的其他内容</w:t>
      </w:r>
    </w:p>
    <w:p w14:paraId="068167DD">
      <w:pPr>
        <w:spacing w:before="91" w:line="227"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34.1</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本采购文件解释规则详见“供应商须知前附表</w:t>
      </w:r>
      <w:r>
        <w:rPr>
          <w:rFonts w:ascii="宋体" w:hAnsi="宋体" w:eastAsia="宋体" w:cs="宋体"/>
          <w:color w:val="auto"/>
          <w:spacing w:val="7"/>
          <w:sz w:val="20"/>
          <w:szCs w:val="20"/>
          <w:highlight w:val="none"/>
        </w:rPr>
        <w:t>”。</w:t>
      </w:r>
    </w:p>
    <w:p w14:paraId="5E87F014">
      <w:pPr>
        <w:spacing w:before="97" w:line="227" w:lineRule="auto"/>
        <w:ind w:left="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34.2 其他事项详见“供应商须知前附表”。</w:t>
      </w:r>
    </w:p>
    <w:p w14:paraId="7C1CDAF1">
      <w:pPr>
        <w:spacing w:before="90" w:line="300" w:lineRule="auto"/>
        <w:ind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34.3</w:t>
      </w:r>
      <w:r>
        <w:rPr>
          <w:rFonts w:ascii="宋体" w:hAnsi="宋体" w:eastAsia="宋体" w:cs="宋体"/>
          <w:color w:val="auto"/>
          <w:spacing w:val="-39"/>
          <w:sz w:val="20"/>
          <w:szCs w:val="20"/>
          <w:highlight w:val="none"/>
        </w:rPr>
        <w:t xml:space="preserve"> </w:t>
      </w:r>
      <w:r>
        <w:rPr>
          <w:rFonts w:ascii="宋体" w:hAnsi="宋体" w:eastAsia="宋体" w:cs="宋体"/>
          <w:color w:val="auto"/>
          <w:spacing w:val="8"/>
          <w:sz w:val="20"/>
          <w:szCs w:val="20"/>
          <w:highlight w:val="none"/>
        </w:rPr>
        <w:t>本文件所称中小企业，是指在中华人民共和国境内依法设立，依据国务院批</w:t>
      </w:r>
      <w:r>
        <w:rPr>
          <w:rFonts w:ascii="宋体" w:hAnsi="宋体" w:eastAsia="宋体" w:cs="宋体"/>
          <w:color w:val="auto"/>
          <w:spacing w:val="7"/>
          <w:sz w:val="20"/>
          <w:szCs w:val="20"/>
          <w:highlight w:val="none"/>
        </w:rPr>
        <w:t>准的中小</w:t>
      </w:r>
      <w:r>
        <w:rPr>
          <w:rFonts w:ascii="宋体" w:hAnsi="宋体" w:eastAsia="宋体" w:cs="宋体"/>
          <w:color w:val="auto"/>
          <w:spacing w:val="10"/>
          <w:sz w:val="20"/>
          <w:szCs w:val="20"/>
          <w:highlight w:val="none"/>
        </w:rPr>
        <w:t>企业划分标准确定的中型企业、小型企业和微型企业，但与大企业的负责人为同一人，或</w:t>
      </w:r>
      <w:r>
        <w:rPr>
          <w:rFonts w:ascii="宋体" w:hAnsi="宋体" w:eastAsia="宋体" w:cs="宋体"/>
          <w:color w:val="auto"/>
          <w:spacing w:val="9"/>
          <w:sz w:val="20"/>
          <w:szCs w:val="20"/>
          <w:highlight w:val="none"/>
        </w:rPr>
        <w:t>者与</w:t>
      </w:r>
      <w:r>
        <w:rPr>
          <w:rFonts w:ascii="宋体" w:hAnsi="宋体" w:eastAsia="宋体" w:cs="宋体"/>
          <w:color w:val="auto"/>
          <w:spacing w:val="10"/>
          <w:sz w:val="20"/>
          <w:szCs w:val="20"/>
          <w:highlight w:val="none"/>
        </w:rPr>
        <w:t>大企业存在直接控股、管理关系的除外。符合中小企业划分标准的个体工商户，在政府采</w:t>
      </w:r>
      <w:r>
        <w:rPr>
          <w:rFonts w:ascii="宋体" w:hAnsi="宋体" w:eastAsia="宋体" w:cs="宋体"/>
          <w:color w:val="auto"/>
          <w:spacing w:val="9"/>
          <w:sz w:val="20"/>
          <w:szCs w:val="20"/>
          <w:highlight w:val="none"/>
        </w:rPr>
        <w:t>购活</w:t>
      </w:r>
      <w:r>
        <w:rPr>
          <w:rFonts w:ascii="宋体" w:hAnsi="宋体" w:eastAsia="宋体" w:cs="宋体"/>
          <w:color w:val="auto"/>
          <w:spacing w:val="10"/>
          <w:sz w:val="20"/>
          <w:szCs w:val="20"/>
          <w:highlight w:val="none"/>
        </w:rPr>
        <w:t>动中视同中小企业。在政府采购活动中，供应商提供的服务由中小企业承接，即提供服务</w:t>
      </w:r>
      <w:r>
        <w:rPr>
          <w:rFonts w:ascii="宋体" w:hAnsi="宋体" w:eastAsia="宋体" w:cs="宋体"/>
          <w:color w:val="auto"/>
          <w:spacing w:val="9"/>
          <w:sz w:val="20"/>
          <w:szCs w:val="20"/>
          <w:highlight w:val="none"/>
        </w:rPr>
        <w:t>的人</w:t>
      </w:r>
      <w:r>
        <w:rPr>
          <w:rFonts w:ascii="宋体" w:hAnsi="宋体" w:eastAsia="宋体" w:cs="宋体"/>
          <w:color w:val="auto"/>
          <w:spacing w:val="10"/>
          <w:sz w:val="20"/>
          <w:szCs w:val="20"/>
          <w:highlight w:val="none"/>
        </w:rPr>
        <w:t>员为中小企业依照《中华人民共和国劳动合同法》订立劳动合同的从业人员，不对其中涉</w:t>
      </w:r>
      <w:r>
        <w:rPr>
          <w:rFonts w:ascii="宋体" w:hAnsi="宋体" w:eastAsia="宋体" w:cs="宋体"/>
          <w:color w:val="auto"/>
          <w:spacing w:val="9"/>
          <w:sz w:val="20"/>
          <w:szCs w:val="20"/>
          <w:highlight w:val="none"/>
        </w:rPr>
        <w:t>及的货物的制造商和工程承建商作出要求的，享受本文件规定的中小企业扶持政策。</w:t>
      </w:r>
    </w:p>
    <w:p w14:paraId="097900C2">
      <w:pPr>
        <w:spacing w:before="95" w:line="362" w:lineRule="auto"/>
        <w:ind w:right="51" w:firstLine="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以联合体形式参加采购活动，联合体各方均为中小企业的，联合体视同中小企业。其中，</w:t>
      </w:r>
      <w:r>
        <w:rPr>
          <w:rFonts w:ascii="宋体" w:hAnsi="宋体" w:eastAsia="宋体" w:cs="宋体"/>
          <w:color w:val="auto"/>
          <w:spacing w:val="9"/>
          <w:sz w:val="20"/>
          <w:szCs w:val="20"/>
          <w:highlight w:val="none"/>
        </w:rPr>
        <w:t>联合体各方均为小微企业的，联合体视同小微企业。</w:t>
      </w:r>
    </w:p>
    <w:p w14:paraId="60204872">
      <w:pPr>
        <w:spacing w:before="34" w:line="300" w:lineRule="auto"/>
        <w:ind w:left="18" w:right="51" w:firstLine="40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依据本文件规定享受扶持政策获得采购合同的，小微企</w:t>
      </w:r>
      <w:r>
        <w:rPr>
          <w:rFonts w:ascii="宋体" w:hAnsi="宋体" w:eastAsia="宋体" w:cs="宋体"/>
          <w:color w:val="auto"/>
          <w:spacing w:val="8"/>
          <w:sz w:val="20"/>
          <w:szCs w:val="20"/>
          <w:highlight w:val="none"/>
        </w:rPr>
        <w:t>业不得将合同分包给大中型企业，</w:t>
      </w:r>
      <w:r>
        <w:rPr>
          <w:rFonts w:ascii="宋体" w:hAnsi="宋体" w:eastAsia="宋体" w:cs="宋体"/>
          <w:color w:val="auto"/>
          <w:spacing w:val="7"/>
          <w:sz w:val="20"/>
          <w:szCs w:val="20"/>
          <w:highlight w:val="none"/>
        </w:rPr>
        <w:t>中型企业不得将合同分包给大型企业。</w:t>
      </w:r>
    </w:p>
    <w:p w14:paraId="47FCBDB2">
      <w:pPr>
        <w:spacing w:line="300" w:lineRule="auto"/>
        <w:rPr>
          <w:rFonts w:ascii="宋体" w:hAnsi="宋体" w:eastAsia="宋体" w:cs="宋体"/>
          <w:color w:val="auto"/>
          <w:sz w:val="20"/>
          <w:szCs w:val="20"/>
          <w:highlight w:val="none"/>
        </w:rPr>
        <w:sectPr>
          <w:footerReference r:id="rId12" w:type="default"/>
          <w:pgSz w:w="11910" w:h="16840"/>
          <w:pgMar w:top="1361" w:right="1630" w:bottom="1019" w:left="1669" w:header="0" w:footer="857" w:gutter="0"/>
          <w:pgNumType w:fmt="decimal"/>
          <w:cols w:space="720" w:num="1"/>
        </w:sectPr>
      </w:pPr>
    </w:p>
    <w:p w14:paraId="6E98AF26">
      <w:pPr>
        <w:spacing w:before="63" w:line="224" w:lineRule="auto"/>
        <w:ind w:left="3240"/>
        <w:outlineLvl w:val="0"/>
        <w:rPr>
          <w:rFonts w:ascii="宋体" w:hAnsi="宋体" w:eastAsia="宋体" w:cs="宋体"/>
          <w:color w:val="auto"/>
          <w:sz w:val="31"/>
          <w:szCs w:val="31"/>
          <w:highlight w:val="none"/>
        </w:rPr>
      </w:pPr>
      <w:bookmarkStart w:id="12" w:name="bookmark5"/>
      <w:bookmarkEnd w:id="12"/>
      <w:bookmarkStart w:id="13" w:name="_Toc3276"/>
      <w:bookmarkStart w:id="14" w:name="_Toc31270"/>
      <w:bookmarkStart w:id="15" w:name="_Toc17077"/>
      <w:bookmarkStart w:id="16" w:name="_Toc9423"/>
      <w:r>
        <w:rPr>
          <w:rFonts w:ascii="宋体" w:hAnsi="宋体" w:eastAsia="宋体" w:cs="宋体"/>
          <w:b/>
          <w:bCs/>
          <w:color w:val="auto"/>
          <w:spacing w:val="5"/>
          <w:sz w:val="31"/>
          <w:szCs w:val="31"/>
          <w:highlight w:val="none"/>
        </w:rPr>
        <w:t>第三章</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采购需求</w:t>
      </w:r>
      <w:bookmarkEnd w:id="13"/>
      <w:bookmarkEnd w:id="14"/>
      <w:bookmarkEnd w:id="15"/>
      <w:bookmarkEnd w:id="16"/>
    </w:p>
    <w:p w14:paraId="1823F9E5">
      <w:pPr>
        <w:pStyle w:val="2"/>
        <w:spacing w:line="385" w:lineRule="auto"/>
        <w:rPr>
          <w:color w:val="auto"/>
          <w:highlight w:val="none"/>
        </w:rPr>
      </w:pPr>
    </w:p>
    <w:p w14:paraId="61C842F3">
      <w:pPr>
        <w:spacing w:before="65" w:line="228" w:lineRule="auto"/>
        <w:ind w:left="4"/>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一、项目概况与招标范围</w:t>
      </w:r>
    </w:p>
    <w:p w14:paraId="19754A54">
      <w:pPr>
        <w:spacing w:before="95" w:line="298" w:lineRule="auto"/>
        <w:ind w:left="423" w:right="2164" w:firstLine="1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1.工程名称：</w:t>
      </w:r>
      <w:r>
        <w:rPr>
          <w:rFonts w:hint="eastAsia" w:ascii="宋体" w:hAnsi="宋体" w:eastAsia="宋体" w:cs="宋体"/>
          <w:color w:val="auto"/>
          <w:spacing w:val="9"/>
          <w:sz w:val="20"/>
          <w:szCs w:val="20"/>
          <w:highlight w:val="none"/>
          <w:lang w:eastAsia="zh-CN"/>
        </w:rPr>
        <w:t>2025年库区移民发展专项资金项目</w:t>
      </w:r>
    </w:p>
    <w:p w14:paraId="6634BF0A">
      <w:pPr>
        <w:spacing w:before="95" w:line="298" w:lineRule="auto"/>
        <w:ind w:left="423" w:right="2164" w:firstLine="12"/>
        <w:rPr>
          <w:rFonts w:hint="eastAsia" w:ascii="宋体" w:hAnsi="宋体" w:eastAsia="宋体" w:cs="宋体"/>
          <w:color w:val="auto"/>
          <w:sz w:val="20"/>
          <w:szCs w:val="20"/>
          <w:highlight w:val="none"/>
          <w:lang w:eastAsia="zh-CN"/>
        </w:rPr>
      </w:pPr>
      <w:r>
        <w:rPr>
          <w:rFonts w:ascii="宋体" w:hAnsi="宋体" w:eastAsia="宋体" w:cs="宋体"/>
          <w:color w:val="auto"/>
          <w:spacing w:val="8"/>
          <w:sz w:val="20"/>
          <w:szCs w:val="20"/>
          <w:highlight w:val="none"/>
        </w:rPr>
        <w:t>2.建设地点：</w:t>
      </w:r>
      <w:r>
        <w:rPr>
          <w:rFonts w:hint="eastAsia" w:ascii="宋体" w:hAnsi="宋体" w:eastAsia="宋体" w:cs="宋体"/>
          <w:color w:val="auto"/>
          <w:spacing w:val="8"/>
          <w:sz w:val="20"/>
          <w:szCs w:val="20"/>
          <w:highlight w:val="none"/>
          <w:lang w:eastAsia="zh-CN"/>
        </w:rPr>
        <w:t>大新县雷平镇怀义村邱州屯</w:t>
      </w:r>
    </w:p>
    <w:p w14:paraId="4BD3CFA0">
      <w:pPr>
        <w:autoSpaceDE/>
        <w:autoSpaceDN/>
        <w:spacing w:before="35" w:line="360" w:lineRule="auto"/>
        <w:ind w:left="2" w:right="11"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3.项目内容：</w:t>
      </w:r>
      <w:r>
        <w:rPr>
          <w:rFonts w:hint="eastAsia" w:ascii="宋体" w:hAnsi="宋体" w:eastAsia="宋体" w:cs="宋体"/>
          <w:color w:val="auto"/>
          <w:spacing w:val="8"/>
          <w:sz w:val="20"/>
          <w:szCs w:val="20"/>
          <w:highlight w:val="none"/>
        </w:rPr>
        <w:t>2025年库区移民发展专项资金项目，含硬化道路总里程1.607千米，主路路基宽6米，水泥路面宽5米，支路路基宽4-5.5米，水泥路面宽3-4.5米，混凝厚度20厘米，如需进一步了解详细内容，详见竞争性磋商文件、工程量清单及施工图（如有）</w:t>
      </w:r>
      <w:r>
        <w:rPr>
          <w:rFonts w:ascii="宋体" w:hAnsi="宋体" w:eastAsia="宋体" w:cs="宋体"/>
          <w:color w:val="auto"/>
          <w:spacing w:val="7"/>
          <w:sz w:val="20"/>
          <w:szCs w:val="20"/>
          <w:highlight w:val="none"/>
        </w:rPr>
        <w:t>。</w:t>
      </w:r>
    </w:p>
    <w:p w14:paraId="1B9FE759">
      <w:pPr>
        <w:autoSpaceDE/>
        <w:autoSpaceDN/>
        <w:spacing w:before="0" w:line="360" w:lineRule="auto"/>
        <w:ind w:left="0" w:right="0" w:firstLine="432" w:firstLineChars="200"/>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4.预算金额：</w:t>
      </w:r>
      <w:r>
        <w:rPr>
          <w:rFonts w:hint="eastAsia" w:ascii="宋体" w:hAnsi="宋体" w:eastAsia="宋体" w:cs="宋体"/>
          <w:color w:val="auto"/>
          <w:spacing w:val="8"/>
          <w:sz w:val="20"/>
          <w:szCs w:val="20"/>
          <w:highlight w:val="none"/>
          <w:lang w:eastAsia="zh-CN"/>
        </w:rPr>
        <w:t>壹佰零肆万零贰佰柒拾捌元整(￥1040278.00）</w:t>
      </w:r>
    </w:p>
    <w:p w14:paraId="76AC5664">
      <w:pPr>
        <w:autoSpaceDE/>
        <w:autoSpaceDN/>
        <w:spacing w:before="34" w:line="360" w:lineRule="auto"/>
        <w:ind w:left="425" w:right="5576" w:hanging="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w:t>
      </w:r>
      <w:r>
        <w:rPr>
          <w:rFonts w:ascii="宋体" w:hAnsi="宋体" w:eastAsia="宋体" w:cs="宋体"/>
          <w:color w:val="auto"/>
          <w:spacing w:val="7"/>
          <w:sz w:val="20"/>
          <w:szCs w:val="20"/>
          <w:highlight w:val="none"/>
        </w:rPr>
        <w:t>资金来源：财政资金</w:t>
      </w:r>
    </w:p>
    <w:p w14:paraId="69213E9B">
      <w:pPr>
        <w:spacing w:before="29" w:line="228" w:lineRule="auto"/>
        <w:ind w:left="422"/>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6.要求工期：</w:t>
      </w:r>
      <w:r>
        <w:rPr>
          <w:rFonts w:hint="eastAsia" w:ascii="宋体" w:hAnsi="宋体" w:eastAsia="宋体" w:cs="宋体"/>
          <w:color w:val="auto"/>
          <w:spacing w:val="3"/>
          <w:sz w:val="20"/>
          <w:szCs w:val="20"/>
          <w:highlight w:val="none"/>
          <w:lang w:val="en-US" w:eastAsia="zh-CN"/>
        </w:rPr>
        <w:t>120</w:t>
      </w:r>
      <w:r>
        <w:rPr>
          <w:rFonts w:ascii="宋体" w:hAnsi="宋体" w:eastAsia="宋体" w:cs="宋体"/>
          <w:color w:val="auto"/>
          <w:spacing w:val="3"/>
          <w:sz w:val="20"/>
          <w:szCs w:val="20"/>
          <w:highlight w:val="none"/>
        </w:rPr>
        <w:t>日历天内</w:t>
      </w:r>
    </w:p>
    <w:p w14:paraId="12F3012A">
      <w:pPr>
        <w:spacing w:before="94" w:line="227"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7.计税方法：本工程采用一般计税法</w:t>
      </w:r>
    </w:p>
    <w:p w14:paraId="0FF74E63">
      <w:pPr>
        <w:spacing w:before="95" w:line="300" w:lineRule="auto"/>
        <w:ind w:left="2" w:right="64" w:firstLine="41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8.工程建设标准：本工程执行国家现行的有关的工程建设标准、技术规范及强制性标准条</w:t>
      </w:r>
      <w:r>
        <w:rPr>
          <w:rFonts w:ascii="宋体" w:hAnsi="宋体" w:eastAsia="宋体" w:cs="宋体"/>
          <w:color w:val="auto"/>
          <w:spacing w:val="8"/>
          <w:sz w:val="20"/>
          <w:szCs w:val="20"/>
          <w:highlight w:val="none"/>
        </w:rPr>
        <w:t>文、以及施工图纸载明的其他有关规范标准。</w:t>
      </w:r>
    </w:p>
    <w:p w14:paraId="4DEA987B">
      <w:pPr>
        <w:spacing w:before="31" w:line="228" w:lineRule="auto"/>
        <w:ind w:left="421"/>
        <w:rPr>
          <w:rFonts w:ascii="宋体" w:hAnsi="宋体" w:eastAsia="宋体" w:cs="宋体"/>
          <w:color w:val="auto"/>
          <w:sz w:val="20"/>
          <w:szCs w:val="20"/>
          <w:highlight w:val="none"/>
        </w:rPr>
      </w:pPr>
      <w:r>
        <w:rPr>
          <w:rFonts w:ascii="Times New Roman" w:hAnsi="Times New Roman" w:eastAsia="Times New Roman" w:cs="Times New Roman"/>
          <w:color w:val="auto"/>
          <w:spacing w:val="9"/>
          <w:sz w:val="20"/>
          <w:szCs w:val="20"/>
          <w:highlight w:val="none"/>
        </w:rPr>
        <w:t>9.</w:t>
      </w:r>
      <w:r>
        <w:rPr>
          <w:rFonts w:ascii="宋体" w:hAnsi="宋体" w:eastAsia="宋体" w:cs="宋体"/>
          <w:color w:val="auto"/>
          <w:spacing w:val="9"/>
          <w:sz w:val="20"/>
          <w:szCs w:val="20"/>
          <w:highlight w:val="none"/>
        </w:rPr>
        <w:t>工程质量要求：满足设计及有关规范要求，</w:t>
      </w:r>
      <w:r>
        <w:rPr>
          <w:rFonts w:ascii="宋体" w:hAnsi="宋体" w:eastAsia="宋体" w:cs="宋体"/>
          <w:color w:val="auto"/>
          <w:spacing w:val="8"/>
          <w:sz w:val="20"/>
          <w:szCs w:val="20"/>
          <w:highlight w:val="none"/>
        </w:rPr>
        <w:t>工程验收合格。</w:t>
      </w:r>
    </w:p>
    <w:p w14:paraId="69E553CF">
      <w:pPr>
        <w:spacing w:before="94" w:line="290" w:lineRule="auto"/>
        <w:ind w:left="3" w:firstLine="433"/>
        <w:rPr>
          <w:rFonts w:ascii="宋体" w:hAnsi="宋体" w:eastAsia="宋体" w:cs="宋体"/>
          <w:color w:val="auto"/>
          <w:sz w:val="20"/>
          <w:szCs w:val="20"/>
          <w:highlight w:val="none"/>
        </w:rPr>
      </w:pPr>
      <w:r>
        <w:rPr>
          <w:rFonts w:ascii="Times New Roman" w:hAnsi="Times New Roman" w:eastAsia="Times New Roman" w:cs="Times New Roman"/>
          <w:color w:val="auto"/>
          <w:spacing w:val="4"/>
          <w:sz w:val="20"/>
          <w:szCs w:val="20"/>
          <w:highlight w:val="none"/>
        </w:rPr>
        <w:t>10.</w:t>
      </w:r>
      <w:r>
        <w:rPr>
          <w:rFonts w:ascii="宋体" w:hAnsi="宋体" w:eastAsia="宋体" w:cs="宋体"/>
          <w:color w:val="auto"/>
          <w:spacing w:val="4"/>
          <w:sz w:val="20"/>
          <w:szCs w:val="20"/>
          <w:highlight w:val="none"/>
        </w:rPr>
        <w:t>工程量清单：登陆广西政府采购云平台（</w:t>
      </w:r>
      <w:r>
        <w:rPr>
          <w:rFonts w:ascii="Times New Roman" w:hAnsi="Times New Roman" w:eastAsia="Times New Roman" w:cs="Times New Roman"/>
          <w:color w:val="auto"/>
          <w:sz w:val="20"/>
          <w:szCs w:val="20"/>
          <w:highlight w:val="none"/>
        </w:rPr>
        <w:t>https</w:t>
      </w:r>
      <w:r>
        <w:rPr>
          <w:rFonts w:ascii="Times New Roman" w:hAnsi="Times New Roman" w:eastAsia="Times New Roman" w:cs="Times New Roman"/>
          <w:color w:val="auto"/>
          <w:spacing w:val="4"/>
          <w:sz w:val="20"/>
          <w:szCs w:val="20"/>
          <w:highlight w:val="none"/>
        </w:rPr>
        <w:t>://</w:t>
      </w:r>
      <w:r>
        <w:rPr>
          <w:rFonts w:ascii="Times New Roman" w:hAnsi="Times New Roman" w:eastAsia="Times New Roman" w:cs="Times New Roman"/>
          <w:color w:val="auto"/>
          <w:sz w:val="20"/>
          <w:szCs w:val="20"/>
          <w:highlight w:val="none"/>
        </w:rPr>
        <w:t>www</w:t>
      </w:r>
      <w:r>
        <w:rPr>
          <w:rFonts w:ascii="Times New Roman" w:hAnsi="Times New Roman" w:eastAsia="Times New Roman" w:cs="Times New Roman"/>
          <w:color w:val="auto"/>
          <w:spacing w:val="4"/>
          <w:sz w:val="20"/>
          <w:szCs w:val="20"/>
          <w:highlight w:val="none"/>
        </w:rPr>
        <w:t>.</w:t>
      </w:r>
      <w:r>
        <w:rPr>
          <w:rFonts w:ascii="Times New Roman" w:hAnsi="Times New Roman" w:eastAsia="Times New Roman" w:cs="Times New Roman"/>
          <w:color w:val="auto"/>
          <w:sz w:val="20"/>
          <w:szCs w:val="20"/>
          <w:highlight w:val="none"/>
        </w:rPr>
        <w:t>gcy</w:t>
      </w:r>
      <w:r>
        <w:rPr>
          <w:rFonts w:ascii="Times New Roman" w:hAnsi="Times New Roman" w:eastAsia="Times New Roman" w:cs="Times New Roman"/>
          <w:color w:val="auto"/>
          <w:spacing w:val="4"/>
          <w:sz w:val="20"/>
          <w:szCs w:val="20"/>
          <w:highlight w:val="none"/>
        </w:rPr>
        <w:t>.</w:t>
      </w:r>
      <w:r>
        <w:rPr>
          <w:rFonts w:ascii="Times New Roman" w:hAnsi="Times New Roman" w:eastAsia="Times New Roman" w:cs="Times New Roman"/>
          <w:color w:val="auto"/>
          <w:sz w:val="20"/>
          <w:szCs w:val="20"/>
          <w:highlight w:val="none"/>
        </w:rPr>
        <w:t>zfcg</w:t>
      </w:r>
      <w:r>
        <w:rPr>
          <w:rFonts w:ascii="Times New Roman" w:hAnsi="Times New Roman" w:eastAsia="Times New Roman" w:cs="Times New Roman"/>
          <w:color w:val="auto"/>
          <w:spacing w:val="4"/>
          <w:sz w:val="20"/>
          <w:szCs w:val="20"/>
          <w:highlight w:val="none"/>
        </w:rPr>
        <w:t>.</w:t>
      </w:r>
      <w:r>
        <w:rPr>
          <w:rFonts w:ascii="Times New Roman" w:hAnsi="Times New Roman" w:eastAsia="Times New Roman" w:cs="Times New Roman"/>
          <w:color w:val="auto"/>
          <w:sz w:val="20"/>
          <w:szCs w:val="20"/>
          <w:highlight w:val="none"/>
        </w:rPr>
        <w:t>gxzf</w:t>
      </w:r>
      <w:r>
        <w:rPr>
          <w:rFonts w:ascii="Times New Roman" w:hAnsi="Times New Roman" w:eastAsia="Times New Roman" w:cs="Times New Roman"/>
          <w:color w:val="auto"/>
          <w:spacing w:val="4"/>
          <w:sz w:val="20"/>
          <w:szCs w:val="20"/>
          <w:highlight w:val="none"/>
        </w:rPr>
        <w:t>.</w:t>
      </w:r>
      <w:r>
        <w:rPr>
          <w:rFonts w:ascii="Times New Roman" w:hAnsi="Times New Roman" w:eastAsia="Times New Roman" w:cs="Times New Roman"/>
          <w:color w:val="auto"/>
          <w:sz w:val="20"/>
          <w:szCs w:val="20"/>
          <w:highlight w:val="none"/>
        </w:rPr>
        <w:t>gov</w:t>
      </w:r>
      <w:r>
        <w:rPr>
          <w:rFonts w:ascii="Times New Roman" w:hAnsi="Times New Roman" w:eastAsia="Times New Roman" w:cs="Times New Roman"/>
          <w:color w:val="auto"/>
          <w:spacing w:val="4"/>
          <w:sz w:val="20"/>
          <w:szCs w:val="20"/>
          <w:highlight w:val="none"/>
        </w:rPr>
        <w:t>.</w:t>
      </w:r>
      <w:r>
        <w:rPr>
          <w:rFonts w:ascii="Times New Roman" w:hAnsi="Times New Roman" w:eastAsia="Times New Roman" w:cs="Times New Roman"/>
          <w:color w:val="auto"/>
          <w:sz w:val="20"/>
          <w:szCs w:val="20"/>
          <w:highlight w:val="none"/>
        </w:rPr>
        <w:t>cn</w:t>
      </w:r>
      <w:r>
        <w:rPr>
          <w:rFonts w:ascii="Times New Roman" w:hAnsi="Times New Roman" w:eastAsia="Times New Roman" w:cs="Times New Roman"/>
          <w:color w:val="auto"/>
          <w:spacing w:val="4"/>
          <w:sz w:val="20"/>
          <w:szCs w:val="20"/>
          <w:highlight w:val="none"/>
        </w:rPr>
        <w:t>/</w:t>
      </w:r>
      <w:r>
        <w:rPr>
          <w:rFonts w:ascii="宋体" w:hAnsi="宋体" w:eastAsia="宋体" w:cs="宋体"/>
          <w:color w:val="auto"/>
          <w:spacing w:val="4"/>
          <w:sz w:val="20"/>
          <w:szCs w:val="20"/>
          <w:highlight w:val="none"/>
        </w:rPr>
        <w:t>）获</w:t>
      </w:r>
      <w:r>
        <w:rPr>
          <w:rFonts w:ascii="宋体" w:hAnsi="宋体" w:eastAsia="宋体" w:cs="宋体"/>
          <w:color w:val="auto"/>
          <w:spacing w:val="3"/>
          <w:sz w:val="20"/>
          <w:szCs w:val="20"/>
          <w:highlight w:val="none"/>
        </w:rPr>
        <w:t>取（下载</w:t>
      </w:r>
      <w:r>
        <w:rPr>
          <w:rFonts w:ascii="宋体" w:hAnsi="宋体" w:eastAsia="宋体" w:cs="宋体"/>
          <w:color w:val="auto"/>
          <w:spacing w:val="-47"/>
          <w:w w:val="90"/>
          <w:sz w:val="20"/>
          <w:szCs w:val="20"/>
          <w:highlight w:val="none"/>
        </w:rPr>
        <w:t>），</w:t>
      </w:r>
      <w:r>
        <w:rPr>
          <w:rFonts w:ascii="宋体" w:hAnsi="宋体" w:eastAsia="宋体" w:cs="宋体"/>
          <w:color w:val="auto"/>
          <w:spacing w:val="8"/>
          <w:sz w:val="20"/>
          <w:szCs w:val="20"/>
          <w:highlight w:val="none"/>
        </w:rPr>
        <w:t>工程量清单是本公开招标文件的组成部分。</w:t>
      </w:r>
    </w:p>
    <w:p w14:paraId="3343D906">
      <w:pPr>
        <w:spacing w:before="51" w:line="290" w:lineRule="auto"/>
        <w:ind w:left="1" w:right="92" w:firstLine="435"/>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11.</w:t>
      </w:r>
      <w:r>
        <w:rPr>
          <w:rFonts w:ascii="Times New Roman" w:hAnsi="Times New Roman" w:eastAsia="Times New Roman" w:cs="Times New Roman"/>
          <w:color w:val="auto"/>
          <w:spacing w:val="-23"/>
          <w:sz w:val="20"/>
          <w:szCs w:val="20"/>
          <w:highlight w:val="none"/>
        </w:rPr>
        <w:t xml:space="preserve"> </w:t>
      </w:r>
      <w:r>
        <w:rPr>
          <w:rFonts w:ascii="宋体" w:hAnsi="宋体" w:eastAsia="宋体" w:cs="宋体"/>
          <w:color w:val="auto"/>
          <w:spacing w:val="7"/>
          <w:sz w:val="20"/>
          <w:szCs w:val="20"/>
          <w:highlight w:val="none"/>
        </w:rPr>
        <w:t>图纸（如有</w:t>
      </w:r>
      <w:r>
        <w:rPr>
          <w:rFonts w:ascii="宋体" w:hAnsi="宋体" w:eastAsia="宋体" w:cs="宋体"/>
          <w:color w:val="auto"/>
          <w:spacing w:val="24"/>
          <w:sz w:val="20"/>
          <w:szCs w:val="20"/>
          <w:highlight w:val="none"/>
        </w:rPr>
        <w:t>）：</w:t>
      </w:r>
      <w:r>
        <w:rPr>
          <w:rFonts w:ascii="宋体" w:hAnsi="宋体" w:eastAsia="宋体" w:cs="宋体"/>
          <w:color w:val="auto"/>
          <w:spacing w:val="7"/>
          <w:sz w:val="20"/>
          <w:szCs w:val="20"/>
          <w:highlight w:val="none"/>
        </w:rPr>
        <w:t>登陆广西政府采购云平台（</w:t>
      </w:r>
      <w:r>
        <w:rPr>
          <w:rFonts w:ascii="Times New Roman" w:hAnsi="Times New Roman" w:eastAsia="Times New Roman" w:cs="Times New Roman"/>
          <w:color w:val="auto"/>
          <w:sz w:val="20"/>
          <w:szCs w:val="20"/>
          <w:highlight w:val="none"/>
        </w:rPr>
        <w:t>https</w:t>
      </w:r>
      <w:r>
        <w:rPr>
          <w:rFonts w:ascii="Times New Roman" w:hAnsi="Times New Roman" w:eastAsia="Times New Roman" w:cs="Times New Roman"/>
          <w:color w:val="auto"/>
          <w:spacing w:val="7"/>
          <w:sz w:val="20"/>
          <w:szCs w:val="20"/>
          <w:highlight w:val="none"/>
        </w:rPr>
        <w:t>://</w:t>
      </w:r>
      <w:r>
        <w:rPr>
          <w:rFonts w:ascii="Times New Roman" w:hAnsi="Times New Roman" w:eastAsia="Times New Roman" w:cs="Times New Roman"/>
          <w:color w:val="auto"/>
          <w:sz w:val="20"/>
          <w:szCs w:val="20"/>
          <w:highlight w:val="none"/>
        </w:rPr>
        <w:t>www</w:t>
      </w:r>
      <w:r>
        <w:rPr>
          <w:rFonts w:ascii="Times New Roman" w:hAnsi="Times New Roman" w:eastAsia="Times New Roman" w:cs="Times New Roman"/>
          <w:color w:val="auto"/>
          <w:spacing w:val="7"/>
          <w:sz w:val="20"/>
          <w:szCs w:val="20"/>
          <w:highlight w:val="none"/>
        </w:rPr>
        <w:t>.</w:t>
      </w:r>
      <w:r>
        <w:rPr>
          <w:rFonts w:ascii="Times New Roman" w:hAnsi="Times New Roman" w:eastAsia="Times New Roman" w:cs="Times New Roman"/>
          <w:color w:val="auto"/>
          <w:sz w:val="20"/>
          <w:szCs w:val="20"/>
          <w:highlight w:val="none"/>
        </w:rPr>
        <w:t>gcy</w:t>
      </w:r>
      <w:r>
        <w:rPr>
          <w:rFonts w:ascii="Times New Roman" w:hAnsi="Times New Roman" w:eastAsia="Times New Roman" w:cs="Times New Roman"/>
          <w:color w:val="auto"/>
          <w:spacing w:val="7"/>
          <w:sz w:val="20"/>
          <w:szCs w:val="20"/>
          <w:highlight w:val="none"/>
        </w:rPr>
        <w:t>.</w:t>
      </w:r>
      <w:r>
        <w:rPr>
          <w:rFonts w:ascii="Times New Roman" w:hAnsi="Times New Roman" w:eastAsia="Times New Roman" w:cs="Times New Roman"/>
          <w:color w:val="auto"/>
          <w:sz w:val="20"/>
          <w:szCs w:val="20"/>
          <w:highlight w:val="none"/>
        </w:rPr>
        <w:t>zfcg</w:t>
      </w:r>
      <w:r>
        <w:rPr>
          <w:rFonts w:ascii="Times New Roman" w:hAnsi="Times New Roman" w:eastAsia="Times New Roman" w:cs="Times New Roman"/>
          <w:color w:val="auto"/>
          <w:spacing w:val="7"/>
          <w:sz w:val="20"/>
          <w:szCs w:val="20"/>
          <w:highlight w:val="none"/>
        </w:rPr>
        <w:t>.</w:t>
      </w:r>
      <w:r>
        <w:rPr>
          <w:rFonts w:ascii="Times New Roman" w:hAnsi="Times New Roman" w:eastAsia="Times New Roman" w:cs="Times New Roman"/>
          <w:color w:val="auto"/>
          <w:sz w:val="20"/>
          <w:szCs w:val="20"/>
          <w:highlight w:val="none"/>
        </w:rPr>
        <w:t>gxzf</w:t>
      </w:r>
      <w:r>
        <w:rPr>
          <w:rFonts w:ascii="Times New Roman" w:hAnsi="Times New Roman" w:eastAsia="Times New Roman" w:cs="Times New Roman"/>
          <w:color w:val="auto"/>
          <w:spacing w:val="7"/>
          <w:sz w:val="20"/>
          <w:szCs w:val="20"/>
          <w:highlight w:val="none"/>
        </w:rPr>
        <w:t>.</w:t>
      </w:r>
      <w:r>
        <w:rPr>
          <w:rFonts w:ascii="Times New Roman" w:hAnsi="Times New Roman" w:eastAsia="Times New Roman" w:cs="Times New Roman"/>
          <w:color w:val="auto"/>
          <w:sz w:val="20"/>
          <w:szCs w:val="20"/>
          <w:highlight w:val="none"/>
        </w:rPr>
        <w:t>gov</w:t>
      </w:r>
      <w:r>
        <w:rPr>
          <w:rFonts w:ascii="Times New Roman" w:hAnsi="Times New Roman" w:eastAsia="Times New Roman" w:cs="Times New Roman"/>
          <w:color w:val="auto"/>
          <w:spacing w:val="7"/>
          <w:sz w:val="20"/>
          <w:szCs w:val="20"/>
          <w:highlight w:val="none"/>
        </w:rPr>
        <w:t>.</w:t>
      </w:r>
      <w:r>
        <w:rPr>
          <w:rFonts w:ascii="Times New Roman" w:hAnsi="Times New Roman" w:eastAsia="Times New Roman" w:cs="Times New Roman"/>
          <w:color w:val="auto"/>
          <w:sz w:val="20"/>
          <w:szCs w:val="20"/>
          <w:highlight w:val="none"/>
        </w:rPr>
        <w:t>cn</w:t>
      </w:r>
      <w:r>
        <w:rPr>
          <w:rFonts w:ascii="Times New Roman" w:hAnsi="Times New Roman" w:eastAsia="Times New Roman" w:cs="Times New Roman"/>
          <w:color w:val="auto"/>
          <w:spacing w:val="7"/>
          <w:sz w:val="20"/>
          <w:szCs w:val="20"/>
          <w:highlight w:val="none"/>
        </w:rPr>
        <w:t>/</w:t>
      </w:r>
      <w:r>
        <w:rPr>
          <w:rFonts w:ascii="宋体" w:hAnsi="宋体" w:eastAsia="宋体" w:cs="宋体"/>
          <w:color w:val="auto"/>
          <w:spacing w:val="7"/>
          <w:sz w:val="20"/>
          <w:szCs w:val="20"/>
          <w:highlight w:val="none"/>
        </w:rPr>
        <w:t>）获取（下载</w:t>
      </w:r>
      <w:r>
        <w:rPr>
          <w:rFonts w:ascii="宋体" w:hAnsi="宋体" w:eastAsia="宋体" w:cs="宋体"/>
          <w:color w:val="auto"/>
          <w:spacing w:val="25"/>
          <w:sz w:val="20"/>
          <w:szCs w:val="20"/>
          <w:highlight w:val="none"/>
        </w:rPr>
        <w:t>），</w:t>
      </w:r>
      <w:r>
        <w:rPr>
          <w:rFonts w:ascii="宋体" w:hAnsi="宋体" w:eastAsia="宋体" w:cs="宋体"/>
          <w:color w:val="auto"/>
          <w:spacing w:val="7"/>
          <w:sz w:val="20"/>
          <w:szCs w:val="20"/>
          <w:highlight w:val="none"/>
        </w:rPr>
        <w:t>图纸是本</w:t>
      </w:r>
      <w:r>
        <w:rPr>
          <w:rFonts w:hint="eastAsia" w:ascii="宋体" w:hAnsi="宋体" w:eastAsia="宋体" w:cs="宋体"/>
          <w:color w:val="auto"/>
          <w:spacing w:val="7"/>
          <w:sz w:val="20"/>
          <w:szCs w:val="20"/>
          <w:highlight w:val="none"/>
          <w:lang w:eastAsia="zh-CN"/>
        </w:rPr>
        <w:t>采购文件</w:t>
      </w:r>
      <w:r>
        <w:rPr>
          <w:rFonts w:ascii="宋体" w:hAnsi="宋体" w:eastAsia="宋体" w:cs="宋体"/>
          <w:color w:val="auto"/>
          <w:spacing w:val="7"/>
          <w:sz w:val="20"/>
          <w:szCs w:val="20"/>
          <w:highlight w:val="none"/>
        </w:rPr>
        <w:t>文件的组成部分。</w:t>
      </w:r>
    </w:p>
    <w:p w14:paraId="44087DC4">
      <w:pPr>
        <w:spacing w:before="53" w:line="228" w:lineRule="auto"/>
        <w:ind w:left="4"/>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二、质量保修期</w:t>
      </w:r>
    </w:p>
    <w:p w14:paraId="1DD20F09">
      <w:pPr>
        <w:spacing w:before="94" w:line="228" w:lineRule="auto"/>
        <w:ind w:left="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1.质量保修期从工程实际竣工验收通过之日算起；</w:t>
      </w:r>
    </w:p>
    <w:p w14:paraId="391E3400">
      <w:pPr>
        <w:spacing w:before="95" w:line="297" w:lineRule="auto"/>
        <w:ind w:right="64" w:firstLine="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2.双方根据国家有关规定，按法律、行政法规或国家关于工程质量保修的有关规定，对交付采购人使用的工程质量保修期为工程实际竣工</w:t>
      </w:r>
      <w:r>
        <w:rPr>
          <w:rFonts w:ascii="宋体" w:hAnsi="宋体" w:eastAsia="宋体" w:cs="宋体"/>
          <w:color w:val="auto"/>
          <w:spacing w:val="8"/>
          <w:sz w:val="20"/>
          <w:szCs w:val="20"/>
          <w:highlight w:val="none"/>
        </w:rPr>
        <w:t>验收通过之日起1年，应承担质量保修责任；</w:t>
      </w:r>
    </w:p>
    <w:p w14:paraId="4B2ACAB0">
      <w:pPr>
        <w:spacing w:before="37" w:line="298" w:lineRule="auto"/>
        <w:ind w:left="5" w:right="64"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3.在工程质量保修期期限内发生质量问题，必须在收到质保通知后的1个日历天内整改完</w:t>
      </w:r>
      <w:r>
        <w:rPr>
          <w:rFonts w:ascii="宋体" w:hAnsi="宋体" w:eastAsia="宋体" w:cs="宋体"/>
          <w:color w:val="auto"/>
          <w:spacing w:val="-2"/>
          <w:sz w:val="20"/>
          <w:szCs w:val="20"/>
          <w:highlight w:val="none"/>
        </w:rPr>
        <w:t>毕。</w:t>
      </w:r>
    </w:p>
    <w:p w14:paraId="3DFB9643">
      <w:pPr>
        <w:spacing w:before="34" w:line="300" w:lineRule="auto"/>
        <w:ind w:left="1" w:right="64" w:firstLine="41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4.在没有明文规定下，参照建设工程质量保</w:t>
      </w:r>
      <w:r>
        <w:rPr>
          <w:rFonts w:ascii="宋体" w:hAnsi="宋体" w:eastAsia="宋体" w:cs="宋体"/>
          <w:color w:val="auto"/>
          <w:spacing w:val="9"/>
          <w:sz w:val="20"/>
          <w:szCs w:val="20"/>
          <w:highlight w:val="none"/>
        </w:rPr>
        <w:t>修条例，双方协商为设计文件规定的该工程的</w:t>
      </w:r>
      <w:r>
        <w:rPr>
          <w:rFonts w:ascii="宋体" w:hAnsi="宋体" w:eastAsia="宋体" w:cs="宋体"/>
          <w:color w:val="auto"/>
          <w:spacing w:val="7"/>
          <w:sz w:val="20"/>
          <w:szCs w:val="20"/>
          <w:highlight w:val="none"/>
        </w:rPr>
        <w:t>合理使用年限内保修。</w:t>
      </w:r>
    </w:p>
    <w:p w14:paraId="6604F969">
      <w:pPr>
        <w:spacing w:before="31" w:line="228" w:lineRule="auto"/>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三、工程款（进度款）支付</w:t>
      </w:r>
    </w:p>
    <w:p w14:paraId="66E36CA1">
      <w:pPr>
        <w:spacing w:before="95" w:line="308" w:lineRule="auto"/>
        <w:ind w:right="2" w:firstLine="436"/>
        <w:jc w:val="both"/>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1.工程进度款的支付：</w:t>
      </w:r>
    </w:p>
    <w:p w14:paraId="55BA4A45">
      <w:pPr>
        <w:spacing w:before="95" w:line="308" w:lineRule="auto"/>
        <w:ind w:right="2" w:firstLine="436"/>
        <w:jc w:val="both"/>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1）双方约定的工程款（进度款）支付的方式和时间：按完成工程量的工程款的85%支付工程进度款，当支付工程进度款累计达到合同款的85%时，则停止支付工程款；待工程竣工验收且竣工结算经县级人民政府以上指导的审计部门审定并经发包人确认后，工程款支付至结算审定总价的97%（含已支付的），余下工程款的3%作为工程质量保证金，待工程质量保修期满后返还（工程验收合格后</w:t>
      </w:r>
      <w:r>
        <w:rPr>
          <w:rFonts w:hint="eastAsia" w:ascii="宋体" w:hAnsi="宋体" w:eastAsia="宋体" w:cs="宋体"/>
          <w:color w:val="auto"/>
          <w:spacing w:val="7"/>
          <w:sz w:val="20"/>
          <w:szCs w:val="20"/>
          <w:highlight w:val="none"/>
          <w:lang w:val="en-US" w:eastAsia="zh-CN"/>
        </w:rPr>
        <w:t>1</w:t>
      </w:r>
      <w:r>
        <w:rPr>
          <w:rFonts w:hint="eastAsia" w:ascii="宋体" w:hAnsi="宋体" w:eastAsia="宋体" w:cs="宋体"/>
          <w:color w:val="auto"/>
          <w:spacing w:val="7"/>
          <w:sz w:val="20"/>
          <w:szCs w:val="20"/>
          <w:highlight w:val="none"/>
        </w:rPr>
        <w:t>年内为保修期）。同时项目申请资金拨付次数原则上不超过3次（除工程质量保证金外）。</w:t>
      </w:r>
    </w:p>
    <w:p w14:paraId="31552DC1">
      <w:pPr>
        <w:spacing w:before="95" w:line="308" w:lineRule="auto"/>
        <w:ind w:right="2" w:firstLine="436"/>
        <w:jc w:val="both"/>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发包方应当自收到到发票后在</w:t>
      </w:r>
      <w:r>
        <w:rPr>
          <w:rFonts w:hint="eastAsia" w:ascii="宋体" w:hAnsi="宋体" w:eastAsia="宋体" w:cs="宋体"/>
          <w:color w:val="auto"/>
          <w:spacing w:val="7"/>
          <w:sz w:val="20"/>
          <w:szCs w:val="20"/>
          <w:highlight w:val="none"/>
          <w:lang w:val="en-US" w:eastAsia="zh-CN"/>
        </w:rPr>
        <w:t>10个工作</w:t>
      </w:r>
      <w:r>
        <w:rPr>
          <w:rFonts w:hint="eastAsia" w:ascii="宋体" w:hAnsi="宋体" w:eastAsia="宋体" w:cs="宋体"/>
          <w:color w:val="auto"/>
          <w:spacing w:val="7"/>
          <w:sz w:val="20"/>
          <w:szCs w:val="20"/>
          <w:highlight w:val="none"/>
        </w:rPr>
        <w:t>日内将资金支付到合同约定的供应商帐户上。</w:t>
      </w:r>
    </w:p>
    <w:p w14:paraId="6FBEA184">
      <w:pPr>
        <w:spacing w:before="95" w:line="308" w:lineRule="auto"/>
        <w:ind w:right="2" w:firstLine="436"/>
        <w:jc w:val="both"/>
        <w:rPr>
          <w:rFonts w:hint="eastAsia" w:ascii="宋体" w:hAnsi="宋体" w:eastAsia="宋体" w:cs="宋体"/>
          <w:color w:val="auto"/>
          <w:spacing w:val="7"/>
          <w:sz w:val="20"/>
          <w:szCs w:val="20"/>
          <w:highlight w:val="none"/>
        </w:rPr>
      </w:pPr>
      <w:r>
        <w:rPr>
          <w:rFonts w:hint="eastAsia" w:ascii="宋体" w:hAnsi="宋体" w:eastAsia="宋体" w:cs="宋体"/>
          <w:color w:val="auto"/>
          <w:spacing w:val="7"/>
          <w:sz w:val="20"/>
          <w:szCs w:val="20"/>
          <w:highlight w:val="none"/>
        </w:rPr>
        <w:t>承包人存入的履约保证金（合同价的0%）、预留的质量保证金（合同价的3%）待到期过后无违约、无质量问题给予无息退还，其他的按原合同继续履行。</w:t>
      </w:r>
    </w:p>
    <w:p w14:paraId="2E803F4A">
      <w:pPr>
        <w:spacing w:before="95" w:line="308" w:lineRule="auto"/>
        <w:ind w:right="2" w:firstLine="436"/>
        <w:jc w:val="both"/>
        <w:rPr>
          <w:rFonts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rPr>
        <w:t>（2）材料、设备预付款：本项目无材料、设备预付款</w:t>
      </w:r>
      <w:r>
        <w:rPr>
          <w:rFonts w:ascii="宋体" w:hAnsi="宋体" w:eastAsia="宋体" w:cs="宋体"/>
          <w:color w:val="auto"/>
          <w:spacing w:val="6"/>
          <w:sz w:val="20"/>
          <w:szCs w:val="20"/>
          <w:highlight w:val="none"/>
        </w:rPr>
        <w:t>。</w:t>
      </w:r>
    </w:p>
    <w:p w14:paraId="06A993F5">
      <w:pPr>
        <w:spacing w:before="32" w:line="228" w:lineRule="auto"/>
        <w:ind w:left="20"/>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四、其他商务条款</w:t>
      </w:r>
    </w:p>
    <w:p w14:paraId="7E1B53F5">
      <w:pPr>
        <w:spacing w:before="94" w:line="300" w:lineRule="auto"/>
        <w:ind w:left="423" w:right="204" w:firstLine="12"/>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1.签订合同时间∶自中标（成交）通知书发出之日起</w:t>
      </w:r>
      <w:r>
        <w:rPr>
          <w:rFonts w:ascii="Times New Roman" w:hAnsi="Times New Roman" w:eastAsia="Times New Roman" w:cs="Times New Roman"/>
          <w:color w:val="auto"/>
          <w:spacing w:val="1"/>
          <w:sz w:val="20"/>
          <w:szCs w:val="20"/>
          <w:highlight w:val="none"/>
        </w:rPr>
        <w:t>15</w:t>
      </w:r>
      <w:r>
        <w:rPr>
          <w:rFonts w:ascii="宋体" w:hAnsi="宋体" w:eastAsia="宋体" w:cs="宋体"/>
          <w:color w:val="auto"/>
          <w:sz w:val="20"/>
          <w:szCs w:val="20"/>
          <w:highlight w:val="none"/>
        </w:rPr>
        <w:t>日内（最迟不能超过</w:t>
      </w:r>
      <w:r>
        <w:rPr>
          <w:rFonts w:ascii="Times New Roman" w:hAnsi="Times New Roman" w:eastAsia="Times New Roman" w:cs="Times New Roman"/>
          <w:color w:val="auto"/>
          <w:sz w:val="20"/>
          <w:szCs w:val="20"/>
          <w:highlight w:val="none"/>
        </w:rPr>
        <w:t>15</w:t>
      </w:r>
      <w:r>
        <w:rPr>
          <w:rFonts w:ascii="宋体" w:hAnsi="宋体" w:eastAsia="宋体" w:cs="宋体"/>
          <w:color w:val="auto"/>
          <w:sz w:val="20"/>
          <w:szCs w:val="20"/>
          <w:highlight w:val="none"/>
        </w:rPr>
        <w:t>日）。</w:t>
      </w:r>
    </w:p>
    <w:p w14:paraId="64958E2A">
      <w:pPr>
        <w:spacing w:before="94" w:line="300" w:lineRule="auto"/>
        <w:ind w:left="423" w:right="204" w:firstLine="1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2.验收标准、规范：</w:t>
      </w:r>
    </w:p>
    <w:p w14:paraId="65505308">
      <w:pPr>
        <w:spacing w:before="31" w:line="271" w:lineRule="auto"/>
        <w:ind w:left="1" w:right="54" w:firstLine="42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（1）根据采购人的要求和国家现行的有关的工程建设标准、技术规范及强制性标准条文等</w:t>
      </w:r>
      <w:r>
        <w:rPr>
          <w:rFonts w:ascii="宋体" w:hAnsi="宋体" w:eastAsia="宋体" w:cs="宋体"/>
          <w:color w:val="auto"/>
          <w:spacing w:val="6"/>
          <w:sz w:val="20"/>
          <w:szCs w:val="20"/>
          <w:highlight w:val="none"/>
        </w:rPr>
        <w:t>有关规范标准。</w:t>
      </w:r>
    </w:p>
    <w:p w14:paraId="75D2F4E0">
      <w:pPr>
        <w:spacing w:before="93" w:line="226" w:lineRule="auto"/>
        <w:ind w:left="43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（2）验收过程中所产生的一切费用均由成交人承担。报价时应考虑相关费用</w:t>
      </w:r>
    </w:p>
    <w:p w14:paraId="1E220F3A">
      <w:pPr>
        <w:spacing w:before="95" w:line="300" w:lineRule="auto"/>
        <w:ind w:left="17" w:right="52" w:firstLine="407"/>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3.涉及货物部分成交产品必须是全新、未使用过的产品。产</w:t>
      </w:r>
      <w:r>
        <w:rPr>
          <w:rFonts w:ascii="宋体" w:hAnsi="宋体" w:eastAsia="宋体" w:cs="宋体"/>
          <w:color w:val="auto"/>
          <w:spacing w:val="9"/>
          <w:sz w:val="20"/>
          <w:szCs w:val="20"/>
          <w:highlight w:val="none"/>
        </w:rPr>
        <w:t>品包装必须是未经使用的全新的合格产品，并按照原厂标准包装规格供货，不接受</w:t>
      </w:r>
      <w:r>
        <w:rPr>
          <w:rFonts w:ascii="宋体" w:hAnsi="宋体" w:eastAsia="宋体" w:cs="宋体"/>
          <w:color w:val="auto"/>
          <w:spacing w:val="8"/>
          <w:sz w:val="20"/>
          <w:szCs w:val="20"/>
          <w:highlight w:val="none"/>
        </w:rPr>
        <w:t>散装或拆包装件。</w:t>
      </w:r>
    </w:p>
    <w:p w14:paraId="48170986">
      <w:pPr>
        <w:spacing w:before="32" w:line="227"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4.人员、机械等设备必须按时到位。</w:t>
      </w:r>
    </w:p>
    <w:p w14:paraId="51BC1E19">
      <w:pPr>
        <w:spacing w:before="0" w:line="240" w:lineRule="auto"/>
        <w:ind w:left="0"/>
        <w:outlineLvl w:val="9"/>
        <w:rPr>
          <w:rFonts w:ascii="宋体" w:hAnsi="宋体" w:eastAsia="宋体" w:cs="宋体"/>
          <w:b/>
          <w:bCs/>
          <w:color w:val="auto"/>
          <w:spacing w:val="6"/>
          <w:sz w:val="31"/>
          <w:szCs w:val="31"/>
          <w:highlight w:val="none"/>
        </w:rPr>
      </w:pPr>
      <w:bookmarkStart w:id="17" w:name="bookmark7"/>
      <w:bookmarkEnd w:id="17"/>
      <w:bookmarkStart w:id="18" w:name="_Toc1792"/>
      <w:bookmarkStart w:id="19" w:name="_Toc8598"/>
      <w:bookmarkStart w:id="20" w:name="_Toc1552"/>
      <w:bookmarkStart w:id="21" w:name="_Toc17057"/>
      <w:r>
        <w:rPr>
          <w:rFonts w:ascii="宋体" w:hAnsi="宋体" w:eastAsia="宋体" w:cs="宋体"/>
          <w:b/>
          <w:bCs/>
          <w:color w:val="auto"/>
          <w:spacing w:val="6"/>
          <w:sz w:val="31"/>
          <w:szCs w:val="31"/>
          <w:highlight w:val="none"/>
        </w:rPr>
        <w:br w:type="page"/>
      </w:r>
    </w:p>
    <w:p w14:paraId="05D785E8">
      <w:pPr>
        <w:spacing w:before="63" w:line="224" w:lineRule="auto"/>
        <w:ind w:left="1424"/>
        <w:outlineLvl w:val="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第四章</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6"/>
          <w:sz w:val="31"/>
          <w:szCs w:val="31"/>
          <w:highlight w:val="none"/>
        </w:rPr>
        <w:t>评审程序、评审方法和评审标准</w:t>
      </w:r>
      <w:bookmarkEnd w:id="18"/>
      <w:bookmarkEnd w:id="19"/>
      <w:bookmarkEnd w:id="20"/>
      <w:bookmarkEnd w:id="21"/>
    </w:p>
    <w:p w14:paraId="4FCD6908">
      <w:pPr>
        <w:spacing w:before="21" w:line="228" w:lineRule="auto"/>
        <w:ind w:left="5"/>
        <w:outlineLvl w:val="9"/>
        <w:rPr>
          <w:rFonts w:ascii="宋体" w:hAnsi="宋体" w:eastAsia="宋体" w:cs="宋体"/>
          <w:color w:val="auto"/>
          <w:sz w:val="20"/>
          <w:szCs w:val="20"/>
          <w:highlight w:val="none"/>
        </w:rPr>
      </w:pPr>
      <w:bookmarkStart w:id="22" w:name="_Toc11137"/>
      <w:bookmarkStart w:id="23" w:name="_Toc30024"/>
      <w:r>
        <w:rPr>
          <w:rFonts w:ascii="宋体" w:hAnsi="宋体" w:eastAsia="宋体" w:cs="宋体"/>
          <w:b/>
          <w:bCs/>
          <w:color w:val="auto"/>
          <w:spacing w:val="7"/>
          <w:sz w:val="20"/>
          <w:szCs w:val="20"/>
          <w:highlight w:val="none"/>
        </w:rPr>
        <w:t>一、评审程序和评审方法</w:t>
      </w:r>
      <w:bookmarkEnd w:id="22"/>
      <w:bookmarkEnd w:id="23"/>
    </w:p>
    <w:p w14:paraId="0DD69B11">
      <w:pPr>
        <w:spacing w:before="93" w:line="228" w:lineRule="auto"/>
        <w:ind w:left="437"/>
        <w:outlineLvl w:val="9"/>
        <w:rPr>
          <w:rFonts w:ascii="宋体" w:hAnsi="宋体" w:eastAsia="宋体" w:cs="宋体"/>
          <w:color w:val="auto"/>
          <w:sz w:val="20"/>
          <w:szCs w:val="20"/>
          <w:highlight w:val="none"/>
        </w:rPr>
      </w:pPr>
      <w:bookmarkStart w:id="24" w:name="_Toc18517"/>
      <w:bookmarkStart w:id="25" w:name="_Toc6670"/>
      <w:r>
        <w:rPr>
          <w:rFonts w:ascii="宋体" w:hAnsi="宋体" w:eastAsia="宋体" w:cs="宋体"/>
          <w:b/>
          <w:bCs/>
          <w:color w:val="auto"/>
          <w:spacing w:val="2"/>
          <w:sz w:val="20"/>
          <w:szCs w:val="20"/>
          <w:highlight w:val="none"/>
        </w:rPr>
        <w:t>1.资格审查</w:t>
      </w:r>
      <w:bookmarkEnd w:id="24"/>
      <w:bookmarkEnd w:id="25"/>
    </w:p>
    <w:p w14:paraId="5ED0F021">
      <w:pPr>
        <w:spacing w:before="91" w:line="227"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w:t>
      </w:r>
      <w:r>
        <w:rPr>
          <w:rFonts w:ascii="宋体" w:hAnsi="宋体" w:eastAsia="宋体" w:cs="宋体"/>
          <w:color w:val="auto"/>
          <w:spacing w:val="-30"/>
          <w:sz w:val="20"/>
          <w:szCs w:val="20"/>
          <w:highlight w:val="none"/>
        </w:rPr>
        <w:t xml:space="preserve"> </w:t>
      </w:r>
      <w:r>
        <w:rPr>
          <w:rFonts w:ascii="宋体" w:hAnsi="宋体" w:eastAsia="宋体" w:cs="宋体"/>
          <w:color w:val="auto"/>
          <w:spacing w:val="8"/>
          <w:sz w:val="20"/>
          <w:szCs w:val="20"/>
          <w:highlight w:val="none"/>
        </w:rPr>
        <w:t>响应文件开启后，磋商小组依法对供应商的资格证明文件进行</w:t>
      </w:r>
      <w:r>
        <w:rPr>
          <w:rFonts w:ascii="宋体" w:hAnsi="宋体" w:eastAsia="宋体" w:cs="宋体"/>
          <w:color w:val="auto"/>
          <w:spacing w:val="7"/>
          <w:sz w:val="20"/>
          <w:szCs w:val="20"/>
          <w:highlight w:val="none"/>
        </w:rPr>
        <w:t>审查。</w:t>
      </w:r>
    </w:p>
    <w:p w14:paraId="25174887">
      <w:pPr>
        <w:spacing w:before="94" w:line="227" w:lineRule="auto"/>
        <w:ind w:left="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注：采购人代表或者采购代理机构在资格审查结束前，对供应商进行信用查询。</w:t>
      </w:r>
    </w:p>
    <w:p w14:paraId="324A46C2">
      <w:pPr>
        <w:spacing w:before="163" w:line="300" w:lineRule="auto"/>
        <w:ind w:left="21" w:firstLine="41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（1）查询渠道：“广西政府采购云平台”“信用中国</w:t>
      </w:r>
      <w:r>
        <w:rPr>
          <w:rFonts w:ascii="宋体" w:hAnsi="宋体" w:eastAsia="宋体" w:cs="宋体"/>
          <w:color w:val="auto"/>
          <w:spacing w:val="2"/>
          <w:sz w:val="20"/>
          <w:szCs w:val="20"/>
          <w:highlight w:val="none"/>
        </w:rPr>
        <w:t>”网站（</w:t>
      </w:r>
      <w:r>
        <w:rPr>
          <w:rFonts w:ascii="宋体" w:hAnsi="宋体" w:eastAsia="宋体" w:cs="宋体"/>
          <w:color w:val="auto"/>
          <w:sz w:val="20"/>
          <w:szCs w:val="20"/>
          <w:highlight w:val="none"/>
          <w:u w:val="single" w:color="auto"/>
        </w:rPr>
        <w:t>www</w:t>
      </w:r>
      <w:r>
        <w:rPr>
          <w:rFonts w:ascii="宋体" w:hAnsi="宋体" w:eastAsia="宋体" w:cs="宋体"/>
          <w:color w:val="auto"/>
          <w:spacing w:val="2"/>
          <w:sz w:val="20"/>
          <w:szCs w:val="20"/>
          <w:highlight w:val="none"/>
          <w:u w:val="single" w:color="auto"/>
        </w:rPr>
        <w:t>.</w:t>
      </w:r>
      <w:r>
        <w:rPr>
          <w:rFonts w:ascii="宋体" w:hAnsi="宋体" w:eastAsia="宋体" w:cs="宋体"/>
          <w:color w:val="auto"/>
          <w:sz w:val="20"/>
          <w:szCs w:val="20"/>
          <w:highlight w:val="none"/>
          <w:u w:val="single" w:color="auto"/>
        </w:rPr>
        <w:t>creditchina</w:t>
      </w:r>
      <w:r>
        <w:rPr>
          <w:rFonts w:ascii="宋体" w:hAnsi="宋体" w:eastAsia="宋体" w:cs="宋体"/>
          <w:color w:val="auto"/>
          <w:spacing w:val="2"/>
          <w:sz w:val="20"/>
          <w:szCs w:val="20"/>
          <w:highlight w:val="none"/>
          <w:u w:val="single" w:color="auto"/>
        </w:rPr>
        <w:t>.</w:t>
      </w:r>
      <w:r>
        <w:rPr>
          <w:rFonts w:ascii="宋体" w:hAnsi="宋体" w:eastAsia="宋体" w:cs="宋体"/>
          <w:color w:val="auto"/>
          <w:sz w:val="20"/>
          <w:szCs w:val="20"/>
          <w:highlight w:val="none"/>
          <w:u w:val="single" w:color="auto"/>
        </w:rPr>
        <w:t>gov</w:t>
      </w:r>
      <w:r>
        <w:rPr>
          <w:rFonts w:ascii="宋体" w:hAnsi="宋体" w:eastAsia="宋体" w:cs="宋体"/>
          <w:color w:val="auto"/>
          <w:spacing w:val="2"/>
          <w:sz w:val="20"/>
          <w:szCs w:val="20"/>
          <w:highlight w:val="none"/>
          <w:u w:val="single" w:color="auto"/>
        </w:rPr>
        <w:t>.</w:t>
      </w:r>
      <w:r>
        <w:rPr>
          <w:rFonts w:ascii="宋体" w:hAnsi="宋体" w:eastAsia="宋体" w:cs="宋体"/>
          <w:color w:val="auto"/>
          <w:sz w:val="20"/>
          <w:szCs w:val="20"/>
          <w:highlight w:val="none"/>
          <w:u w:val="single" w:color="auto"/>
        </w:rPr>
        <w:t>cn</w:t>
      </w:r>
      <w:r>
        <w:rPr>
          <w:rFonts w:ascii="宋体" w:hAnsi="宋体" w:eastAsia="宋体" w:cs="宋体"/>
          <w:color w:val="auto"/>
          <w:spacing w:val="2"/>
          <w:sz w:val="20"/>
          <w:szCs w:val="20"/>
          <w:highlight w:val="none"/>
        </w:rPr>
        <w:t>）、</w:t>
      </w:r>
      <w:r>
        <w:rPr>
          <w:rFonts w:ascii="宋体" w:hAnsi="宋体" w:eastAsia="宋体" w:cs="宋体"/>
          <w:color w:val="auto"/>
          <w:spacing w:val="10"/>
          <w:sz w:val="20"/>
          <w:szCs w:val="20"/>
          <w:highlight w:val="none"/>
        </w:rPr>
        <w:t>中国政府采购网（</w:t>
      </w:r>
      <w:r>
        <w:rPr>
          <w:rFonts w:ascii="宋体" w:hAnsi="宋体" w:eastAsia="宋体" w:cs="宋体"/>
          <w:color w:val="auto"/>
          <w:sz w:val="20"/>
          <w:szCs w:val="20"/>
          <w:highlight w:val="none"/>
          <w:u w:val="single" w:color="auto"/>
        </w:rPr>
        <w:t>www</w:t>
      </w:r>
      <w:r>
        <w:rPr>
          <w:rFonts w:ascii="宋体" w:hAnsi="宋体" w:eastAsia="宋体" w:cs="宋体"/>
          <w:color w:val="auto"/>
          <w:spacing w:val="10"/>
          <w:sz w:val="20"/>
          <w:szCs w:val="20"/>
          <w:highlight w:val="none"/>
          <w:u w:val="single" w:color="auto"/>
        </w:rPr>
        <w:t>.</w:t>
      </w:r>
      <w:r>
        <w:rPr>
          <w:rFonts w:ascii="宋体" w:hAnsi="宋体" w:eastAsia="宋体" w:cs="宋体"/>
          <w:color w:val="auto"/>
          <w:sz w:val="20"/>
          <w:szCs w:val="20"/>
          <w:highlight w:val="none"/>
          <w:u w:val="single" w:color="auto"/>
        </w:rPr>
        <w:t>ccgp</w:t>
      </w:r>
      <w:r>
        <w:rPr>
          <w:rFonts w:ascii="宋体" w:hAnsi="宋体" w:eastAsia="宋体" w:cs="宋体"/>
          <w:color w:val="auto"/>
          <w:spacing w:val="10"/>
          <w:sz w:val="20"/>
          <w:szCs w:val="20"/>
          <w:highlight w:val="none"/>
          <w:u w:val="single" w:color="auto"/>
        </w:rPr>
        <w:t>.</w:t>
      </w:r>
      <w:r>
        <w:rPr>
          <w:rFonts w:ascii="宋体" w:hAnsi="宋体" w:eastAsia="宋体" w:cs="宋体"/>
          <w:color w:val="auto"/>
          <w:sz w:val="20"/>
          <w:szCs w:val="20"/>
          <w:highlight w:val="none"/>
          <w:u w:val="single" w:color="auto"/>
        </w:rPr>
        <w:t>gov</w:t>
      </w:r>
      <w:r>
        <w:rPr>
          <w:rFonts w:ascii="宋体" w:hAnsi="宋体" w:eastAsia="宋体" w:cs="宋体"/>
          <w:color w:val="auto"/>
          <w:spacing w:val="10"/>
          <w:sz w:val="20"/>
          <w:szCs w:val="20"/>
          <w:highlight w:val="none"/>
          <w:u w:val="single" w:color="auto"/>
        </w:rPr>
        <w:t>.</w:t>
      </w:r>
      <w:r>
        <w:rPr>
          <w:rFonts w:ascii="宋体" w:hAnsi="宋体" w:eastAsia="宋体" w:cs="宋体"/>
          <w:color w:val="auto"/>
          <w:sz w:val="20"/>
          <w:szCs w:val="20"/>
          <w:highlight w:val="none"/>
          <w:u w:val="single" w:color="auto"/>
        </w:rPr>
        <w:t>cn</w:t>
      </w:r>
      <w:r>
        <w:rPr>
          <w:rFonts w:ascii="宋体" w:hAnsi="宋体" w:eastAsia="宋体" w:cs="宋体"/>
          <w:color w:val="auto"/>
          <w:spacing w:val="10"/>
          <w:sz w:val="20"/>
          <w:szCs w:val="20"/>
          <w:highlight w:val="none"/>
        </w:rPr>
        <w:t>）链接入口。</w:t>
      </w:r>
    </w:p>
    <w:p w14:paraId="32CE8B5E">
      <w:pPr>
        <w:spacing w:before="167" w:line="228"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（2）信用查询截止时点：资格审查结束前。</w:t>
      </w:r>
    </w:p>
    <w:p w14:paraId="6BDF4183">
      <w:pPr>
        <w:spacing w:before="161" w:line="362" w:lineRule="auto"/>
        <w:ind w:left="12" w:right="71" w:firstLine="41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查询记录和证据留存方式：在查询网站中直接打印查询记录，截图另存为电子文</w:t>
      </w:r>
      <w:r>
        <w:rPr>
          <w:rFonts w:ascii="宋体" w:hAnsi="宋体" w:eastAsia="宋体" w:cs="宋体"/>
          <w:color w:val="auto"/>
          <w:spacing w:val="9"/>
          <w:sz w:val="20"/>
          <w:szCs w:val="20"/>
          <w:highlight w:val="none"/>
        </w:rPr>
        <w:t>档作为评</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审资料保存。</w:t>
      </w:r>
    </w:p>
    <w:p w14:paraId="67E862FD">
      <w:pPr>
        <w:spacing w:before="34" w:line="222" w:lineRule="auto"/>
        <w:ind w:left="431"/>
        <w:outlineLvl w:val="9"/>
        <w:rPr>
          <w:rFonts w:ascii="宋体" w:hAnsi="宋体" w:eastAsia="宋体" w:cs="宋体"/>
          <w:color w:val="auto"/>
          <w:sz w:val="20"/>
          <w:szCs w:val="20"/>
          <w:highlight w:val="none"/>
        </w:rPr>
      </w:pPr>
      <w:bookmarkStart w:id="26" w:name="_Toc18367"/>
      <w:bookmarkStart w:id="27" w:name="_Toc4696"/>
      <w:bookmarkStart w:id="28" w:name="_Toc13970"/>
      <w:r>
        <w:rPr>
          <w:rFonts w:ascii="宋体" w:hAnsi="宋体" w:eastAsia="宋体" w:cs="宋体"/>
          <w:color w:val="auto"/>
          <w:spacing w:val="8"/>
          <w:sz w:val="20"/>
          <w:szCs w:val="20"/>
          <w:highlight w:val="none"/>
        </w:rPr>
        <w:t>（3）信用信息使用规则：对在“信用中国”网站（</w:t>
      </w:r>
      <w:r>
        <w:rPr>
          <w:rFonts w:ascii="宋体" w:hAnsi="宋体" w:eastAsia="宋体" w:cs="宋体"/>
          <w:color w:val="auto"/>
          <w:sz w:val="20"/>
          <w:szCs w:val="20"/>
          <w:highlight w:val="none"/>
        </w:rPr>
        <w:t>www</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creditchina</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7"/>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7"/>
          <w:sz w:val="20"/>
          <w:szCs w:val="20"/>
          <w:highlight w:val="none"/>
        </w:rPr>
        <w:t>）、中国政府</w:t>
      </w:r>
      <w:bookmarkEnd w:id="26"/>
      <w:bookmarkEnd w:id="27"/>
      <w:bookmarkEnd w:id="28"/>
    </w:p>
    <w:p w14:paraId="6657FBAB">
      <w:pPr>
        <w:spacing w:before="97" w:line="309" w:lineRule="auto"/>
        <w:ind w:right="16"/>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采购网（</w:t>
      </w:r>
      <w:r>
        <w:rPr>
          <w:rFonts w:ascii="宋体" w:hAnsi="宋体" w:eastAsia="宋体" w:cs="宋体"/>
          <w:color w:val="auto"/>
          <w:sz w:val="20"/>
          <w:szCs w:val="20"/>
          <w:highlight w:val="none"/>
        </w:rPr>
        <w:t>www</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ccgp</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gov</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cn</w:t>
      </w:r>
      <w:r>
        <w:rPr>
          <w:rFonts w:ascii="宋体" w:hAnsi="宋体" w:eastAsia="宋体" w:cs="宋体"/>
          <w:color w:val="auto"/>
          <w:spacing w:val="8"/>
          <w:sz w:val="20"/>
          <w:szCs w:val="20"/>
          <w:highlight w:val="none"/>
        </w:rPr>
        <w:t>）被列入失信被执行人、重大税收违法失信主体、政府采购严重违法</w:t>
      </w:r>
      <w:r>
        <w:rPr>
          <w:rFonts w:ascii="宋体" w:hAnsi="宋体" w:eastAsia="宋体" w:cs="宋体"/>
          <w:color w:val="auto"/>
          <w:spacing w:val="6"/>
          <w:sz w:val="20"/>
          <w:szCs w:val="20"/>
          <w:highlight w:val="none"/>
        </w:rPr>
        <w:t>失信行为记录名单及其他不符合《中华人民共和国政府采购法》第二十二条规定条件的供应商，</w:t>
      </w:r>
      <w:r>
        <w:rPr>
          <w:rFonts w:ascii="宋体" w:hAnsi="宋体" w:eastAsia="宋体" w:cs="宋体"/>
          <w:color w:val="auto"/>
          <w:spacing w:val="10"/>
          <w:sz w:val="20"/>
          <w:szCs w:val="20"/>
          <w:highlight w:val="none"/>
        </w:rPr>
        <w:t>资格审查不通过，不得参与政府采购活动。两个以上的自然人、法人或者其他组织组成一个联</w:t>
      </w:r>
      <w:r>
        <w:rPr>
          <w:rFonts w:ascii="宋体" w:hAnsi="宋体" w:eastAsia="宋体" w:cs="宋体"/>
          <w:color w:val="auto"/>
          <w:spacing w:val="9"/>
          <w:sz w:val="20"/>
          <w:szCs w:val="20"/>
          <w:highlight w:val="none"/>
        </w:rPr>
        <w:t>合体，</w:t>
      </w:r>
      <w:r>
        <w:rPr>
          <w:rFonts w:ascii="宋体" w:hAnsi="宋体" w:eastAsia="宋体" w:cs="宋体"/>
          <w:color w:val="auto"/>
          <w:spacing w:val="-60"/>
          <w:sz w:val="20"/>
          <w:szCs w:val="20"/>
          <w:highlight w:val="none"/>
        </w:rPr>
        <w:t xml:space="preserve"> </w:t>
      </w:r>
      <w:r>
        <w:rPr>
          <w:rFonts w:ascii="宋体" w:hAnsi="宋体" w:eastAsia="宋体" w:cs="宋体"/>
          <w:color w:val="auto"/>
          <w:spacing w:val="9"/>
          <w:sz w:val="20"/>
          <w:szCs w:val="20"/>
          <w:highlight w:val="none"/>
        </w:rPr>
        <w:t>以一个供应商的身份共同参加政府采购活动的，应当对所有联合体成员进行信用记录查询，联合体成员存在不良信用记录的，视同联合体存在不良信用记录。</w:t>
      </w:r>
    </w:p>
    <w:p w14:paraId="46848A17">
      <w:pPr>
        <w:spacing w:before="31" w:line="271" w:lineRule="auto"/>
        <w:ind w:left="5" w:right="124" w:firstLine="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1.2</w:t>
      </w:r>
      <w:r>
        <w:rPr>
          <w:rFonts w:ascii="宋体" w:hAnsi="宋体" w:eastAsia="宋体" w:cs="宋体"/>
          <w:color w:val="auto"/>
          <w:spacing w:val="-29"/>
          <w:sz w:val="20"/>
          <w:szCs w:val="20"/>
          <w:highlight w:val="none"/>
        </w:rPr>
        <w:t xml:space="preserve"> </w:t>
      </w:r>
      <w:r>
        <w:rPr>
          <w:rFonts w:ascii="宋体" w:hAnsi="宋体" w:eastAsia="宋体" w:cs="宋体"/>
          <w:color w:val="auto"/>
          <w:spacing w:val="9"/>
          <w:sz w:val="20"/>
          <w:szCs w:val="20"/>
          <w:highlight w:val="none"/>
        </w:rPr>
        <w:t>资格审查标准为本采购文件中载明对供应商资格要求的条件</w:t>
      </w:r>
      <w:r>
        <w:rPr>
          <w:rFonts w:ascii="宋体" w:hAnsi="宋体" w:eastAsia="宋体" w:cs="宋体"/>
          <w:color w:val="auto"/>
          <w:spacing w:val="8"/>
          <w:sz w:val="20"/>
          <w:szCs w:val="20"/>
          <w:highlight w:val="none"/>
        </w:rPr>
        <w:t>。资格审查采用合格制，</w:t>
      </w:r>
      <w:r>
        <w:rPr>
          <w:rFonts w:ascii="宋体" w:hAnsi="宋体" w:eastAsia="宋体" w:cs="宋体"/>
          <w:color w:val="auto"/>
          <w:spacing w:val="9"/>
          <w:sz w:val="20"/>
          <w:szCs w:val="20"/>
          <w:highlight w:val="none"/>
        </w:rPr>
        <w:t>凡符合采购文件规定的供应商资格要求的响应文件均通过资格审查。</w:t>
      </w:r>
    </w:p>
    <w:p w14:paraId="66886133">
      <w:pPr>
        <w:spacing w:before="93" w:line="227"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1.3</w:t>
      </w:r>
      <w:r>
        <w:rPr>
          <w:rFonts w:ascii="宋体" w:hAnsi="宋体" w:eastAsia="宋体" w:cs="宋体"/>
          <w:color w:val="auto"/>
          <w:spacing w:val="-28"/>
          <w:sz w:val="20"/>
          <w:szCs w:val="20"/>
          <w:highlight w:val="none"/>
        </w:rPr>
        <w:t xml:space="preserve"> </w:t>
      </w:r>
      <w:r>
        <w:rPr>
          <w:rFonts w:ascii="宋体" w:hAnsi="宋体" w:eastAsia="宋体" w:cs="宋体"/>
          <w:color w:val="auto"/>
          <w:spacing w:val="8"/>
          <w:sz w:val="20"/>
          <w:szCs w:val="20"/>
          <w:highlight w:val="none"/>
        </w:rPr>
        <w:t>供应商有下列情形之一的，资格审查不通过，其响应文件按无效响应处理：</w:t>
      </w:r>
    </w:p>
    <w:p w14:paraId="162BA9D9">
      <w:pPr>
        <w:spacing w:before="95" w:line="227"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（1）不具备采购文件中规定的资格要求的；</w:t>
      </w:r>
    </w:p>
    <w:p w14:paraId="080EFD78">
      <w:pPr>
        <w:spacing w:before="95" w:line="271" w:lineRule="auto"/>
        <w:ind w:right="70" w:firstLine="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（2）响应文件未提供任一项“供应商须知</w:t>
      </w:r>
      <w:r>
        <w:rPr>
          <w:rFonts w:ascii="宋体" w:hAnsi="宋体" w:eastAsia="宋体" w:cs="宋体"/>
          <w:color w:val="auto"/>
          <w:spacing w:val="5"/>
          <w:sz w:val="20"/>
          <w:szCs w:val="20"/>
          <w:highlight w:val="none"/>
        </w:rPr>
        <w:t>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5"/>
          <w:sz w:val="20"/>
          <w:szCs w:val="20"/>
          <w:highlight w:val="none"/>
        </w:rPr>
        <w:t>”资格证明文件规定的“必须提供”的文</w:t>
      </w:r>
      <w:r>
        <w:rPr>
          <w:rFonts w:ascii="宋体" w:hAnsi="宋体" w:eastAsia="宋体" w:cs="宋体"/>
          <w:color w:val="auto"/>
          <w:spacing w:val="6"/>
          <w:sz w:val="20"/>
          <w:szCs w:val="20"/>
          <w:highlight w:val="none"/>
        </w:rPr>
        <w:t>件资料的；</w:t>
      </w:r>
    </w:p>
    <w:p w14:paraId="47CDC008">
      <w:pPr>
        <w:spacing w:before="93" w:line="270" w:lineRule="auto"/>
        <w:ind w:left="2" w:right="73" w:firstLine="42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（3）响应文件提供的资格证明文件出现任一项不符合“供应商须知前附表</w:t>
      </w:r>
      <w:r>
        <w:rPr>
          <w:rFonts w:ascii="宋体" w:hAnsi="宋体" w:eastAsia="宋体" w:cs="宋体"/>
          <w:color w:val="auto"/>
          <w:spacing w:val="-64"/>
          <w:sz w:val="20"/>
          <w:szCs w:val="20"/>
          <w:highlight w:val="none"/>
        </w:rPr>
        <w:t xml:space="preserve"> </w:t>
      </w:r>
      <w:r>
        <w:rPr>
          <w:rFonts w:ascii="宋体" w:hAnsi="宋体" w:eastAsia="宋体" w:cs="宋体"/>
          <w:color w:val="auto"/>
          <w:spacing w:val="6"/>
          <w:sz w:val="20"/>
          <w:szCs w:val="20"/>
          <w:highlight w:val="none"/>
        </w:rPr>
        <w:t>”资格证明文件</w:t>
      </w:r>
      <w:r>
        <w:rPr>
          <w:rFonts w:ascii="宋体" w:hAnsi="宋体" w:eastAsia="宋体" w:cs="宋体"/>
          <w:color w:val="auto"/>
          <w:spacing w:val="7"/>
          <w:sz w:val="20"/>
          <w:szCs w:val="20"/>
          <w:highlight w:val="none"/>
        </w:rPr>
        <w:t>规定的“必须提供</w:t>
      </w:r>
      <w:r>
        <w:rPr>
          <w:rFonts w:ascii="宋体" w:hAnsi="宋体" w:eastAsia="宋体" w:cs="宋体"/>
          <w:color w:val="auto"/>
          <w:spacing w:val="-56"/>
          <w:sz w:val="20"/>
          <w:szCs w:val="20"/>
          <w:highlight w:val="none"/>
        </w:rPr>
        <w:t xml:space="preserve"> </w:t>
      </w:r>
      <w:r>
        <w:rPr>
          <w:rFonts w:ascii="宋体" w:hAnsi="宋体" w:eastAsia="宋体" w:cs="宋体"/>
          <w:color w:val="auto"/>
          <w:spacing w:val="7"/>
          <w:sz w:val="20"/>
          <w:szCs w:val="20"/>
          <w:highlight w:val="none"/>
        </w:rPr>
        <w:t>”的文件资料要求或者无效的。</w:t>
      </w:r>
    </w:p>
    <w:p w14:paraId="24A7EAEE">
      <w:pPr>
        <w:spacing w:before="97" w:line="270" w:lineRule="auto"/>
        <w:ind w:left="4" w:right="28" w:firstLine="42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（4）同一合同项下的不同供应商，单位负责人为同一人或者存在直接控股、管理关系的；</w:t>
      </w:r>
      <w:r>
        <w:rPr>
          <w:rFonts w:ascii="宋体" w:hAnsi="宋体" w:eastAsia="宋体" w:cs="宋体"/>
          <w:color w:val="auto"/>
          <w:spacing w:val="9"/>
          <w:sz w:val="20"/>
          <w:szCs w:val="20"/>
          <w:highlight w:val="none"/>
        </w:rPr>
        <w:t>为本项目提供过整体设计、规范编制或者项目管理、监理、检测等服务的。</w:t>
      </w:r>
    </w:p>
    <w:p w14:paraId="1A08950B">
      <w:pPr>
        <w:spacing w:before="94" w:line="271" w:lineRule="auto"/>
        <w:ind w:right="71" w:firstLine="436"/>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1.4</w:t>
      </w:r>
      <w:r>
        <w:rPr>
          <w:rFonts w:ascii="宋体" w:hAnsi="宋体" w:eastAsia="宋体" w:cs="宋体"/>
          <w:color w:val="auto"/>
          <w:spacing w:val="-38"/>
          <w:sz w:val="20"/>
          <w:szCs w:val="20"/>
          <w:highlight w:val="none"/>
        </w:rPr>
        <w:t xml:space="preserve"> </w:t>
      </w:r>
      <w:r>
        <w:rPr>
          <w:rFonts w:ascii="宋体" w:hAnsi="宋体" w:eastAsia="宋体" w:cs="宋体"/>
          <w:color w:val="auto"/>
          <w:spacing w:val="10"/>
          <w:sz w:val="20"/>
          <w:szCs w:val="20"/>
          <w:highlight w:val="none"/>
        </w:rPr>
        <w:t>通过资格审查的合格供应商不足</w:t>
      </w:r>
      <w:r>
        <w:rPr>
          <w:rFonts w:ascii="宋体" w:hAnsi="宋体" w:eastAsia="宋体" w:cs="宋体"/>
          <w:color w:val="auto"/>
          <w:spacing w:val="-35"/>
          <w:sz w:val="20"/>
          <w:szCs w:val="20"/>
          <w:highlight w:val="none"/>
        </w:rPr>
        <w:t xml:space="preserve"> </w:t>
      </w:r>
      <w:r>
        <w:rPr>
          <w:rFonts w:ascii="宋体" w:hAnsi="宋体" w:eastAsia="宋体" w:cs="宋体"/>
          <w:color w:val="auto"/>
          <w:spacing w:val="10"/>
          <w:sz w:val="20"/>
          <w:szCs w:val="20"/>
          <w:highlight w:val="none"/>
        </w:rPr>
        <w:t>3</w:t>
      </w:r>
      <w:r>
        <w:rPr>
          <w:rFonts w:ascii="宋体" w:hAnsi="宋体" w:eastAsia="宋体" w:cs="宋体"/>
          <w:color w:val="auto"/>
          <w:spacing w:val="-34"/>
          <w:sz w:val="20"/>
          <w:szCs w:val="20"/>
          <w:highlight w:val="none"/>
        </w:rPr>
        <w:t xml:space="preserve"> </w:t>
      </w:r>
      <w:r>
        <w:rPr>
          <w:rFonts w:ascii="宋体" w:hAnsi="宋体" w:eastAsia="宋体" w:cs="宋体"/>
          <w:color w:val="auto"/>
          <w:spacing w:val="10"/>
          <w:sz w:val="20"/>
          <w:szCs w:val="20"/>
          <w:highlight w:val="none"/>
        </w:rPr>
        <w:t>家的</w:t>
      </w:r>
      <w:r>
        <w:rPr>
          <w:rFonts w:ascii="宋体" w:hAnsi="宋体" w:eastAsia="宋体" w:cs="宋体"/>
          <w:color w:val="auto"/>
          <w:spacing w:val="9"/>
          <w:sz w:val="20"/>
          <w:szCs w:val="20"/>
          <w:highlight w:val="none"/>
        </w:rPr>
        <w:t>，不得进入符合性审查环节，采购人或者采购</w:t>
      </w:r>
      <w:r>
        <w:rPr>
          <w:rFonts w:ascii="宋体" w:hAnsi="宋体" w:eastAsia="宋体" w:cs="宋体"/>
          <w:color w:val="auto"/>
          <w:spacing w:val="8"/>
          <w:sz w:val="20"/>
          <w:szCs w:val="20"/>
          <w:highlight w:val="none"/>
        </w:rPr>
        <w:t>代理机构应当重新开展采购活动。</w:t>
      </w:r>
    </w:p>
    <w:p w14:paraId="50EEBF83">
      <w:pPr>
        <w:spacing w:before="95" w:line="228" w:lineRule="auto"/>
        <w:ind w:left="424"/>
        <w:outlineLvl w:val="9"/>
        <w:rPr>
          <w:rFonts w:ascii="宋体" w:hAnsi="宋体" w:eastAsia="宋体" w:cs="宋体"/>
          <w:color w:val="auto"/>
          <w:sz w:val="20"/>
          <w:szCs w:val="20"/>
          <w:highlight w:val="none"/>
        </w:rPr>
      </w:pPr>
      <w:bookmarkStart w:id="29" w:name="_Toc25366"/>
      <w:bookmarkStart w:id="30" w:name="_Toc10494"/>
      <w:bookmarkStart w:id="31" w:name="_Toc11027"/>
      <w:r>
        <w:rPr>
          <w:rFonts w:ascii="宋体" w:hAnsi="宋体" w:eastAsia="宋体" w:cs="宋体"/>
          <w:b/>
          <w:bCs/>
          <w:color w:val="auto"/>
          <w:spacing w:val="5"/>
          <w:sz w:val="20"/>
          <w:szCs w:val="20"/>
          <w:highlight w:val="none"/>
        </w:rPr>
        <w:t>2.符合性审查</w:t>
      </w:r>
      <w:bookmarkEnd w:id="29"/>
      <w:bookmarkEnd w:id="30"/>
      <w:bookmarkEnd w:id="31"/>
    </w:p>
    <w:p w14:paraId="779133CD">
      <w:pPr>
        <w:spacing w:before="93" w:line="270" w:lineRule="auto"/>
        <w:ind w:left="4" w:right="71"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2.1</w:t>
      </w:r>
      <w:r>
        <w:rPr>
          <w:rFonts w:ascii="宋体" w:hAnsi="宋体" w:eastAsia="宋体" w:cs="宋体"/>
          <w:color w:val="auto"/>
          <w:spacing w:val="-13"/>
          <w:sz w:val="20"/>
          <w:szCs w:val="20"/>
          <w:highlight w:val="none"/>
        </w:rPr>
        <w:t xml:space="preserve"> </w:t>
      </w:r>
      <w:r>
        <w:rPr>
          <w:rFonts w:ascii="宋体" w:hAnsi="宋体" w:eastAsia="宋体" w:cs="宋体"/>
          <w:color w:val="auto"/>
          <w:spacing w:val="10"/>
          <w:sz w:val="20"/>
          <w:szCs w:val="20"/>
          <w:highlight w:val="none"/>
        </w:rPr>
        <w:t>由磋商小组对通过资格审查的合格供应商的响应文件的响应报价、商务、技术等实质</w:t>
      </w:r>
      <w:r>
        <w:rPr>
          <w:rFonts w:ascii="宋体" w:hAnsi="宋体" w:eastAsia="宋体" w:cs="宋体"/>
          <w:color w:val="auto"/>
          <w:spacing w:val="9"/>
          <w:sz w:val="20"/>
          <w:szCs w:val="20"/>
          <w:highlight w:val="none"/>
        </w:rPr>
        <w:t>性要求进行符合性审查，以确定其是否满足采购文件的实质性要求。</w:t>
      </w:r>
    </w:p>
    <w:p w14:paraId="0924C0AC">
      <w:pPr>
        <w:spacing w:before="94" w:line="286" w:lineRule="auto"/>
        <w:ind w:left="1" w:firstLine="42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2.2</w:t>
      </w:r>
      <w:r>
        <w:rPr>
          <w:rFonts w:ascii="宋体" w:hAnsi="宋体" w:eastAsia="宋体" w:cs="宋体"/>
          <w:color w:val="auto"/>
          <w:spacing w:val="-30"/>
          <w:sz w:val="20"/>
          <w:szCs w:val="20"/>
          <w:highlight w:val="none"/>
        </w:rPr>
        <w:t xml:space="preserve"> </w:t>
      </w:r>
      <w:r>
        <w:rPr>
          <w:rFonts w:ascii="宋体" w:hAnsi="宋体" w:eastAsia="宋体" w:cs="宋体"/>
          <w:color w:val="auto"/>
          <w:spacing w:val="7"/>
          <w:sz w:val="20"/>
          <w:szCs w:val="20"/>
          <w:highlight w:val="none"/>
        </w:rPr>
        <w:t>磋商小组在对响应文件进行符合性审查时，可以要求供应商对响应文件中含义不明确、</w:t>
      </w:r>
      <w:r>
        <w:rPr>
          <w:rFonts w:ascii="宋体" w:hAnsi="宋体" w:eastAsia="宋体" w:cs="宋体"/>
          <w:color w:val="auto"/>
          <w:spacing w:val="10"/>
          <w:sz w:val="20"/>
          <w:szCs w:val="20"/>
          <w:highlight w:val="none"/>
        </w:rPr>
        <w:t>同类问题表述不一致或者有明显文字和计算错误的内容等作出必要的澄清、说明或者更正。供</w:t>
      </w:r>
      <w:r>
        <w:rPr>
          <w:rFonts w:ascii="宋体" w:hAnsi="宋体" w:eastAsia="宋体" w:cs="宋体"/>
          <w:color w:val="auto"/>
          <w:spacing w:val="9"/>
          <w:sz w:val="20"/>
          <w:szCs w:val="20"/>
          <w:highlight w:val="none"/>
        </w:rPr>
        <w:t>应商的澄清、说明或者更正不得超出响应文件的范围或者改变响应文件的实质性内容。</w:t>
      </w:r>
    </w:p>
    <w:p w14:paraId="1987C3C8">
      <w:pPr>
        <w:spacing w:before="92" w:line="297" w:lineRule="auto"/>
        <w:ind w:right="71" w:firstLine="42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2.3</w:t>
      </w:r>
      <w:r>
        <w:rPr>
          <w:rFonts w:ascii="宋体" w:hAnsi="宋体" w:eastAsia="宋体" w:cs="宋体"/>
          <w:color w:val="auto"/>
          <w:spacing w:val="-39"/>
          <w:sz w:val="20"/>
          <w:szCs w:val="20"/>
          <w:highlight w:val="none"/>
        </w:rPr>
        <w:t xml:space="preserve"> </w:t>
      </w:r>
      <w:r>
        <w:rPr>
          <w:rFonts w:ascii="宋体" w:hAnsi="宋体" w:eastAsia="宋体" w:cs="宋体"/>
          <w:color w:val="auto"/>
          <w:spacing w:val="11"/>
          <w:sz w:val="20"/>
          <w:szCs w:val="20"/>
          <w:highlight w:val="none"/>
        </w:rPr>
        <w:t>磋商小组要求供应商澄清、说明或者更正响应文件</w:t>
      </w:r>
      <w:r>
        <w:rPr>
          <w:rFonts w:ascii="宋体" w:hAnsi="宋体" w:eastAsia="宋体" w:cs="宋体"/>
          <w:color w:val="auto"/>
          <w:spacing w:val="10"/>
          <w:sz w:val="20"/>
          <w:szCs w:val="20"/>
          <w:highlight w:val="none"/>
        </w:rPr>
        <w:t>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供应商为</w:t>
      </w:r>
      <w:r>
        <w:rPr>
          <w:rFonts w:ascii="宋体" w:hAnsi="宋体" w:eastAsia="宋体" w:cs="宋体"/>
          <w:color w:val="auto"/>
          <w:spacing w:val="9"/>
          <w:sz w:val="20"/>
          <w:szCs w:val="20"/>
          <w:highlight w:val="none"/>
        </w:rPr>
        <w:t>自然人的，必须由本人签字并附身份证明。</w:t>
      </w:r>
    </w:p>
    <w:p w14:paraId="3E3DAC50">
      <w:pPr>
        <w:spacing w:before="95" w:line="226" w:lineRule="auto"/>
        <w:ind w:left="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2.4</w:t>
      </w:r>
      <w:r>
        <w:rPr>
          <w:rFonts w:ascii="宋体" w:hAnsi="宋体" w:eastAsia="宋体" w:cs="宋体"/>
          <w:color w:val="auto"/>
          <w:spacing w:val="-28"/>
          <w:sz w:val="20"/>
          <w:szCs w:val="20"/>
          <w:highlight w:val="none"/>
        </w:rPr>
        <w:t xml:space="preserve"> </w:t>
      </w:r>
      <w:r>
        <w:rPr>
          <w:rFonts w:ascii="宋体" w:hAnsi="宋体" w:eastAsia="宋体" w:cs="宋体"/>
          <w:color w:val="auto"/>
          <w:spacing w:val="8"/>
          <w:sz w:val="20"/>
          <w:szCs w:val="20"/>
          <w:highlight w:val="none"/>
        </w:rPr>
        <w:t>首次响应文件报价出现前后不一致的，按照下列规定修正：</w:t>
      </w:r>
    </w:p>
    <w:p w14:paraId="79A87E15">
      <w:pPr>
        <w:spacing w:before="96" w:line="226"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（1）响应文件中报价表内容与响应文件中相应内容不一致的</w:t>
      </w:r>
      <w:r>
        <w:rPr>
          <w:rFonts w:ascii="宋体" w:hAnsi="宋体" w:eastAsia="宋体" w:cs="宋体"/>
          <w:color w:val="auto"/>
          <w:spacing w:val="7"/>
          <w:sz w:val="20"/>
          <w:szCs w:val="20"/>
          <w:highlight w:val="none"/>
        </w:rPr>
        <w:t>，</w:t>
      </w:r>
      <w:r>
        <w:rPr>
          <w:rFonts w:ascii="宋体" w:hAnsi="宋体" w:eastAsia="宋体" w:cs="宋体"/>
          <w:color w:val="auto"/>
          <w:spacing w:val="-60"/>
          <w:sz w:val="20"/>
          <w:szCs w:val="20"/>
          <w:highlight w:val="none"/>
        </w:rPr>
        <w:t xml:space="preserve"> </w:t>
      </w:r>
      <w:r>
        <w:rPr>
          <w:rFonts w:ascii="宋体" w:hAnsi="宋体" w:eastAsia="宋体" w:cs="宋体"/>
          <w:color w:val="auto"/>
          <w:spacing w:val="7"/>
          <w:sz w:val="20"/>
          <w:szCs w:val="20"/>
          <w:highlight w:val="none"/>
        </w:rPr>
        <w:t>以报价表为准；</w:t>
      </w:r>
    </w:p>
    <w:p w14:paraId="4E7ACDB6">
      <w:pPr>
        <w:spacing w:before="41" w:line="228"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（2）大写金额和小写金额不一致的，以大写金额为准；</w:t>
      </w:r>
    </w:p>
    <w:p w14:paraId="70197A6C">
      <w:pPr>
        <w:spacing w:before="94"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（3）单价金额小数点或者百分比有明显错位的，</w:t>
      </w:r>
      <w:r>
        <w:rPr>
          <w:rFonts w:ascii="宋体" w:hAnsi="宋体" w:eastAsia="宋体" w:cs="宋体"/>
          <w:color w:val="auto"/>
          <w:spacing w:val="-60"/>
          <w:sz w:val="20"/>
          <w:szCs w:val="20"/>
          <w:highlight w:val="none"/>
        </w:rPr>
        <w:t xml:space="preserve"> </w:t>
      </w:r>
      <w:r>
        <w:rPr>
          <w:rFonts w:ascii="宋体" w:hAnsi="宋体" w:eastAsia="宋体" w:cs="宋体"/>
          <w:color w:val="auto"/>
          <w:spacing w:val="8"/>
          <w:sz w:val="20"/>
          <w:szCs w:val="20"/>
          <w:highlight w:val="none"/>
        </w:rPr>
        <w:t>以报价表的总价为准，并修改单价；</w:t>
      </w:r>
    </w:p>
    <w:p w14:paraId="4FD9CD80">
      <w:pPr>
        <w:spacing w:before="93" w:line="226" w:lineRule="auto"/>
        <w:ind w:left="43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（4）总价金额与按单价汇总金额不一致的</w:t>
      </w:r>
      <w:r>
        <w:rPr>
          <w:rFonts w:ascii="宋体" w:hAnsi="宋体" w:eastAsia="宋体" w:cs="宋体"/>
          <w:color w:val="auto"/>
          <w:spacing w:val="7"/>
          <w:sz w:val="20"/>
          <w:szCs w:val="20"/>
          <w:highlight w:val="none"/>
        </w:rPr>
        <w:t>，</w:t>
      </w:r>
      <w:r>
        <w:rPr>
          <w:rFonts w:ascii="宋体" w:hAnsi="宋体" w:eastAsia="宋体" w:cs="宋体"/>
          <w:color w:val="auto"/>
          <w:spacing w:val="-60"/>
          <w:sz w:val="20"/>
          <w:szCs w:val="20"/>
          <w:highlight w:val="none"/>
        </w:rPr>
        <w:t xml:space="preserve"> </w:t>
      </w:r>
      <w:r>
        <w:rPr>
          <w:rFonts w:ascii="宋体" w:hAnsi="宋体" w:eastAsia="宋体" w:cs="宋体"/>
          <w:color w:val="auto"/>
          <w:spacing w:val="7"/>
          <w:sz w:val="20"/>
          <w:szCs w:val="20"/>
          <w:highlight w:val="none"/>
        </w:rPr>
        <w:t>以单价金额计算结果为准。</w:t>
      </w:r>
    </w:p>
    <w:p w14:paraId="1AFE1024">
      <w:pPr>
        <w:spacing w:before="98" w:line="297" w:lineRule="auto"/>
        <w:ind w:left="1" w:right="70" w:firstLine="43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同时出现两种以上不一致的，按照以上（1）-（</w:t>
      </w:r>
      <w:r>
        <w:rPr>
          <w:rFonts w:ascii="宋体" w:hAnsi="宋体" w:eastAsia="宋体" w:cs="宋体"/>
          <w:color w:val="auto"/>
          <w:spacing w:val="6"/>
          <w:sz w:val="20"/>
          <w:szCs w:val="20"/>
          <w:highlight w:val="none"/>
        </w:rPr>
        <w:t>4）规定的顺序逐条进行修正。修正后的报</w:t>
      </w:r>
      <w:r>
        <w:rPr>
          <w:rFonts w:ascii="宋体" w:hAnsi="宋体" w:eastAsia="宋体" w:cs="宋体"/>
          <w:color w:val="auto"/>
          <w:spacing w:val="9"/>
          <w:sz w:val="20"/>
          <w:szCs w:val="20"/>
          <w:highlight w:val="none"/>
        </w:rPr>
        <w:t>价经供应商确认后产生约束力，供应商不确认的，其响应文件按无效响应处理。</w:t>
      </w:r>
    </w:p>
    <w:p w14:paraId="1A021D9B">
      <w:pPr>
        <w:spacing w:before="35" w:line="226" w:lineRule="auto"/>
        <w:ind w:left="423"/>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2.5</w:t>
      </w:r>
      <w:r>
        <w:rPr>
          <w:rFonts w:ascii="宋体" w:hAnsi="宋体" w:eastAsia="宋体" w:cs="宋体"/>
          <w:color w:val="auto"/>
          <w:spacing w:val="-28"/>
          <w:sz w:val="20"/>
          <w:szCs w:val="20"/>
          <w:highlight w:val="none"/>
        </w:rPr>
        <w:t xml:space="preserve"> </w:t>
      </w:r>
      <w:r>
        <w:rPr>
          <w:rFonts w:ascii="宋体" w:hAnsi="宋体" w:eastAsia="宋体" w:cs="宋体"/>
          <w:color w:val="auto"/>
          <w:spacing w:val="6"/>
          <w:sz w:val="20"/>
          <w:szCs w:val="20"/>
          <w:highlight w:val="none"/>
        </w:rPr>
        <w:t>商务技术、报价评审</w:t>
      </w:r>
    </w:p>
    <w:p w14:paraId="42D0A6EC">
      <w:pPr>
        <w:spacing w:before="95" w:line="228"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在评审时，如发现下列情形之一的，将被视为响应文件无效处理：</w:t>
      </w:r>
    </w:p>
    <w:p w14:paraId="49FAC90A">
      <w:pPr>
        <w:spacing w:before="94" w:line="228" w:lineRule="auto"/>
        <w:ind w:left="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（1）商务技术评审</w:t>
      </w:r>
    </w:p>
    <w:p w14:paraId="6284A43A">
      <w:pPr>
        <w:spacing w:before="94" w:line="227"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1）响应文件未按采购文件要求签署、盖章；</w:t>
      </w:r>
    </w:p>
    <w:p w14:paraId="3414C27A">
      <w:pPr>
        <w:spacing w:before="93" w:line="227"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2）委托代理人未能出具有效身份证明或者出具的身份证明与授权委托书中的信息不符；</w:t>
      </w:r>
    </w:p>
    <w:p w14:paraId="060A112C">
      <w:pPr>
        <w:spacing w:before="94" w:line="293" w:lineRule="auto"/>
        <w:ind w:right="70" w:firstLine="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3）响应文件未提供任一项“供应商须知前附表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6"/>
          <w:sz w:val="20"/>
          <w:szCs w:val="20"/>
          <w:highlight w:val="none"/>
        </w:rPr>
        <w:t>”商务</w:t>
      </w:r>
      <w:r>
        <w:rPr>
          <w:rFonts w:hint="eastAsia" w:ascii="宋体" w:hAnsi="宋体" w:eastAsia="宋体" w:cs="宋体"/>
          <w:color w:val="auto"/>
          <w:spacing w:val="7"/>
          <w:sz w:val="20"/>
          <w:szCs w:val="20"/>
          <w:highlight w:val="none"/>
          <w:lang w:eastAsia="zh-CN"/>
        </w:rPr>
        <w:t>文件、</w:t>
      </w:r>
      <w:r>
        <w:rPr>
          <w:rFonts w:ascii="宋体" w:hAnsi="宋体" w:eastAsia="宋体" w:cs="宋体"/>
          <w:color w:val="auto"/>
          <w:spacing w:val="6"/>
          <w:sz w:val="20"/>
          <w:szCs w:val="20"/>
          <w:highlight w:val="none"/>
        </w:rPr>
        <w:t>技</w:t>
      </w:r>
      <w:r>
        <w:rPr>
          <w:rFonts w:ascii="宋体" w:hAnsi="宋体" w:eastAsia="宋体" w:cs="宋体"/>
          <w:color w:val="auto"/>
          <w:spacing w:val="5"/>
          <w:sz w:val="20"/>
          <w:szCs w:val="20"/>
          <w:highlight w:val="none"/>
        </w:rPr>
        <w:t>术文件中“必须提供”或者“委托</w:t>
      </w:r>
      <w:r>
        <w:rPr>
          <w:rFonts w:ascii="宋体" w:hAnsi="宋体" w:eastAsia="宋体" w:cs="宋体"/>
          <w:color w:val="auto"/>
          <w:spacing w:val="9"/>
          <w:sz w:val="20"/>
          <w:szCs w:val="20"/>
          <w:highlight w:val="none"/>
        </w:rPr>
        <w:t>时必须提供</w:t>
      </w:r>
      <w:r>
        <w:rPr>
          <w:rFonts w:ascii="宋体" w:hAnsi="宋体" w:eastAsia="宋体" w:cs="宋体"/>
          <w:color w:val="auto"/>
          <w:spacing w:val="-59"/>
          <w:sz w:val="20"/>
          <w:szCs w:val="20"/>
          <w:highlight w:val="none"/>
        </w:rPr>
        <w:t xml:space="preserve"> </w:t>
      </w:r>
      <w:r>
        <w:rPr>
          <w:rFonts w:ascii="宋体" w:hAnsi="宋体" w:eastAsia="宋体" w:cs="宋体"/>
          <w:color w:val="auto"/>
          <w:spacing w:val="9"/>
          <w:sz w:val="20"/>
          <w:szCs w:val="20"/>
          <w:highlight w:val="none"/>
        </w:rPr>
        <w:t>”的文件资料；响应文件提供的商务技术文件出现任一项不符合“供应商须知前附</w:t>
      </w:r>
      <w:r>
        <w:rPr>
          <w:rFonts w:ascii="宋体" w:hAnsi="宋体" w:eastAsia="宋体" w:cs="宋体"/>
          <w:color w:val="auto"/>
          <w:spacing w:val="8"/>
          <w:sz w:val="20"/>
          <w:szCs w:val="20"/>
          <w:highlight w:val="none"/>
        </w:rPr>
        <w:t>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”商务</w:t>
      </w:r>
      <w:r>
        <w:rPr>
          <w:rFonts w:hint="eastAsia" w:ascii="宋体" w:hAnsi="宋体" w:eastAsia="宋体" w:cs="宋体"/>
          <w:color w:val="auto"/>
          <w:spacing w:val="7"/>
          <w:sz w:val="20"/>
          <w:szCs w:val="20"/>
          <w:highlight w:val="none"/>
          <w:lang w:eastAsia="zh-CN"/>
        </w:rPr>
        <w:t>文件、</w:t>
      </w:r>
      <w:r>
        <w:rPr>
          <w:rFonts w:ascii="宋体" w:hAnsi="宋体" w:eastAsia="宋体" w:cs="宋体"/>
          <w:color w:val="auto"/>
          <w:spacing w:val="8"/>
          <w:sz w:val="20"/>
          <w:szCs w:val="20"/>
          <w:highlight w:val="none"/>
        </w:rPr>
        <w:t>技术文件中“必须提供</w:t>
      </w:r>
      <w:r>
        <w:rPr>
          <w:rFonts w:ascii="宋体" w:hAnsi="宋体" w:eastAsia="宋体" w:cs="宋体"/>
          <w:color w:val="auto"/>
          <w:spacing w:val="-72"/>
          <w:sz w:val="20"/>
          <w:szCs w:val="20"/>
          <w:highlight w:val="none"/>
        </w:rPr>
        <w:t xml:space="preserve"> </w:t>
      </w:r>
      <w:r>
        <w:rPr>
          <w:rFonts w:ascii="宋体" w:hAnsi="宋体" w:eastAsia="宋体" w:cs="宋体"/>
          <w:color w:val="auto"/>
          <w:spacing w:val="8"/>
          <w:sz w:val="20"/>
          <w:szCs w:val="20"/>
          <w:highlight w:val="none"/>
        </w:rPr>
        <w:t>”或者“委托时必须提供</w:t>
      </w:r>
      <w:r>
        <w:rPr>
          <w:rFonts w:ascii="宋体" w:hAnsi="宋体" w:eastAsia="宋体" w:cs="宋体"/>
          <w:color w:val="auto"/>
          <w:spacing w:val="-72"/>
          <w:sz w:val="20"/>
          <w:szCs w:val="20"/>
          <w:highlight w:val="none"/>
        </w:rPr>
        <w:t xml:space="preserve"> </w:t>
      </w:r>
      <w:r>
        <w:rPr>
          <w:rFonts w:ascii="宋体" w:hAnsi="宋体" w:eastAsia="宋体" w:cs="宋体"/>
          <w:color w:val="auto"/>
          <w:spacing w:val="8"/>
          <w:sz w:val="20"/>
          <w:szCs w:val="20"/>
          <w:highlight w:val="none"/>
        </w:rPr>
        <w:t>”文件资料要求的规定或者</w:t>
      </w:r>
      <w:r>
        <w:rPr>
          <w:rFonts w:ascii="宋体" w:hAnsi="宋体" w:eastAsia="宋体" w:cs="宋体"/>
          <w:color w:val="auto"/>
          <w:spacing w:val="7"/>
          <w:sz w:val="20"/>
          <w:szCs w:val="20"/>
          <w:highlight w:val="none"/>
        </w:rPr>
        <w:t>提供的商务</w:t>
      </w:r>
      <w:r>
        <w:rPr>
          <w:rFonts w:hint="eastAsia" w:ascii="宋体" w:hAnsi="宋体" w:eastAsia="宋体" w:cs="宋体"/>
          <w:color w:val="auto"/>
          <w:spacing w:val="7"/>
          <w:sz w:val="20"/>
          <w:szCs w:val="20"/>
          <w:highlight w:val="none"/>
          <w:lang w:eastAsia="zh-CN"/>
        </w:rPr>
        <w:t>文件、</w:t>
      </w:r>
      <w:r>
        <w:rPr>
          <w:rFonts w:ascii="宋体" w:hAnsi="宋体" w:eastAsia="宋体" w:cs="宋体"/>
          <w:color w:val="auto"/>
          <w:spacing w:val="7"/>
          <w:sz w:val="20"/>
          <w:szCs w:val="20"/>
          <w:highlight w:val="none"/>
        </w:rPr>
        <w:t>技术文件无效。</w:t>
      </w:r>
    </w:p>
    <w:p w14:paraId="05D0D77C">
      <w:pPr>
        <w:spacing w:before="94" w:line="271" w:lineRule="auto"/>
        <w:ind w:left="17" w:right="70" w:firstLine="40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4）商务条款中标“▲</w:t>
      </w:r>
      <w:r>
        <w:rPr>
          <w:rFonts w:ascii="宋体" w:hAnsi="宋体" w:eastAsia="宋体" w:cs="宋体"/>
          <w:color w:val="auto"/>
          <w:spacing w:val="-72"/>
          <w:sz w:val="20"/>
          <w:szCs w:val="20"/>
          <w:highlight w:val="none"/>
        </w:rPr>
        <w:t xml:space="preserve"> </w:t>
      </w:r>
      <w:r>
        <w:rPr>
          <w:rFonts w:ascii="宋体" w:hAnsi="宋体" w:eastAsia="宋体" w:cs="宋体"/>
          <w:color w:val="auto"/>
          <w:spacing w:val="7"/>
          <w:sz w:val="20"/>
          <w:szCs w:val="20"/>
          <w:highlight w:val="none"/>
        </w:rPr>
        <w:t>”的条款发生负偏离的或者</w:t>
      </w:r>
      <w:r>
        <w:rPr>
          <w:rFonts w:ascii="宋体" w:hAnsi="宋体" w:eastAsia="宋体" w:cs="宋体"/>
          <w:color w:val="auto"/>
          <w:spacing w:val="6"/>
          <w:sz w:val="20"/>
          <w:szCs w:val="20"/>
          <w:highlight w:val="none"/>
        </w:rPr>
        <w:t>允许负偏离的条款数超过“供应商须知前</w:t>
      </w:r>
      <w:r>
        <w:rPr>
          <w:rFonts w:ascii="宋体" w:hAnsi="宋体" w:eastAsia="宋体" w:cs="宋体"/>
          <w:color w:val="auto"/>
          <w:spacing w:val="7"/>
          <w:sz w:val="20"/>
          <w:szCs w:val="20"/>
          <w:highlight w:val="none"/>
        </w:rPr>
        <w:t>附表</w:t>
      </w:r>
      <w:r>
        <w:rPr>
          <w:rFonts w:ascii="宋体" w:hAnsi="宋体" w:eastAsia="宋体" w:cs="宋体"/>
          <w:color w:val="auto"/>
          <w:spacing w:val="-65"/>
          <w:sz w:val="20"/>
          <w:szCs w:val="20"/>
          <w:highlight w:val="none"/>
        </w:rPr>
        <w:t xml:space="preserve"> </w:t>
      </w:r>
      <w:r>
        <w:rPr>
          <w:rFonts w:ascii="宋体" w:hAnsi="宋体" w:eastAsia="宋体" w:cs="宋体"/>
          <w:color w:val="auto"/>
          <w:spacing w:val="7"/>
          <w:sz w:val="20"/>
          <w:szCs w:val="20"/>
          <w:highlight w:val="none"/>
        </w:rPr>
        <w:t>”规定项数的或者标明实质性的要求发生负偏离；</w:t>
      </w:r>
    </w:p>
    <w:p w14:paraId="6A0224CC">
      <w:pPr>
        <w:spacing w:before="92" w:line="227" w:lineRule="auto"/>
        <w:ind w:left="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5）未对竞标有效期作出响应或者响应文件承诺的竞标有效期不满足采购文件要求；</w:t>
      </w:r>
    </w:p>
    <w:p w14:paraId="3894C75D">
      <w:pPr>
        <w:spacing w:before="95" w:line="227" w:lineRule="auto"/>
        <w:ind w:left="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6）响应文件的实质性内容未使用中文表述、使用计量单位不符合采购文件要求；</w:t>
      </w:r>
    </w:p>
    <w:p w14:paraId="21276659">
      <w:pPr>
        <w:spacing w:before="96" w:line="271" w:lineRule="auto"/>
        <w:ind w:right="71" w:firstLine="4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7）响应文件中的文件资料因填写不齐全或者内容虚假或者出现其他情形而导致被磋商小组</w:t>
      </w:r>
      <w:r>
        <w:rPr>
          <w:rFonts w:ascii="宋体" w:hAnsi="宋体" w:eastAsia="宋体" w:cs="宋体"/>
          <w:color w:val="auto"/>
          <w:spacing w:val="5"/>
          <w:sz w:val="20"/>
          <w:szCs w:val="20"/>
          <w:highlight w:val="none"/>
        </w:rPr>
        <w:t>认定无效；</w:t>
      </w:r>
    </w:p>
    <w:p w14:paraId="738A18CD">
      <w:pPr>
        <w:spacing w:before="93" w:line="227" w:lineRule="auto"/>
        <w:ind w:left="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8）响应文件含有采购人不能接受的附加条件；</w:t>
      </w:r>
    </w:p>
    <w:p w14:paraId="1C6E9AC9">
      <w:pPr>
        <w:spacing w:before="95" w:line="227" w:lineRule="auto"/>
        <w:ind w:left="42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9）属于“供应商须知正文</w:t>
      </w:r>
      <w:r>
        <w:rPr>
          <w:rFonts w:ascii="宋体" w:hAnsi="宋体" w:eastAsia="宋体" w:cs="宋体"/>
          <w:color w:val="auto"/>
          <w:spacing w:val="-59"/>
          <w:sz w:val="20"/>
          <w:szCs w:val="20"/>
          <w:highlight w:val="none"/>
        </w:rPr>
        <w:t xml:space="preserve"> </w:t>
      </w:r>
      <w:r>
        <w:rPr>
          <w:rFonts w:ascii="宋体" w:hAnsi="宋体" w:eastAsia="宋体" w:cs="宋体"/>
          <w:color w:val="auto"/>
          <w:spacing w:val="5"/>
          <w:sz w:val="20"/>
          <w:szCs w:val="20"/>
          <w:highlight w:val="none"/>
        </w:rPr>
        <w:t>”第7.5</w:t>
      </w:r>
      <w:r>
        <w:rPr>
          <w:rFonts w:ascii="宋体" w:hAnsi="宋体" w:eastAsia="宋体" w:cs="宋体"/>
          <w:color w:val="auto"/>
          <w:spacing w:val="-39"/>
          <w:sz w:val="20"/>
          <w:szCs w:val="20"/>
          <w:highlight w:val="none"/>
        </w:rPr>
        <w:t xml:space="preserve"> </w:t>
      </w:r>
      <w:r>
        <w:rPr>
          <w:rFonts w:ascii="宋体" w:hAnsi="宋体" w:eastAsia="宋体" w:cs="宋体"/>
          <w:color w:val="auto"/>
          <w:spacing w:val="5"/>
          <w:sz w:val="20"/>
          <w:szCs w:val="20"/>
          <w:highlight w:val="none"/>
        </w:rPr>
        <w:t>条情形；</w:t>
      </w:r>
    </w:p>
    <w:p w14:paraId="10F45FC2">
      <w:pPr>
        <w:spacing w:before="95" w:line="227" w:lineRule="auto"/>
        <w:ind w:left="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10）技术需求允许负偏离的条款数超过“供应商须</w:t>
      </w:r>
      <w:r>
        <w:rPr>
          <w:rFonts w:ascii="宋体" w:hAnsi="宋体" w:eastAsia="宋体" w:cs="宋体"/>
          <w:color w:val="auto"/>
          <w:spacing w:val="7"/>
          <w:sz w:val="20"/>
          <w:szCs w:val="20"/>
          <w:highlight w:val="none"/>
        </w:rPr>
        <w:t>知前附表”规定项数；</w:t>
      </w:r>
    </w:p>
    <w:p w14:paraId="65DF66E2">
      <w:pPr>
        <w:spacing w:before="93" w:line="227" w:lineRule="auto"/>
        <w:ind w:left="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11）虚假竞标，或者出现其他情形而导致被磋商小组认定无效；</w:t>
      </w:r>
    </w:p>
    <w:p w14:paraId="2D60DA89">
      <w:pPr>
        <w:spacing w:before="95" w:line="271" w:lineRule="auto"/>
        <w:ind w:right="71" w:firstLine="43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12）竞标技术方案不明确，采购文件未允许但响应文件中存在一个或者一个以上备选（替</w:t>
      </w:r>
      <w:r>
        <w:rPr>
          <w:rFonts w:ascii="宋体" w:hAnsi="宋体" w:eastAsia="宋体" w:cs="宋体"/>
          <w:color w:val="auto"/>
          <w:spacing w:val="7"/>
          <w:sz w:val="20"/>
          <w:szCs w:val="20"/>
          <w:highlight w:val="none"/>
        </w:rPr>
        <w:t>代）竞标方案；</w:t>
      </w:r>
    </w:p>
    <w:p w14:paraId="00773902">
      <w:pPr>
        <w:spacing w:before="95" w:line="271" w:lineRule="auto"/>
        <w:ind w:right="70" w:firstLine="43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13）响应文件标注的项目名称或者项目编号与采购文件标注的项目名称或者项目编号不一</w:t>
      </w:r>
      <w:r>
        <w:rPr>
          <w:rFonts w:ascii="宋体" w:hAnsi="宋体" w:eastAsia="宋体" w:cs="宋体"/>
          <w:color w:val="auto"/>
          <w:spacing w:val="3"/>
          <w:sz w:val="20"/>
          <w:szCs w:val="20"/>
          <w:highlight w:val="none"/>
        </w:rPr>
        <w:t>致的；</w:t>
      </w:r>
    </w:p>
    <w:p w14:paraId="7DF2C539">
      <w:pPr>
        <w:spacing w:before="93" w:line="227" w:lineRule="auto"/>
        <w:ind w:left="43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14）未响应采购文件实质性要求；</w:t>
      </w:r>
    </w:p>
    <w:p w14:paraId="55702EE8">
      <w:pPr>
        <w:spacing w:before="92" w:line="228" w:lineRule="auto"/>
        <w:ind w:left="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15）法律、法规和磋商文件规定的其他无效情形。</w:t>
      </w:r>
    </w:p>
    <w:p w14:paraId="60EA2675">
      <w:pPr>
        <w:spacing w:before="95" w:line="226" w:lineRule="auto"/>
        <w:ind w:left="43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（2）报价评审</w:t>
      </w:r>
    </w:p>
    <w:p w14:paraId="576B109E">
      <w:pPr>
        <w:spacing w:before="96" w:line="226" w:lineRule="auto"/>
        <w:ind w:left="43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1）响应文件未提供“供应商须知前附表</w:t>
      </w:r>
      <w:r>
        <w:rPr>
          <w:rFonts w:ascii="宋体" w:hAnsi="宋体" w:eastAsia="宋体" w:cs="宋体"/>
          <w:color w:val="auto"/>
          <w:spacing w:val="-70"/>
          <w:sz w:val="20"/>
          <w:szCs w:val="20"/>
          <w:highlight w:val="none"/>
        </w:rPr>
        <w:t xml:space="preserve"> </w:t>
      </w:r>
      <w:r>
        <w:rPr>
          <w:rFonts w:ascii="宋体" w:hAnsi="宋体" w:eastAsia="宋体" w:cs="宋体"/>
          <w:color w:val="auto"/>
          <w:spacing w:val="8"/>
          <w:sz w:val="20"/>
          <w:szCs w:val="20"/>
          <w:highlight w:val="none"/>
        </w:rPr>
        <w:t>”报价文件中规定的“响应</w:t>
      </w:r>
      <w:r>
        <w:rPr>
          <w:rFonts w:ascii="宋体" w:hAnsi="宋体" w:eastAsia="宋体" w:cs="宋体"/>
          <w:color w:val="auto"/>
          <w:spacing w:val="7"/>
          <w:sz w:val="20"/>
          <w:szCs w:val="20"/>
          <w:highlight w:val="none"/>
        </w:rPr>
        <w:t>报价表”；</w:t>
      </w:r>
    </w:p>
    <w:p w14:paraId="11C6A7AC">
      <w:pPr>
        <w:spacing w:before="96" w:line="226"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2）未采用人民币报价或者未按照采购文件标明的币种报价；</w:t>
      </w:r>
    </w:p>
    <w:p w14:paraId="704ECD5A">
      <w:pPr>
        <w:spacing w:before="96" w:line="285" w:lineRule="auto"/>
        <w:ind w:left="1" w:right="70" w:firstLine="4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3）供应商未就所竞标分标进行报价或者存在漏项报价；供应商未就所竞标分标的单项内容</w:t>
      </w:r>
      <w:r>
        <w:rPr>
          <w:rFonts w:ascii="宋体" w:hAnsi="宋体" w:eastAsia="宋体" w:cs="宋体"/>
          <w:color w:val="auto"/>
          <w:spacing w:val="10"/>
          <w:sz w:val="20"/>
          <w:szCs w:val="20"/>
          <w:highlight w:val="none"/>
        </w:rPr>
        <w:t>作唯一报价；供应商未就所竞标分标的全部内容作唯一总价报价；供应商响应文件中存在</w:t>
      </w:r>
      <w:r>
        <w:rPr>
          <w:rFonts w:ascii="宋体" w:hAnsi="宋体" w:eastAsia="宋体" w:cs="宋体"/>
          <w:color w:val="auto"/>
          <w:spacing w:val="9"/>
          <w:sz w:val="20"/>
          <w:szCs w:val="20"/>
          <w:highlight w:val="none"/>
        </w:rPr>
        <w:t>有选择、有条件报价的（磋商文件允许有备选方案或者其他约定的除外</w:t>
      </w:r>
      <w:r>
        <w:rPr>
          <w:rFonts w:ascii="宋体" w:hAnsi="宋体" w:eastAsia="宋体" w:cs="宋体"/>
          <w:color w:val="auto"/>
          <w:spacing w:val="8"/>
          <w:sz w:val="20"/>
          <w:szCs w:val="20"/>
          <w:highlight w:val="none"/>
        </w:rPr>
        <w:t>）；</w:t>
      </w:r>
    </w:p>
    <w:p w14:paraId="052F4A8A">
      <w:pPr>
        <w:spacing w:before="94" w:line="285" w:lineRule="auto"/>
        <w:ind w:right="70"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4）响应报价（包含首次报价、最后报价）超过所竞标分标规定的采购预算金额或者最高限</w:t>
      </w:r>
      <w:r>
        <w:rPr>
          <w:rFonts w:ascii="宋体" w:hAnsi="宋体" w:eastAsia="宋体" w:cs="宋体"/>
          <w:color w:val="auto"/>
          <w:spacing w:val="9"/>
          <w:sz w:val="20"/>
          <w:szCs w:val="20"/>
          <w:highlight w:val="none"/>
        </w:rPr>
        <w:t>价的（如本项目公布了最高限价</w:t>
      </w:r>
      <w:r>
        <w:rPr>
          <w:rFonts w:ascii="宋体" w:hAnsi="宋体" w:eastAsia="宋体" w:cs="宋体"/>
          <w:color w:val="auto"/>
          <w:spacing w:val="29"/>
          <w:sz w:val="20"/>
          <w:szCs w:val="20"/>
          <w:highlight w:val="none"/>
        </w:rPr>
        <w:t>）；</w:t>
      </w:r>
      <w:r>
        <w:rPr>
          <w:rFonts w:ascii="宋体" w:hAnsi="宋体" w:eastAsia="宋体" w:cs="宋体"/>
          <w:color w:val="auto"/>
          <w:spacing w:val="9"/>
          <w:sz w:val="20"/>
          <w:szCs w:val="20"/>
          <w:highlight w:val="none"/>
        </w:rPr>
        <w:t>响应报价（包含首次报价、最后报价）超过采购文件分项采购预算金额或者最高限价的（如本项目公布了最高限价</w:t>
      </w:r>
      <w:r>
        <w:rPr>
          <w:rFonts w:ascii="宋体" w:hAnsi="宋体" w:eastAsia="宋体" w:cs="宋体"/>
          <w:color w:val="auto"/>
          <w:spacing w:val="7"/>
          <w:sz w:val="20"/>
          <w:szCs w:val="20"/>
          <w:highlight w:val="none"/>
        </w:rPr>
        <w:t>）；</w:t>
      </w:r>
    </w:p>
    <w:p w14:paraId="2EEE5F85">
      <w:pPr>
        <w:spacing w:before="96" w:line="285" w:lineRule="auto"/>
        <w:ind w:left="3" w:firstLine="42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5）修正后的报价，供应商不确认的；或者经供应商确认修正后的响应报价</w:t>
      </w:r>
      <w:r>
        <w:rPr>
          <w:rFonts w:ascii="宋体" w:hAnsi="宋体" w:eastAsia="宋体" w:cs="宋体"/>
          <w:color w:val="auto"/>
          <w:spacing w:val="3"/>
          <w:sz w:val="20"/>
          <w:szCs w:val="20"/>
          <w:highlight w:val="none"/>
        </w:rPr>
        <w:t>（包含首次报价、</w:t>
      </w:r>
      <w:r>
        <w:rPr>
          <w:rFonts w:ascii="宋体" w:hAnsi="宋体" w:eastAsia="宋体" w:cs="宋体"/>
          <w:color w:val="auto"/>
          <w:spacing w:val="10"/>
          <w:sz w:val="20"/>
          <w:szCs w:val="20"/>
          <w:highlight w:val="none"/>
        </w:rPr>
        <w:t>最后报价）超过所竞标分标规定的采购预算金额或者最高限价（如本项目公布了</w:t>
      </w:r>
      <w:r>
        <w:rPr>
          <w:rFonts w:ascii="宋体" w:hAnsi="宋体" w:eastAsia="宋体" w:cs="宋体"/>
          <w:color w:val="auto"/>
          <w:spacing w:val="9"/>
          <w:sz w:val="20"/>
          <w:szCs w:val="20"/>
          <w:highlight w:val="none"/>
        </w:rPr>
        <w:t>最高限价</w:t>
      </w:r>
      <w:r>
        <w:rPr>
          <w:rFonts w:ascii="宋体" w:hAnsi="宋体" w:eastAsia="宋体" w:cs="宋体"/>
          <w:color w:val="auto"/>
          <w:spacing w:val="18"/>
          <w:sz w:val="20"/>
          <w:szCs w:val="20"/>
          <w:highlight w:val="none"/>
        </w:rPr>
        <w:t>）；</w:t>
      </w:r>
      <w:r>
        <w:rPr>
          <w:rFonts w:ascii="宋体" w:hAnsi="宋体" w:eastAsia="宋体" w:cs="宋体"/>
          <w:color w:val="auto"/>
          <w:spacing w:val="10"/>
          <w:sz w:val="20"/>
          <w:szCs w:val="20"/>
          <w:highlight w:val="none"/>
        </w:rPr>
        <w:t>或者经供应商确认修正后响应报价（包含首次报价、最后报价）超过采购文件分项采</w:t>
      </w:r>
      <w:r>
        <w:rPr>
          <w:rFonts w:ascii="宋体" w:hAnsi="宋体" w:eastAsia="宋体" w:cs="宋体"/>
          <w:color w:val="auto"/>
          <w:spacing w:val="9"/>
          <w:sz w:val="20"/>
          <w:szCs w:val="20"/>
          <w:highlight w:val="none"/>
        </w:rPr>
        <w:t>购预算金</w:t>
      </w:r>
    </w:p>
    <w:p w14:paraId="2EEE11E5">
      <w:pPr>
        <w:spacing w:before="41" w:line="226" w:lineRule="auto"/>
        <w:ind w:left="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额或者最高限价的（如本项目公布了最高限价）。</w:t>
      </w:r>
    </w:p>
    <w:p w14:paraId="5E601327">
      <w:pPr>
        <w:spacing w:before="95" w:line="226"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6）在单价合同工程中供应商采用总价优惠或以总价百分比优惠的方式进行竞标报价的。</w:t>
      </w:r>
    </w:p>
    <w:p w14:paraId="60B02899">
      <w:pPr>
        <w:spacing w:before="93" w:line="227" w:lineRule="auto"/>
        <w:ind w:left="42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7）响应文件响应的标的数量及单位与采购文件要求实质性不一致</w:t>
      </w:r>
      <w:r>
        <w:rPr>
          <w:rFonts w:ascii="宋体" w:hAnsi="宋体" w:eastAsia="宋体" w:cs="宋体"/>
          <w:color w:val="auto"/>
          <w:spacing w:val="8"/>
          <w:sz w:val="20"/>
          <w:szCs w:val="20"/>
          <w:highlight w:val="none"/>
        </w:rPr>
        <w:t>的。</w:t>
      </w:r>
    </w:p>
    <w:p w14:paraId="2A59261B">
      <w:pPr>
        <w:spacing w:before="96" w:line="285" w:lineRule="auto"/>
        <w:ind w:left="7" w:right="70" w:firstLine="41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2.6</w:t>
      </w:r>
      <w:r>
        <w:rPr>
          <w:rFonts w:ascii="宋体" w:hAnsi="宋体" w:eastAsia="宋体" w:cs="宋体"/>
          <w:color w:val="auto"/>
          <w:spacing w:val="-39"/>
          <w:sz w:val="20"/>
          <w:szCs w:val="20"/>
          <w:highlight w:val="none"/>
        </w:rPr>
        <w:t xml:space="preserve"> </w:t>
      </w:r>
      <w:r>
        <w:rPr>
          <w:rFonts w:ascii="宋体" w:hAnsi="宋体" w:eastAsia="宋体" w:cs="宋体"/>
          <w:color w:val="auto"/>
          <w:spacing w:val="11"/>
          <w:sz w:val="20"/>
          <w:szCs w:val="20"/>
          <w:highlight w:val="none"/>
        </w:rPr>
        <w:t>磋商小组对响应文件进行评审，未实质性响应采购</w:t>
      </w:r>
      <w:r>
        <w:rPr>
          <w:rFonts w:ascii="宋体" w:hAnsi="宋体" w:eastAsia="宋体" w:cs="宋体"/>
          <w:color w:val="auto"/>
          <w:spacing w:val="10"/>
          <w:sz w:val="20"/>
          <w:szCs w:val="20"/>
          <w:highlight w:val="none"/>
        </w:rPr>
        <w:t>文件的响应文件按无效处理，磋商小组应当将资格和符合性不通过的情况告知有关供应商。磋商小组从符合采购</w:t>
      </w:r>
      <w:r>
        <w:rPr>
          <w:rFonts w:ascii="宋体" w:hAnsi="宋体" w:eastAsia="宋体" w:cs="宋体"/>
          <w:color w:val="auto"/>
          <w:spacing w:val="9"/>
          <w:sz w:val="20"/>
          <w:szCs w:val="20"/>
          <w:highlight w:val="none"/>
        </w:rPr>
        <w:t>文件规定的相应</w:t>
      </w:r>
      <w:r>
        <w:rPr>
          <w:rFonts w:ascii="宋体" w:hAnsi="宋体" w:eastAsia="宋体" w:cs="宋体"/>
          <w:color w:val="auto"/>
          <w:spacing w:val="8"/>
          <w:sz w:val="20"/>
          <w:szCs w:val="20"/>
          <w:highlight w:val="none"/>
        </w:rPr>
        <w:t>资格条件的供应商名单中确定不少于</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家的供应商参加磋</w:t>
      </w:r>
      <w:r>
        <w:rPr>
          <w:rFonts w:ascii="宋体" w:hAnsi="宋体" w:eastAsia="宋体" w:cs="宋体"/>
          <w:color w:val="auto"/>
          <w:spacing w:val="7"/>
          <w:sz w:val="20"/>
          <w:szCs w:val="20"/>
          <w:highlight w:val="none"/>
        </w:rPr>
        <w:t>商。</w:t>
      </w:r>
    </w:p>
    <w:p w14:paraId="266DCA40">
      <w:pPr>
        <w:spacing w:before="95" w:line="292" w:lineRule="auto"/>
        <w:ind w:right="16" w:firstLine="42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2.7</w:t>
      </w:r>
      <w:r>
        <w:rPr>
          <w:rFonts w:ascii="宋体" w:hAnsi="宋体" w:eastAsia="宋体" w:cs="宋体"/>
          <w:color w:val="auto"/>
          <w:spacing w:val="-34"/>
          <w:sz w:val="20"/>
          <w:szCs w:val="20"/>
          <w:highlight w:val="none"/>
        </w:rPr>
        <w:t xml:space="preserve"> </w:t>
      </w:r>
      <w:r>
        <w:rPr>
          <w:rFonts w:ascii="宋体" w:hAnsi="宋体" w:eastAsia="宋体" w:cs="宋体"/>
          <w:color w:val="auto"/>
          <w:spacing w:val="6"/>
          <w:sz w:val="20"/>
          <w:szCs w:val="20"/>
          <w:highlight w:val="none"/>
        </w:rPr>
        <w:t>非政府购买服务项目，通过符合性审查的合格供应商不足</w:t>
      </w:r>
      <w:r>
        <w:rPr>
          <w:rFonts w:ascii="宋体" w:hAnsi="宋体" w:eastAsia="宋体" w:cs="宋体"/>
          <w:color w:val="auto"/>
          <w:spacing w:val="-35"/>
          <w:sz w:val="20"/>
          <w:szCs w:val="20"/>
          <w:highlight w:val="none"/>
        </w:rPr>
        <w:t xml:space="preserve"> </w:t>
      </w:r>
      <w:r>
        <w:rPr>
          <w:rFonts w:ascii="宋体" w:hAnsi="宋体" w:eastAsia="宋体" w:cs="宋体"/>
          <w:color w:val="auto"/>
          <w:spacing w:val="6"/>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6"/>
          <w:sz w:val="20"/>
          <w:szCs w:val="20"/>
          <w:highlight w:val="none"/>
        </w:rPr>
        <w:t>家的，不得进入磋商环节，</w:t>
      </w:r>
      <w:r>
        <w:rPr>
          <w:rFonts w:ascii="宋体" w:hAnsi="宋体" w:eastAsia="宋体" w:cs="宋体"/>
          <w:color w:val="auto"/>
          <w:spacing w:val="10"/>
          <w:sz w:val="20"/>
          <w:szCs w:val="20"/>
          <w:highlight w:val="none"/>
        </w:rPr>
        <w:t>采购人或者采购代理机构应当重新开展采购活动。政府购买服务项目，按《财政部关于政府采购竞争性磋商采购方式管理暂行办法有关问题的补充通知》</w:t>
      </w:r>
      <w:r>
        <w:rPr>
          <w:rFonts w:ascii="宋体" w:hAnsi="宋体" w:eastAsia="宋体" w:cs="宋体"/>
          <w:color w:val="auto"/>
          <w:spacing w:val="-80"/>
          <w:sz w:val="20"/>
          <w:szCs w:val="20"/>
          <w:highlight w:val="none"/>
        </w:rPr>
        <w:t xml:space="preserve"> </w:t>
      </w:r>
      <w:r>
        <w:rPr>
          <w:rFonts w:ascii="宋体" w:hAnsi="宋体" w:eastAsia="宋体" w:cs="宋体"/>
          <w:color w:val="auto"/>
          <w:spacing w:val="10"/>
          <w:sz w:val="20"/>
          <w:szCs w:val="20"/>
          <w:highlight w:val="none"/>
        </w:rPr>
        <w:t>（</w:t>
      </w:r>
      <w:r>
        <w:rPr>
          <w:rFonts w:ascii="宋体" w:hAnsi="宋体" w:eastAsia="宋体" w:cs="宋体"/>
          <w:color w:val="auto"/>
          <w:spacing w:val="9"/>
          <w:sz w:val="20"/>
          <w:szCs w:val="20"/>
          <w:highlight w:val="none"/>
        </w:rPr>
        <w:t>财库〔2015〕124</w:t>
      </w:r>
      <w:r>
        <w:rPr>
          <w:rFonts w:ascii="宋体" w:hAnsi="宋体" w:eastAsia="宋体" w:cs="宋体"/>
          <w:color w:val="auto"/>
          <w:spacing w:val="-32"/>
          <w:sz w:val="20"/>
          <w:szCs w:val="20"/>
          <w:highlight w:val="none"/>
        </w:rPr>
        <w:t xml:space="preserve"> </w:t>
      </w:r>
      <w:r>
        <w:rPr>
          <w:rFonts w:ascii="宋体" w:hAnsi="宋体" w:eastAsia="宋体" w:cs="宋体"/>
          <w:color w:val="auto"/>
          <w:spacing w:val="9"/>
          <w:sz w:val="20"/>
          <w:szCs w:val="20"/>
          <w:highlight w:val="none"/>
        </w:rPr>
        <w:t>号）规定，采购过程中通过符合性审查的供应商（社会资本）只有</w:t>
      </w:r>
      <w:r>
        <w:rPr>
          <w:rFonts w:ascii="宋体" w:hAnsi="宋体" w:eastAsia="宋体" w:cs="宋体"/>
          <w:color w:val="auto"/>
          <w:spacing w:val="-37"/>
          <w:sz w:val="20"/>
          <w:szCs w:val="20"/>
          <w:highlight w:val="none"/>
        </w:rPr>
        <w:t xml:space="preserve"> </w:t>
      </w:r>
      <w:r>
        <w:rPr>
          <w:rFonts w:ascii="宋体" w:hAnsi="宋体" w:eastAsia="宋体" w:cs="宋体"/>
          <w:color w:val="auto"/>
          <w:spacing w:val="9"/>
          <w:sz w:val="20"/>
          <w:szCs w:val="20"/>
          <w:highlight w:val="none"/>
        </w:rPr>
        <w:t>2</w:t>
      </w:r>
      <w:r>
        <w:rPr>
          <w:rFonts w:ascii="宋体" w:hAnsi="宋体" w:eastAsia="宋体" w:cs="宋体"/>
          <w:color w:val="auto"/>
          <w:spacing w:val="-36"/>
          <w:sz w:val="20"/>
          <w:szCs w:val="20"/>
          <w:highlight w:val="none"/>
        </w:rPr>
        <w:t xml:space="preserve"> </w:t>
      </w:r>
      <w:r>
        <w:rPr>
          <w:rFonts w:ascii="宋体" w:hAnsi="宋体" w:eastAsia="宋体" w:cs="宋体"/>
          <w:color w:val="auto"/>
          <w:spacing w:val="9"/>
          <w:sz w:val="20"/>
          <w:szCs w:val="20"/>
          <w:highlight w:val="none"/>
        </w:rPr>
        <w:t>家的，磋商采购活动可</w:t>
      </w:r>
      <w:r>
        <w:rPr>
          <w:rFonts w:ascii="宋体" w:hAnsi="宋体" w:eastAsia="宋体" w:cs="宋体"/>
          <w:color w:val="auto"/>
          <w:spacing w:val="8"/>
          <w:sz w:val="20"/>
          <w:szCs w:val="20"/>
          <w:highlight w:val="none"/>
        </w:rPr>
        <w:t>以继续进行。</w:t>
      </w:r>
    </w:p>
    <w:p w14:paraId="5FF9B79A">
      <w:pPr>
        <w:spacing w:before="96" w:line="228" w:lineRule="auto"/>
        <w:ind w:left="425"/>
        <w:outlineLvl w:val="9"/>
        <w:rPr>
          <w:rFonts w:ascii="宋体" w:hAnsi="宋体" w:eastAsia="宋体" w:cs="宋体"/>
          <w:color w:val="auto"/>
          <w:sz w:val="20"/>
          <w:szCs w:val="20"/>
          <w:highlight w:val="none"/>
        </w:rPr>
      </w:pPr>
      <w:bookmarkStart w:id="32" w:name="_Toc827"/>
      <w:bookmarkStart w:id="33" w:name="_Toc6724"/>
      <w:bookmarkStart w:id="34" w:name="_Toc15293"/>
      <w:r>
        <w:rPr>
          <w:rFonts w:ascii="宋体" w:hAnsi="宋体" w:eastAsia="宋体" w:cs="宋体"/>
          <w:b/>
          <w:bCs/>
          <w:color w:val="auto"/>
          <w:spacing w:val="4"/>
          <w:sz w:val="20"/>
          <w:szCs w:val="20"/>
          <w:highlight w:val="none"/>
        </w:rPr>
        <w:t>3.磋商程序</w:t>
      </w:r>
      <w:bookmarkEnd w:id="32"/>
      <w:bookmarkEnd w:id="33"/>
      <w:bookmarkEnd w:id="34"/>
    </w:p>
    <w:p w14:paraId="4AA46E05">
      <w:pPr>
        <w:spacing w:before="95" w:line="293" w:lineRule="auto"/>
        <w:ind w:left="2" w:right="71" w:firstLine="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3.1</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磋商小组按照“供应商须知前附表</w:t>
      </w:r>
      <w:r>
        <w:rPr>
          <w:rFonts w:ascii="宋体" w:hAnsi="宋体" w:eastAsia="宋体" w:cs="宋体"/>
          <w:color w:val="auto"/>
          <w:spacing w:val="-68"/>
          <w:sz w:val="20"/>
          <w:szCs w:val="20"/>
          <w:highlight w:val="none"/>
        </w:rPr>
        <w:t xml:space="preserve"> </w:t>
      </w:r>
      <w:r>
        <w:rPr>
          <w:rFonts w:ascii="宋体" w:hAnsi="宋体" w:eastAsia="宋体" w:cs="宋体"/>
          <w:color w:val="auto"/>
          <w:spacing w:val="10"/>
          <w:sz w:val="20"/>
          <w:szCs w:val="20"/>
          <w:highlight w:val="none"/>
        </w:rPr>
        <w:t>”确定的顺序，集中与单一供</w:t>
      </w:r>
      <w:r>
        <w:rPr>
          <w:rFonts w:ascii="宋体" w:hAnsi="宋体" w:eastAsia="宋体" w:cs="宋体"/>
          <w:color w:val="auto"/>
          <w:spacing w:val="9"/>
          <w:sz w:val="20"/>
          <w:szCs w:val="20"/>
          <w:highlight w:val="none"/>
        </w:rPr>
        <w:t>应商分别进行磋商，</w:t>
      </w:r>
      <w:r>
        <w:rPr>
          <w:rFonts w:ascii="宋体" w:hAnsi="宋体" w:eastAsia="宋体" w:cs="宋体"/>
          <w:color w:val="auto"/>
          <w:spacing w:val="10"/>
          <w:sz w:val="20"/>
          <w:szCs w:val="20"/>
          <w:highlight w:val="none"/>
        </w:rPr>
        <w:t>并给予所有参加磋商的供应商平等的磋商机会。符合磋商资格的供应商必须在接到磋商通</w:t>
      </w:r>
      <w:r>
        <w:rPr>
          <w:rFonts w:ascii="宋体" w:hAnsi="宋体" w:eastAsia="宋体" w:cs="宋体"/>
          <w:color w:val="auto"/>
          <w:spacing w:val="9"/>
          <w:sz w:val="20"/>
          <w:szCs w:val="20"/>
          <w:highlight w:val="none"/>
        </w:rPr>
        <w:t>知后</w:t>
      </w:r>
      <w:r>
        <w:rPr>
          <w:rFonts w:ascii="宋体" w:hAnsi="宋体" w:eastAsia="宋体" w:cs="宋体"/>
          <w:color w:val="auto"/>
          <w:spacing w:val="10"/>
          <w:sz w:val="20"/>
          <w:szCs w:val="20"/>
          <w:highlight w:val="none"/>
        </w:rPr>
        <w:t>规定时间内参加磋商，未在规定时间内参加磋商的视同放弃参加磋商权利，其响应文件按</w:t>
      </w:r>
      <w:r>
        <w:rPr>
          <w:rFonts w:ascii="宋体" w:hAnsi="宋体" w:eastAsia="宋体" w:cs="宋体"/>
          <w:color w:val="auto"/>
          <w:spacing w:val="9"/>
          <w:sz w:val="20"/>
          <w:szCs w:val="20"/>
          <w:highlight w:val="none"/>
        </w:rPr>
        <w:t>无效</w:t>
      </w:r>
      <w:r>
        <w:rPr>
          <w:rFonts w:ascii="宋体" w:hAnsi="宋体" w:eastAsia="宋体" w:cs="宋体"/>
          <w:color w:val="auto"/>
          <w:spacing w:val="5"/>
          <w:sz w:val="20"/>
          <w:szCs w:val="20"/>
          <w:highlight w:val="none"/>
        </w:rPr>
        <w:t>响应处理。</w:t>
      </w:r>
    </w:p>
    <w:p w14:paraId="2B268B4E">
      <w:pPr>
        <w:spacing w:before="90" w:line="285" w:lineRule="auto"/>
        <w:ind w:firstLine="4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3.2</w:t>
      </w:r>
      <w:r>
        <w:rPr>
          <w:rFonts w:ascii="宋体" w:hAnsi="宋体" w:eastAsia="宋体" w:cs="宋体"/>
          <w:color w:val="auto"/>
          <w:spacing w:val="-31"/>
          <w:sz w:val="20"/>
          <w:szCs w:val="20"/>
          <w:highlight w:val="none"/>
        </w:rPr>
        <w:t xml:space="preserve"> </w:t>
      </w:r>
      <w:r>
        <w:rPr>
          <w:rFonts w:ascii="宋体" w:hAnsi="宋体" w:eastAsia="宋体" w:cs="宋体"/>
          <w:color w:val="auto"/>
          <w:spacing w:val="7"/>
          <w:sz w:val="20"/>
          <w:szCs w:val="20"/>
          <w:highlight w:val="none"/>
        </w:rPr>
        <w:t>在磋商过程中，磋商小组可以根据采购文件和磋商情况实质性变动采购需求中的技术、</w:t>
      </w:r>
      <w:r>
        <w:rPr>
          <w:rFonts w:ascii="宋体" w:hAnsi="宋体" w:eastAsia="宋体" w:cs="宋体"/>
          <w:color w:val="auto"/>
          <w:spacing w:val="10"/>
          <w:sz w:val="20"/>
          <w:szCs w:val="20"/>
          <w:highlight w:val="none"/>
        </w:rPr>
        <w:t>服务要求以及合同草案条款，但不得变动采购文件中的其他内容。实质性变动的内容，须经采购人代表确认。可能实质性变动的内容为采购需</w:t>
      </w:r>
      <w:r>
        <w:rPr>
          <w:rFonts w:ascii="宋体" w:hAnsi="宋体" w:eastAsia="宋体" w:cs="宋体"/>
          <w:color w:val="auto"/>
          <w:spacing w:val="9"/>
          <w:sz w:val="20"/>
          <w:szCs w:val="20"/>
          <w:highlight w:val="none"/>
        </w:rPr>
        <w:t>求中的技术、服务要求以及合同草案条款。</w:t>
      </w:r>
    </w:p>
    <w:p w14:paraId="6002B960">
      <w:pPr>
        <w:spacing w:before="95" w:line="271" w:lineRule="auto"/>
        <w:ind w:left="1" w:right="71" w:firstLine="42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3.3</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对采购文件作出的实质性变动是磋商文件</w:t>
      </w:r>
      <w:r>
        <w:rPr>
          <w:rFonts w:ascii="宋体" w:hAnsi="宋体" w:eastAsia="宋体" w:cs="宋体"/>
          <w:color w:val="auto"/>
          <w:spacing w:val="9"/>
          <w:sz w:val="20"/>
          <w:szCs w:val="20"/>
          <w:highlight w:val="none"/>
        </w:rPr>
        <w:t>的有效组成部分，</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由磋商小组及时以电子澄</w:t>
      </w:r>
      <w:r>
        <w:rPr>
          <w:rFonts w:ascii="宋体" w:hAnsi="宋体" w:eastAsia="宋体" w:cs="宋体"/>
          <w:color w:val="auto"/>
          <w:spacing w:val="8"/>
          <w:sz w:val="20"/>
          <w:szCs w:val="20"/>
          <w:highlight w:val="none"/>
        </w:rPr>
        <w:t>清函形式同时通知所有参加磋商的供应商。</w:t>
      </w:r>
    </w:p>
    <w:p w14:paraId="19650953">
      <w:pPr>
        <w:spacing w:before="94" w:line="286" w:lineRule="auto"/>
        <w:ind w:right="71" w:firstLine="425"/>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3.4</w:t>
      </w:r>
      <w:r>
        <w:rPr>
          <w:rFonts w:ascii="宋体" w:hAnsi="宋体" w:eastAsia="宋体" w:cs="宋体"/>
          <w:color w:val="auto"/>
          <w:spacing w:val="-38"/>
          <w:sz w:val="20"/>
          <w:szCs w:val="20"/>
          <w:highlight w:val="none"/>
        </w:rPr>
        <w:t xml:space="preserve"> </w:t>
      </w:r>
      <w:r>
        <w:rPr>
          <w:rFonts w:ascii="宋体" w:hAnsi="宋体" w:eastAsia="宋体" w:cs="宋体"/>
          <w:color w:val="auto"/>
          <w:spacing w:val="11"/>
          <w:sz w:val="20"/>
          <w:szCs w:val="20"/>
          <w:highlight w:val="none"/>
        </w:rPr>
        <w:t>供应商必须按照采购文件的变动情况和磋商</w:t>
      </w:r>
      <w:r>
        <w:rPr>
          <w:rFonts w:ascii="宋体" w:hAnsi="宋体" w:eastAsia="宋体" w:cs="宋体"/>
          <w:color w:val="auto"/>
          <w:spacing w:val="10"/>
          <w:sz w:val="20"/>
          <w:szCs w:val="20"/>
          <w:highlight w:val="none"/>
        </w:rPr>
        <w:t>小组的要求以回函的形式重新提交响应文件，并加盖电子公章。供应商为自然人的，必须由本人签字并附身份证明。参加磋商的供应商</w:t>
      </w:r>
      <w:r>
        <w:rPr>
          <w:rFonts w:ascii="宋体" w:hAnsi="宋体" w:eastAsia="宋体" w:cs="宋体"/>
          <w:color w:val="auto"/>
          <w:spacing w:val="9"/>
          <w:sz w:val="20"/>
          <w:szCs w:val="20"/>
          <w:highlight w:val="none"/>
        </w:rPr>
        <w:t>未在规定时间内重新提交响应文件的，视同退出磋商。</w:t>
      </w:r>
    </w:p>
    <w:p w14:paraId="07AE0776">
      <w:pPr>
        <w:spacing w:before="92" w:line="271" w:lineRule="auto"/>
        <w:ind w:left="1" w:right="71" w:firstLine="42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3.5</w:t>
      </w:r>
      <w:r>
        <w:rPr>
          <w:rFonts w:ascii="宋体" w:hAnsi="宋体" w:eastAsia="宋体" w:cs="宋体"/>
          <w:color w:val="auto"/>
          <w:spacing w:val="-39"/>
          <w:sz w:val="20"/>
          <w:szCs w:val="20"/>
          <w:highlight w:val="none"/>
        </w:rPr>
        <w:t xml:space="preserve"> </w:t>
      </w:r>
      <w:r>
        <w:rPr>
          <w:rFonts w:ascii="宋体" w:hAnsi="宋体" w:eastAsia="宋体" w:cs="宋体"/>
          <w:color w:val="auto"/>
          <w:spacing w:val="11"/>
          <w:sz w:val="20"/>
          <w:szCs w:val="20"/>
          <w:highlight w:val="none"/>
        </w:rPr>
        <w:t>磋商中，磋商的任何一方不得透露与磋商有关</w:t>
      </w:r>
      <w:r>
        <w:rPr>
          <w:rFonts w:ascii="宋体" w:hAnsi="宋体" w:eastAsia="宋体" w:cs="宋体"/>
          <w:color w:val="auto"/>
          <w:spacing w:val="10"/>
          <w:sz w:val="20"/>
          <w:szCs w:val="20"/>
          <w:highlight w:val="none"/>
        </w:rPr>
        <w:t>的其他供应商的技术资料、价格和其他</w:t>
      </w:r>
      <w:r>
        <w:rPr>
          <w:rFonts w:ascii="宋体" w:hAnsi="宋体" w:eastAsia="宋体" w:cs="宋体"/>
          <w:color w:val="auto"/>
          <w:spacing w:val="3"/>
          <w:sz w:val="20"/>
          <w:szCs w:val="20"/>
          <w:highlight w:val="none"/>
        </w:rPr>
        <w:t>信息。</w:t>
      </w:r>
    </w:p>
    <w:p w14:paraId="7C266498">
      <w:pPr>
        <w:spacing w:before="94" w:line="271" w:lineRule="auto"/>
        <w:ind w:right="133"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3.6</w:t>
      </w:r>
      <w:r>
        <w:rPr>
          <w:rFonts w:ascii="宋体" w:hAnsi="宋体" w:eastAsia="宋体" w:cs="宋体"/>
          <w:color w:val="auto"/>
          <w:spacing w:val="-38"/>
          <w:sz w:val="20"/>
          <w:szCs w:val="20"/>
          <w:highlight w:val="none"/>
        </w:rPr>
        <w:t xml:space="preserve"> </w:t>
      </w:r>
      <w:r>
        <w:rPr>
          <w:rFonts w:ascii="宋体" w:hAnsi="宋体" w:eastAsia="宋体" w:cs="宋体"/>
          <w:color w:val="auto"/>
          <w:spacing w:val="9"/>
          <w:sz w:val="20"/>
          <w:szCs w:val="20"/>
          <w:highlight w:val="none"/>
        </w:rPr>
        <w:t>磋商小组应对磋商过程和重要磋商内容进行记录，作为评标报告一部分，磋商小组在</w:t>
      </w:r>
      <w:r>
        <w:rPr>
          <w:rFonts w:ascii="宋体" w:hAnsi="宋体" w:eastAsia="宋体" w:cs="宋体"/>
          <w:color w:val="auto"/>
          <w:spacing w:val="8"/>
          <w:sz w:val="20"/>
          <w:szCs w:val="20"/>
          <w:highlight w:val="none"/>
        </w:rPr>
        <w:t>记录上签字确认。</w:t>
      </w:r>
      <w:r>
        <w:rPr>
          <w:rFonts w:ascii="宋体" w:hAnsi="宋体" w:eastAsia="宋体" w:cs="宋体"/>
          <w:b/>
          <w:bCs/>
          <w:color w:val="auto"/>
          <w:spacing w:val="8"/>
          <w:sz w:val="20"/>
          <w:szCs w:val="20"/>
          <w:highlight w:val="none"/>
        </w:rPr>
        <w:t>主要内容包括：</w:t>
      </w:r>
    </w:p>
    <w:p w14:paraId="36F3BD03">
      <w:pPr>
        <w:spacing w:before="94" w:line="228" w:lineRule="auto"/>
        <w:ind w:left="40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（1）按照相关规定进行公示的，公示情况说</w:t>
      </w:r>
      <w:r>
        <w:rPr>
          <w:rFonts w:ascii="宋体" w:hAnsi="宋体" w:eastAsia="宋体" w:cs="宋体"/>
          <w:color w:val="auto"/>
          <w:spacing w:val="6"/>
          <w:sz w:val="20"/>
          <w:szCs w:val="20"/>
          <w:highlight w:val="none"/>
        </w:rPr>
        <w:t>明；</w:t>
      </w:r>
    </w:p>
    <w:p w14:paraId="1889D173">
      <w:pPr>
        <w:spacing w:before="94" w:line="228" w:lineRule="auto"/>
        <w:ind w:left="40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（2）磋商日期和地点，磋商人员名单；</w:t>
      </w:r>
    </w:p>
    <w:p w14:paraId="765AE803">
      <w:pPr>
        <w:spacing w:before="92" w:line="226" w:lineRule="auto"/>
        <w:ind w:left="40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（3）合同主要条款及价格商定情况。</w:t>
      </w:r>
    </w:p>
    <w:p w14:paraId="4B16DA14">
      <w:pPr>
        <w:spacing w:before="95" w:line="227" w:lineRule="auto"/>
        <w:ind w:left="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3.7</w:t>
      </w:r>
      <w:r>
        <w:rPr>
          <w:rFonts w:ascii="宋体" w:hAnsi="宋体" w:eastAsia="宋体" w:cs="宋体"/>
          <w:color w:val="auto"/>
          <w:spacing w:val="-41"/>
          <w:sz w:val="20"/>
          <w:szCs w:val="20"/>
          <w:highlight w:val="none"/>
        </w:rPr>
        <w:t xml:space="preserve"> </w:t>
      </w:r>
      <w:r>
        <w:rPr>
          <w:rFonts w:ascii="宋体" w:hAnsi="宋体" w:eastAsia="宋体" w:cs="宋体"/>
          <w:color w:val="auto"/>
          <w:spacing w:val="9"/>
          <w:sz w:val="20"/>
          <w:szCs w:val="20"/>
          <w:highlight w:val="none"/>
        </w:rPr>
        <w:t>磋商过程中重新提交的响应文件，供</w:t>
      </w:r>
      <w:r>
        <w:rPr>
          <w:rFonts w:ascii="宋体" w:hAnsi="宋体" w:eastAsia="宋体" w:cs="宋体"/>
          <w:color w:val="auto"/>
          <w:spacing w:val="8"/>
          <w:sz w:val="20"/>
          <w:szCs w:val="20"/>
          <w:highlight w:val="none"/>
        </w:rPr>
        <w:t>应商可以在开启前补充、修改。</w:t>
      </w:r>
    </w:p>
    <w:p w14:paraId="2D11C62F">
      <w:pPr>
        <w:spacing w:before="95" w:line="271" w:lineRule="auto"/>
        <w:ind w:left="1" w:right="71" w:firstLine="42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3.8</w:t>
      </w:r>
      <w:r>
        <w:rPr>
          <w:rFonts w:ascii="宋体" w:hAnsi="宋体" w:eastAsia="宋体" w:cs="宋体"/>
          <w:color w:val="auto"/>
          <w:spacing w:val="-39"/>
          <w:sz w:val="20"/>
          <w:szCs w:val="20"/>
          <w:highlight w:val="none"/>
        </w:rPr>
        <w:t xml:space="preserve"> </w:t>
      </w:r>
      <w:r>
        <w:rPr>
          <w:rFonts w:ascii="宋体" w:hAnsi="宋体" w:eastAsia="宋体" w:cs="宋体"/>
          <w:color w:val="auto"/>
          <w:spacing w:val="11"/>
          <w:sz w:val="20"/>
          <w:szCs w:val="20"/>
          <w:highlight w:val="none"/>
        </w:rPr>
        <w:t>对磋商过程提交的响应文件进行有效性、完整</w:t>
      </w:r>
      <w:r>
        <w:rPr>
          <w:rFonts w:ascii="宋体" w:hAnsi="宋体" w:eastAsia="宋体" w:cs="宋体"/>
          <w:color w:val="auto"/>
          <w:spacing w:val="10"/>
          <w:sz w:val="20"/>
          <w:szCs w:val="20"/>
          <w:highlight w:val="none"/>
        </w:rPr>
        <w:t>性和响应程度审查，通过审查的合格供</w:t>
      </w:r>
      <w:r>
        <w:rPr>
          <w:rFonts w:ascii="宋体" w:hAnsi="宋体" w:eastAsia="宋体" w:cs="宋体"/>
          <w:color w:val="auto"/>
          <w:spacing w:val="8"/>
          <w:sz w:val="20"/>
          <w:szCs w:val="20"/>
          <w:highlight w:val="none"/>
        </w:rPr>
        <w:t>应商不足</w:t>
      </w:r>
      <w:r>
        <w:rPr>
          <w:rFonts w:ascii="宋体" w:hAnsi="宋体" w:eastAsia="宋体" w:cs="宋体"/>
          <w:color w:val="auto"/>
          <w:spacing w:val="-25"/>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家的，采购人或者采购代理机构应当重新开展采购活动。</w:t>
      </w:r>
    </w:p>
    <w:p w14:paraId="727E2F32">
      <w:pPr>
        <w:spacing w:before="95" w:line="226" w:lineRule="auto"/>
        <w:ind w:left="420"/>
        <w:outlineLvl w:val="9"/>
        <w:rPr>
          <w:rFonts w:ascii="宋体" w:hAnsi="宋体" w:eastAsia="宋体" w:cs="宋体"/>
          <w:color w:val="auto"/>
          <w:sz w:val="20"/>
          <w:szCs w:val="20"/>
          <w:highlight w:val="none"/>
        </w:rPr>
      </w:pPr>
      <w:bookmarkStart w:id="35" w:name="_Toc28034"/>
      <w:bookmarkStart w:id="36" w:name="_Toc25925"/>
      <w:bookmarkStart w:id="37" w:name="_Toc10770"/>
      <w:r>
        <w:rPr>
          <w:rFonts w:ascii="宋体" w:hAnsi="宋体" w:eastAsia="宋体" w:cs="宋体"/>
          <w:b/>
          <w:bCs/>
          <w:color w:val="auto"/>
          <w:spacing w:val="4"/>
          <w:sz w:val="20"/>
          <w:szCs w:val="20"/>
          <w:highlight w:val="none"/>
        </w:rPr>
        <w:t>4.</w:t>
      </w:r>
      <w:r>
        <w:rPr>
          <w:rFonts w:ascii="宋体" w:hAnsi="宋体" w:eastAsia="宋体" w:cs="宋体"/>
          <w:color w:val="auto"/>
          <w:spacing w:val="14"/>
          <w:sz w:val="20"/>
          <w:szCs w:val="20"/>
          <w:highlight w:val="none"/>
        </w:rPr>
        <w:t xml:space="preserve"> </w:t>
      </w:r>
      <w:r>
        <w:rPr>
          <w:rFonts w:ascii="宋体" w:hAnsi="宋体" w:eastAsia="宋体" w:cs="宋体"/>
          <w:b/>
          <w:bCs/>
          <w:color w:val="auto"/>
          <w:spacing w:val="4"/>
          <w:sz w:val="20"/>
          <w:szCs w:val="20"/>
          <w:highlight w:val="none"/>
        </w:rPr>
        <w:t>最后报价</w:t>
      </w:r>
      <w:bookmarkEnd w:id="35"/>
      <w:bookmarkEnd w:id="36"/>
      <w:bookmarkEnd w:id="37"/>
    </w:p>
    <w:p w14:paraId="20480337">
      <w:pPr>
        <w:spacing w:before="97" w:line="284" w:lineRule="auto"/>
        <w:ind w:left="1" w:right="70" w:firstLine="41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4.1</w:t>
      </w:r>
      <w:r>
        <w:rPr>
          <w:rFonts w:ascii="宋体" w:hAnsi="宋体" w:eastAsia="宋体" w:cs="宋体"/>
          <w:color w:val="auto"/>
          <w:spacing w:val="-39"/>
          <w:sz w:val="20"/>
          <w:szCs w:val="20"/>
          <w:highlight w:val="none"/>
        </w:rPr>
        <w:t xml:space="preserve"> </w:t>
      </w:r>
      <w:r>
        <w:rPr>
          <w:rFonts w:ascii="宋体" w:hAnsi="宋体" w:eastAsia="宋体" w:cs="宋体"/>
          <w:color w:val="auto"/>
          <w:spacing w:val="10"/>
          <w:sz w:val="20"/>
          <w:szCs w:val="20"/>
          <w:highlight w:val="none"/>
        </w:rPr>
        <w:t>采购文件能够详细列明采购标的的技术、服务要</w:t>
      </w:r>
      <w:r>
        <w:rPr>
          <w:rFonts w:ascii="宋体" w:hAnsi="宋体" w:eastAsia="宋体" w:cs="宋体"/>
          <w:color w:val="auto"/>
          <w:spacing w:val="9"/>
          <w:sz w:val="20"/>
          <w:szCs w:val="20"/>
          <w:highlight w:val="none"/>
        </w:rPr>
        <w:t>求的，磋商结束后，</w:t>
      </w:r>
      <w:r>
        <w:rPr>
          <w:rFonts w:ascii="宋体" w:hAnsi="宋体" w:eastAsia="宋体" w:cs="宋体"/>
          <w:color w:val="auto"/>
          <w:spacing w:val="-56"/>
          <w:sz w:val="20"/>
          <w:szCs w:val="20"/>
          <w:highlight w:val="none"/>
        </w:rPr>
        <w:t xml:space="preserve"> </w:t>
      </w:r>
      <w:r>
        <w:rPr>
          <w:rFonts w:ascii="宋体" w:hAnsi="宋体" w:eastAsia="宋体" w:cs="宋体"/>
          <w:color w:val="auto"/>
          <w:spacing w:val="9"/>
          <w:sz w:val="20"/>
          <w:szCs w:val="20"/>
          <w:highlight w:val="none"/>
        </w:rPr>
        <w:t>由磋商小组要求</w:t>
      </w:r>
      <w:r>
        <w:rPr>
          <w:rFonts w:ascii="宋体" w:hAnsi="宋体" w:eastAsia="宋体" w:cs="宋体"/>
          <w:color w:val="auto"/>
          <w:spacing w:val="6"/>
          <w:sz w:val="20"/>
          <w:szCs w:val="20"/>
          <w:highlight w:val="none"/>
        </w:rPr>
        <w:t>所有继续参加磋商的供应商在规定时间内密封提交最后报价，除本章第3.7、5.3</w:t>
      </w:r>
      <w:r>
        <w:rPr>
          <w:rFonts w:ascii="宋体" w:hAnsi="宋体" w:eastAsia="宋体" w:cs="宋体"/>
          <w:color w:val="auto"/>
          <w:spacing w:val="-39"/>
          <w:sz w:val="20"/>
          <w:szCs w:val="20"/>
          <w:highlight w:val="none"/>
        </w:rPr>
        <w:t xml:space="preserve"> </w:t>
      </w:r>
      <w:r>
        <w:rPr>
          <w:rFonts w:ascii="宋体" w:hAnsi="宋体" w:eastAsia="宋体" w:cs="宋体"/>
          <w:color w:val="auto"/>
          <w:spacing w:val="6"/>
          <w:sz w:val="20"/>
          <w:szCs w:val="20"/>
          <w:highlight w:val="none"/>
        </w:rPr>
        <w:t>条外，提交最</w:t>
      </w:r>
      <w:r>
        <w:rPr>
          <w:rFonts w:ascii="宋体" w:hAnsi="宋体" w:eastAsia="宋体" w:cs="宋体"/>
          <w:color w:val="auto"/>
          <w:spacing w:val="7"/>
          <w:sz w:val="20"/>
          <w:szCs w:val="20"/>
          <w:highlight w:val="none"/>
        </w:rPr>
        <w:t>后报价的供应商不得少于</w:t>
      </w:r>
      <w:r>
        <w:rPr>
          <w:rFonts w:ascii="宋体" w:hAnsi="宋体" w:eastAsia="宋体" w:cs="宋体"/>
          <w:color w:val="auto"/>
          <w:spacing w:val="-17"/>
          <w:sz w:val="20"/>
          <w:szCs w:val="20"/>
          <w:highlight w:val="none"/>
        </w:rPr>
        <w:t xml:space="preserve"> </w:t>
      </w:r>
      <w:r>
        <w:rPr>
          <w:rFonts w:ascii="宋体" w:hAnsi="宋体" w:eastAsia="宋体" w:cs="宋体"/>
          <w:color w:val="auto"/>
          <w:spacing w:val="7"/>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7"/>
          <w:sz w:val="20"/>
          <w:szCs w:val="20"/>
          <w:highlight w:val="none"/>
        </w:rPr>
        <w:t>家，否则必须重新采购。</w:t>
      </w:r>
    </w:p>
    <w:p w14:paraId="3F1A045B">
      <w:pPr>
        <w:spacing w:before="96" w:line="285" w:lineRule="auto"/>
        <w:ind w:left="1" w:right="70" w:firstLine="419"/>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4.2</w:t>
      </w:r>
      <w:r>
        <w:rPr>
          <w:rFonts w:ascii="宋体" w:hAnsi="宋体" w:eastAsia="宋体" w:cs="宋体"/>
          <w:color w:val="auto"/>
          <w:spacing w:val="-39"/>
          <w:sz w:val="20"/>
          <w:szCs w:val="20"/>
          <w:highlight w:val="none"/>
        </w:rPr>
        <w:t xml:space="preserve"> </w:t>
      </w:r>
      <w:r>
        <w:rPr>
          <w:rFonts w:ascii="宋体" w:hAnsi="宋体" w:eastAsia="宋体" w:cs="宋体"/>
          <w:color w:val="auto"/>
          <w:spacing w:val="11"/>
          <w:sz w:val="20"/>
          <w:szCs w:val="20"/>
          <w:highlight w:val="none"/>
        </w:rPr>
        <w:t>采购文件不能详细列明采购标的的技术、服务要求，需经</w:t>
      </w:r>
      <w:r>
        <w:rPr>
          <w:rFonts w:ascii="宋体" w:hAnsi="宋体" w:eastAsia="宋体" w:cs="宋体"/>
          <w:color w:val="auto"/>
          <w:spacing w:val="10"/>
          <w:sz w:val="20"/>
          <w:szCs w:val="20"/>
          <w:highlight w:val="none"/>
        </w:rPr>
        <w:t>磋商由供应商提供最后设计</w:t>
      </w:r>
      <w:r>
        <w:rPr>
          <w:rFonts w:ascii="宋体" w:hAnsi="宋体" w:eastAsia="宋体" w:cs="宋体"/>
          <w:color w:val="auto"/>
          <w:spacing w:val="8"/>
          <w:sz w:val="20"/>
          <w:szCs w:val="20"/>
          <w:highlight w:val="none"/>
        </w:rPr>
        <w:t>方案或者解决方案的，磋商结束后，</w:t>
      </w:r>
      <w:r>
        <w:rPr>
          <w:rFonts w:ascii="宋体" w:hAnsi="宋体" w:eastAsia="宋体" w:cs="宋体"/>
          <w:color w:val="auto"/>
          <w:spacing w:val="-48"/>
          <w:sz w:val="20"/>
          <w:szCs w:val="20"/>
          <w:highlight w:val="none"/>
        </w:rPr>
        <w:t xml:space="preserve"> </w:t>
      </w:r>
      <w:r>
        <w:rPr>
          <w:rFonts w:ascii="宋体" w:hAnsi="宋体" w:eastAsia="宋体" w:cs="宋体"/>
          <w:color w:val="auto"/>
          <w:spacing w:val="8"/>
          <w:sz w:val="20"/>
          <w:szCs w:val="20"/>
          <w:highlight w:val="none"/>
        </w:rPr>
        <w:t>由磋商小组按照少数服从多数的原则投票推荐3家以上供</w:t>
      </w:r>
      <w:r>
        <w:rPr>
          <w:rFonts w:ascii="宋体" w:hAnsi="宋体" w:eastAsia="宋体" w:cs="宋体"/>
          <w:color w:val="auto"/>
          <w:spacing w:val="9"/>
          <w:sz w:val="20"/>
          <w:szCs w:val="20"/>
          <w:highlight w:val="none"/>
        </w:rPr>
        <w:t>应商的设计方案或者解决方案，并要求其在规定时间内密封提交最后报价。</w:t>
      </w:r>
    </w:p>
    <w:p w14:paraId="5867414D">
      <w:pPr>
        <w:spacing w:before="95" w:line="271" w:lineRule="auto"/>
        <w:ind w:left="4" w:right="70" w:firstLine="41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4.3</w:t>
      </w:r>
      <w:r>
        <w:rPr>
          <w:rFonts w:ascii="宋体" w:hAnsi="宋体" w:eastAsia="宋体" w:cs="宋体"/>
          <w:color w:val="auto"/>
          <w:spacing w:val="-36"/>
          <w:sz w:val="20"/>
          <w:szCs w:val="20"/>
          <w:highlight w:val="none"/>
        </w:rPr>
        <w:t xml:space="preserve"> </w:t>
      </w:r>
      <w:r>
        <w:rPr>
          <w:rFonts w:ascii="宋体" w:hAnsi="宋体" w:eastAsia="宋体" w:cs="宋体"/>
          <w:color w:val="auto"/>
          <w:spacing w:val="11"/>
          <w:sz w:val="20"/>
          <w:szCs w:val="20"/>
          <w:highlight w:val="none"/>
        </w:rPr>
        <w:t>最后报价是供应商响应文件的有效组成部分。符合</w:t>
      </w:r>
      <w:r>
        <w:rPr>
          <w:rFonts w:ascii="宋体" w:hAnsi="宋体" w:eastAsia="宋体" w:cs="宋体"/>
          <w:color w:val="auto"/>
          <w:spacing w:val="10"/>
          <w:sz w:val="20"/>
          <w:szCs w:val="20"/>
          <w:highlight w:val="none"/>
        </w:rPr>
        <w:t>《政府采购竞争性磋商采购方式管</w:t>
      </w:r>
      <w:r>
        <w:rPr>
          <w:rFonts w:ascii="宋体" w:hAnsi="宋体" w:eastAsia="宋体" w:cs="宋体"/>
          <w:color w:val="auto"/>
          <w:spacing w:val="9"/>
          <w:sz w:val="20"/>
          <w:szCs w:val="20"/>
          <w:highlight w:val="none"/>
        </w:rPr>
        <w:t>理暂行办法》（财库〔2014〕214</w:t>
      </w:r>
      <w:r>
        <w:rPr>
          <w:rFonts w:ascii="宋体" w:hAnsi="宋体" w:eastAsia="宋体" w:cs="宋体"/>
          <w:color w:val="auto"/>
          <w:spacing w:val="-30"/>
          <w:sz w:val="20"/>
          <w:szCs w:val="20"/>
          <w:highlight w:val="none"/>
        </w:rPr>
        <w:t xml:space="preserve"> </w:t>
      </w:r>
      <w:r>
        <w:rPr>
          <w:rFonts w:ascii="宋体" w:hAnsi="宋体" w:eastAsia="宋体" w:cs="宋体"/>
          <w:color w:val="auto"/>
          <w:spacing w:val="9"/>
          <w:sz w:val="20"/>
          <w:szCs w:val="20"/>
          <w:highlight w:val="none"/>
        </w:rPr>
        <w:t>号）第三条第四项“市场竞争不充分的科研项目，</w:t>
      </w:r>
      <w:r>
        <w:rPr>
          <w:rFonts w:ascii="宋体" w:hAnsi="宋体" w:eastAsia="宋体" w:cs="宋体"/>
          <w:color w:val="auto"/>
          <w:spacing w:val="-60"/>
          <w:sz w:val="20"/>
          <w:szCs w:val="20"/>
          <w:highlight w:val="none"/>
        </w:rPr>
        <w:t xml:space="preserve"> </w:t>
      </w:r>
      <w:r>
        <w:rPr>
          <w:rFonts w:ascii="宋体" w:hAnsi="宋体" w:eastAsia="宋体" w:cs="宋体"/>
          <w:color w:val="auto"/>
          <w:spacing w:val="9"/>
          <w:sz w:val="20"/>
          <w:szCs w:val="20"/>
          <w:highlight w:val="none"/>
        </w:rPr>
        <w:t>以及需要</w:t>
      </w:r>
      <w:r>
        <w:rPr>
          <w:rFonts w:ascii="宋体" w:hAnsi="宋体" w:eastAsia="宋体" w:cs="宋体"/>
          <w:color w:val="auto"/>
          <w:spacing w:val="7"/>
          <w:sz w:val="20"/>
          <w:szCs w:val="20"/>
          <w:highlight w:val="none"/>
        </w:rPr>
        <w:t>扶持的科技成果转化项目</w:t>
      </w:r>
      <w:r>
        <w:rPr>
          <w:rFonts w:ascii="宋体" w:hAnsi="宋体" w:eastAsia="宋体" w:cs="宋体"/>
          <w:color w:val="auto"/>
          <w:spacing w:val="-56"/>
          <w:sz w:val="20"/>
          <w:szCs w:val="20"/>
          <w:highlight w:val="none"/>
        </w:rPr>
        <w:t xml:space="preserve"> </w:t>
      </w:r>
      <w:r>
        <w:rPr>
          <w:rFonts w:ascii="宋体" w:hAnsi="宋体" w:eastAsia="宋体" w:cs="宋体"/>
          <w:color w:val="auto"/>
          <w:spacing w:val="7"/>
          <w:sz w:val="20"/>
          <w:szCs w:val="20"/>
          <w:highlight w:val="none"/>
        </w:rPr>
        <w:t>”的，提交最后报价的供应商可以为</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2</w:t>
      </w:r>
      <w:r>
        <w:rPr>
          <w:rFonts w:ascii="宋体" w:hAnsi="宋体" w:eastAsia="宋体" w:cs="宋体"/>
          <w:color w:val="auto"/>
          <w:spacing w:val="-36"/>
          <w:sz w:val="20"/>
          <w:szCs w:val="20"/>
          <w:highlight w:val="none"/>
        </w:rPr>
        <w:t xml:space="preserve"> </w:t>
      </w:r>
      <w:r>
        <w:rPr>
          <w:rFonts w:ascii="宋体" w:hAnsi="宋体" w:eastAsia="宋体" w:cs="宋体"/>
          <w:color w:val="auto"/>
          <w:spacing w:val="7"/>
          <w:sz w:val="20"/>
          <w:szCs w:val="20"/>
          <w:highlight w:val="none"/>
        </w:rPr>
        <w:t>家。</w:t>
      </w:r>
    </w:p>
    <w:p w14:paraId="0A489F97">
      <w:pPr>
        <w:spacing w:before="94" w:line="270" w:lineRule="auto"/>
        <w:ind w:left="19" w:right="71" w:firstLine="40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4.4</w:t>
      </w:r>
      <w:r>
        <w:rPr>
          <w:rFonts w:ascii="宋体" w:hAnsi="宋体" w:eastAsia="宋体" w:cs="宋体"/>
          <w:color w:val="auto"/>
          <w:spacing w:val="-11"/>
          <w:sz w:val="20"/>
          <w:szCs w:val="20"/>
          <w:highlight w:val="none"/>
        </w:rPr>
        <w:t xml:space="preserve"> </w:t>
      </w:r>
      <w:r>
        <w:rPr>
          <w:rFonts w:ascii="宋体" w:hAnsi="宋体" w:eastAsia="宋体" w:cs="宋体"/>
          <w:color w:val="auto"/>
          <w:spacing w:val="10"/>
          <w:sz w:val="20"/>
          <w:szCs w:val="20"/>
          <w:highlight w:val="none"/>
        </w:rPr>
        <w:t>已经提交响应文件的供应商，在提交最后报价之前，可以根据磋商情况退出磋商，退</w:t>
      </w:r>
      <w:r>
        <w:rPr>
          <w:rFonts w:ascii="宋体" w:hAnsi="宋体" w:eastAsia="宋体" w:cs="宋体"/>
          <w:color w:val="auto"/>
          <w:spacing w:val="8"/>
          <w:sz w:val="20"/>
          <w:szCs w:val="20"/>
          <w:highlight w:val="none"/>
        </w:rPr>
        <w:t>出磋商的供应商的响应文件按无效响应处理。</w:t>
      </w:r>
    </w:p>
    <w:p w14:paraId="6BF2AAD0">
      <w:pPr>
        <w:spacing w:before="97" w:line="226"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4.5</w:t>
      </w:r>
      <w:r>
        <w:rPr>
          <w:rFonts w:ascii="宋体" w:hAnsi="宋体" w:eastAsia="宋体" w:cs="宋体"/>
          <w:color w:val="auto"/>
          <w:spacing w:val="-28"/>
          <w:sz w:val="20"/>
          <w:szCs w:val="20"/>
          <w:highlight w:val="none"/>
        </w:rPr>
        <w:t xml:space="preserve"> </w:t>
      </w:r>
      <w:r>
        <w:rPr>
          <w:rFonts w:ascii="宋体" w:hAnsi="宋体" w:eastAsia="宋体" w:cs="宋体"/>
          <w:color w:val="auto"/>
          <w:spacing w:val="8"/>
          <w:sz w:val="20"/>
          <w:szCs w:val="20"/>
          <w:highlight w:val="none"/>
        </w:rPr>
        <w:t>供应商未在规定时间内提交最后报价的，视同退出磋商。</w:t>
      </w:r>
    </w:p>
    <w:p w14:paraId="23E7162D">
      <w:pPr>
        <w:spacing w:before="94" w:line="271" w:lineRule="auto"/>
        <w:ind w:left="4" w:right="71" w:firstLine="41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4.6</w:t>
      </w:r>
      <w:r>
        <w:rPr>
          <w:rFonts w:ascii="宋体" w:hAnsi="宋体" w:eastAsia="宋体" w:cs="宋体"/>
          <w:color w:val="auto"/>
          <w:spacing w:val="-39"/>
          <w:sz w:val="20"/>
          <w:szCs w:val="20"/>
          <w:highlight w:val="none"/>
        </w:rPr>
        <w:t xml:space="preserve"> </w:t>
      </w:r>
      <w:r>
        <w:rPr>
          <w:rFonts w:ascii="宋体" w:hAnsi="宋体" w:eastAsia="宋体" w:cs="宋体"/>
          <w:color w:val="auto"/>
          <w:spacing w:val="11"/>
          <w:sz w:val="20"/>
          <w:szCs w:val="20"/>
          <w:highlight w:val="none"/>
        </w:rPr>
        <w:t>磋商小组收齐某一分标最后报价后统一开启，磋商小组对</w:t>
      </w:r>
      <w:r>
        <w:rPr>
          <w:rFonts w:ascii="宋体" w:hAnsi="宋体" w:eastAsia="宋体" w:cs="宋体"/>
          <w:color w:val="auto"/>
          <w:spacing w:val="10"/>
          <w:sz w:val="20"/>
          <w:szCs w:val="20"/>
          <w:highlight w:val="none"/>
        </w:rPr>
        <w:t>最后报价进行有效性、完整</w:t>
      </w:r>
      <w:r>
        <w:rPr>
          <w:rFonts w:ascii="宋体" w:hAnsi="宋体" w:eastAsia="宋体" w:cs="宋体"/>
          <w:color w:val="auto"/>
          <w:spacing w:val="7"/>
          <w:sz w:val="20"/>
          <w:szCs w:val="20"/>
          <w:highlight w:val="none"/>
        </w:rPr>
        <w:t>性和响应程度的审查。</w:t>
      </w:r>
    </w:p>
    <w:p w14:paraId="65D61678">
      <w:pPr>
        <w:spacing w:before="94" w:line="226"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4.7</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最终响应文件的报价出现前后不一致的，按照本</w:t>
      </w:r>
      <w:r>
        <w:rPr>
          <w:rFonts w:ascii="宋体" w:hAnsi="宋体" w:eastAsia="宋体" w:cs="宋体"/>
          <w:color w:val="auto"/>
          <w:spacing w:val="7"/>
          <w:sz w:val="20"/>
          <w:szCs w:val="20"/>
          <w:highlight w:val="none"/>
        </w:rPr>
        <w:t>章第</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3.4</w:t>
      </w:r>
      <w:r>
        <w:rPr>
          <w:rFonts w:ascii="宋体" w:hAnsi="宋体" w:eastAsia="宋体" w:cs="宋体"/>
          <w:color w:val="auto"/>
          <w:spacing w:val="-41"/>
          <w:sz w:val="20"/>
          <w:szCs w:val="20"/>
          <w:highlight w:val="none"/>
        </w:rPr>
        <w:t xml:space="preserve"> </w:t>
      </w:r>
      <w:r>
        <w:rPr>
          <w:rFonts w:ascii="宋体" w:hAnsi="宋体" w:eastAsia="宋体" w:cs="宋体"/>
          <w:color w:val="auto"/>
          <w:spacing w:val="7"/>
          <w:sz w:val="20"/>
          <w:szCs w:val="20"/>
          <w:highlight w:val="none"/>
        </w:rPr>
        <w:t>条的规定修正。</w:t>
      </w:r>
    </w:p>
    <w:p w14:paraId="0C443B5D">
      <w:pPr>
        <w:spacing w:before="96" w:line="226"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4.8</w:t>
      </w:r>
      <w:r>
        <w:rPr>
          <w:rFonts w:ascii="宋体" w:hAnsi="宋体" w:eastAsia="宋体" w:cs="宋体"/>
          <w:color w:val="auto"/>
          <w:spacing w:val="-29"/>
          <w:sz w:val="20"/>
          <w:szCs w:val="20"/>
          <w:highlight w:val="none"/>
        </w:rPr>
        <w:t xml:space="preserve"> </w:t>
      </w:r>
      <w:r>
        <w:rPr>
          <w:rFonts w:ascii="宋体" w:hAnsi="宋体" w:eastAsia="宋体" w:cs="宋体"/>
          <w:color w:val="auto"/>
          <w:spacing w:val="8"/>
          <w:sz w:val="20"/>
          <w:szCs w:val="20"/>
          <w:highlight w:val="none"/>
        </w:rPr>
        <w:t>修正后的最终报价出现下列情形的，按无效响应处理：</w:t>
      </w:r>
    </w:p>
    <w:p w14:paraId="63D00D6F">
      <w:pPr>
        <w:spacing w:before="96" w:line="227"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（1）供应商不确认的（全流程电子化评标采取在线</w:t>
      </w:r>
      <w:r>
        <w:rPr>
          <w:rFonts w:ascii="宋体" w:hAnsi="宋体" w:eastAsia="宋体" w:cs="宋体"/>
          <w:color w:val="auto"/>
          <w:spacing w:val="8"/>
          <w:sz w:val="20"/>
          <w:szCs w:val="20"/>
          <w:highlight w:val="none"/>
        </w:rPr>
        <w:t>确认</w:t>
      </w:r>
      <w:r>
        <w:rPr>
          <w:rFonts w:ascii="宋体" w:hAnsi="宋体" w:eastAsia="宋体" w:cs="宋体"/>
          <w:color w:val="auto"/>
          <w:sz w:val="20"/>
          <w:szCs w:val="20"/>
          <w:highlight w:val="none"/>
        </w:rPr>
        <w:t>）；</w:t>
      </w:r>
    </w:p>
    <w:p w14:paraId="5BA8BFB1">
      <w:pPr>
        <w:spacing w:before="93" w:line="270" w:lineRule="auto"/>
        <w:ind w:right="70" w:firstLine="4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（2）经供应商确认修正后的响应报价（包含首次报价、最后报价）超过所竞标分标规定的</w:t>
      </w:r>
      <w:r>
        <w:rPr>
          <w:rFonts w:ascii="宋体" w:hAnsi="宋体" w:eastAsia="宋体" w:cs="宋体"/>
          <w:color w:val="auto"/>
          <w:spacing w:val="9"/>
          <w:sz w:val="20"/>
          <w:szCs w:val="20"/>
          <w:highlight w:val="none"/>
        </w:rPr>
        <w:t>采购预算金额或者最高限价的（如本项目公布了最高限价</w:t>
      </w:r>
      <w:r>
        <w:rPr>
          <w:rFonts w:ascii="宋体" w:hAnsi="宋体" w:eastAsia="宋体" w:cs="宋体"/>
          <w:color w:val="auto"/>
          <w:spacing w:val="7"/>
          <w:sz w:val="20"/>
          <w:szCs w:val="20"/>
          <w:highlight w:val="none"/>
        </w:rPr>
        <w:t>）；</w:t>
      </w:r>
    </w:p>
    <w:p w14:paraId="644DFE63">
      <w:pPr>
        <w:spacing w:before="97" w:line="270" w:lineRule="auto"/>
        <w:ind w:left="4" w:right="70" w:firstLine="42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（3）经供应商确认修正后的响应报价（包含首次报价、最后报价）超过分项采购预算金额</w:t>
      </w:r>
      <w:r>
        <w:rPr>
          <w:rFonts w:ascii="宋体" w:hAnsi="宋体" w:eastAsia="宋体" w:cs="宋体"/>
          <w:color w:val="auto"/>
          <w:spacing w:val="8"/>
          <w:sz w:val="20"/>
          <w:szCs w:val="20"/>
          <w:highlight w:val="none"/>
        </w:rPr>
        <w:t>或者最高限价的（如本项目公布了最高限价）。</w:t>
      </w:r>
    </w:p>
    <w:p w14:paraId="5D4056CE">
      <w:pPr>
        <w:spacing w:before="96" w:line="226"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4.9</w:t>
      </w:r>
      <w:r>
        <w:rPr>
          <w:rFonts w:ascii="宋体" w:hAnsi="宋体" w:eastAsia="宋体" w:cs="宋体"/>
          <w:color w:val="auto"/>
          <w:spacing w:val="-24"/>
          <w:sz w:val="20"/>
          <w:szCs w:val="20"/>
          <w:highlight w:val="none"/>
        </w:rPr>
        <w:t xml:space="preserve"> </w:t>
      </w:r>
      <w:r>
        <w:rPr>
          <w:rFonts w:ascii="宋体" w:hAnsi="宋体" w:eastAsia="宋体" w:cs="宋体"/>
          <w:color w:val="auto"/>
          <w:spacing w:val="8"/>
          <w:sz w:val="20"/>
          <w:szCs w:val="20"/>
          <w:highlight w:val="none"/>
        </w:rPr>
        <w:t>经供应商确认修正后的最后报价作为评审及签订合同的依据。</w:t>
      </w:r>
    </w:p>
    <w:p w14:paraId="397A6490">
      <w:pPr>
        <w:spacing w:before="95" w:line="271" w:lineRule="auto"/>
        <w:ind w:left="2" w:right="70" w:firstLine="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4.10</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供应商出现最后报价按无效响应处理或者响应文件按无效处理时，磋商小组应当告知</w:t>
      </w:r>
      <w:r>
        <w:rPr>
          <w:rFonts w:ascii="宋体" w:hAnsi="宋体" w:eastAsia="宋体" w:cs="宋体"/>
          <w:color w:val="auto"/>
          <w:spacing w:val="7"/>
          <w:sz w:val="20"/>
          <w:szCs w:val="20"/>
          <w:highlight w:val="none"/>
        </w:rPr>
        <w:t>有关供应商</w:t>
      </w:r>
    </w:p>
    <w:p w14:paraId="50637B2A">
      <w:pPr>
        <w:spacing w:before="93" w:line="226"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4.11</w:t>
      </w:r>
      <w:r>
        <w:rPr>
          <w:rFonts w:ascii="宋体" w:hAnsi="宋体" w:eastAsia="宋体" w:cs="宋体"/>
          <w:color w:val="auto"/>
          <w:spacing w:val="-22"/>
          <w:sz w:val="20"/>
          <w:szCs w:val="20"/>
          <w:highlight w:val="none"/>
        </w:rPr>
        <w:t xml:space="preserve"> </w:t>
      </w:r>
      <w:r>
        <w:rPr>
          <w:rFonts w:ascii="宋体" w:hAnsi="宋体" w:eastAsia="宋体" w:cs="宋体"/>
          <w:color w:val="auto"/>
          <w:spacing w:val="8"/>
          <w:sz w:val="20"/>
          <w:szCs w:val="20"/>
          <w:highlight w:val="none"/>
        </w:rPr>
        <w:t>最后报价结束后，磋商小组不得再与供应商进行任何形式的商谈。</w:t>
      </w:r>
    </w:p>
    <w:p w14:paraId="3047D903">
      <w:pPr>
        <w:spacing w:before="96" w:line="299" w:lineRule="auto"/>
        <w:ind w:left="2" w:right="70" w:firstLine="418"/>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4.12</w:t>
      </w:r>
      <w:r>
        <w:rPr>
          <w:rFonts w:ascii="宋体" w:hAnsi="宋体" w:eastAsia="宋体" w:cs="宋体"/>
          <w:color w:val="auto"/>
          <w:spacing w:val="-40"/>
          <w:sz w:val="20"/>
          <w:szCs w:val="20"/>
          <w:highlight w:val="none"/>
        </w:rPr>
        <w:t xml:space="preserve"> </w:t>
      </w:r>
      <w:r>
        <w:rPr>
          <w:rFonts w:ascii="宋体" w:hAnsi="宋体" w:eastAsia="宋体" w:cs="宋体"/>
          <w:b/>
          <w:bCs/>
          <w:color w:val="auto"/>
          <w:spacing w:val="6"/>
          <w:sz w:val="20"/>
          <w:szCs w:val="20"/>
          <w:highlight w:val="none"/>
        </w:rPr>
        <w:t>本工程磋商报价采用工程量清单报价。供应商应就采购人提供的工程量清单全</w:t>
      </w:r>
      <w:r>
        <w:rPr>
          <w:rFonts w:ascii="宋体" w:hAnsi="宋体" w:eastAsia="宋体" w:cs="宋体"/>
          <w:b/>
          <w:bCs/>
          <w:color w:val="auto"/>
          <w:spacing w:val="5"/>
          <w:sz w:val="20"/>
          <w:szCs w:val="20"/>
          <w:highlight w:val="none"/>
        </w:rPr>
        <w:t>部内容</w:t>
      </w:r>
      <w:r>
        <w:rPr>
          <w:rFonts w:ascii="宋体" w:hAnsi="宋体" w:eastAsia="宋体" w:cs="宋体"/>
          <w:b/>
          <w:bCs/>
          <w:color w:val="auto"/>
          <w:spacing w:val="8"/>
          <w:sz w:val="20"/>
          <w:szCs w:val="20"/>
          <w:highlight w:val="none"/>
        </w:rPr>
        <w:t>作完整唯一报价，漏项报价的或有选择的或有条件的报价，其磋商将视为无效。</w:t>
      </w:r>
    </w:p>
    <w:p w14:paraId="0B088036">
      <w:pPr>
        <w:spacing w:before="34" w:line="299" w:lineRule="auto"/>
        <w:ind w:left="2" w:right="70" w:firstLine="420"/>
        <w:rPr>
          <w:rFonts w:ascii="宋体" w:hAnsi="宋体" w:eastAsia="宋体" w:cs="宋体"/>
          <w:color w:val="auto"/>
          <w:sz w:val="20"/>
          <w:szCs w:val="20"/>
          <w:highlight w:val="none"/>
        </w:rPr>
      </w:pPr>
      <w:r>
        <w:rPr>
          <w:rFonts w:ascii="宋体" w:hAnsi="宋体" w:eastAsia="宋体" w:cs="宋体"/>
          <w:b/>
          <w:bCs/>
          <w:color w:val="auto"/>
          <w:spacing w:val="8"/>
          <w:sz w:val="20"/>
          <w:szCs w:val="20"/>
          <w:highlight w:val="none"/>
        </w:rPr>
        <w:t>作最终报价时，磋商供应商的最后报价与首次报价不一致的，须提供与最后</w:t>
      </w:r>
      <w:r>
        <w:rPr>
          <w:rFonts w:ascii="宋体" w:hAnsi="宋体" w:eastAsia="宋体" w:cs="宋体"/>
          <w:b/>
          <w:bCs/>
          <w:color w:val="auto"/>
          <w:spacing w:val="7"/>
          <w:sz w:val="20"/>
          <w:szCs w:val="20"/>
          <w:highlight w:val="none"/>
        </w:rPr>
        <w:t>报价一致的已</w:t>
      </w:r>
      <w:r>
        <w:rPr>
          <w:rFonts w:ascii="宋体" w:hAnsi="宋体" w:eastAsia="宋体" w:cs="宋体"/>
          <w:b/>
          <w:bCs/>
          <w:color w:val="auto"/>
          <w:spacing w:val="8"/>
          <w:sz w:val="20"/>
          <w:szCs w:val="20"/>
          <w:highlight w:val="none"/>
        </w:rPr>
        <w:t>标价工程量清单作为附件，否则报价无效，视同放弃报价权利退出磋商。</w:t>
      </w:r>
    </w:p>
    <w:p w14:paraId="3A68997C">
      <w:pPr>
        <w:spacing w:before="33" w:line="226" w:lineRule="auto"/>
        <w:ind w:left="425"/>
        <w:outlineLvl w:val="9"/>
        <w:rPr>
          <w:rFonts w:ascii="宋体" w:hAnsi="宋体" w:eastAsia="宋体" w:cs="宋体"/>
          <w:color w:val="auto"/>
          <w:sz w:val="20"/>
          <w:szCs w:val="20"/>
          <w:highlight w:val="none"/>
        </w:rPr>
      </w:pPr>
      <w:bookmarkStart w:id="38" w:name="_Toc11106"/>
      <w:bookmarkStart w:id="39" w:name="_Toc15493"/>
      <w:bookmarkStart w:id="40" w:name="_Toc27864"/>
      <w:r>
        <w:rPr>
          <w:rFonts w:ascii="宋体" w:hAnsi="宋体" w:eastAsia="宋体" w:cs="宋体"/>
          <w:b/>
          <w:bCs/>
          <w:color w:val="auto"/>
          <w:spacing w:val="5"/>
          <w:sz w:val="20"/>
          <w:szCs w:val="20"/>
          <w:highlight w:val="none"/>
        </w:rPr>
        <w:t>5.比较与评价</w:t>
      </w:r>
      <w:bookmarkEnd w:id="38"/>
      <w:bookmarkEnd w:id="39"/>
      <w:bookmarkEnd w:id="40"/>
    </w:p>
    <w:p w14:paraId="4FC00E99">
      <w:pPr>
        <w:spacing w:before="96" w:line="228" w:lineRule="auto"/>
        <w:ind w:left="42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5.1</w:t>
      </w:r>
      <w:r>
        <w:rPr>
          <w:rFonts w:ascii="宋体" w:hAnsi="宋体" w:eastAsia="宋体" w:cs="宋体"/>
          <w:color w:val="auto"/>
          <w:spacing w:val="-33"/>
          <w:sz w:val="20"/>
          <w:szCs w:val="20"/>
          <w:highlight w:val="none"/>
        </w:rPr>
        <w:t xml:space="preserve"> </w:t>
      </w:r>
      <w:r>
        <w:rPr>
          <w:rFonts w:ascii="宋体" w:hAnsi="宋体" w:eastAsia="宋体" w:cs="宋体"/>
          <w:color w:val="auto"/>
          <w:spacing w:val="6"/>
          <w:sz w:val="20"/>
          <w:szCs w:val="20"/>
          <w:highlight w:val="none"/>
        </w:rPr>
        <w:t>评审方法：综合评分法。</w:t>
      </w:r>
    </w:p>
    <w:p w14:paraId="5F38EB42">
      <w:pPr>
        <w:spacing w:before="92" w:line="270" w:lineRule="auto"/>
        <w:ind w:left="2" w:right="71" w:firstLine="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5.2</w:t>
      </w:r>
      <w:r>
        <w:rPr>
          <w:rFonts w:ascii="宋体" w:hAnsi="宋体" w:eastAsia="宋体" w:cs="宋体"/>
          <w:color w:val="auto"/>
          <w:spacing w:val="-18"/>
          <w:sz w:val="20"/>
          <w:szCs w:val="20"/>
          <w:highlight w:val="none"/>
        </w:rPr>
        <w:t xml:space="preserve"> </w:t>
      </w:r>
      <w:r>
        <w:rPr>
          <w:rFonts w:ascii="宋体" w:hAnsi="宋体" w:eastAsia="宋体" w:cs="宋体"/>
          <w:color w:val="auto"/>
          <w:spacing w:val="9"/>
          <w:sz w:val="20"/>
          <w:szCs w:val="20"/>
          <w:highlight w:val="none"/>
        </w:rPr>
        <w:t>经磋商确定最终采购需求和提交最后报价的供应商后，</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由磋商小组采用综合评分法对提交最后报价的供应商的响应文件和最后报价进行综合评分。</w:t>
      </w:r>
    </w:p>
    <w:p w14:paraId="635F18D2">
      <w:pPr>
        <w:spacing w:before="95" w:line="271" w:lineRule="auto"/>
        <w:ind w:left="1" w:right="71" w:firstLine="42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5.3</w:t>
      </w:r>
      <w:r>
        <w:rPr>
          <w:rFonts w:ascii="宋体" w:hAnsi="宋体" w:eastAsia="宋体" w:cs="宋体"/>
          <w:color w:val="auto"/>
          <w:spacing w:val="-39"/>
          <w:sz w:val="20"/>
          <w:szCs w:val="20"/>
          <w:highlight w:val="none"/>
        </w:rPr>
        <w:t xml:space="preserve"> </w:t>
      </w:r>
      <w:r>
        <w:rPr>
          <w:rFonts w:ascii="宋体" w:hAnsi="宋体" w:eastAsia="宋体" w:cs="宋体"/>
          <w:color w:val="auto"/>
          <w:spacing w:val="11"/>
          <w:sz w:val="20"/>
          <w:szCs w:val="20"/>
          <w:highlight w:val="none"/>
        </w:rPr>
        <w:t>评审时，磋商小组各成员应当独立对每个有效</w:t>
      </w:r>
      <w:r>
        <w:rPr>
          <w:rFonts w:ascii="宋体" w:hAnsi="宋体" w:eastAsia="宋体" w:cs="宋体"/>
          <w:color w:val="auto"/>
          <w:spacing w:val="10"/>
          <w:sz w:val="20"/>
          <w:szCs w:val="20"/>
          <w:highlight w:val="none"/>
        </w:rPr>
        <w:t>响应的文件进行评价、打分，然后汇总</w:t>
      </w:r>
      <w:r>
        <w:rPr>
          <w:rFonts w:ascii="宋体" w:hAnsi="宋体" w:eastAsia="宋体" w:cs="宋体"/>
          <w:color w:val="auto"/>
          <w:spacing w:val="8"/>
          <w:sz w:val="20"/>
          <w:szCs w:val="20"/>
          <w:highlight w:val="none"/>
        </w:rPr>
        <w:t>每个供应商每项评分因素的得分。</w:t>
      </w:r>
    </w:p>
    <w:p w14:paraId="6CC2C387">
      <w:pPr>
        <w:spacing w:before="95" w:line="285" w:lineRule="auto"/>
        <w:ind w:firstLine="43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（1）磋商小组成员要根据政府采购法律法规和采购文件所载</w:t>
      </w:r>
      <w:r>
        <w:rPr>
          <w:rFonts w:ascii="宋体" w:hAnsi="宋体" w:eastAsia="宋体" w:cs="宋体"/>
          <w:color w:val="auto"/>
          <w:spacing w:val="3"/>
          <w:sz w:val="20"/>
          <w:szCs w:val="20"/>
          <w:highlight w:val="none"/>
        </w:rPr>
        <w:t>明的评审方法、标准进行评审。</w:t>
      </w:r>
      <w:r>
        <w:rPr>
          <w:rFonts w:ascii="宋体" w:hAnsi="宋体" w:eastAsia="宋体" w:cs="宋体"/>
          <w:color w:val="auto"/>
          <w:spacing w:val="7"/>
          <w:sz w:val="20"/>
          <w:szCs w:val="20"/>
          <w:highlight w:val="none"/>
        </w:rPr>
        <w:t>对供应商的价格分等客观评分项的评分应当一致，对其他需要借助</w:t>
      </w:r>
      <w:r>
        <w:rPr>
          <w:rFonts w:ascii="宋体" w:hAnsi="宋体" w:eastAsia="宋体" w:cs="宋体"/>
          <w:color w:val="auto"/>
          <w:spacing w:val="6"/>
          <w:sz w:val="20"/>
          <w:szCs w:val="20"/>
          <w:highlight w:val="none"/>
        </w:rPr>
        <w:t>专业知识评判的主观评分项，</w:t>
      </w:r>
      <w:r>
        <w:rPr>
          <w:rFonts w:ascii="宋体" w:hAnsi="宋体" w:eastAsia="宋体" w:cs="宋体"/>
          <w:color w:val="auto"/>
          <w:spacing w:val="8"/>
          <w:sz w:val="20"/>
          <w:szCs w:val="20"/>
          <w:highlight w:val="none"/>
        </w:rPr>
        <w:t>应当严格按照评分细则公正评分。</w:t>
      </w:r>
    </w:p>
    <w:p w14:paraId="71BFF33F">
      <w:pPr>
        <w:spacing w:before="95" w:line="270" w:lineRule="auto"/>
        <w:ind w:left="5" w:right="16" w:firstLine="42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（2）磋商小组按照采购文件中规定的评审标准计算各供应商的报价得分。项目评审过程中，</w:t>
      </w:r>
      <w:r>
        <w:rPr>
          <w:rFonts w:ascii="宋体" w:hAnsi="宋体" w:eastAsia="宋体" w:cs="宋体"/>
          <w:color w:val="auto"/>
          <w:spacing w:val="8"/>
          <w:sz w:val="20"/>
          <w:szCs w:val="20"/>
          <w:highlight w:val="none"/>
        </w:rPr>
        <w:t>不得去掉最后报价中的最高报价和最低报价。</w:t>
      </w:r>
    </w:p>
    <w:p w14:paraId="4A8418AA">
      <w:pPr>
        <w:spacing w:before="96" w:line="227"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（3）各供应商的得分为磋商小组所有成员的有效评分的算术平均数</w:t>
      </w:r>
    </w:p>
    <w:p w14:paraId="63F89E4A">
      <w:pPr>
        <w:spacing w:before="95" w:line="270" w:lineRule="auto"/>
        <w:ind w:left="4" w:right="105"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5.4</w:t>
      </w:r>
      <w:r>
        <w:rPr>
          <w:rFonts w:ascii="宋体" w:hAnsi="宋体" w:eastAsia="宋体" w:cs="宋体"/>
          <w:color w:val="auto"/>
          <w:spacing w:val="-38"/>
          <w:sz w:val="20"/>
          <w:szCs w:val="20"/>
          <w:highlight w:val="none"/>
        </w:rPr>
        <w:t xml:space="preserve"> </w:t>
      </w:r>
      <w:r>
        <w:rPr>
          <w:rFonts w:ascii="宋体" w:hAnsi="宋体" w:eastAsia="宋体" w:cs="宋体"/>
          <w:color w:val="auto"/>
          <w:spacing w:val="10"/>
          <w:sz w:val="20"/>
          <w:szCs w:val="20"/>
          <w:highlight w:val="none"/>
        </w:rPr>
        <w:t>评审价为供应商的最后报价进行政策性扣除后的价格，评</w:t>
      </w:r>
      <w:r>
        <w:rPr>
          <w:rFonts w:ascii="宋体" w:hAnsi="宋体" w:eastAsia="宋体" w:cs="宋体"/>
          <w:color w:val="auto"/>
          <w:spacing w:val="9"/>
          <w:sz w:val="20"/>
          <w:szCs w:val="20"/>
          <w:highlight w:val="none"/>
        </w:rPr>
        <w:t>审价只是作为评审时使用。</w:t>
      </w:r>
      <w:r>
        <w:rPr>
          <w:rFonts w:ascii="宋体" w:hAnsi="宋体" w:eastAsia="宋体" w:cs="宋体"/>
          <w:color w:val="auto"/>
          <w:spacing w:val="8"/>
          <w:sz w:val="20"/>
          <w:szCs w:val="20"/>
          <w:highlight w:val="none"/>
        </w:rPr>
        <w:t>最终成交供应商的成交金额等于最后报价（如有修正，</w:t>
      </w:r>
      <w:r>
        <w:rPr>
          <w:rFonts w:ascii="宋体" w:hAnsi="宋体" w:eastAsia="宋体" w:cs="宋体"/>
          <w:color w:val="auto"/>
          <w:spacing w:val="-55"/>
          <w:sz w:val="20"/>
          <w:szCs w:val="20"/>
          <w:highlight w:val="none"/>
        </w:rPr>
        <w:t xml:space="preserve"> </w:t>
      </w:r>
      <w:r>
        <w:rPr>
          <w:rFonts w:ascii="宋体" w:hAnsi="宋体" w:eastAsia="宋体" w:cs="宋体"/>
          <w:color w:val="auto"/>
          <w:spacing w:val="8"/>
          <w:sz w:val="20"/>
          <w:szCs w:val="20"/>
          <w:highlight w:val="none"/>
        </w:rPr>
        <w:t>以确认修正后的最后报价为准）。</w:t>
      </w:r>
    </w:p>
    <w:p w14:paraId="43824395">
      <w:pPr>
        <w:spacing w:before="97" w:line="292" w:lineRule="auto"/>
        <w:ind w:right="70" w:firstLine="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5.5 由磋商小组根据综合评分情况，按照评审</w:t>
      </w:r>
      <w:r>
        <w:rPr>
          <w:rFonts w:ascii="宋体" w:hAnsi="宋体" w:eastAsia="宋体" w:cs="宋体"/>
          <w:color w:val="auto"/>
          <w:spacing w:val="8"/>
          <w:sz w:val="20"/>
          <w:szCs w:val="20"/>
          <w:highlight w:val="none"/>
        </w:rPr>
        <w:t>得分由高到低顺序推荐</w:t>
      </w:r>
      <w:r>
        <w:rPr>
          <w:rFonts w:ascii="宋体" w:hAnsi="宋体" w:eastAsia="宋体" w:cs="宋体"/>
          <w:color w:val="auto"/>
          <w:spacing w:val="-32"/>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名以上成交候选供</w:t>
      </w:r>
      <w:r>
        <w:rPr>
          <w:rFonts w:ascii="宋体" w:hAnsi="宋体" w:eastAsia="宋体" w:cs="宋体"/>
          <w:color w:val="auto"/>
          <w:spacing w:val="6"/>
          <w:sz w:val="20"/>
          <w:szCs w:val="20"/>
          <w:highlight w:val="none"/>
        </w:rPr>
        <w:t>应商，并编写评审报告。符合本章第</w:t>
      </w:r>
      <w:r>
        <w:rPr>
          <w:rFonts w:ascii="宋体" w:hAnsi="宋体" w:eastAsia="宋体" w:cs="宋体"/>
          <w:color w:val="auto"/>
          <w:spacing w:val="-36"/>
          <w:sz w:val="20"/>
          <w:szCs w:val="20"/>
          <w:highlight w:val="none"/>
        </w:rPr>
        <w:t xml:space="preserve"> </w:t>
      </w:r>
      <w:r>
        <w:rPr>
          <w:rFonts w:ascii="宋体" w:hAnsi="宋体" w:eastAsia="宋体" w:cs="宋体"/>
          <w:color w:val="auto"/>
          <w:spacing w:val="6"/>
          <w:sz w:val="20"/>
          <w:szCs w:val="20"/>
          <w:highlight w:val="none"/>
        </w:rPr>
        <w:t>3.7、5.3</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条情形的，可以推荐</w:t>
      </w:r>
      <w:r>
        <w:rPr>
          <w:rFonts w:ascii="宋体" w:hAnsi="宋体" w:eastAsia="宋体" w:cs="宋体"/>
          <w:color w:val="auto"/>
          <w:spacing w:val="-37"/>
          <w:sz w:val="20"/>
          <w:szCs w:val="20"/>
          <w:highlight w:val="none"/>
        </w:rPr>
        <w:t xml:space="preserve"> </w:t>
      </w:r>
      <w:r>
        <w:rPr>
          <w:rFonts w:ascii="宋体" w:hAnsi="宋体" w:eastAsia="宋体" w:cs="宋体"/>
          <w:color w:val="auto"/>
          <w:spacing w:val="6"/>
          <w:sz w:val="20"/>
          <w:szCs w:val="20"/>
          <w:highlight w:val="none"/>
        </w:rPr>
        <w:t>2</w:t>
      </w:r>
      <w:r>
        <w:rPr>
          <w:rFonts w:ascii="宋体" w:hAnsi="宋体" w:eastAsia="宋体" w:cs="宋体"/>
          <w:color w:val="auto"/>
          <w:spacing w:val="-36"/>
          <w:sz w:val="20"/>
          <w:szCs w:val="20"/>
          <w:highlight w:val="none"/>
        </w:rPr>
        <w:t xml:space="preserve"> </w:t>
      </w:r>
      <w:r>
        <w:rPr>
          <w:rFonts w:ascii="宋体" w:hAnsi="宋体" w:eastAsia="宋体" w:cs="宋体"/>
          <w:color w:val="auto"/>
          <w:spacing w:val="6"/>
          <w:sz w:val="20"/>
          <w:szCs w:val="20"/>
          <w:highlight w:val="none"/>
        </w:rPr>
        <w:t>家成交候</w:t>
      </w:r>
      <w:r>
        <w:rPr>
          <w:rFonts w:ascii="宋体" w:hAnsi="宋体" w:eastAsia="宋体" w:cs="宋体"/>
          <w:color w:val="auto"/>
          <w:spacing w:val="5"/>
          <w:sz w:val="20"/>
          <w:szCs w:val="20"/>
          <w:highlight w:val="none"/>
        </w:rPr>
        <w:t>选供应商。评审</w:t>
      </w:r>
      <w:r>
        <w:rPr>
          <w:rFonts w:ascii="宋体" w:hAnsi="宋体" w:eastAsia="宋体" w:cs="宋体"/>
          <w:color w:val="auto"/>
          <w:spacing w:val="10"/>
          <w:sz w:val="20"/>
          <w:szCs w:val="20"/>
          <w:highlight w:val="none"/>
        </w:rPr>
        <w:t>得分相同的，按照最后报价由低到高的顺序推荐。评审得分且最后报价相同的，按照技术指标</w:t>
      </w:r>
      <w:r>
        <w:rPr>
          <w:rFonts w:ascii="宋体" w:hAnsi="宋体" w:eastAsia="宋体" w:cs="宋体"/>
          <w:color w:val="auto"/>
          <w:spacing w:val="7"/>
          <w:sz w:val="20"/>
          <w:szCs w:val="20"/>
          <w:highlight w:val="none"/>
        </w:rPr>
        <w:t>优劣顺序推荐。</w:t>
      </w:r>
    </w:p>
    <w:p w14:paraId="2BB1E842">
      <w:pPr>
        <w:spacing w:before="95" w:line="285" w:lineRule="auto"/>
        <w:ind w:left="5" w:right="71" w:firstLine="42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5.6</w:t>
      </w:r>
      <w:r>
        <w:rPr>
          <w:rFonts w:ascii="宋体" w:hAnsi="宋体" w:eastAsia="宋体" w:cs="宋体"/>
          <w:color w:val="auto"/>
          <w:spacing w:val="-39"/>
          <w:sz w:val="20"/>
          <w:szCs w:val="20"/>
          <w:highlight w:val="none"/>
        </w:rPr>
        <w:t xml:space="preserve"> </w:t>
      </w:r>
      <w:r>
        <w:rPr>
          <w:rFonts w:ascii="宋体" w:hAnsi="宋体" w:eastAsia="宋体" w:cs="宋体"/>
          <w:color w:val="auto"/>
          <w:spacing w:val="11"/>
          <w:sz w:val="20"/>
          <w:szCs w:val="20"/>
          <w:highlight w:val="none"/>
        </w:rPr>
        <w:t>评审报告应当由磋商小组全体人员签字认可。</w:t>
      </w:r>
      <w:r>
        <w:rPr>
          <w:rFonts w:ascii="宋体" w:hAnsi="宋体" w:eastAsia="宋体" w:cs="宋体"/>
          <w:color w:val="auto"/>
          <w:spacing w:val="10"/>
          <w:sz w:val="20"/>
          <w:szCs w:val="20"/>
          <w:highlight w:val="none"/>
        </w:rPr>
        <w:t>磋商小组成员对评审报告有异议的，磋商小组按照少数服从多数的原则推荐成交候选供应商，采购程序继续进行。对评</w:t>
      </w:r>
      <w:r>
        <w:rPr>
          <w:rFonts w:ascii="宋体" w:hAnsi="宋体" w:eastAsia="宋体" w:cs="宋体"/>
          <w:color w:val="auto"/>
          <w:spacing w:val="9"/>
          <w:sz w:val="20"/>
          <w:szCs w:val="20"/>
          <w:highlight w:val="none"/>
        </w:rPr>
        <w:t>审报告有异议的磋商小组成员，应当在报告上签署不同意见并说明理由，</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由磋商小组书面记</w:t>
      </w:r>
      <w:r>
        <w:rPr>
          <w:rFonts w:ascii="宋体" w:hAnsi="宋体" w:eastAsia="宋体" w:cs="宋体"/>
          <w:color w:val="auto"/>
          <w:spacing w:val="8"/>
          <w:sz w:val="20"/>
          <w:szCs w:val="20"/>
          <w:highlight w:val="none"/>
        </w:rPr>
        <w:t>录相关情况。磋</w:t>
      </w:r>
      <w:r>
        <w:rPr>
          <w:rFonts w:ascii="宋体" w:hAnsi="宋体" w:eastAsia="宋体" w:cs="宋体"/>
          <w:color w:val="auto"/>
          <w:spacing w:val="9"/>
          <w:sz w:val="20"/>
          <w:szCs w:val="20"/>
          <w:highlight w:val="none"/>
        </w:rPr>
        <w:t>商小组成员拒绝在报告上签字又不书面说明其不同意见和理由的，视为同意评审报告。</w:t>
      </w:r>
    </w:p>
    <w:p w14:paraId="00DD9D1A">
      <w:pPr>
        <w:autoSpaceDE/>
        <w:autoSpaceDN/>
        <w:spacing w:before="96" w:line="228" w:lineRule="auto"/>
        <w:ind w:left="0" w:firstLine="422" w:firstLineChars="200"/>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6.评审复核</w:t>
      </w:r>
    </w:p>
    <w:p w14:paraId="341D1E3F">
      <w:pPr>
        <w:autoSpaceDE/>
        <w:autoSpaceDN/>
        <w:spacing w:before="160" w:line="226" w:lineRule="auto"/>
        <w:ind w:left="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6.1</w:t>
      </w:r>
      <w:r>
        <w:rPr>
          <w:rFonts w:ascii="宋体" w:hAnsi="宋体" w:eastAsia="宋体" w:cs="宋体"/>
          <w:color w:val="auto"/>
          <w:spacing w:val="-42"/>
          <w:sz w:val="20"/>
          <w:szCs w:val="20"/>
          <w:highlight w:val="none"/>
        </w:rPr>
        <w:t xml:space="preserve"> </w:t>
      </w:r>
      <w:r>
        <w:rPr>
          <w:rFonts w:ascii="宋体" w:hAnsi="宋体" w:eastAsia="宋体" w:cs="宋体"/>
          <w:color w:val="auto"/>
          <w:spacing w:val="9"/>
          <w:sz w:val="20"/>
          <w:szCs w:val="20"/>
          <w:highlight w:val="none"/>
        </w:rPr>
        <w:t>评审报告签署前，磋商小组要对评审结果进行复核，复核意见要体现在评</w:t>
      </w:r>
      <w:r>
        <w:rPr>
          <w:rFonts w:ascii="宋体" w:hAnsi="宋体" w:eastAsia="宋体" w:cs="宋体"/>
          <w:color w:val="auto"/>
          <w:spacing w:val="8"/>
          <w:sz w:val="20"/>
          <w:szCs w:val="20"/>
          <w:highlight w:val="none"/>
        </w:rPr>
        <w:t>审报告中。</w:t>
      </w:r>
    </w:p>
    <w:p w14:paraId="62B1F810">
      <w:pPr>
        <w:autoSpaceDE/>
        <w:autoSpaceDN/>
        <w:spacing w:before="165" w:line="292" w:lineRule="auto"/>
        <w:ind w:left="0" w:right="547" w:firstLine="444" w:firstLineChars="20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6.2</w:t>
      </w:r>
      <w:r>
        <w:rPr>
          <w:rFonts w:ascii="宋体" w:hAnsi="宋体" w:eastAsia="宋体" w:cs="宋体"/>
          <w:color w:val="auto"/>
          <w:spacing w:val="-39"/>
          <w:sz w:val="20"/>
          <w:szCs w:val="20"/>
          <w:highlight w:val="none"/>
        </w:rPr>
        <w:t xml:space="preserve"> </w:t>
      </w:r>
      <w:r>
        <w:rPr>
          <w:rFonts w:ascii="宋体" w:hAnsi="宋体" w:eastAsia="宋体" w:cs="宋体"/>
          <w:color w:val="auto"/>
          <w:spacing w:val="11"/>
          <w:sz w:val="20"/>
          <w:szCs w:val="20"/>
          <w:highlight w:val="none"/>
        </w:rPr>
        <w:t>评审结果汇总完成后，采购人、采购代理机构和磋商</w:t>
      </w:r>
      <w:r>
        <w:rPr>
          <w:rFonts w:ascii="宋体" w:hAnsi="宋体" w:eastAsia="宋体" w:cs="宋体"/>
          <w:color w:val="auto"/>
          <w:spacing w:val="10"/>
          <w:sz w:val="20"/>
          <w:szCs w:val="20"/>
          <w:highlight w:val="none"/>
        </w:rPr>
        <w:t>小组均不得修改评审结果或者要求重新评审，但资格性检查认定错误、分值汇总计算错误、分项评分超出评分标准范围</w:t>
      </w:r>
      <w:r>
        <w:rPr>
          <w:rFonts w:ascii="宋体" w:hAnsi="宋体" w:eastAsia="宋体" w:cs="宋体"/>
          <w:color w:val="auto"/>
          <w:spacing w:val="9"/>
          <w:sz w:val="20"/>
          <w:szCs w:val="20"/>
          <w:highlight w:val="none"/>
        </w:rPr>
        <w:t>、客观</w:t>
      </w:r>
      <w:r>
        <w:rPr>
          <w:rFonts w:ascii="宋体" w:hAnsi="宋体" w:eastAsia="宋体" w:cs="宋体"/>
          <w:color w:val="auto"/>
          <w:spacing w:val="10"/>
          <w:sz w:val="20"/>
          <w:szCs w:val="20"/>
          <w:highlight w:val="none"/>
        </w:rPr>
        <w:t>分评分不一致、经磋商小组一致认定评分畸高、畸低的情形除外。出现上述除外情形的</w:t>
      </w:r>
      <w:r>
        <w:rPr>
          <w:rFonts w:ascii="宋体" w:hAnsi="宋体" w:eastAsia="宋体" w:cs="宋体"/>
          <w:color w:val="auto"/>
          <w:spacing w:val="9"/>
          <w:sz w:val="20"/>
          <w:szCs w:val="20"/>
          <w:highlight w:val="none"/>
        </w:rPr>
        <w:t>，磋商小组应当现场修改评审结果，并在评审报告中明确记载。</w:t>
      </w:r>
    </w:p>
    <w:p w14:paraId="41527354">
      <w:pPr>
        <w:spacing w:before="96" w:line="228" w:lineRule="auto"/>
        <w:ind w:left="557"/>
        <w:outlineLvl w:val="9"/>
        <w:rPr>
          <w:rFonts w:ascii="宋体" w:hAnsi="宋体" w:eastAsia="宋体" w:cs="宋体"/>
          <w:color w:val="auto"/>
          <w:sz w:val="20"/>
          <w:szCs w:val="20"/>
          <w:highlight w:val="none"/>
        </w:rPr>
      </w:pPr>
      <w:bookmarkStart w:id="41" w:name="_Toc3383"/>
      <w:bookmarkStart w:id="42" w:name="_Toc25339"/>
      <w:bookmarkStart w:id="43" w:name="_Toc13237"/>
      <w:r>
        <w:rPr>
          <w:rFonts w:ascii="宋体" w:hAnsi="宋体" w:eastAsia="宋体" w:cs="宋体"/>
          <w:b/>
          <w:bCs/>
          <w:color w:val="auto"/>
          <w:spacing w:val="6"/>
          <w:sz w:val="20"/>
          <w:szCs w:val="20"/>
          <w:highlight w:val="none"/>
        </w:rPr>
        <w:t>二、评审标准</w:t>
      </w:r>
      <w:bookmarkEnd w:id="41"/>
      <w:bookmarkEnd w:id="42"/>
      <w:bookmarkEnd w:id="43"/>
    </w:p>
    <w:p w14:paraId="29DD9409">
      <w:pPr>
        <w:spacing w:before="91" w:line="226" w:lineRule="auto"/>
        <w:ind w:left="978"/>
        <w:outlineLvl w:val="9"/>
        <w:rPr>
          <w:rFonts w:ascii="宋体" w:hAnsi="宋体" w:eastAsia="宋体" w:cs="宋体"/>
          <w:color w:val="auto"/>
          <w:sz w:val="20"/>
          <w:szCs w:val="20"/>
          <w:highlight w:val="none"/>
        </w:rPr>
      </w:pPr>
      <w:bookmarkStart w:id="44" w:name="_Toc26695"/>
      <w:bookmarkStart w:id="45" w:name="_Toc1599"/>
      <w:bookmarkStart w:id="46" w:name="_Toc9768"/>
      <w:r>
        <w:rPr>
          <w:rFonts w:ascii="宋体" w:hAnsi="宋体" w:eastAsia="宋体" w:cs="宋体"/>
          <w:color w:val="auto"/>
          <w:spacing w:val="10"/>
          <w:sz w:val="20"/>
          <w:szCs w:val="20"/>
          <w:highlight w:val="none"/>
        </w:rPr>
        <w:t>7.评审依据：磋商小组将以采购文件为评审依据，对</w:t>
      </w:r>
      <w:r>
        <w:rPr>
          <w:rFonts w:ascii="宋体" w:hAnsi="宋体" w:eastAsia="宋体" w:cs="宋体"/>
          <w:color w:val="auto"/>
          <w:spacing w:val="9"/>
          <w:sz w:val="20"/>
          <w:szCs w:val="20"/>
          <w:highlight w:val="none"/>
        </w:rPr>
        <w:t>供应商的报价、技术、商务等方面内</w:t>
      </w:r>
      <w:bookmarkEnd w:id="44"/>
      <w:bookmarkEnd w:id="45"/>
      <w:bookmarkEnd w:id="46"/>
    </w:p>
    <w:p w14:paraId="34560A10">
      <w:pPr>
        <w:spacing w:before="95" w:line="228" w:lineRule="auto"/>
        <w:ind w:left="556"/>
        <w:rPr>
          <w:color w:val="auto"/>
          <w:sz w:val="18"/>
          <w:highlight w:val="none"/>
        </w:rPr>
      </w:pPr>
      <w:r>
        <w:rPr>
          <w:rFonts w:ascii="宋体" w:hAnsi="宋体" w:eastAsia="宋体" w:cs="宋体"/>
          <w:color w:val="auto"/>
          <w:spacing w:val="9"/>
          <w:sz w:val="20"/>
          <w:szCs w:val="20"/>
          <w:highlight w:val="none"/>
        </w:rPr>
        <w:t>容按百分制打分。（计分方法按四舍五入取至百分位）</w:t>
      </w:r>
    </w:p>
    <w:p w14:paraId="1693A6E4">
      <w:pPr>
        <w:pStyle w:val="2"/>
        <w:spacing w:line="217" w:lineRule="exact"/>
        <w:rPr>
          <w:color w:val="auto"/>
          <w:sz w:val="18"/>
          <w:highlight w:val="none"/>
        </w:rPr>
      </w:pPr>
    </w:p>
    <w:p w14:paraId="5EECDA2E">
      <w:pPr>
        <w:pStyle w:val="2"/>
        <w:spacing w:line="217" w:lineRule="exact"/>
        <w:rPr>
          <w:color w:val="auto"/>
          <w:sz w:val="18"/>
          <w:highlight w:val="none"/>
        </w:rPr>
      </w:pPr>
    </w:p>
    <w:tbl>
      <w:tblPr>
        <w:tblStyle w:val="14"/>
        <w:tblW w:w="97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424"/>
        <w:gridCol w:w="1631"/>
        <w:gridCol w:w="5948"/>
      </w:tblGrid>
      <w:tr w14:paraId="1184E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3" w:type="dxa"/>
            <w:shd w:val="clear" w:color="auto" w:fill="DAE3F3"/>
            <w:vAlign w:val="top"/>
          </w:tcPr>
          <w:p w14:paraId="4316EE0C">
            <w:pPr>
              <w:pStyle w:val="15"/>
              <w:spacing w:before="36" w:line="297" w:lineRule="auto"/>
              <w:ind w:left="255" w:right="140" w:hanging="106"/>
              <w:rPr>
                <w:color w:val="auto"/>
                <w:highlight w:val="none"/>
              </w:rPr>
            </w:pPr>
            <w:r>
              <w:rPr>
                <w:color w:val="auto"/>
                <w:spacing w:val="3"/>
                <w:highlight w:val="none"/>
              </w:rPr>
              <w:t>条款</w:t>
            </w:r>
            <w:r>
              <w:rPr>
                <w:color w:val="auto"/>
                <w:highlight w:val="none"/>
              </w:rPr>
              <w:t xml:space="preserve"> 号</w:t>
            </w:r>
          </w:p>
        </w:tc>
        <w:tc>
          <w:tcPr>
            <w:tcW w:w="3055" w:type="dxa"/>
            <w:gridSpan w:val="2"/>
            <w:shd w:val="clear" w:color="auto" w:fill="DAE3F3"/>
            <w:vAlign w:val="top"/>
          </w:tcPr>
          <w:p w14:paraId="04AACE23">
            <w:pPr>
              <w:pStyle w:val="15"/>
              <w:spacing w:before="205" w:line="228" w:lineRule="auto"/>
              <w:ind w:left="1112"/>
              <w:rPr>
                <w:color w:val="auto"/>
                <w:highlight w:val="none"/>
              </w:rPr>
            </w:pPr>
            <w:r>
              <w:rPr>
                <w:color w:val="auto"/>
                <w:spacing w:val="7"/>
                <w:highlight w:val="none"/>
              </w:rPr>
              <w:t>评审因素</w:t>
            </w:r>
          </w:p>
        </w:tc>
        <w:tc>
          <w:tcPr>
            <w:tcW w:w="5948" w:type="dxa"/>
            <w:shd w:val="clear" w:color="auto" w:fill="DAE3F3"/>
            <w:vAlign w:val="top"/>
          </w:tcPr>
          <w:p w14:paraId="5B6B82C0">
            <w:pPr>
              <w:pStyle w:val="15"/>
              <w:spacing w:before="36" w:line="228" w:lineRule="auto"/>
              <w:ind w:left="2557"/>
              <w:rPr>
                <w:color w:val="auto"/>
                <w:highlight w:val="none"/>
              </w:rPr>
            </w:pPr>
            <w:r>
              <w:rPr>
                <w:color w:val="auto"/>
                <w:spacing w:val="7"/>
                <w:highlight w:val="none"/>
              </w:rPr>
              <w:t>评审标准</w:t>
            </w:r>
          </w:p>
        </w:tc>
      </w:tr>
      <w:tr w14:paraId="3A44D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5" w:hRule="atLeast"/>
        </w:trPr>
        <w:tc>
          <w:tcPr>
            <w:tcW w:w="703" w:type="dxa"/>
            <w:vAlign w:val="top"/>
          </w:tcPr>
          <w:p w14:paraId="2EC8EB98">
            <w:pPr>
              <w:spacing w:line="400" w:lineRule="exact"/>
              <w:rPr>
                <w:rFonts w:ascii="Arial"/>
                <w:color w:val="auto"/>
                <w:sz w:val="21"/>
                <w:highlight w:val="none"/>
              </w:rPr>
            </w:pPr>
          </w:p>
          <w:p w14:paraId="375CE310">
            <w:pPr>
              <w:spacing w:line="400" w:lineRule="exact"/>
              <w:rPr>
                <w:rFonts w:ascii="Arial"/>
                <w:color w:val="auto"/>
                <w:sz w:val="21"/>
                <w:highlight w:val="none"/>
              </w:rPr>
            </w:pPr>
          </w:p>
          <w:p w14:paraId="448ACDAF">
            <w:pPr>
              <w:spacing w:line="400" w:lineRule="exact"/>
              <w:rPr>
                <w:rFonts w:ascii="Arial"/>
                <w:color w:val="auto"/>
                <w:sz w:val="21"/>
                <w:highlight w:val="none"/>
              </w:rPr>
            </w:pPr>
          </w:p>
          <w:p w14:paraId="7CA90B2E">
            <w:pPr>
              <w:spacing w:line="400" w:lineRule="exact"/>
              <w:rPr>
                <w:rFonts w:ascii="Arial"/>
                <w:color w:val="auto"/>
                <w:sz w:val="21"/>
                <w:highlight w:val="none"/>
              </w:rPr>
            </w:pPr>
          </w:p>
          <w:p w14:paraId="32E9E24C">
            <w:pPr>
              <w:spacing w:line="400" w:lineRule="exact"/>
              <w:rPr>
                <w:rFonts w:ascii="Arial"/>
                <w:color w:val="auto"/>
                <w:sz w:val="21"/>
                <w:highlight w:val="none"/>
              </w:rPr>
            </w:pPr>
          </w:p>
          <w:p w14:paraId="6BB2B38B">
            <w:pPr>
              <w:spacing w:line="400" w:lineRule="exact"/>
              <w:rPr>
                <w:rFonts w:ascii="Arial"/>
                <w:color w:val="auto"/>
                <w:sz w:val="21"/>
                <w:highlight w:val="none"/>
              </w:rPr>
            </w:pPr>
          </w:p>
          <w:p w14:paraId="62D3D103">
            <w:pPr>
              <w:spacing w:line="400" w:lineRule="exact"/>
              <w:rPr>
                <w:rFonts w:ascii="Arial"/>
                <w:color w:val="auto"/>
                <w:sz w:val="21"/>
                <w:highlight w:val="none"/>
              </w:rPr>
            </w:pPr>
          </w:p>
          <w:p w14:paraId="79F913A5">
            <w:pPr>
              <w:spacing w:line="400" w:lineRule="exact"/>
              <w:rPr>
                <w:rFonts w:ascii="Arial"/>
                <w:color w:val="auto"/>
                <w:sz w:val="21"/>
                <w:highlight w:val="none"/>
              </w:rPr>
            </w:pPr>
          </w:p>
          <w:p w14:paraId="78592CD9">
            <w:pPr>
              <w:spacing w:line="400" w:lineRule="exact"/>
              <w:rPr>
                <w:rFonts w:ascii="Arial"/>
                <w:color w:val="auto"/>
                <w:sz w:val="21"/>
                <w:highlight w:val="none"/>
              </w:rPr>
            </w:pPr>
          </w:p>
          <w:p w14:paraId="0B276592">
            <w:pPr>
              <w:spacing w:line="400" w:lineRule="exact"/>
              <w:rPr>
                <w:rFonts w:ascii="Arial"/>
                <w:color w:val="auto"/>
                <w:sz w:val="21"/>
                <w:highlight w:val="none"/>
              </w:rPr>
            </w:pPr>
          </w:p>
          <w:p w14:paraId="37716035">
            <w:pPr>
              <w:spacing w:line="400" w:lineRule="exact"/>
              <w:rPr>
                <w:rFonts w:ascii="Arial"/>
                <w:color w:val="auto"/>
                <w:sz w:val="21"/>
                <w:highlight w:val="none"/>
              </w:rPr>
            </w:pPr>
          </w:p>
          <w:p w14:paraId="72FB047A">
            <w:pPr>
              <w:spacing w:line="400" w:lineRule="exact"/>
              <w:rPr>
                <w:rFonts w:ascii="Arial"/>
                <w:color w:val="auto"/>
                <w:sz w:val="21"/>
                <w:highlight w:val="none"/>
              </w:rPr>
            </w:pPr>
          </w:p>
          <w:p w14:paraId="13DB5C8B">
            <w:pPr>
              <w:pStyle w:val="15"/>
              <w:spacing w:before="65" w:line="400" w:lineRule="exact"/>
              <w:ind w:left="319"/>
              <w:rPr>
                <w:color w:val="auto"/>
                <w:highlight w:val="none"/>
              </w:rPr>
            </w:pPr>
            <w:r>
              <w:rPr>
                <w:color w:val="auto"/>
                <w:highlight w:val="none"/>
              </w:rPr>
              <w:t>1</w:t>
            </w:r>
          </w:p>
        </w:tc>
        <w:tc>
          <w:tcPr>
            <w:tcW w:w="1424" w:type="dxa"/>
            <w:vAlign w:val="top"/>
          </w:tcPr>
          <w:p w14:paraId="71583B48">
            <w:pPr>
              <w:spacing w:line="400" w:lineRule="exact"/>
              <w:rPr>
                <w:rFonts w:ascii="Arial"/>
                <w:color w:val="auto"/>
                <w:sz w:val="21"/>
                <w:highlight w:val="none"/>
              </w:rPr>
            </w:pPr>
          </w:p>
          <w:p w14:paraId="387FF303">
            <w:pPr>
              <w:spacing w:line="400" w:lineRule="exact"/>
              <w:rPr>
                <w:rFonts w:ascii="Arial"/>
                <w:color w:val="auto"/>
                <w:sz w:val="21"/>
                <w:highlight w:val="none"/>
              </w:rPr>
            </w:pPr>
          </w:p>
          <w:p w14:paraId="0A9E11F8">
            <w:pPr>
              <w:spacing w:line="400" w:lineRule="exact"/>
              <w:rPr>
                <w:rFonts w:ascii="Arial"/>
                <w:color w:val="auto"/>
                <w:sz w:val="21"/>
                <w:highlight w:val="none"/>
              </w:rPr>
            </w:pPr>
          </w:p>
          <w:p w14:paraId="3156F3CA">
            <w:pPr>
              <w:spacing w:line="400" w:lineRule="exact"/>
              <w:rPr>
                <w:rFonts w:ascii="Arial"/>
                <w:color w:val="auto"/>
                <w:sz w:val="21"/>
                <w:highlight w:val="none"/>
              </w:rPr>
            </w:pPr>
          </w:p>
          <w:p w14:paraId="407B64F5">
            <w:pPr>
              <w:spacing w:line="400" w:lineRule="exact"/>
              <w:rPr>
                <w:rFonts w:ascii="Arial"/>
                <w:color w:val="auto"/>
                <w:sz w:val="21"/>
                <w:highlight w:val="none"/>
              </w:rPr>
            </w:pPr>
          </w:p>
          <w:p w14:paraId="08B1DA69">
            <w:pPr>
              <w:spacing w:line="400" w:lineRule="exact"/>
              <w:rPr>
                <w:rFonts w:ascii="Arial"/>
                <w:color w:val="auto"/>
                <w:sz w:val="21"/>
                <w:highlight w:val="none"/>
              </w:rPr>
            </w:pPr>
          </w:p>
          <w:p w14:paraId="72BF3E14">
            <w:pPr>
              <w:spacing w:line="400" w:lineRule="exact"/>
              <w:rPr>
                <w:rFonts w:ascii="Arial"/>
                <w:color w:val="auto"/>
                <w:sz w:val="21"/>
                <w:highlight w:val="none"/>
              </w:rPr>
            </w:pPr>
          </w:p>
          <w:p w14:paraId="431D95E3">
            <w:pPr>
              <w:spacing w:line="400" w:lineRule="exact"/>
              <w:rPr>
                <w:rFonts w:ascii="Arial"/>
                <w:color w:val="auto"/>
                <w:sz w:val="21"/>
                <w:highlight w:val="none"/>
              </w:rPr>
            </w:pPr>
          </w:p>
          <w:p w14:paraId="615C1790">
            <w:pPr>
              <w:spacing w:line="400" w:lineRule="exact"/>
              <w:rPr>
                <w:rFonts w:ascii="Arial"/>
                <w:color w:val="auto"/>
                <w:sz w:val="21"/>
                <w:highlight w:val="none"/>
              </w:rPr>
            </w:pPr>
          </w:p>
          <w:p w14:paraId="06BA23E6">
            <w:pPr>
              <w:spacing w:line="400" w:lineRule="exact"/>
              <w:rPr>
                <w:rFonts w:ascii="Arial"/>
                <w:color w:val="auto"/>
                <w:sz w:val="21"/>
                <w:highlight w:val="none"/>
              </w:rPr>
            </w:pPr>
          </w:p>
          <w:p w14:paraId="12918815">
            <w:pPr>
              <w:spacing w:line="400" w:lineRule="exact"/>
              <w:rPr>
                <w:rFonts w:ascii="Arial"/>
                <w:color w:val="auto"/>
                <w:sz w:val="21"/>
                <w:highlight w:val="none"/>
              </w:rPr>
            </w:pPr>
          </w:p>
          <w:p w14:paraId="47A9E222">
            <w:pPr>
              <w:spacing w:line="400" w:lineRule="exact"/>
              <w:rPr>
                <w:rFonts w:ascii="Arial"/>
                <w:color w:val="auto"/>
                <w:sz w:val="21"/>
                <w:highlight w:val="none"/>
              </w:rPr>
            </w:pPr>
          </w:p>
          <w:p w14:paraId="0C2F4C56">
            <w:pPr>
              <w:pStyle w:val="15"/>
              <w:spacing w:before="65" w:line="400" w:lineRule="exact"/>
              <w:ind w:left="400"/>
              <w:rPr>
                <w:color w:val="auto"/>
                <w:highlight w:val="none"/>
              </w:rPr>
            </w:pPr>
            <w:r>
              <w:rPr>
                <w:b/>
                <w:bCs/>
                <w:color w:val="auto"/>
                <w:spacing w:val="5"/>
                <w:highlight w:val="none"/>
              </w:rPr>
              <w:t>价格分</w:t>
            </w:r>
          </w:p>
          <w:p w14:paraId="3E2D2AAF">
            <w:pPr>
              <w:pStyle w:val="15"/>
              <w:spacing w:before="95" w:line="400" w:lineRule="exact"/>
              <w:ind w:left="507" w:right="264" w:hanging="229"/>
              <w:rPr>
                <w:color w:val="auto"/>
                <w:highlight w:val="none"/>
              </w:rPr>
            </w:pPr>
            <w:r>
              <w:rPr>
                <w:b/>
                <w:bCs/>
                <w:color w:val="auto"/>
                <w:highlight w:val="none"/>
              </w:rPr>
              <w:t>（满分30</w:t>
            </w:r>
            <w:r>
              <w:rPr>
                <w:color w:val="auto"/>
                <w:highlight w:val="none"/>
              </w:rPr>
              <w:t xml:space="preserve"> </w:t>
            </w:r>
            <w:r>
              <w:rPr>
                <w:b/>
                <w:bCs/>
                <w:color w:val="auto"/>
                <w:spacing w:val="-3"/>
                <w:highlight w:val="none"/>
              </w:rPr>
              <w:t>分）</w:t>
            </w:r>
          </w:p>
        </w:tc>
        <w:tc>
          <w:tcPr>
            <w:tcW w:w="1631" w:type="dxa"/>
            <w:vAlign w:val="top"/>
          </w:tcPr>
          <w:p w14:paraId="17E8D3F3">
            <w:pPr>
              <w:spacing w:line="400" w:lineRule="exact"/>
              <w:rPr>
                <w:rFonts w:ascii="Arial"/>
                <w:color w:val="auto"/>
                <w:sz w:val="21"/>
                <w:highlight w:val="none"/>
              </w:rPr>
            </w:pPr>
          </w:p>
          <w:p w14:paraId="347DF8D0">
            <w:pPr>
              <w:spacing w:line="400" w:lineRule="exact"/>
              <w:rPr>
                <w:rFonts w:ascii="Arial"/>
                <w:color w:val="auto"/>
                <w:sz w:val="21"/>
                <w:highlight w:val="none"/>
              </w:rPr>
            </w:pPr>
          </w:p>
          <w:p w14:paraId="79E05A8C">
            <w:pPr>
              <w:spacing w:line="400" w:lineRule="exact"/>
              <w:rPr>
                <w:rFonts w:ascii="Arial"/>
                <w:color w:val="auto"/>
                <w:sz w:val="21"/>
                <w:highlight w:val="none"/>
              </w:rPr>
            </w:pPr>
          </w:p>
          <w:p w14:paraId="7D76AEC1">
            <w:pPr>
              <w:spacing w:line="400" w:lineRule="exact"/>
              <w:rPr>
                <w:rFonts w:ascii="Arial"/>
                <w:color w:val="auto"/>
                <w:sz w:val="21"/>
                <w:highlight w:val="none"/>
              </w:rPr>
            </w:pPr>
          </w:p>
          <w:p w14:paraId="0A96803E">
            <w:pPr>
              <w:spacing w:line="400" w:lineRule="exact"/>
              <w:rPr>
                <w:rFonts w:ascii="Arial"/>
                <w:color w:val="auto"/>
                <w:sz w:val="21"/>
                <w:highlight w:val="none"/>
              </w:rPr>
            </w:pPr>
          </w:p>
          <w:p w14:paraId="1DD87AB9">
            <w:pPr>
              <w:spacing w:line="400" w:lineRule="exact"/>
              <w:rPr>
                <w:rFonts w:ascii="Arial"/>
                <w:color w:val="auto"/>
                <w:sz w:val="21"/>
                <w:highlight w:val="none"/>
              </w:rPr>
            </w:pPr>
          </w:p>
          <w:p w14:paraId="7016926A">
            <w:pPr>
              <w:spacing w:line="400" w:lineRule="exact"/>
              <w:rPr>
                <w:rFonts w:ascii="Arial"/>
                <w:color w:val="auto"/>
                <w:sz w:val="21"/>
                <w:highlight w:val="none"/>
              </w:rPr>
            </w:pPr>
          </w:p>
          <w:p w14:paraId="7D421D35">
            <w:pPr>
              <w:spacing w:line="400" w:lineRule="exact"/>
              <w:rPr>
                <w:rFonts w:ascii="Arial"/>
                <w:color w:val="auto"/>
                <w:sz w:val="21"/>
                <w:highlight w:val="none"/>
              </w:rPr>
            </w:pPr>
          </w:p>
          <w:p w14:paraId="78A47457">
            <w:pPr>
              <w:spacing w:line="400" w:lineRule="exact"/>
              <w:rPr>
                <w:rFonts w:ascii="Arial"/>
                <w:color w:val="auto"/>
                <w:sz w:val="21"/>
                <w:highlight w:val="none"/>
              </w:rPr>
            </w:pPr>
          </w:p>
          <w:p w14:paraId="392C9A14">
            <w:pPr>
              <w:spacing w:line="400" w:lineRule="exact"/>
              <w:rPr>
                <w:rFonts w:ascii="Arial"/>
                <w:color w:val="auto"/>
                <w:sz w:val="21"/>
                <w:highlight w:val="none"/>
              </w:rPr>
            </w:pPr>
          </w:p>
          <w:p w14:paraId="46C8C755">
            <w:pPr>
              <w:spacing w:line="400" w:lineRule="exact"/>
              <w:rPr>
                <w:rFonts w:ascii="Arial"/>
                <w:color w:val="auto"/>
                <w:sz w:val="21"/>
                <w:highlight w:val="none"/>
              </w:rPr>
            </w:pPr>
          </w:p>
          <w:p w14:paraId="3C0B93FB">
            <w:pPr>
              <w:spacing w:line="400" w:lineRule="exact"/>
              <w:rPr>
                <w:rFonts w:ascii="Arial"/>
                <w:color w:val="auto"/>
                <w:sz w:val="21"/>
                <w:highlight w:val="none"/>
              </w:rPr>
            </w:pPr>
          </w:p>
          <w:p w14:paraId="67F2C69D">
            <w:pPr>
              <w:pStyle w:val="15"/>
              <w:spacing w:before="65" w:line="400" w:lineRule="exact"/>
              <w:ind w:left="112"/>
              <w:rPr>
                <w:color w:val="auto"/>
                <w:highlight w:val="none"/>
              </w:rPr>
            </w:pPr>
            <w:r>
              <w:rPr>
                <w:color w:val="auto"/>
                <w:highlight w:val="none"/>
              </w:rPr>
              <w:t>磋商报价（满分</w:t>
            </w:r>
          </w:p>
          <w:p w14:paraId="0C1122B1">
            <w:pPr>
              <w:pStyle w:val="15"/>
              <w:spacing w:before="96" w:line="400" w:lineRule="exact"/>
              <w:ind w:left="482"/>
              <w:rPr>
                <w:color w:val="auto"/>
                <w:highlight w:val="none"/>
              </w:rPr>
            </w:pPr>
            <w:r>
              <w:rPr>
                <w:color w:val="auto"/>
                <w:spacing w:val="-1"/>
                <w:highlight w:val="none"/>
              </w:rPr>
              <w:t>30</w:t>
            </w:r>
            <w:r>
              <w:rPr>
                <w:color w:val="auto"/>
                <w:spacing w:val="-38"/>
                <w:highlight w:val="none"/>
              </w:rPr>
              <w:t xml:space="preserve"> </w:t>
            </w:r>
            <w:r>
              <w:rPr>
                <w:color w:val="auto"/>
                <w:spacing w:val="-1"/>
                <w:highlight w:val="none"/>
              </w:rPr>
              <w:t>分）</w:t>
            </w:r>
          </w:p>
        </w:tc>
        <w:tc>
          <w:tcPr>
            <w:tcW w:w="5948" w:type="dxa"/>
            <w:vAlign w:val="top"/>
          </w:tcPr>
          <w:p w14:paraId="637E413D">
            <w:pPr>
              <w:pStyle w:val="15"/>
              <w:spacing w:before="97" w:line="400" w:lineRule="exact"/>
              <w:ind w:left="114" w:right="39" w:firstLine="422"/>
              <w:jc w:val="both"/>
              <w:rPr>
                <w:rFonts w:hint="eastAsia"/>
                <w:color w:val="auto"/>
                <w:spacing w:val="8"/>
                <w:highlight w:val="none"/>
              </w:rPr>
            </w:pPr>
            <w:r>
              <w:rPr>
                <w:rFonts w:hint="eastAsia"/>
                <w:color w:val="auto"/>
                <w:spacing w:val="8"/>
                <w:highlight w:val="none"/>
              </w:rPr>
              <w:t>（1）评审价为供应商的最后报价，最终成交供应商的成交金额等于最后报价（如有修正，以确认修正后的最后报价为准）。</w:t>
            </w:r>
          </w:p>
          <w:p w14:paraId="7A7FF33D">
            <w:pPr>
              <w:pStyle w:val="15"/>
              <w:spacing w:before="97" w:line="400" w:lineRule="exact"/>
              <w:ind w:left="114" w:right="39" w:firstLine="422"/>
              <w:jc w:val="both"/>
              <w:rPr>
                <w:rFonts w:hint="eastAsia"/>
                <w:color w:val="auto"/>
                <w:spacing w:val="8"/>
                <w:highlight w:val="none"/>
              </w:rPr>
            </w:pPr>
            <w:r>
              <w:rPr>
                <w:rFonts w:hint="eastAsia"/>
                <w:color w:val="auto"/>
                <w:spacing w:val="8"/>
                <w:highlight w:val="none"/>
              </w:rPr>
              <w:t>（2）本项目为专门面</w:t>
            </w:r>
            <w:r>
              <w:rPr>
                <w:rFonts w:hint="eastAsia"/>
                <w:color w:val="auto"/>
                <w:spacing w:val="8"/>
                <w:highlight w:val="none"/>
                <w:lang w:eastAsia="zh-CN"/>
              </w:rPr>
              <w:t>中小</w:t>
            </w:r>
            <w:r>
              <w:rPr>
                <w:rFonts w:hint="eastAsia"/>
                <w:color w:val="auto"/>
                <w:spacing w:val="8"/>
                <w:highlight w:val="none"/>
              </w:rPr>
              <w:t>企业采购的项目，参加本项目磋商的供应商必须为</w:t>
            </w:r>
            <w:r>
              <w:rPr>
                <w:rFonts w:hint="eastAsia"/>
                <w:color w:val="auto"/>
                <w:spacing w:val="8"/>
                <w:highlight w:val="none"/>
                <w:lang w:eastAsia="zh-CN"/>
              </w:rPr>
              <w:t>中小</w:t>
            </w:r>
            <w:r>
              <w:rPr>
                <w:rFonts w:hint="eastAsia"/>
                <w:color w:val="auto"/>
                <w:spacing w:val="8"/>
                <w:highlight w:val="none"/>
              </w:rPr>
              <w:t>企业，或监狱企业，或残疾人福利性单位，否则竞标无效。价格评审时，参加本次项目竞标的供应商不重复享受政策，其评审价=竞标报价。</w:t>
            </w:r>
          </w:p>
          <w:p w14:paraId="388F900C">
            <w:pPr>
              <w:pStyle w:val="15"/>
              <w:spacing w:before="97" w:line="400" w:lineRule="exact"/>
              <w:ind w:left="114" w:right="39" w:firstLine="422"/>
              <w:jc w:val="both"/>
              <w:rPr>
                <w:rFonts w:hint="eastAsia"/>
                <w:color w:val="auto"/>
                <w:spacing w:val="8"/>
                <w:highlight w:val="none"/>
              </w:rPr>
            </w:pPr>
            <w:r>
              <w:rPr>
                <w:rFonts w:hint="eastAsia"/>
                <w:color w:val="auto"/>
                <w:spacing w:val="8"/>
                <w:highlight w:val="none"/>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32EE1B0C">
            <w:pPr>
              <w:pStyle w:val="15"/>
              <w:spacing w:before="97" w:line="400" w:lineRule="exact"/>
              <w:ind w:left="114" w:right="39" w:firstLine="422"/>
              <w:jc w:val="both"/>
              <w:rPr>
                <w:rFonts w:hint="eastAsia"/>
                <w:color w:val="auto"/>
                <w:spacing w:val="8"/>
                <w:highlight w:val="none"/>
              </w:rPr>
            </w:pPr>
            <w:r>
              <w:rPr>
                <w:rFonts w:hint="eastAsia"/>
                <w:color w:val="auto"/>
                <w:spacing w:val="8"/>
                <w:highlight w:val="none"/>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482DEBBB">
            <w:pPr>
              <w:pStyle w:val="15"/>
              <w:spacing w:before="31" w:line="400" w:lineRule="exact"/>
              <w:ind w:left="114" w:right="107" w:firstLine="430"/>
              <w:rPr>
                <w:color w:val="auto"/>
                <w:highlight w:val="none"/>
              </w:rPr>
            </w:pPr>
            <w:r>
              <w:rPr>
                <w:color w:val="auto"/>
                <w:spacing w:val="7"/>
                <w:highlight w:val="none"/>
              </w:rPr>
              <w:t>（</w:t>
            </w:r>
            <w:r>
              <w:rPr>
                <w:rFonts w:hint="eastAsia"/>
                <w:color w:val="auto"/>
                <w:spacing w:val="7"/>
                <w:highlight w:val="none"/>
                <w:lang w:val="en-US" w:eastAsia="zh-CN"/>
              </w:rPr>
              <w:t>5</w:t>
            </w:r>
            <w:r>
              <w:rPr>
                <w:color w:val="auto"/>
                <w:spacing w:val="7"/>
                <w:highlight w:val="none"/>
              </w:rPr>
              <w:t>）满足</w:t>
            </w:r>
            <w:r>
              <w:rPr>
                <w:rFonts w:hint="eastAsia"/>
                <w:color w:val="auto"/>
                <w:spacing w:val="7"/>
                <w:highlight w:val="none"/>
                <w:lang w:eastAsia="zh-CN"/>
              </w:rPr>
              <w:t>磋商</w:t>
            </w:r>
            <w:r>
              <w:rPr>
                <w:color w:val="auto"/>
                <w:spacing w:val="7"/>
                <w:highlight w:val="none"/>
              </w:rPr>
              <w:t>文件要求且评标报价最低的评标报价为评标</w:t>
            </w:r>
            <w:r>
              <w:rPr>
                <w:color w:val="auto"/>
                <w:spacing w:val="8"/>
                <w:highlight w:val="none"/>
              </w:rPr>
              <w:t>基准价，其价格分为满分。</w:t>
            </w:r>
          </w:p>
          <w:p w14:paraId="2650B990">
            <w:pPr>
              <w:pStyle w:val="15"/>
              <w:spacing w:before="95" w:line="400" w:lineRule="exact"/>
              <w:ind w:left="544"/>
              <w:rPr>
                <w:color w:val="auto"/>
                <w:highlight w:val="none"/>
              </w:rPr>
            </w:pPr>
            <w:r>
              <w:rPr>
                <w:color w:val="auto"/>
                <w:spacing w:val="6"/>
                <w:highlight w:val="none"/>
              </w:rPr>
              <w:t>（</w:t>
            </w:r>
            <w:r>
              <w:rPr>
                <w:rFonts w:hint="eastAsia"/>
                <w:color w:val="auto"/>
                <w:spacing w:val="6"/>
                <w:highlight w:val="none"/>
                <w:lang w:val="en-US" w:eastAsia="zh-CN"/>
              </w:rPr>
              <w:t>6</w:t>
            </w:r>
            <w:r>
              <w:rPr>
                <w:color w:val="auto"/>
                <w:spacing w:val="6"/>
                <w:highlight w:val="none"/>
              </w:rPr>
              <w:t>）价格分计算公式：</w:t>
            </w:r>
          </w:p>
          <w:p w14:paraId="4F21A672">
            <w:pPr>
              <w:pStyle w:val="15"/>
              <w:spacing w:before="97" w:line="400" w:lineRule="exact"/>
              <w:ind w:left="114" w:right="39" w:firstLine="422"/>
              <w:jc w:val="both"/>
              <w:rPr>
                <w:rFonts w:hint="eastAsia"/>
                <w:color w:val="auto"/>
                <w:spacing w:val="8"/>
                <w:highlight w:val="none"/>
              </w:rPr>
            </w:pPr>
            <w:r>
              <w:rPr>
                <w:color w:val="auto"/>
                <w:spacing w:val="7"/>
                <w:highlight w:val="none"/>
              </w:rPr>
              <w:t>价格分=(评标基准价／评标报价)×30</w:t>
            </w:r>
            <w:r>
              <w:rPr>
                <w:color w:val="auto"/>
                <w:spacing w:val="-24"/>
                <w:highlight w:val="none"/>
              </w:rPr>
              <w:t xml:space="preserve"> </w:t>
            </w:r>
            <w:r>
              <w:rPr>
                <w:color w:val="auto"/>
                <w:spacing w:val="7"/>
                <w:highlight w:val="none"/>
              </w:rPr>
              <w:t>分</w:t>
            </w:r>
          </w:p>
        </w:tc>
      </w:tr>
    </w:tbl>
    <w:p w14:paraId="49518A07">
      <w:pPr>
        <w:spacing w:before="63" w:line="188" w:lineRule="auto"/>
        <w:ind w:left="0"/>
        <w:rPr>
          <w:rFonts w:ascii="Times New Roman" w:hAnsi="Times New Roman" w:eastAsia="Times New Roman" w:cs="Times New Roman"/>
          <w:color w:val="auto"/>
          <w:sz w:val="18"/>
          <w:szCs w:val="18"/>
          <w:highlight w:val="none"/>
        </w:rPr>
        <w:sectPr>
          <w:footerReference r:id="rId13" w:type="default"/>
          <w:pgSz w:w="11910" w:h="16840"/>
          <w:pgMar w:top="1371" w:right="1083" w:bottom="400" w:left="1115" w:header="0" w:footer="794" w:gutter="0"/>
          <w:pgNumType w:fmt="decimal"/>
          <w:cols w:space="720" w:num="1"/>
        </w:sectPr>
      </w:pPr>
    </w:p>
    <w:tbl>
      <w:tblPr>
        <w:tblStyle w:val="14"/>
        <w:tblW w:w="97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424"/>
        <w:gridCol w:w="1631"/>
        <w:gridCol w:w="5948"/>
      </w:tblGrid>
      <w:tr w14:paraId="55AF8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03" w:type="dxa"/>
            <w:shd w:val="clear" w:color="auto" w:fill="DAE3F3"/>
            <w:vAlign w:val="top"/>
          </w:tcPr>
          <w:p w14:paraId="6DDF958D">
            <w:pPr>
              <w:pStyle w:val="15"/>
              <w:spacing w:before="35" w:line="298" w:lineRule="auto"/>
              <w:ind w:left="255" w:right="140" w:hanging="106"/>
              <w:rPr>
                <w:color w:val="auto"/>
                <w:highlight w:val="none"/>
              </w:rPr>
            </w:pPr>
            <w:r>
              <w:rPr>
                <w:color w:val="auto"/>
                <w:spacing w:val="3"/>
                <w:highlight w:val="none"/>
              </w:rPr>
              <w:t>条款</w:t>
            </w:r>
            <w:r>
              <w:rPr>
                <w:color w:val="auto"/>
                <w:highlight w:val="none"/>
              </w:rPr>
              <w:t xml:space="preserve"> 号</w:t>
            </w:r>
          </w:p>
        </w:tc>
        <w:tc>
          <w:tcPr>
            <w:tcW w:w="3055" w:type="dxa"/>
            <w:gridSpan w:val="2"/>
            <w:shd w:val="clear" w:color="auto" w:fill="DAE3F3"/>
            <w:vAlign w:val="top"/>
          </w:tcPr>
          <w:p w14:paraId="4DE86D12">
            <w:pPr>
              <w:pStyle w:val="15"/>
              <w:spacing w:before="205" w:line="228" w:lineRule="auto"/>
              <w:ind w:left="1112"/>
              <w:rPr>
                <w:color w:val="auto"/>
                <w:highlight w:val="none"/>
              </w:rPr>
            </w:pPr>
            <w:r>
              <w:rPr>
                <w:color w:val="auto"/>
                <w:spacing w:val="7"/>
                <w:highlight w:val="none"/>
              </w:rPr>
              <w:t>评审因素</w:t>
            </w:r>
          </w:p>
        </w:tc>
        <w:tc>
          <w:tcPr>
            <w:tcW w:w="5948" w:type="dxa"/>
            <w:shd w:val="clear" w:color="auto" w:fill="DAE3F3"/>
            <w:vAlign w:val="top"/>
          </w:tcPr>
          <w:p w14:paraId="51671F3B">
            <w:pPr>
              <w:pStyle w:val="15"/>
              <w:spacing w:before="36" w:line="228" w:lineRule="auto"/>
              <w:ind w:left="2557"/>
              <w:rPr>
                <w:color w:val="auto"/>
                <w:highlight w:val="none"/>
              </w:rPr>
            </w:pPr>
            <w:r>
              <w:rPr>
                <w:color w:val="auto"/>
                <w:spacing w:val="7"/>
                <w:highlight w:val="none"/>
              </w:rPr>
              <w:t>评审标准</w:t>
            </w:r>
          </w:p>
        </w:tc>
      </w:tr>
      <w:tr w14:paraId="3AB76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703" w:type="dxa"/>
            <w:vMerge w:val="restart"/>
            <w:tcBorders>
              <w:bottom w:val="nil"/>
            </w:tcBorders>
            <w:vAlign w:val="top"/>
          </w:tcPr>
          <w:p w14:paraId="6360CA3A">
            <w:pPr>
              <w:spacing w:line="247" w:lineRule="auto"/>
              <w:rPr>
                <w:rFonts w:ascii="Arial"/>
                <w:color w:val="auto"/>
                <w:sz w:val="21"/>
                <w:highlight w:val="none"/>
              </w:rPr>
            </w:pPr>
          </w:p>
          <w:p w14:paraId="6AF61BDC">
            <w:pPr>
              <w:spacing w:line="247" w:lineRule="auto"/>
              <w:rPr>
                <w:rFonts w:ascii="Arial"/>
                <w:color w:val="auto"/>
                <w:sz w:val="21"/>
                <w:highlight w:val="none"/>
              </w:rPr>
            </w:pPr>
          </w:p>
          <w:p w14:paraId="2A290FCC">
            <w:pPr>
              <w:spacing w:line="247" w:lineRule="auto"/>
              <w:rPr>
                <w:rFonts w:ascii="Arial"/>
                <w:color w:val="auto"/>
                <w:sz w:val="21"/>
                <w:highlight w:val="none"/>
              </w:rPr>
            </w:pPr>
          </w:p>
          <w:p w14:paraId="5903284C">
            <w:pPr>
              <w:spacing w:line="247" w:lineRule="auto"/>
              <w:rPr>
                <w:rFonts w:ascii="Arial"/>
                <w:color w:val="auto"/>
                <w:sz w:val="21"/>
                <w:highlight w:val="none"/>
              </w:rPr>
            </w:pPr>
          </w:p>
          <w:p w14:paraId="465AAA4E">
            <w:pPr>
              <w:spacing w:line="247" w:lineRule="auto"/>
              <w:rPr>
                <w:rFonts w:ascii="Arial"/>
                <w:color w:val="auto"/>
                <w:sz w:val="21"/>
                <w:highlight w:val="none"/>
              </w:rPr>
            </w:pPr>
          </w:p>
          <w:p w14:paraId="2D58E557">
            <w:pPr>
              <w:spacing w:line="247" w:lineRule="auto"/>
              <w:rPr>
                <w:rFonts w:ascii="Arial"/>
                <w:color w:val="auto"/>
                <w:sz w:val="21"/>
                <w:highlight w:val="none"/>
              </w:rPr>
            </w:pPr>
          </w:p>
          <w:p w14:paraId="20943FCC">
            <w:pPr>
              <w:spacing w:line="247" w:lineRule="auto"/>
              <w:rPr>
                <w:rFonts w:ascii="Arial"/>
                <w:color w:val="auto"/>
                <w:sz w:val="21"/>
                <w:highlight w:val="none"/>
              </w:rPr>
            </w:pPr>
          </w:p>
          <w:p w14:paraId="101F943F">
            <w:pPr>
              <w:spacing w:line="247" w:lineRule="auto"/>
              <w:rPr>
                <w:rFonts w:ascii="Arial"/>
                <w:color w:val="auto"/>
                <w:sz w:val="21"/>
                <w:highlight w:val="none"/>
              </w:rPr>
            </w:pPr>
          </w:p>
          <w:p w14:paraId="48D745B9">
            <w:pPr>
              <w:spacing w:line="247" w:lineRule="auto"/>
              <w:rPr>
                <w:rFonts w:ascii="Arial"/>
                <w:color w:val="auto"/>
                <w:sz w:val="21"/>
                <w:highlight w:val="none"/>
              </w:rPr>
            </w:pPr>
          </w:p>
          <w:p w14:paraId="6C59A18B">
            <w:pPr>
              <w:spacing w:line="247" w:lineRule="auto"/>
              <w:rPr>
                <w:rFonts w:ascii="Arial"/>
                <w:color w:val="auto"/>
                <w:sz w:val="21"/>
                <w:highlight w:val="none"/>
              </w:rPr>
            </w:pPr>
          </w:p>
          <w:p w14:paraId="01018BEF">
            <w:pPr>
              <w:spacing w:line="247" w:lineRule="auto"/>
              <w:rPr>
                <w:rFonts w:ascii="Arial"/>
                <w:color w:val="auto"/>
                <w:sz w:val="21"/>
                <w:highlight w:val="none"/>
              </w:rPr>
            </w:pPr>
          </w:p>
          <w:p w14:paraId="442D4734">
            <w:pPr>
              <w:spacing w:line="247" w:lineRule="auto"/>
              <w:rPr>
                <w:rFonts w:ascii="Arial"/>
                <w:color w:val="auto"/>
                <w:sz w:val="21"/>
                <w:highlight w:val="none"/>
              </w:rPr>
            </w:pPr>
          </w:p>
          <w:p w14:paraId="57D57B49">
            <w:pPr>
              <w:spacing w:line="247" w:lineRule="auto"/>
              <w:rPr>
                <w:rFonts w:ascii="Arial"/>
                <w:color w:val="auto"/>
                <w:sz w:val="21"/>
                <w:highlight w:val="none"/>
              </w:rPr>
            </w:pPr>
          </w:p>
          <w:p w14:paraId="3D7F2080">
            <w:pPr>
              <w:spacing w:line="248" w:lineRule="auto"/>
              <w:rPr>
                <w:rFonts w:ascii="Arial"/>
                <w:color w:val="auto"/>
                <w:sz w:val="21"/>
                <w:highlight w:val="none"/>
              </w:rPr>
            </w:pPr>
          </w:p>
          <w:p w14:paraId="150FCCE3">
            <w:pPr>
              <w:spacing w:line="248" w:lineRule="auto"/>
              <w:rPr>
                <w:rFonts w:ascii="Arial"/>
                <w:color w:val="auto"/>
                <w:sz w:val="21"/>
                <w:highlight w:val="none"/>
              </w:rPr>
            </w:pPr>
          </w:p>
          <w:p w14:paraId="5A33676A">
            <w:pPr>
              <w:spacing w:line="248" w:lineRule="auto"/>
              <w:rPr>
                <w:rFonts w:ascii="Arial"/>
                <w:color w:val="auto"/>
                <w:sz w:val="21"/>
                <w:highlight w:val="none"/>
              </w:rPr>
            </w:pPr>
          </w:p>
          <w:p w14:paraId="7317FDE2">
            <w:pPr>
              <w:spacing w:line="248" w:lineRule="auto"/>
              <w:rPr>
                <w:rFonts w:ascii="Arial"/>
                <w:color w:val="auto"/>
                <w:sz w:val="21"/>
                <w:highlight w:val="none"/>
              </w:rPr>
            </w:pPr>
          </w:p>
          <w:p w14:paraId="25B96C81">
            <w:pPr>
              <w:spacing w:line="248" w:lineRule="auto"/>
              <w:rPr>
                <w:rFonts w:ascii="Arial"/>
                <w:color w:val="auto"/>
                <w:sz w:val="21"/>
                <w:highlight w:val="none"/>
              </w:rPr>
            </w:pPr>
          </w:p>
          <w:p w14:paraId="66B274D6">
            <w:pPr>
              <w:spacing w:line="248" w:lineRule="auto"/>
              <w:rPr>
                <w:rFonts w:ascii="Arial"/>
                <w:color w:val="auto"/>
                <w:sz w:val="21"/>
                <w:highlight w:val="none"/>
              </w:rPr>
            </w:pPr>
          </w:p>
          <w:p w14:paraId="16C166F0">
            <w:pPr>
              <w:spacing w:line="248" w:lineRule="auto"/>
              <w:rPr>
                <w:rFonts w:ascii="Arial"/>
                <w:color w:val="auto"/>
                <w:sz w:val="21"/>
                <w:highlight w:val="none"/>
              </w:rPr>
            </w:pPr>
          </w:p>
          <w:p w14:paraId="49292894">
            <w:pPr>
              <w:spacing w:line="248" w:lineRule="auto"/>
              <w:rPr>
                <w:rFonts w:ascii="Arial"/>
                <w:color w:val="auto"/>
                <w:sz w:val="21"/>
                <w:highlight w:val="none"/>
              </w:rPr>
            </w:pPr>
          </w:p>
          <w:p w14:paraId="32DF1130">
            <w:pPr>
              <w:spacing w:line="248" w:lineRule="auto"/>
              <w:rPr>
                <w:rFonts w:ascii="Arial"/>
                <w:color w:val="auto"/>
                <w:sz w:val="21"/>
                <w:highlight w:val="none"/>
              </w:rPr>
            </w:pPr>
          </w:p>
          <w:p w14:paraId="2C96C669">
            <w:pPr>
              <w:spacing w:line="248" w:lineRule="auto"/>
              <w:rPr>
                <w:rFonts w:ascii="Arial"/>
                <w:color w:val="auto"/>
                <w:sz w:val="21"/>
                <w:highlight w:val="none"/>
              </w:rPr>
            </w:pPr>
          </w:p>
          <w:p w14:paraId="137ECC56">
            <w:pPr>
              <w:spacing w:line="248" w:lineRule="auto"/>
              <w:rPr>
                <w:rFonts w:ascii="Arial"/>
                <w:color w:val="auto"/>
                <w:sz w:val="21"/>
                <w:highlight w:val="none"/>
              </w:rPr>
            </w:pPr>
          </w:p>
          <w:p w14:paraId="19928499">
            <w:pPr>
              <w:pStyle w:val="15"/>
              <w:spacing w:before="65" w:line="189" w:lineRule="auto"/>
              <w:ind w:left="306"/>
              <w:rPr>
                <w:color w:val="auto"/>
                <w:highlight w:val="none"/>
              </w:rPr>
            </w:pPr>
            <w:r>
              <w:rPr>
                <w:color w:val="auto"/>
                <w:highlight w:val="none"/>
              </w:rPr>
              <w:t>2</w:t>
            </w:r>
          </w:p>
        </w:tc>
        <w:tc>
          <w:tcPr>
            <w:tcW w:w="1424" w:type="dxa"/>
            <w:vMerge w:val="restart"/>
            <w:tcBorders>
              <w:bottom w:val="nil"/>
            </w:tcBorders>
            <w:vAlign w:val="top"/>
          </w:tcPr>
          <w:p w14:paraId="184848A3">
            <w:pPr>
              <w:spacing w:line="242" w:lineRule="auto"/>
              <w:rPr>
                <w:rFonts w:ascii="Arial"/>
                <w:color w:val="auto"/>
                <w:sz w:val="21"/>
                <w:highlight w:val="none"/>
              </w:rPr>
            </w:pPr>
          </w:p>
          <w:p w14:paraId="23F758CA">
            <w:pPr>
              <w:spacing w:line="242" w:lineRule="auto"/>
              <w:rPr>
                <w:rFonts w:ascii="Arial"/>
                <w:color w:val="auto"/>
                <w:sz w:val="21"/>
                <w:highlight w:val="none"/>
              </w:rPr>
            </w:pPr>
          </w:p>
          <w:p w14:paraId="5B7A9B03">
            <w:pPr>
              <w:spacing w:line="242" w:lineRule="auto"/>
              <w:rPr>
                <w:rFonts w:ascii="Arial"/>
                <w:color w:val="auto"/>
                <w:sz w:val="21"/>
                <w:highlight w:val="none"/>
              </w:rPr>
            </w:pPr>
          </w:p>
          <w:p w14:paraId="499E0B1E">
            <w:pPr>
              <w:spacing w:line="242" w:lineRule="auto"/>
              <w:rPr>
                <w:rFonts w:ascii="Arial"/>
                <w:color w:val="auto"/>
                <w:sz w:val="21"/>
                <w:highlight w:val="none"/>
              </w:rPr>
            </w:pPr>
          </w:p>
          <w:p w14:paraId="2B75350F">
            <w:pPr>
              <w:spacing w:line="242" w:lineRule="auto"/>
              <w:rPr>
                <w:rFonts w:ascii="Arial"/>
                <w:color w:val="auto"/>
                <w:sz w:val="21"/>
                <w:highlight w:val="none"/>
              </w:rPr>
            </w:pPr>
          </w:p>
          <w:p w14:paraId="71F2435A">
            <w:pPr>
              <w:spacing w:line="242" w:lineRule="auto"/>
              <w:rPr>
                <w:rFonts w:ascii="Arial"/>
                <w:color w:val="auto"/>
                <w:sz w:val="21"/>
                <w:highlight w:val="none"/>
              </w:rPr>
            </w:pPr>
          </w:p>
          <w:p w14:paraId="20564287">
            <w:pPr>
              <w:spacing w:line="242" w:lineRule="auto"/>
              <w:rPr>
                <w:rFonts w:ascii="Arial"/>
                <w:color w:val="auto"/>
                <w:sz w:val="21"/>
                <w:highlight w:val="none"/>
              </w:rPr>
            </w:pPr>
          </w:p>
          <w:p w14:paraId="55862C93">
            <w:pPr>
              <w:spacing w:line="242" w:lineRule="auto"/>
              <w:rPr>
                <w:rFonts w:ascii="Arial"/>
                <w:color w:val="auto"/>
                <w:sz w:val="21"/>
                <w:highlight w:val="none"/>
              </w:rPr>
            </w:pPr>
          </w:p>
          <w:p w14:paraId="29856339">
            <w:pPr>
              <w:spacing w:line="242" w:lineRule="auto"/>
              <w:rPr>
                <w:rFonts w:ascii="Arial"/>
                <w:color w:val="auto"/>
                <w:sz w:val="21"/>
                <w:highlight w:val="none"/>
              </w:rPr>
            </w:pPr>
          </w:p>
          <w:p w14:paraId="497211E7">
            <w:pPr>
              <w:spacing w:line="242" w:lineRule="auto"/>
              <w:rPr>
                <w:rFonts w:ascii="Arial"/>
                <w:color w:val="auto"/>
                <w:sz w:val="21"/>
                <w:highlight w:val="none"/>
              </w:rPr>
            </w:pPr>
          </w:p>
          <w:p w14:paraId="02B84276">
            <w:pPr>
              <w:spacing w:line="242" w:lineRule="auto"/>
              <w:rPr>
                <w:rFonts w:ascii="Arial"/>
                <w:color w:val="auto"/>
                <w:sz w:val="21"/>
                <w:highlight w:val="none"/>
              </w:rPr>
            </w:pPr>
          </w:p>
          <w:p w14:paraId="07535EA6">
            <w:pPr>
              <w:spacing w:line="242" w:lineRule="auto"/>
              <w:rPr>
                <w:rFonts w:ascii="Arial"/>
                <w:color w:val="auto"/>
                <w:sz w:val="21"/>
                <w:highlight w:val="none"/>
              </w:rPr>
            </w:pPr>
          </w:p>
          <w:p w14:paraId="4AF6010F">
            <w:pPr>
              <w:spacing w:line="242" w:lineRule="auto"/>
              <w:rPr>
                <w:rFonts w:ascii="Arial"/>
                <w:color w:val="auto"/>
                <w:sz w:val="21"/>
                <w:highlight w:val="none"/>
              </w:rPr>
            </w:pPr>
          </w:p>
          <w:p w14:paraId="132608FE">
            <w:pPr>
              <w:spacing w:line="242" w:lineRule="auto"/>
              <w:rPr>
                <w:rFonts w:ascii="Arial"/>
                <w:color w:val="auto"/>
                <w:sz w:val="21"/>
                <w:highlight w:val="none"/>
              </w:rPr>
            </w:pPr>
          </w:p>
          <w:p w14:paraId="3D1D263E">
            <w:pPr>
              <w:spacing w:line="242" w:lineRule="auto"/>
              <w:rPr>
                <w:rFonts w:ascii="Arial"/>
                <w:color w:val="auto"/>
                <w:sz w:val="21"/>
                <w:highlight w:val="none"/>
              </w:rPr>
            </w:pPr>
          </w:p>
          <w:p w14:paraId="38725D09">
            <w:pPr>
              <w:spacing w:line="242" w:lineRule="auto"/>
              <w:rPr>
                <w:rFonts w:ascii="Arial"/>
                <w:color w:val="auto"/>
                <w:sz w:val="21"/>
                <w:highlight w:val="none"/>
              </w:rPr>
            </w:pPr>
          </w:p>
          <w:p w14:paraId="14BB61C9">
            <w:pPr>
              <w:spacing w:line="242" w:lineRule="auto"/>
              <w:rPr>
                <w:rFonts w:ascii="Arial"/>
                <w:color w:val="auto"/>
                <w:sz w:val="21"/>
                <w:highlight w:val="none"/>
              </w:rPr>
            </w:pPr>
          </w:p>
          <w:p w14:paraId="0658E076">
            <w:pPr>
              <w:spacing w:line="242" w:lineRule="auto"/>
              <w:rPr>
                <w:rFonts w:ascii="Arial"/>
                <w:color w:val="auto"/>
                <w:sz w:val="21"/>
                <w:highlight w:val="none"/>
              </w:rPr>
            </w:pPr>
          </w:p>
          <w:p w14:paraId="7A55870A">
            <w:pPr>
              <w:spacing w:line="242" w:lineRule="auto"/>
              <w:rPr>
                <w:rFonts w:ascii="Arial"/>
                <w:color w:val="auto"/>
                <w:sz w:val="21"/>
                <w:highlight w:val="none"/>
              </w:rPr>
            </w:pPr>
          </w:p>
          <w:p w14:paraId="39B221AB">
            <w:pPr>
              <w:spacing w:line="242" w:lineRule="auto"/>
              <w:rPr>
                <w:rFonts w:ascii="Arial"/>
                <w:color w:val="auto"/>
                <w:sz w:val="21"/>
                <w:highlight w:val="none"/>
              </w:rPr>
            </w:pPr>
          </w:p>
          <w:p w14:paraId="3AEC6D83">
            <w:pPr>
              <w:spacing w:line="242" w:lineRule="auto"/>
              <w:rPr>
                <w:rFonts w:ascii="Arial"/>
                <w:color w:val="auto"/>
                <w:sz w:val="21"/>
                <w:highlight w:val="none"/>
              </w:rPr>
            </w:pPr>
          </w:p>
          <w:p w14:paraId="5AC5ECCA">
            <w:pPr>
              <w:spacing w:line="243" w:lineRule="auto"/>
              <w:rPr>
                <w:rFonts w:ascii="Arial"/>
                <w:color w:val="auto"/>
                <w:sz w:val="21"/>
                <w:highlight w:val="none"/>
              </w:rPr>
            </w:pPr>
          </w:p>
          <w:p w14:paraId="482896FC">
            <w:pPr>
              <w:spacing w:line="243" w:lineRule="auto"/>
              <w:rPr>
                <w:rFonts w:ascii="Arial"/>
                <w:color w:val="auto"/>
                <w:sz w:val="21"/>
                <w:highlight w:val="none"/>
              </w:rPr>
            </w:pPr>
          </w:p>
          <w:p w14:paraId="6FE5F3DC">
            <w:pPr>
              <w:pStyle w:val="15"/>
              <w:spacing w:before="65" w:line="228" w:lineRule="auto"/>
              <w:ind w:left="112"/>
              <w:rPr>
                <w:color w:val="auto"/>
                <w:highlight w:val="none"/>
              </w:rPr>
            </w:pPr>
            <w:r>
              <w:rPr>
                <w:b/>
                <w:bCs/>
                <w:color w:val="auto"/>
                <w:spacing w:val="-3"/>
                <w:highlight w:val="none"/>
              </w:rPr>
              <w:t>技术分（满分</w:t>
            </w:r>
          </w:p>
          <w:p w14:paraId="56B29C8D">
            <w:pPr>
              <w:pStyle w:val="15"/>
              <w:spacing w:before="92" w:line="228" w:lineRule="auto"/>
              <w:ind w:left="378"/>
              <w:rPr>
                <w:color w:val="auto"/>
                <w:highlight w:val="none"/>
              </w:rPr>
            </w:pPr>
            <w:r>
              <w:rPr>
                <w:b/>
                <w:bCs/>
                <w:color w:val="auto"/>
                <w:spacing w:val="-4"/>
                <w:highlight w:val="none"/>
              </w:rPr>
              <w:t>70</w:t>
            </w:r>
            <w:r>
              <w:rPr>
                <w:color w:val="auto"/>
                <w:spacing w:val="-34"/>
                <w:highlight w:val="none"/>
              </w:rPr>
              <w:t xml:space="preserve"> </w:t>
            </w:r>
            <w:r>
              <w:rPr>
                <w:b/>
                <w:bCs/>
                <w:color w:val="auto"/>
                <w:spacing w:val="-4"/>
                <w:highlight w:val="none"/>
              </w:rPr>
              <w:t>分）</w:t>
            </w:r>
          </w:p>
        </w:tc>
        <w:tc>
          <w:tcPr>
            <w:tcW w:w="1631" w:type="dxa"/>
            <w:vAlign w:val="top"/>
          </w:tcPr>
          <w:p w14:paraId="17B058BD">
            <w:pPr>
              <w:pStyle w:val="15"/>
              <w:spacing w:before="202" w:line="307" w:lineRule="auto"/>
              <w:ind w:left="113" w:right="86"/>
              <w:rPr>
                <w:color w:val="auto"/>
                <w:highlight w:val="none"/>
              </w:rPr>
            </w:pPr>
            <w:r>
              <w:rPr>
                <w:color w:val="auto"/>
                <w:spacing w:val="8"/>
                <w:highlight w:val="none"/>
              </w:rPr>
              <w:t>⑴项目经理任</w:t>
            </w:r>
            <w:r>
              <w:rPr>
                <w:color w:val="auto"/>
                <w:spacing w:val="3"/>
                <w:highlight w:val="none"/>
              </w:rPr>
              <w:t>职资格与业绩、</w:t>
            </w:r>
            <w:r>
              <w:rPr>
                <w:color w:val="auto"/>
                <w:spacing w:val="7"/>
                <w:highlight w:val="none"/>
              </w:rPr>
              <w:t>工作经历等（3</w:t>
            </w:r>
            <w:r>
              <w:rPr>
                <w:color w:val="auto"/>
                <w:highlight w:val="none"/>
              </w:rPr>
              <w:t>分）</w:t>
            </w:r>
            <w:r>
              <w:rPr>
                <w:rFonts w:hint="eastAsia"/>
                <w:color w:val="auto"/>
                <w:highlight w:val="none"/>
                <w:lang w:eastAsia="zh-CN"/>
              </w:rPr>
              <w:t>（</w:t>
            </w:r>
            <w:r>
              <w:rPr>
                <w:rFonts w:ascii="宋体" w:hAnsi="宋体" w:eastAsia="宋体" w:cs="宋体"/>
                <w:color w:val="auto"/>
                <w:spacing w:val="9"/>
                <w:sz w:val="20"/>
                <w:szCs w:val="20"/>
                <w:highlight w:val="none"/>
              </w:rPr>
              <w:t>客观分</w:t>
            </w:r>
            <w:r>
              <w:rPr>
                <w:rFonts w:hint="eastAsia"/>
                <w:color w:val="auto"/>
                <w:highlight w:val="none"/>
                <w:lang w:eastAsia="zh-CN"/>
              </w:rPr>
              <w:t>）</w:t>
            </w:r>
          </w:p>
        </w:tc>
        <w:tc>
          <w:tcPr>
            <w:tcW w:w="5948" w:type="dxa"/>
            <w:vAlign w:val="top"/>
          </w:tcPr>
          <w:p w14:paraId="434FA969">
            <w:pPr>
              <w:pStyle w:val="15"/>
              <w:spacing w:before="29" w:line="305" w:lineRule="auto"/>
              <w:ind w:left="115" w:right="39" w:firstLine="2"/>
              <w:jc w:val="both"/>
              <w:rPr>
                <w:color w:val="auto"/>
                <w:highlight w:val="none"/>
              </w:rPr>
            </w:pPr>
            <w:r>
              <w:rPr>
                <w:color w:val="auto"/>
                <w:spacing w:val="12"/>
                <w:highlight w:val="none"/>
              </w:rPr>
              <w:t>项目经理与资格审查合格通过的项目经理（</w:t>
            </w:r>
            <w:r>
              <w:rPr>
                <w:color w:val="auto"/>
                <w:spacing w:val="11"/>
                <w:highlight w:val="none"/>
              </w:rPr>
              <w:t>或注册建造师）在</w:t>
            </w:r>
            <w:r>
              <w:rPr>
                <w:color w:val="auto"/>
                <w:highlight w:val="none"/>
              </w:rPr>
              <w:t xml:space="preserve"> </w:t>
            </w:r>
            <w:r>
              <w:rPr>
                <w:color w:val="auto"/>
                <w:spacing w:val="4"/>
                <w:highlight w:val="none"/>
              </w:rPr>
              <w:t>名称、专业、资格等级等方面一致，得3分；不一致的得0分。</w:t>
            </w:r>
            <w:r>
              <w:rPr>
                <w:color w:val="auto"/>
                <w:highlight w:val="none"/>
              </w:rPr>
              <w:t xml:space="preserve"> </w:t>
            </w:r>
            <w:r>
              <w:rPr>
                <w:color w:val="auto"/>
                <w:spacing w:val="2"/>
                <w:highlight w:val="none"/>
              </w:rPr>
              <w:t>此项满分3分。</w:t>
            </w:r>
          </w:p>
          <w:p w14:paraId="0EC3C457">
            <w:pPr>
              <w:pStyle w:val="15"/>
              <w:spacing w:before="31" w:line="297" w:lineRule="auto"/>
              <w:ind w:left="117" w:right="109"/>
              <w:rPr>
                <w:color w:val="auto"/>
                <w:highlight w:val="none"/>
              </w:rPr>
            </w:pPr>
            <w:r>
              <w:rPr>
                <w:b/>
                <w:bCs/>
                <w:color w:val="auto"/>
                <w:spacing w:val="9"/>
                <w:highlight w:val="none"/>
              </w:rPr>
              <w:t>未提供供应商为其的缴纳的社会保障资金的相关材料的，不得</w:t>
            </w:r>
            <w:r>
              <w:rPr>
                <w:b/>
                <w:bCs/>
                <w:color w:val="auto"/>
                <w:spacing w:val="6"/>
                <w:highlight w:val="none"/>
              </w:rPr>
              <w:t>分（开标时间截止前近半年内连续三个月）。</w:t>
            </w:r>
          </w:p>
        </w:tc>
      </w:tr>
      <w:tr w14:paraId="363AB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703" w:type="dxa"/>
            <w:vMerge w:val="continue"/>
            <w:tcBorders>
              <w:top w:val="nil"/>
              <w:bottom w:val="nil"/>
            </w:tcBorders>
            <w:vAlign w:val="top"/>
          </w:tcPr>
          <w:p w14:paraId="653E7B23">
            <w:pPr>
              <w:rPr>
                <w:rFonts w:ascii="Arial"/>
                <w:color w:val="auto"/>
                <w:sz w:val="21"/>
                <w:highlight w:val="none"/>
              </w:rPr>
            </w:pPr>
          </w:p>
        </w:tc>
        <w:tc>
          <w:tcPr>
            <w:tcW w:w="1424" w:type="dxa"/>
            <w:vMerge w:val="continue"/>
            <w:tcBorders>
              <w:top w:val="nil"/>
              <w:bottom w:val="nil"/>
            </w:tcBorders>
            <w:vAlign w:val="top"/>
          </w:tcPr>
          <w:p w14:paraId="3277C87F">
            <w:pPr>
              <w:rPr>
                <w:rFonts w:ascii="Arial"/>
                <w:color w:val="auto"/>
                <w:sz w:val="21"/>
                <w:highlight w:val="none"/>
              </w:rPr>
            </w:pPr>
          </w:p>
        </w:tc>
        <w:tc>
          <w:tcPr>
            <w:tcW w:w="1631" w:type="dxa"/>
            <w:vAlign w:val="top"/>
          </w:tcPr>
          <w:p w14:paraId="290C276A">
            <w:pPr>
              <w:spacing w:line="245" w:lineRule="auto"/>
              <w:rPr>
                <w:rFonts w:ascii="Arial"/>
                <w:color w:val="auto"/>
                <w:sz w:val="21"/>
                <w:highlight w:val="none"/>
              </w:rPr>
            </w:pPr>
          </w:p>
          <w:p w14:paraId="5980F894">
            <w:pPr>
              <w:spacing w:line="245" w:lineRule="auto"/>
              <w:rPr>
                <w:rFonts w:ascii="Arial"/>
                <w:color w:val="auto"/>
                <w:sz w:val="21"/>
                <w:highlight w:val="none"/>
              </w:rPr>
            </w:pPr>
          </w:p>
          <w:p w14:paraId="0969D0ED">
            <w:pPr>
              <w:spacing w:line="246" w:lineRule="auto"/>
              <w:rPr>
                <w:rFonts w:ascii="Arial"/>
                <w:color w:val="auto"/>
                <w:sz w:val="21"/>
                <w:highlight w:val="none"/>
              </w:rPr>
            </w:pPr>
          </w:p>
          <w:p w14:paraId="6EA41784">
            <w:pPr>
              <w:spacing w:line="246" w:lineRule="auto"/>
              <w:rPr>
                <w:rFonts w:ascii="Arial"/>
                <w:color w:val="auto"/>
                <w:sz w:val="21"/>
                <w:highlight w:val="none"/>
              </w:rPr>
            </w:pPr>
          </w:p>
          <w:p w14:paraId="049EA4DA">
            <w:pPr>
              <w:pStyle w:val="15"/>
              <w:spacing w:before="65" w:line="300" w:lineRule="auto"/>
              <w:ind w:left="121" w:right="106" w:hanging="8"/>
              <w:rPr>
                <w:color w:val="auto"/>
                <w:highlight w:val="none"/>
              </w:rPr>
            </w:pPr>
            <w:r>
              <w:rPr>
                <w:color w:val="auto"/>
                <w:spacing w:val="13"/>
                <w:highlight w:val="none"/>
              </w:rPr>
              <w:t>⑵</w:t>
            </w:r>
            <w:r>
              <w:rPr>
                <w:color w:val="auto"/>
                <w:spacing w:val="-60"/>
                <w:highlight w:val="none"/>
              </w:rPr>
              <w:t xml:space="preserve"> </w:t>
            </w:r>
            <w:r>
              <w:rPr>
                <w:color w:val="auto"/>
                <w:spacing w:val="13"/>
                <w:highlight w:val="none"/>
              </w:rPr>
              <w:t>其他主要人</w:t>
            </w:r>
            <w:r>
              <w:rPr>
                <w:color w:val="auto"/>
                <w:spacing w:val="1"/>
                <w:highlight w:val="none"/>
              </w:rPr>
              <w:t>员（7分）</w:t>
            </w:r>
            <w:r>
              <w:rPr>
                <w:rFonts w:hint="eastAsia"/>
                <w:color w:val="auto"/>
                <w:highlight w:val="none"/>
                <w:lang w:eastAsia="zh-CN"/>
              </w:rPr>
              <w:t>（</w:t>
            </w:r>
            <w:r>
              <w:rPr>
                <w:rFonts w:ascii="宋体" w:hAnsi="宋体" w:eastAsia="宋体" w:cs="宋体"/>
                <w:color w:val="auto"/>
                <w:spacing w:val="9"/>
                <w:sz w:val="20"/>
                <w:szCs w:val="20"/>
                <w:highlight w:val="none"/>
              </w:rPr>
              <w:t>客观分</w:t>
            </w:r>
            <w:r>
              <w:rPr>
                <w:rFonts w:hint="eastAsia"/>
                <w:color w:val="auto"/>
                <w:highlight w:val="none"/>
                <w:lang w:eastAsia="zh-CN"/>
              </w:rPr>
              <w:t>）</w:t>
            </w:r>
          </w:p>
        </w:tc>
        <w:tc>
          <w:tcPr>
            <w:tcW w:w="5948" w:type="dxa"/>
            <w:vAlign w:val="top"/>
          </w:tcPr>
          <w:p w14:paraId="26FDEDDF">
            <w:pPr>
              <w:pStyle w:val="15"/>
              <w:spacing w:before="32" w:line="270" w:lineRule="auto"/>
              <w:ind w:left="130" w:right="107" w:hanging="6"/>
              <w:rPr>
                <w:color w:val="auto"/>
                <w:highlight w:val="none"/>
              </w:rPr>
            </w:pPr>
            <w:r>
              <w:rPr>
                <w:color w:val="auto"/>
                <w:spacing w:val="6"/>
                <w:highlight w:val="none"/>
              </w:rPr>
              <w:t>（1）技术负责人：中级及以上职称的得2分，助理工程师职称</w:t>
            </w:r>
            <w:r>
              <w:rPr>
                <w:color w:val="auto"/>
                <w:spacing w:val="1"/>
                <w:highlight w:val="none"/>
              </w:rPr>
              <w:t>的得</w:t>
            </w:r>
            <w:r>
              <w:rPr>
                <w:color w:val="auto"/>
                <w:spacing w:val="-24"/>
                <w:highlight w:val="none"/>
              </w:rPr>
              <w:t xml:space="preserve"> </w:t>
            </w:r>
            <w:r>
              <w:rPr>
                <w:color w:val="auto"/>
                <w:spacing w:val="1"/>
                <w:highlight w:val="none"/>
              </w:rPr>
              <w:t>1</w:t>
            </w:r>
            <w:r>
              <w:rPr>
                <w:color w:val="auto"/>
                <w:spacing w:val="-36"/>
                <w:highlight w:val="none"/>
              </w:rPr>
              <w:t xml:space="preserve"> </w:t>
            </w:r>
            <w:r>
              <w:rPr>
                <w:color w:val="auto"/>
                <w:spacing w:val="1"/>
                <w:highlight w:val="none"/>
              </w:rPr>
              <w:t>分。此项满分2分。</w:t>
            </w:r>
          </w:p>
          <w:p w14:paraId="3931AFA5">
            <w:pPr>
              <w:pStyle w:val="15"/>
              <w:spacing w:before="93" w:line="293" w:lineRule="auto"/>
              <w:ind w:left="114" w:right="39" w:firstLine="10"/>
              <w:rPr>
                <w:color w:val="auto"/>
                <w:highlight w:val="none"/>
              </w:rPr>
            </w:pPr>
            <w:r>
              <w:rPr>
                <w:color w:val="auto"/>
                <w:spacing w:val="3"/>
                <w:highlight w:val="none"/>
              </w:rPr>
              <w:t>（2）其他主要人员：拟派往本项目的施工员</w:t>
            </w:r>
            <w:r>
              <w:rPr>
                <w:color w:val="auto"/>
                <w:spacing w:val="2"/>
                <w:highlight w:val="none"/>
              </w:rPr>
              <w:t>、质检员、安全员、</w:t>
            </w:r>
            <w:r>
              <w:rPr>
                <w:color w:val="auto"/>
                <w:highlight w:val="none"/>
              </w:rPr>
              <w:t xml:space="preserve"> </w:t>
            </w:r>
            <w:r>
              <w:rPr>
                <w:color w:val="auto"/>
                <w:spacing w:val="12"/>
                <w:highlight w:val="none"/>
              </w:rPr>
              <w:t>材料员配备每类人员至少一人，所有人员均应持有</w:t>
            </w:r>
            <w:r>
              <w:rPr>
                <w:color w:val="auto"/>
                <w:spacing w:val="11"/>
                <w:highlight w:val="none"/>
              </w:rPr>
              <w:t>相应执业证</w:t>
            </w:r>
            <w:r>
              <w:rPr>
                <w:color w:val="auto"/>
                <w:spacing w:val="6"/>
                <w:highlight w:val="none"/>
              </w:rPr>
              <w:t>书或岗位证书，每缺1员该项即为</w:t>
            </w:r>
            <w:r>
              <w:rPr>
                <w:color w:val="auto"/>
                <w:spacing w:val="-19"/>
                <w:highlight w:val="none"/>
              </w:rPr>
              <w:t xml:space="preserve"> </w:t>
            </w:r>
            <w:r>
              <w:rPr>
                <w:color w:val="auto"/>
                <w:spacing w:val="6"/>
                <w:highlight w:val="none"/>
              </w:rPr>
              <w:t>0</w:t>
            </w:r>
            <w:r>
              <w:rPr>
                <w:color w:val="auto"/>
                <w:spacing w:val="-36"/>
                <w:highlight w:val="none"/>
              </w:rPr>
              <w:t xml:space="preserve"> </w:t>
            </w:r>
            <w:r>
              <w:rPr>
                <w:color w:val="auto"/>
                <w:spacing w:val="6"/>
                <w:highlight w:val="none"/>
              </w:rPr>
              <w:t>分（无证或无效证件的算</w:t>
            </w:r>
            <w:r>
              <w:rPr>
                <w:color w:val="auto"/>
                <w:spacing w:val="5"/>
                <w:highlight w:val="none"/>
              </w:rPr>
              <w:t>缺员）。此项满分5分。</w:t>
            </w:r>
          </w:p>
          <w:p w14:paraId="620943EB">
            <w:pPr>
              <w:pStyle w:val="15"/>
              <w:spacing w:before="94" w:line="296" w:lineRule="auto"/>
              <w:ind w:left="117" w:right="109"/>
              <w:rPr>
                <w:color w:val="auto"/>
                <w:highlight w:val="none"/>
              </w:rPr>
            </w:pPr>
            <w:r>
              <w:rPr>
                <w:b/>
                <w:bCs/>
                <w:color w:val="auto"/>
                <w:spacing w:val="9"/>
                <w:highlight w:val="none"/>
              </w:rPr>
              <w:t>未提供供应商为其的缴纳的社会保障资金的相关材料的，不得</w:t>
            </w:r>
            <w:r>
              <w:rPr>
                <w:b/>
                <w:bCs/>
                <w:color w:val="auto"/>
                <w:spacing w:val="6"/>
                <w:highlight w:val="none"/>
              </w:rPr>
              <w:t>分（开标时间截止前近半年内连续三个月）。</w:t>
            </w:r>
          </w:p>
        </w:tc>
      </w:tr>
      <w:tr w14:paraId="38670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9" w:hRule="atLeast"/>
        </w:trPr>
        <w:tc>
          <w:tcPr>
            <w:tcW w:w="703" w:type="dxa"/>
            <w:vMerge w:val="continue"/>
            <w:tcBorders>
              <w:top w:val="nil"/>
              <w:bottom w:val="nil"/>
            </w:tcBorders>
            <w:vAlign w:val="top"/>
          </w:tcPr>
          <w:p w14:paraId="65752729">
            <w:pPr>
              <w:rPr>
                <w:rFonts w:ascii="Arial"/>
                <w:color w:val="auto"/>
                <w:sz w:val="21"/>
                <w:highlight w:val="none"/>
              </w:rPr>
            </w:pPr>
          </w:p>
        </w:tc>
        <w:tc>
          <w:tcPr>
            <w:tcW w:w="1424" w:type="dxa"/>
            <w:vMerge w:val="continue"/>
            <w:tcBorders>
              <w:top w:val="nil"/>
              <w:bottom w:val="nil"/>
            </w:tcBorders>
            <w:vAlign w:val="top"/>
          </w:tcPr>
          <w:p w14:paraId="54BC7950">
            <w:pPr>
              <w:rPr>
                <w:rFonts w:ascii="Arial"/>
                <w:color w:val="auto"/>
                <w:sz w:val="21"/>
                <w:highlight w:val="none"/>
              </w:rPr>
            </w:pPr>
          </w:p>
        </w:tc>
        <w:tc>
          <w:tcPr>
            <w:tcW w:w="1631" w:type="dxa"/>
            <w:vAlign w:val="top"/>
          </w:tcPr>
          <w:p w14:paraId="5658DC85">
            <w:pPr>
              <w:spacing w:line="276" w:lineRule="auto"/>
              <w:rPr>
                <w:rFonts w:ascii="Arial"/>
                <w:color w:val="auto"/>
                <w:sz w:val="21"/>
                <w:highlight w:val="none"/>
              </w:rPr>
            </w:pPr>
          </w:p>
          <w:p w14:paraId="14FFA548">
            <w:pPr>
              <w:spacing w:line="277" w:lineRule="auto"/>
              <w:rPr>
                <w:rFonts w:ascii="Arial"/>
                <w:color w:val="auto"/>
                <w:sz w:val="21"/>
                <w:highlight w:val="none"/>
              </w:rPr>
            </w:pPr>
          </w:p>
          <w:p w14:paraId="07AF3551">
            <w:pPr>
              <w:spacing w:line="277" w:lineRule="auto"/>
              <w:rPr>
                <w:rFonts w:ascii="Arial"/>
                <w:color w:val="auto"/>
                <w:sz w:val="21"/>
                <w:highlight w:val="none"/>
              </w:rPr>
            </w:pPr>
          </w:p>
          <w:p w14:paraId="46AB4CE1">
            <w:pPr>
              <w:spacing w:line="277" w:lineRule="auto"/>
              <w:rPr>
                <w:rFonts w:ascii="Arial"/>
                <w:color w:val="auto"/>
                <w:sz w:val="21"/>
                <w:highlight w:val="none"/>
              </w:rPr>
            </w:pPr>
          </w:p>
          <w:p w14:paraId="3E192F4D">
            <w:pPr>
              <w:spacing w:line="277" w:lineRule="auto"/>
              <w:rPr>
                <w:rFonts w:ascii="Arial"/>
                <w:color w:val="auto"/>
                <w:sz w:val="21"/>
                <w:highlight w:val="none"/>
              </w:rPr>
            </w:pPr>
          </w:p>
          <w:p w14:paraId="7541918E">
            <w:pPr>
              <w:spacing w:line="277" w:lineRule="auto"/>
              <w:rPr>
                <w:rFonts w:ascii="Arial"/>
                <w:color w:val="auto"/>
                <w:sz w:val="21"/>
                <w:highlight w:val="none"/>
              </w:rPr>
            </w:pPr>
          </w:p>
          <w:p w14:paraId="76E9182D">
            <w:pPr>
              <w:pStyle w:val="15"/>
              <w:spacing w:before="65" w:line="300" w:lineRule="auto"/>
              <w:ind w:left="113" w:right="106"/>
              <w:rPr>
                <w:color w:val="auto"/>
                <w:highlight w:val="none"/>
              </w:rPr>
            </w:pPr>
            <w:r>
              <w:rPr>
                <w:color w:val="auto"/>
                <w:spacing w:val="6"/>
                <w:highlight w:val="none"/>
              </w:rPr>
              <w:t>⑶主要施工方</w:t>
            </w:r>
            <w:r>
              <w:rPr>
                <w:color w:val="auto"/>
                <w:spacing w:val="2"/>
                <w:highlight w:val="none"/>
              </w:rPr>
              <w:t>法（6分）</w:t>
            </w:r>
          </w:p>
        </w:tc>
        <w:tc>
          <w:tcPr>
            <w:tcW w:w="5948" w:type="dxa"/>
            <w:vAlign w:val="top"/>
          </w:tcPr>
          <w:p w14:paraId="1A13E4A8">
            <w:pPr>
              <w:pStyle w:val="15"/>
              <w:spacing w:before="33" w:line="304" w:lineRule="auto"/>
              <w:ind w:left="114" w:right="107" w:hanging="1"/>
              <w:jc w:val="both"/>
              <w:rPr>
                <w:color w:val="auto"/>
                <w:highlight w:val="none"/>
              </w:rPr>
            </w:pPr>
            <w:r>
              <w:rPr>
                <w:color w:val="auto"/>
                <w:spacing w:val="9"/>
                <w:highlight w:val="none"/>
              </w:rPr>
              <w:t>优（6分)：各主要分部施工方法符合项目实际，有详尽的施工</w:t>
            </w:r>
            <w:r>
              <w:rPr>
                <w:color w:val="auto"/>
                <w:spacing w:val="12"/>
                <w:highlight w:val="none"/>
              </w:rPr>
              <w:t>技术方案，工艺先进、方法科学合理、可行</w:t>
            </w:r>
            <w:r>
              <w:rPr>
                <w:color w:val="auto"/>
                <w:spacing w:val="11"/>
                <w:highlight w:val="none"/>
              </w:rPr>
              <w:t>，能指导具体施工</w:t>
            </w:r>
            <w:r>
              <w:rPr>
                <w:color w:val="auto"/>
                <w:spacing w:val="6"/>
                <w:highlight w:val="none"/>
              </w:rPr>
              <w:t>并确保安全。</w:t>
            </w:r>
          </w:p>
          <w:p w14:paraId="2DC2FA30">
            <w:pPr>
              <w:pStyle w:val="15"/>
              <w:spacing w:before="33" w:line="305" w:lineRule="auto"/>
              <w:ind w:left="113" w:right="107" w:firstLine="34"/>
              <w:jc w:val="both"/>
              <w:rPr>
                <w:color w:val="auto"/>
                <w:highlight w:val="none"/>
              </w:rPr>
            </w:pPr>
            <w:r>
              <w:rPr>
                <w:color w:val="auto"/>
                <w:spacing w:val="5"/>
                <w:highlight w:val="none"/>
              </w:rPr>
              <w:t>良（4.5分</w:t>
            </w:r>
            <w:r>
              <w:rPr>
                <w:color w:val="auto"/>
                <w:spacing w:val="-7"/>
                <w:highlight w:val="none"/>
              </w:rPr>
              <w:t>）：</w:t>
            </w:r>
            <w:r>
              <w:rPr>
                <w:color w:val="auto"/>
                <w:spacing w:val="5"/>
                <w:highlight w:val="none"/>
              </w:rPr>
              <w:t>各主要分部施工方法符合项目实际，有较详尽的</w:t>
            </w:r>
            <w:r>
              <w:rPr>
                <w:color w:val="auto"/>
                <w:spacing w:val="12"/>
                <w:highlight w:val="none"/>
              </w:rPr>
              <w:t>施工技术方案，工艺及方法科学合理可行，能指导具</w:t>
            </w:r>
            <w:r>
              <w:rPr>
                <w:color w:val="auto"/>
                <w:spacing w:val="11"/>
                <w:highlight w:val="none"/>
              </w:rPr>
              <w:t>体施工并</w:t>
            </w:r>
            <w:r>
              <w:rPr>
                <w:color w:val="auto"/>
                <w:spacing w:val="6"/>
                <w:highlight w:val="none"/>
              </w:rPr>
              <w:t>确保安全。</w:t>
            </w:r>
          </w:p>
          <w:p w14:paraId="5BE8F74B">
            <w:pPr>
              <w:pStyle w:val="15"/>
              <w:spacing w:before="32" w:line="307" w:lineRule="auto"/>
              <w:ind w:left="114" w:right="107" w:firstLine="19"/>
              <w:jc w:val="both"/>
              <w:rPr>
                <w:color w:val="auto"/>
                <w:highlight w:val="none"/>
              </w:rPr>
            </w:pPr>
            <w:r>
              <w:rPr>
                <w:color w:val="auto"/>
                <w:spacing w:val="6"/>
                <w:highlight w:val="none"/>
              </w:rPr>
              <w:t>中（3分</w:t>
            </w:r>
            <w:r>
              <w:rPr>
                <w:color w:val="auto"/>
                <w:spacing w:val="-9"/>
                <w:highlight w:val="none"/>
              </w:rPr>
              <w:t>）：</w:t>
            </w:r>
            <w:r>
              <w:rPr>
                <w:color w:val="auto"/>
                <w:spacing w:val="6"/>
                <w:highlight w:val="none"/>
              </w:rPr>
              <w:t>各主要分部施工方法符合项目实际，</w:t>
            </w:r>
            <w:r>
              <w:rPr>
                <w:color w:val="auto"/>
                <w:spacing w:val="5"/>
                <w:highlight w:val="none"/>
              </w:rPr>
              <w:t>有较详尽的施</w:t>
            </w:r>
            <w:r>
              <w:rPr>
                <w:color w:val="auto"/>
                <w:spacing w:val="12"/>
                <w:highlight w:val="none"/>
              </w:rPr>
              <w:t>工技术方案，工艺及方法合理可行，能指导具体施</w:t>
            </w:r>
            <w:r>
              <w:rPr>
                <w:color w:val="auto"/>
                <w:spacing w:val="11"/>
                <w:highlight w:val="none"/>
              </w:rPr>
              <w:t>工并确保安</w:t>
            </w:r>
            <w:r>
              <w:rPr>
                <w:color w:val="auto"/>
                <w:highlight w:val="none"/>
              </w:rPr>
              <w:t>全。</w:t>
            </w:r>
          </w:p>
          <w:p w14:paraId="66F77EA2">
            <w:pPr>
              <w:pStyle w:val="15"/>
              <w:spacing w:before="21" w:line="302" w:lineRule="auto"/>
              <w:ind w:left="119" w:right="107" w:hanging="2"/>
              <w:jc w:val="both"/>
              <w:rPr>
                <w:color w:val="auto"/>
                <w:highlight w:val="none"/>
              </w:rPr>
            </w:pPr>
            <w:r>
              <w:rPr>
                <w:color w:val="auto"/>
                <w:spacing w:val="6"/>
                <w:highlight w:val="none"/>
              </w:rPr>
              <w:t>差（1.5分</w:t>
            </w:r>
            <w:r>
              <w:rPr>
                <w:color w:val="auto"/>
                <w:spacing w:val="-6"/>
                <w:highlight w:val="none"/>
              </w:rPr>
              <w:t>）：</w:t>
            </w:r>
            <w:r>
              <w:rPr>
                <w:color w:val="auto"/>
                <w:spacing w:val="6"/>
                <w:highlight w:val="none"/>
              </w:rPr>
              <w:t>各主要分部施工方法不符合项目实际，没有具体</w:t>
            </w:r>
            <w:r>
              <w:rPr>
                <w:color w:val="auto"/>
                <w:spacing w:val="11"/>
                <w:highlight w:val="none"/>
              </w:rPr>
              <w:t>的施工技术方案，工艺落后、方法不可行，不能指导具体施工</w:t>
            </w:r>
            <w:r>
              <w:rPr>
                <w:color w:val="auto"/>
                <w:spacing w:val="5"/>
                <w:highlight w:val="none"/>
              </w:rPr>
              <w:t>并确保安全。</w:t>
            </w:r>
          </w:p>
        </w:tc>
      </w:tr>
      <w:tr w14:paraId="59593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03" w:type="dxa"/>
            <w:vMerge w:val="continue"/>
            <w:tcBorders>
              <w:top w:val="nil"/>
              <w:bottom w:val="nil"/>
            </w:tcBorders>
            <w:vAlign w:val="top"/>
          </w:tcPr>
          <w:p w14:paraId="78F4DF5B">
            <w:pPr>
              <w:rPr>
                <w:rFonts w:ascii="Arial"/>
                <w:color w:val="auto"/>
                <w:sz w:val="21"/>
                <w:highlight w:val="none"/>
              </w:rPr>
            </w:pPr>
          </w:p>
        </w:tc>
        <w:tc>
          <w:tcPr>
            <w:tcW w:w="1424" w:type="dxa"/>
            <w:vMerge w:val="continue"/>
            <w:tcBorders>
              <w:top w:val="nil"/>
              <w:bottom w:val="nil"/>
            </w:tcBorders>
            <w:vAlign w:val="top"/>
          </w:tcPr>
          <w:p w14:paraId="4F5ADB77">
            <w:pPr>
              <w:rPr>
                <w:rFonts w:ascii="Arial"/>
                <w:color w:val="auto"/>
                <w:sz w:val="21"/>
                <w:highlight w:val="none"/>
              </w:rPr>
            </w:pPr>
          </w:p>
        </w:tc>
        <w:tc>
          <w:tcPr>
            <w:tcW w:w="1631" w:type="dxa"/>
            <w:vAlign w:val="top"/>
          </w:tcPr>
          <w:p w14:paraId="30876FA6">
            <w:pPr>
              <w:spacing w:line="245" w:lineRule="auto"/>
              <w:rPr>
                <w:rFonts w:ascii="Arial"/>
                <w:color w:val="auto"/>
                <w:sz w:val="21"/>
                <w:highlight w:val="none"/>
              </w:rPr>
            </w:pPr>
          </w:p>
          <w:p w14:paraId="34204140">
            <w:pPr>
              <w:spacing w:line="246" w:lineRule="auto"/>
              <w:rPr>
                <w:rFonts w:ascii="Arial"/>
                <w:color w:val="auto"/>
                <w:sz w:val="21"/>
                <w:highlight w:val="none"/>
              </w:rPr>
            </w:pPr>
          </w:p>
          <w:p w14:paraId="2B0A62E9">
            <w:pPr>
              <w:spacing w:line="246" w:lineRule="auto"/>
              <w:rPr>
                <w:rFonts w:ascii="Arial"/>
                <w:color w:val="auto"/>
                <w:sz w:val="21"/>
                <w:highlight w:val="none"/>
              </w:rPr>
            </w:pPr>
          </w:p>
          <w:p w14:paraId="6FC92BBD">
            <w:pPr>
              <w:spacing w:line="246" w:lineRule="auto"/>
              <w:rPr>
                <w:rFonts w:ascii="Arial"/>
                <w:color w:val="auto"/>
                <w:sz w:val="21"/>
                <w:highlight w:val="none"/>
              </w:rPr>
            </w:pPr>
          </w:p>
          <w:p w14:paraId="202F7891">
            <w:pPr>
              <w:pStyle w:val="15"/>
              <w:spacing w:before="65" w:line="305" w:lineRule="auto"/>
              <w:ind w:left="113" w:right="106"/>
              <w:jc w:val="both"/>
              <w:rPr>
                <w:color w:val="auto"/>
                <w:highlight w:val="none"/>
              </w:rPr>
            </w:pPr>
            <w:r>
              <w:rPr>
                <w:color w:val="auto"/>
                <w:spacing w:val="-3"/>
                <w:highlight w:val="none"/>
              </w:rPr>
              <w:t>⑷拟投入的主</w:t>
            </w:r>
            <w:r>
              <w:rPr>
                <w:color w:val="auto"/>
                <w:spacing w:val="7"/>
                <w:highlight w:val="none"/>
              </w:rPr>
              <w:t>要物资计划（6</w:t>
            </w:r>
            <w:r>
              <w:rPr>
                <w:color w:val="auto"/>
                <w:highlight w:val="none"/>
              </w:rPr>
              <w:t>分）</w:t>
            </w:r>
          </w:p>
        </w:tc>
        <w:tc>
          <w:tcPr>
            <w:tcW w:w="5948" w:type="dxa"/>
            <w:vAlign w:val="top"/>
          </w:tcPr>
          <w:p w14:paraId="666CFD31">
            <w:pPr>
              <w:pStyle w:val="15"/>
              <w:spacing w:before="33" w:line="300" w:lineRule="auto"/>
              <w:ind w:left="113" w:right="107"/>
              <w:rPr>
                <w:color w:val="auto"/>
                <w:highlight w:val="none"/>
              </w:rPr>
            </w:pPr>
            <w:r>
              <w:rPr>
                <w:color w:val="auto"/>
                <w:spacing w:val="9"/>
                <w:highlight w:val="none"/>
              </w:rPr>
              <w:t>优（6</w:t>
            </w:r>
            <w:r>
              <w:rPr>
                <w:color w:val="auto"/>
                <w:spacing w:val="-32"/>
                <w:highlight w:val="none"/>
              </w:rPr>
              <w:t xml:space="preserve"> </w:t>
            </w:r>
            <w:r>
              <w:rPr>
                <w:color w:val="auto"/>
                <w:spacing w:val="9"/>
                <w:highlight w:val="none"/>
              </w:rPr>
              <w:t>分)：投入的施工材料有详细的组织计划且计划周密，数量、选型配置、进场时间安排科学合理可行，满足施工需要。</w:t>
            </w:r>
          </w:p>
          <w:p w14:paraId="64896750">
            <w:pPr>
              <w:pStyle w:val="15"/>
              <w:spacing w:before="32" w:line="304" w:lineRule="auto"/>
              <w:ind w:left="115" w:right="107" w:firstLine="32"/>
              <w:rPr>
                <w:color w:val="auto"/>
                <w:highlight w:val="none"/>
              </w:rPr>
            </w:pPr>
            <w:r>
              <w:rPr>
                <w:color w:val="auto"/>
                <w:spacing w:val="6"/>
                <w:highlight w:val="none"/>
              </w:rPr>
              <w:t>良（4.5分</w:t>
            </w:r>
            <w:r>
              <w:rPr>
                <w:color w:val="auto"/>
                <w:spacing w:val="-16"/>
                <w:highlight w:val="none"/>
              </w:rPr>
              <w:t>）：</w:t>
            </w:r>
            <w:r>
              <w:rPr>
                <w:color w:val="auto"/>
                <w:spacing w:val="6"/>
                <w:highlight w:val="none"/>
              </w:rPr>
              <w:t>投入的施工材料有较详细的组织计</w:t>
            </w:r>
            <w:r>
              <w:rPr>
                <w:color w:val="auto"/>
                <w:spacing w:val="5"/>
                <w:highlight w:val="none"/>
              </w:rPr>
              <w:t>划且计划较周</w:t>
            </w:r>
            <w:r>
              <w:rPr>
                <w:color w:val="auto"/>
                <w:spacing w:val="12"/>
                <w:highlight w:val="none"/>
              </w:rPr>
              <w:t>密，数量、选型配置、进场时间安排合理可行，</w:t>
            </w:r>
            <w:r>
              <w:rPr>
                <w:color w:val="auto"/>
                <w:spacing w:val="11"/>
                <w:highlight w:val="none"/>
              </w:rPr>
              <w:t>基本满足施工</w:t>
            </w:r>
            <w:r>
              <w:rPr>
                <w:color w:val="auto"/>
                <w:spacing w:val="2"/>
                <w:highlight w:val="none"/>
              </w:rPr>
              <w:t>需要。</w:t>
            </w:r>
          </w:p>
          <w:p w14:paraId="2B82ED85">
            <w:pPr>
              <w:pStyle w:val="15"/>
              <w:spacing w:before="31" w:line="300" w:lineRule="auto"/>
              <w:ind w:left="116" w:right="55" w:firstLine="17"/>
              <w:rPr>
                <w:color w:val="auto"/>
                <w:highlight w:val="none"/>
              </w:rPr>
            </w:pPr>
            <w:r>
              <w:rPr>
                <w:color w:val="auto"/>
                <w:spacing w:val="3"/>
                <w:highlight w:val="none"/>
              </w:rPr>
              <w:t>中（3分</w:t>
            </w:r>
            <w:r>
              <w:rPr>
                <w:color w:val="auto"/>
                <w:spacing w:val="-47"/>
                <w:highlight w:val="none"/>
              </w:rPr>
              <w:t>）：</w:t>
            </w:r>
            <w:r>
              <w:rPr>
                <w:color w:val="auto"/>
                <w:spacing w:val="3"/>
                <w:highlight w:val="none"/>
              </w:rPr>
              <w:t>投入的施工材料有较详细的组织计划且计划较周密，</w:t>
            </w:r>
            <w:r>
              <w:rPr>
                <w:color w:val="auto"/>
                <w:spacing w:val="9"/>
                <w:highlight w:val="none"/>
              </w:rPr>
              <w:t>数量、选型配置、进场时间安排可行，基本满足施工需要。</w:t>
            </w:r>
          </w:p>
          <w:p w14:paraId="5BA4114B">
            <w:pPr>
              <w:pStyle w:val="15"/>
              <w:spacing w:before="33" w:line="295" w:lineRule="auto"/>
              <w:ind w:left="116" w:right="46"/>
              <w:rPr>
                <w:color w:val="auto"/>
                <w:highlight w:val="none"/>
              </w:rPr>
            </w:pPr>
            <w:r>
              <w:rPr>
                <w:color w:val="auto"/>
                <w:spacing w:val="7"/>
                <w:highlight w:val="none"/>
              </w:rPr>
              <w:t>差（1.5分</w:t>
            </w:r>
            <w:r>
              <w:rPr>
                <w:color w:val="auto"/>
                <w:spacing w:val="15"/>
                <w:highlight w:val="none"/>
              </w:rPr>
              <w:t>）：</w:t>
            </w:r>
            <w:r>
              <w:rPr>
                <w:color w:val="auto"/>
                <w:spacing w:val="7"/>
                <w:highlight w:val="none"/>
              </w:rPr>
              <w:t>投入的施工材料没有较详细的组织计划</w:t>
            </w:r>
            <w:r>
              <w:rPr>
                <w:color w:val="auto"/>
                <w:spacing w:val="6"/>
                <w:highlight w:val="none"/>
              </w:rPr>
              <w:t>且计划、</w:t>
            </w:r>
            <w:r>
              <w:rPr>
                <w:color w:val="auto"/>
                <w:spacing w:val="9"/>
                <w:highlight w:val="none"/>
              </w:rPr>
              <w:t>数量、选型配置、进场时间安排不合理，不满足施工需要。</w:t>
            </w:r>
          </w:p>
        </w:tc>
      </w:tr>
      <w:tr w14:paraId="30A76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 w:hRule="atLeast"/>
        </w:trPr>
        <w:tc>
          <w:tcPr>
            <w:tcW w:w="703" w:type="dxa"/>
            <w:vMerge w:val="continue"/>
            <w:tcBorders>
              <w:top w:val="nil"/>
            </w:tcBorders>
            <w:vAlign w:val="top"/>
          </w:tcPr>
          <w:p w14:paraId="401071F9">
            <w:pPr>
              <w:rPr>
                <w:rFonts w:ascii="Arial"/>
                <w:color w:val="auto"/>
                <w:sz w:val="21"/>
                <w:highlight w:val="none"/>
              </w:rPr>
            </w:pPr>
          </w:p>
        </w:tc>
        <w:tc>
          <w:tcPr>
            <w:tcW w:w="1424" w:type="dxa"/>
            <w:vMerge w:val="continue"/>
            <w:tcBorders>
              <w:top w:val="nil"/>
            </w:tcBorders>
            <w:vAlign w:val="top"/>
          </w:tcPr>
          <w:p w14:paraId="6B0EAAD3">
            <w:pPr>
              <w:rPr>
                <w:rFonts w:ascii="Arial"/>
                <w:color w:val="auto"/>
                <w:sz w:val="21"/>
                <w:highlight w:val="none"/>
              </w:rPr>
            </w:pPr>
          </w:p>
        </w:tc>
        <w:tc>
          <w:tcPr>
            <w:tcW w:w="1631" w:type="dxa"/>
            <w:vAlign w:val="top"/>
          </w:tcPr>
          <w:p w14:paraId="1BD1B3D3">
            <w:pPr>
              <w:pStyle w:val="15"/>
              <w:spacing w:before="36" w:line="296" w:lineRule="auto"/>
              <w:ind w:left="113" w:right="106"/>
              <w:rPr>
                <w:color w:val="auto"/>
                <w:highlight w:val="none"/>
              </w:rPr>
            </w:pPr>
            <w:r>
              <w:rPr>
                <w:color w:val="auto"/>
                <w:spacing w:val="-3"/>
                <w:highlight w:val="none"/>
              </w:rPr>
              <w:t>⑸拟投入的主</w:t>
            </w:r>
            <w:r>
              <w:rPr>
                <w:color w:val="auto"/>
                <w:highlight w:val="none"/>
              </w:rPr>
              <w:t>要施工机械、设</w:t>
            </w:r>
          </w:p>
        </w:tc>
        <w:tc>
          <w:tcPr>
            <w:tcW w:w="5948" w:type="dxa"/>
            <w:vAlign w:val="top"/>
          </w:tcPr>
          <w:p w14:paraId="530992DC">
            <w:pPr>
              <w:pStyle w:val="15"/>
              <w:spacing w:before="36" w:line="296" w:lineRule="auto"/>
              <w:ind w:left="113" w:right="107"/>
              <w:rPr>
                <w:color w:val="auto"/>
                <w:highlight w:val="none"/>
              </w:rPr>
            </w:pPr>
            <w:r>
              <w:rPr>
                <w:color w:val="auto"/>
                <w:spacing w:val="9"/>
                <w:highlight w:val="none"/>
              </w:rPr>
              <w:t>优（6</w:t>
            </w:r>
            <w:r>
              <w:rPr>
                <w:color w:val="auto"/>
                <w:spacing w:val="-32"/>
                <w:highlight w:val="none"/>
              </w:rPr>
              <w:t xml:space="preserve"> </w:t>
            </w:r>
            <w:r>
              <w:rPr>
                <w:color w:val="auto"/>
                <w:spacing w:val="9"/>
                <w:highlight w:val="none"/>
              </w:rPr>
              <w:t>分)：投入的施工机械、设备、具有详细的组织计划且计</w:t>
            </w:r>
            <w:r>
              <w:rPr>
                <w:color w:val="auto"/>
                <w:spacing w:val="12"/>
                <w:highlight w:val="none"/>
              </w:rPr>
              <w:t>划周密，设备数量、选型配置、进场时间安排科学合</w:t>
            </w:r>
            <w:r>
              <w:rPr>
                <w:color w:val="auto"/>
                <w:spacing w:val="11"/>
                <w:highlight w:val="none"/>
              </w:rPr>
              <w:t>理，满足</w:t>
            </w:r>
          </w:p>
        </w:tc>
      </w:tr>
    </w:tbl>
    <w:p w14:paraId="4310A304">
      <w:pPr>
        <w:spacing w:before="73" w:line="188" w:lineRule="auto"/>
        <w:ind w:left="4772"/>
        <w:rPr>
          <w:rFonts w:ascii="Times New Roman" w:hAnsi="Times New Roman" w:eastAsia="Times New Roman" w:cs="Times New Roman"/>
          <w:color w:val="auto"/>
          <w:sz w:val="18"/>
          <w:szCs w:val="18"/>
          <w:highlight w:val="none"/>
        </w:rPr>
        <w:sectPr>
          <w:footerReference r:id="rId14" w:type="default"/>
          <w:pgSz w:w="11910" w:h="16840"/>
          <w:pgMar w:top="1371" w:right="1083" w:bottom="400" w:left="1115" w:header="0" w:footer="454" w:gutter="0"/>
          <w:pgNumType w:fmt="decimal"/>
          <w:cols w:space="720" w:num="1"/>
        </w:sectPr>
      </w:pPr>
    </w:p>
    <w:tbl>
      <w:tblPr>
        <w:tblStyle w:val="14"/>
        <w:tblW w:w="97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424"/>
        <w:gridCol w:w="1631"/>
        <w:gridCol w:w="5948"/>
      </w:tblGrid>
      <w:tr w14:paraId="4753A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3" w:type="dxa"/>
            <w:shd w:val="clear" w:color="auto" w:fill="DAE3F3"/>
            <w:vAlign w:val="top"/>
          </w:tcPr>
          <w:p w14:paraId="716E159F">
            <w:pPr>
              <w:pStyle w:val="15"/>
              <w:spacing w:before="36" w:line="297" w:lineRule="auto"/>
              <w:ind w:left="255" w:right="140" w:hanging="106"/>
              <w:rPr>
                <w:color w:val="auto"/>
                <w:highlight w:val="none"/>
              </w:rPr>
            </w:pPr>
            <w:r>
              <w:rPr>
                <w:color w:val="auto"/>
                <w:spacing w:val="3"/>
                <w:highlight w:val="none"/>
              </w:rPr>
              <w:t>条款</w:t>
            </w:r>
            <w:r>
              <w:rPr>
                <w:color w:val="auto"/>
                <w:highlight w:val="none"/>
              </w:rPr>
              <w:t xml:space="preserve"> 号</w:t>
            </w:r>
          </w:p>
        </w:tc>
        <w:tc>
          <w:tcPr>
            <w:tcW w:w="3055" w:type="dxa"/>
            <w:gridSpan w:val="2"/>
            <w:shd w:val="clear" w:color="auto" w:fill="DAE3F3"/>
            <w:vAlign w:val="top"/>
          </w:tcPr>
          <w:p w14:paraId="196A2F2B">
            <w:pPr>
              <w:pStyle w:val="15"/>
              <w:spacing w:before="205" w:line="228" w:lineRule="auto"/>
              <w:ind w:left="1112"/>
              <w:rPr>
                <w:color w:val="auto"/>
                <w:highlight w:val="none"/>
              </w:rPr>
            </w:pPr>
            <w:r>
              <w:rPr>
                <w:color w:val="auto"/>
                <w:spacing w:val="7"/>
                <w:highlight w:val="none"/>
              </w:rPr>
              <w:t>评审因素</w:t>
            </w:r>
          </w:p>
        </w:tc>
        <w:tc>
          <w:tcPr>
            <w:tcW w:w="5948" w:type="dxa"/>
            <w:shd w:val="clear" w:color="auto" w:fill="DAE3F3"/>
            <w:vAlign w:val="top"/>
          </w:tcPr>
          <w:p w14:paraId="3DB8C235">
            <w:pPr>
              <w:pStyle w:val="15"/>
              <w:spacing w:before="36" w:line="228" w:lineRule="auto"/>
              <w:ind w:left="2557"/>
              <w:rPr>
                <w:color w:val="auto"/>
                <w:highlight w:val="none"/>
              </w:rPr>
            </w:pPr>
            <w:r>
              <w:rPr>
                <w:color w:val="auto"/>
                <w:spacing w:val="7"/>
                <w:highlight w:val="none"/>
              </w:rPr>
              <w:t>评审标准</w:t>
            </w:r>
          </w:p>
        </w:tc>
      </w:tr>
      <w:tr w14:paraId="01CA0B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8" w:hRule="atLeast"/>
        </w:trPr>
        <w:tc>
          <w:tcPr>
            <w:tcW w:w="703" w:type="dxa"/>
            <w:vMerge w:val="restart"/>
            <w:tcBorders>
              <w:bottom w:val="nil"/>
            </w:tcBorders>
            <w:vAlign w:val="top"/>
          </w:tcPr>
          <w:p w14:paraId="25AD2B87">
            <w:pPr>
              <w:rPr>
                <w:rFonts w:ascii="Arial"/>
                <w:color w:val="auto"/>
                <w:sz w:val="21"/>
                <w:highlight w:val="none"/>
              </w:rPr>
            </w:pPr>
          </w:p>
        </w:tc>
        <w:tc>
          <w:tcPr>
            <w:tcW w:w="1424" w:type="dxa"/>
            <w:vMerge w:val="restart"/>
            <w:tcBorders>
              <w:bottom w:val="nil"/>
            </w:tcBorders>
            <w:vAlign w:val="top"/>
          </w:tcPr>
          <w:p w14:paraId="26269D62">
            <w:pPr>
              <w:rPr>
                <w:rFonts w:ascii="Arial"/>
                <w:color w:val="auto"/>
                <w:sz w:val="21"/>
                <w:highlight w:val="none"/>
              </w:rPr>
            </w:pPr>
          </w:p>
        </w:tc>
        <w:tc>
          <w:tcPr>
            <w:tcW w:w="1631" w:type="dxa"/>
            <w:vAlign w:val="top"/>
          </w:tcPr>
          <w:p w14:paraId="591145C2">
            <w:pPr>
              <w:pStyle w:val="15"/>
              <w:spacing w:before="32" w:line="228" w:lineRule="auto"/>
              <w:ind w:left="116"/>
              <w:rPr>
                <w:color w:val="auto"/>
                <w:highlight w:val="none"/>
              </w:rPr>
            </w:pPr>
            <w:r>
              <w:rPr>
                <w:color w:val="auto"/>
                <w:spacing w:val="4"/>
                <w:highlight w:val="none"/>
              </w:rPr>
              <w:t>备计划（6分）</w:t>
            </w:r>
          </w:p>
        </w:tc>
        <w:tc>
          <w:tcPr>
            <w:tcW w:w="5948" w:type="dxa"/>
            <w:vAlign w:val="top"/>
          </w:tcPr>
          <w:p w14:paraId="4DBE4560">
            <w:pPr>
              <w:pStyle w:val="15"/>
              <w:spacing w:before="32" w:line="228" w:lineRule="auto"/>
              <w:ind w:left="113"/>
              <w:rPr>
                <w:color w:val="auto"/>
                <w:highlight w:val="none"/>
              </w:rPr>
            </w:pPr>
            <w:r>
              <w:rPr>
                <w:color w:val="auto"/>
                <w:spacing w:val="6"/>
                <w:highlight w:val="none"/>
              </w:rPr>
              <w:t>施工需要。</w:t>
            </w:r>
          </w:p>
          <w:p w14:paraId="5EF4843E">
            <w:pPr>
              <w:pStyle w:val="15"/>
              <w:spacing w:before="90" w:line="305" w:lineRule="auto"/>
              <w:ind w:left="114" w:right="109" w:firstLine="33"/>
              <w:rPr>
                <w:color w:val="auto"/>
                <w:highlight w:val="none"/>
              </w:rPr>
            </w:pPr>
            <w:r>
              <w:rPr>
                <w:color w:val="auto"/>
                <w:spacing w:val="5"/>
                <w:highlight w:val="none"/>
              </w:rPr>
              <w:t>良（4.5分</w:t>
            </w:r>
            <w:r>
              <w:rPr>
                <w:color w:val="auto"/>
                <w:spacing w:val="-4"/>
                <w:highlight w:val="none"/>
              </w:rPr>
              <w:t>）：</w:t>
            </w:r>
            <w:r>
              <w:rPr>
                <w:color w:val="auto"/>
                <w:spacing w:val="5"/>
                <w:highlight w:val="none"/>
              </w:rPr>
              <w:t>投入的施工机械、设备、具有</w:t>
            </w:r>
            <w:r>
              <w:rPr>
                <w:color w:val="auto"/>
                <w:spacing w:val="4"/>
                <w:highlight w:val="none"/>
              </w:rPr>
              <w:t>较详细的组织计划</w:t>
            </w:r>
            <w:r>
              <w:rPr>
                <w:color w:val="auto"/>
                <w:spacing w:val="12"/>
                <w:highlight w:val="none"/>
              </w:rPr>
              <w:t>且计划较周密，设备数量、选型配置、进场时</w:t>
            </w:r>
            <w:r>
              <w:rPr>
                <w:color w:val="auto"/>
                <w:spacing w:val="11"/>
                <w:highlight w:val="none"/>
              </w:rPr>
              <w:t>间安排较合理，</w:t>
            </w:r>
            <w:r>
              <w:rPr>
                <w:color w:val="auto"/>
                <w:spacing w:val="7"/>
                <w:highlight w:val="none"/>
              </w:rPr>
              <w:t>满足施工需要。</w:t>
            </w:r>
          </w:p>
          <w:p w14:paraId="37B9231B">
            <w:pPr>
              <w:pStyle w:val="15"/>
              <w:spacing w:before="31" w:line="305" w:lineRule="auto"/>
              <w:ind w:left="114" w:right="107" w:firstLine="19"/>
              <w:jc w:val="both"/>
              <w:rPr>
                <w:color w:val="auto"/>
                <w:highlight w:val="none"/>
              </w:rPr>
            </w:pPr>
            <w:r>
              <w:rPr>
                <w:color w:val="auto"/>
                <w:spacing w:val="5"/>
                <w:highlight w:val="none"/>
              </w:rPr>
              <w:t>中（3分</w:t>
            </w:r>
            <w:r>
              <w:rPr>
                <w:color w:val="auto"/>
                <w:spacing w:val="2"/>
                <w:highlight w:val="none"/>
              </w:rPr>
              <w:t>）：</w:t>
            </w:r>
            <w:r>
              <w:rPr>
                <w:color w:val="auto"/>
                <w:spacing w:val="5"/>
                <w:highlight w:val="none"/>
              </w:rPr>
              <w:t>投入的施工机械、设备、具有较详细的组织计划且</w:t>
            </w:r>
            <w:r>
              <w:rPr>
                <w:color w:val="auto"/>
                <w:spacing w:val="12"/>
                <w:highlight w:val="none"/>
              </w:rPr>
              <w:t>计划较周密，设备数量、选型配置、进场时间安排</w:t>
            </w:r>
            <w:r>
              <w:rPr>
                <w:color w:val="auto"/>
                <w:spacing w:val="11"/>
                <w:highlight w:val="none"/>
              </w:rPr>
              <w:t>可行，基本</w:t>
            </w:r>
            <w:r>
              <w:rPr>
                <w:color w:val="auto"/>
                <w:spacing w:val="7"/>
                <w:highlight w:val="none"/>
              </w:rPr>
              <w:t>满足施工需要。</w:t>
            </w:r>
          </w:p>
          <w:p w14:paraId="25ED38F7">
            <w:pPr>
              <w:pStyle w:val="15"/>
              <w:spacing w:before="33" w:line="302" w:lineRule="auto"/>
              <w:ind w:left="113" w:right="107" w:firstLine="3"/>
              <w:jc w:val="both"/>
              <w:rPr>
                <w:color w:val="auto"/>
                <w:highlight w:val="none"/>
              </w:rPr>
            </w:pPr>
            <w:r>
              <w:rPr>
                <w:color w:val="auto"/>
                <w:spacing w:val="6"/>
                <w:highlight w:val="none"/>
              </w:rPr>
              <w:t>差（1.5分</w:t>
            </w:r>
            <w:r>
              <w:rPr>
                <w:color w:val="auto"/>
                <w:spacing w:val="-5"/>
                <w:highlight w:val="none"/>
              </w:rPr>
              <w:t>）：</w:t>
            </w:r>
            <w:r>
              <w:rPr>
                <w:color w:val="auto"/>
                <w:spacing w:val="6"/>
                <w:highlight w:val="none"/>
              </w:rPr>
              <w:t>投入的施工机械、设备无详细的组织计划且计划</w:t>
            </w:r>
            <w:r>
              <w:rPr>
                <w:color w:val="auto"/>
                <w:spacing w:val="12"/>
                <w:highlight w:val="none"/>
              </w:rPr>
              <w:t>不周密，设备数量、选型配置、进场时间安排不可行</w:t>
            </w:r>
            <w:r>
              <w:rPr>
                <w:color w:val="auto"/>
                <w:spacing w:val="11"/>
                <w:highlight w:val="none"/>
              </w:rPr>
              <w:t>，不满足</w:t>
            </w:r>
            <w:r>
              <w:rPr>
                <w:color w:val="auto"/>
                <w:spacing w:val="6"/>
                <w:highlight w:val="none"/>
              </w:rPr>
              <w:t>施工需要。</w:t>
            </w:r>
          </w:p>
        </w:tc>
      </w:tr>
      <w:tr w14:paraId="23BD1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8" w:hRule="atLeast"/>
        </w:trPr>
        <w:tc>
          <w:tcPr>
            <w:tcW w:w="703" w:type="dxa"/>
            <w:vMerge w:val="continue"/>
            <w:tcBorders>
              <w:top w:val="nil"/>
              <w:bottom w:val="nil"/>
            </w:tcBorders>
            <w:vAlign w:val="top"/>
          </w:tcPr>
          <w:p w14:paraId="08A2E906">
            <w:pPr>
              <w:rPr>
                <w:rFonts w:ascii="Arial"/>
                <w:color w:val="auto"/>
                <w:sz w:val="21"/>
                <w:highlight w:val="none"/>
              </w:rPr>
            </w:pPr>
          </w:p>
        </w:tc>
        <w:tc>
          <w:tcPr>
            <w:tcW w:w="1424" w:type="dxa"/>
            <w:vMerge w:val="continue"/>
            <w:tcBorders>
              <w:top w:val="nil"/>
              <w:bottom w:val="nil"/>
            </w:tcBorders>
            <w:vAlign w:val="top"/>
          </w:tcPr>
          <w:p w14:paraId="163CA8B5">
            <w:pPr>
              <w:rPr>
                <w:rFonts w:ascii="Arial"/>
                <w:color w:val="auto"/>
                <w:sz w:val="21"/>
                <w:highlight w:val="none"/>
              </w:rPr>
            </w:pPr>
          </w:p>
        </w:tc>
        <w:tc>
          <w:tcPr>
            <w:tcW w:w="1631" w:type="dxa"/>
            <w:vAlign w:val="top"/>
          </w:tcPr>
          <w:p w14:paraId="77E233E3">
            <w:pPr>
              <w:spacing w:line="264" w:lineRule="auto"/>
              <w:rPr>
                <w:rFonts w:ascii="Arial"/>
                <w:color w:val="auto"/>
                <w:sz w:val="21"/>
                <w:highlight w:val="none"/>
              </w:rPr>
            </w:pPr>
          </w:p>
          <w:p w14:paraId="7CFBE247">
            <w:pPr>
              <w:spacing w:line="264" w:lineRule="auto"/>
              <w:rPr>
                <w:rFonts w:ascii="Arial"/>
                <w:color w:val="auto"/>
                <w:sz w:val="21"/>
                <w:highlight w:val="none"/>
              </w:rPr>
            </w:pPr>
          </w:p>
          <w:p w14:paraId="71F97094">
            <w:pPr>
              <w:spacing w:line="264" w:lineRule="auto"/>
              <w:rPr>
                <w:rFonts w:ascii="Arial"/>
                <w:color w:val="auto"/>
                <w:sz w:val="21"/>
                <w:highlight w:val="none"/>
              </w:rPr>
            </w:pPr>
          </w:p>
          <w:p w14:paraId="48594138">
            <w:pPr>
              <w:spacing w:line="264" w:lineRule="auto"/>
              <w:rPr>
                <w:rFonts w:ascii="Arial"/>
                <w:color w:val="auto"/>
                <w:sz w:val="21"/>
                <w:highlight w:val="none"/>
              </w:rPr>
            </w:pPr>
          </w:p>
          <w:p w14:paraId="55323AD7">
            <w:pPr>
              <w:spacing w:line="265" w:lineRule="auto"/>
              <w:rPr>
                <w:rFonts w:ascii="Arial"/>
                <w:color w:val="auto"/>
                <w:sz w:val="21"/>
                <w:highlight w:val="none"/>
              </w:rPr>
            </w:pPr>
          </w:p>
          <w:p w14:paraId="5E153497">
            <w:pPr>
              <w:pStyle w:val="15"/>
              <w:spacing w:before="65" w:line="298" w:lineRule="auto"/>
              <w:ind w:left="113" w:right="106"/>
              <w:rPr>
                <w:color w:val="auto"/>
                <w:highlight w:val="none"/>
              </w:rPr>
            </w:pPr>
            <w:r>
              <w:rPr>
                <w:color w:val="auto"/>
                <w:spacing w:val="5"/>
                <w:highlight w:val="none"/>
              </w:rPr>
              <w:t>⑹劳动力安排</w:t>
            </w:r>
            <w:r>
              <w:rPr>
                <w:color w:val="auto"/>
                <w:spacing w:val="3"/>
                <w:highlight w:val="none"/>
              </w:rPr>
              <w:t>计划（6分）</w:t>
            </w:r>
          </w:p>
        </w:tc>
        <w:tc>
          <w:tcPr>
            <w:tcW w:w="5948" w:type="dxa"/>
            <w:vAlign w:val="top"/>
          </w:tcPr>
          <w:p w14:paraId="63848EB9">
            <w:pPr>
              <w:pStyle w:val="15"/>
              <w:spacing w:before="37" w:line="310" w:lineRule="auto"/>
              <w:ind w:left="114" w:right="39" w:hanging="1"/>
              <w:jc w:val="both"/>
              <w:rPr>
                <w:color w:val="auto"/>
                <w:highlight w:val="none"/>
              </w:rPr>
            </w:pPr>
            <w:r>
              <w:rPr>
                <w:color w:val="auto"/>
                <w:spacing w:val="6"/>
                <w:highlight w:val="none"/>
              </w:rPr>
              <w:t>优（6分</w:t>
            </w:r>
            <w:r>
              <w:rPr>
                <w:color w:val="auto"/>
                <w:highlight w:val="none"/>
              </w:rPr>
              <w:t>）：</w:t>
            </w:r>
            <w:r>
              <w:rPr>
                <w:color w:val="auto"/>
                <w:spacing w:val="6"/>
                <w:highlight w:val="none"/>
              </w:rPr>
              <w:t>各主要施工工序有详细周密的劳动力安排计划，有</w:t>
            </w:r>
            <w:r>
              <w:rPr>
                <w:color w:val="auto"/>
                <w:highlight w:val="none"/>
              </w:rPr>
              <w:t xml:space="preserve"> </w:t>
            </w:r>
            <w:r>
              <w:rPr>
                <w:color w:val="auto"/>
                <w:spacing w:val="7"/>
                <w:highlight w:val="none"/>
              </w:rPr>
              <w:t>各工种劳动力安排计划，劳动力投入科学合</w:t>
            </w:r>
            <w:r>
              <w:rPr>
                <w:color w:val="auto"/>
                <w:spacing w:val="6"/>
                <w:highlight w:val="none"/>
              </w:rPr>
              <w:t>理，满足施工需要。</w:t>
            </w:r>
            <w:r>
              <w:rPr>
                <w:color w:val="auto"/>
                <w:highlight w:val="none"/>
              </w:rPr>
              <w:t xml:space="preserve"> </w:t>
            </w:r>
            <w:r>
              <w:rPr>
                <w:color w:val="auto"/>
                <w:spacing w:val="4"/>
                <w:highlight w:val="none"/>
              </w:rPr>
              <w:t>良（4.5分</w:t>
            </w:r>
            <w:r>
              <w:rPr>
                <w:color w:val="auto"/>
                <w:spacing w:val="-45"/>
                <w:highlight w:val="none"/>
              </w:rPr>
              <w:t>）：</w:t>
            </w:r>
            <w:r>
              <w:rPr>
                <w:color w:val="auto"/>
                <w:spacing w:val="4"/>
                <w:highlight w:val="none"/>
              </w:rPr>
              <w:t>各主要施工工序有较详细周密的劳动力安排计划，</w:t>
            </w:r>
            <w:r>
              <w:rPr>
                <w:color w:val="auto"/>
                <w:highlight w:val="none"/>
              </w:rPr>
              <w:t xml:space="preserve"> </w:t>
            </w:r>
            <w:r>
              <w:rPr>
                <w:color w:val="auto"/>
                <w:spacing w:val="7"/>
                <w:highlight w:val="none"/>
              </w:rPr>
              <w:t>有各工种劳动力安排计划，劳动力投入较合</w:t>
            </w:r>
            <w:r>
              <w:rPr>
                <w:color w:val="auto"/>
                <w:spacing w:val="6"/>
                <w:highlight w:val="none"/>
              </w:rPr>
              <w:t>理，满足施工需要。</w:t>
            </w:r>
            <w:r>
              <w:rPr>
                <w:color w:val="auto"/>
                <w:highlight w:val="none"/>
              </w:rPr>
              <w:t xml:space="preserve"> </w:t>
            </w:r>
            <w:r>
              <w:rPr>
                <w:color w:val="auto"/>
                <w:spacing w:val="10"/>
                <w:highlight w:val="none"/>
              </w:rPr>
              <w:t>中（3分</w:t>
            </w:r>
            <w:r>
              <w:rPr>
                <w:color w:val="auto"/>
                <w:spacing w:val="16"/>
                <w:highlight w:val="none"/>
              </w:rPr>
              <w:t>）：</w:t>
            </w:r>
            <w:r>
              <w:rPr>
                <w:color w:val="auto"/>
                <w:spacing w:val="10"/>
                <w:highlight w:val="none"/>
              </w:rPr>
              <w:t>各主要施工工序有较详细周密的劳动</w:t>
            </w:r>
            <w:r>
              <w:rPr>
                <w:color w:val="auto"/>
                <w:spacing w:val="9"/>
                <w:highlight w:val="none"/>
              </w:rPr>
              <w:t>力安排计划，</w:t>
            </w:r>
            <w:r>
              <w:rPr>
                <w:color w:val="auto"/>
                <w:spacing w:val="1"/>
                <w:highlight w:val="none"/>
              </w:rPr>
              <w:t xml:space="preserve"> </w:t>
            </w:r>
            <w:r>
              <w:rPr>
                <w:color w:val="auto"/>
                <w:spacing w:val="12"/>
                <w:highlight w:val="none"/>
              </w:rPr>
              <w:t>有各工种劳动力安排计划，劳动力投入可行，基</w:t>
            </w:r>
            <w:r>
              <w:rPr>
                <w:color w:val="auto"/>
                <w:spacing w:val="11"/>
                <w:highlight w:val="none"/>
              </w:rPr>
              <w:t>本满足施工需</w:t>
            </w:r>
            <w:r>
              <w:rPr>
                <w:color w:val="auto"/>
                <w:highlight w:val="none"/>
              </w:rPr>
              <w:t xml:space="preserve"> 要。</w:t>
            </w:r>
          </w:p>
          <w:p w14:paraId="4F05CC99">
            <w:pPr>
              <w:pStyle w:val="15"/>
              <w:spacing w:before="28" w:line="302" w:lineRule="auto"/>
              <w:ind w:left="113" w:right="107" w:firstLine="3"/>
              <w:jc w:val="both"/>
              <w:rPr>
                <w:color w:val="auto"/>
                <w:highlight w:val="none"/>
              </w:rPr>
            </w:pPr>
            <w:r>
              <w:rPr>
                <w:color w:val="auto"/>
                <w:spacing w:val="7"/>
                <w:highlight w:val="none"/>
              </w:rPr>
              <w:t>差（1.5分</w:t>
            </w:r>
            <w:r>
              <w:rPr>
                <w:color w:val="auto"/>
                <w:spacing w:val="-16"/>
                <w:highlight w:val="none"/>
              </w:rPr>
              <w:t>）：</w:t>
            </w:r>
            <w:r>
              <w:rPr>
                <w:color w:val="auto"/>
                <w:spacing w:val="7"/>
                <w:highlight w:val="none"/>
              </w:rPr>
              <w:t>各主要施工工序应没有详细周密的劳动力</w:t>
            </w:r>
            <w:r>
              <w:rPr>
                <w:color w:val="auto"/>
                <w:spacing w:val="6"/>
                <w:highlight w:val="none"/>
              </w:rPr>
              <w:t>安排计</w:t>
            </w:r>
            <w:r>
              <w:rPr>
                <w:color w:val="auto"/>
                <w:spacing w:val="12"/>
                <w:highlight w:val="none"/>
              </w:rPr>
              <w:t>划，有各工种劳动力安排计划，劳动力投入不可行，</w:t>
            </w:r>
            <w:r>
              <w:rPr>
                <w:color w:val="auto"/>
                <w:spacing w:val="11"/>
                <w:highlight w:val="none"/>
              </w:rPr>
              <w:t>不满足施</w:t>
            </w:r>
            <w:r>
              <w:rPr>
                <w:color w:val="auto"/>
                <w:spacing w:val="5"/>
                <w:highlight w:val="none"/>
              </w:rPr>
              <w:t>工需要。</w:t>
            </w:r>
          </w:p>
        </w:tc>
      </w:tr>
      <w:tr w14:paraId="1DC3C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9" w:hRule="atLeast"/>
        </w:trPr>
        <w:tc>
          <w:tcPr>
            <w:tcW w:w="703" w:type="dxa"/>
            <w:vMerge w:val="continue"/>
            <w:tcBorders>
              <w:top w:val="nil"/>
              <w:bottom w:val="nil"/>
            </w:tcBorders>
            <w:vAlign w:val="top"/>
          </w:tcPr>
          <w:p w14:paraId="2D8DE4F6">
            <w:pPr>
              <w:rPr>
                <w:rFonts w:ascii="Arial"/>
                <w:color w:val="auto"/>
                <w:sz w:val="21"/>
                <w:highlight w:val="none"/>
              </w:rPr>
            </w:pPr>
          </w:p>
        </w:tc>
        <w:tc>
          <w:tcPr>
            <w:tcW w:w="1424" w:type="dxa"/>
            <w:vMerge w:val="continue"/>
            <w:tcBorders>
              <w:top w:val="nil"/>
              <w:bottom w:val="nil"/>
            </w:tcBorders>
            <w:vAlign w:val="top"/>
          </w:tcPr>
          <w:p w14:paraId="06B2C1AA">
            <w:pPr>
              <w:rPr>
                <w:rFonts w:ascii="Arial"/>
                <w:color w:val="auto"/>
                <w:sz w:val="21"/>
                <w:highlight w:val="none"/>
              </w:rPr>
            </w:pPr>
          </w:p>
        </w:tc>
        <w:tc>
          <w:tcPr>
            <w:tcW w:w="1631" w:type="dxa"/>
            <w:vAlign w:val="top"/>
          </w:tcPr>
          <w:p w14:paraId="7D9528AD">
            <w:pPr>
              <w:spacing w:line="276" w:lineRule="auto"/>
              <w:rPr>
                <w:rFonts w:ascii="Arial"/>
                <w:color w:val="auto"/>
                <w:sz w:val="21"/>
                <w:highlight w:val="none"/>
              </w:rPr>
            </w:pPr>
          </w:p>
          <w:p w14:paraId="16983DB8">
            <w:pPr>
              <w:spacing w:line="276" w:lineRule="auto"/>
              <w:rPr>
                <w:rFonts w:ascii="Arial"/>
                <w:color w:val="auto"/>
                <w:sz w:val="21"/>
                <w:highlight w:val="none"/>
              </w:rPr>
            </w:pPr>
          </w:p>
          <w:p w14:paraId="569E0B88">
            <w:pPr>
              <w:spacing w:line="277" w:lineRule="auto"/>
              <w:rPr>
                <w:rFonts w:ascii="Arial"/>
                <w:color w:val="auto"/>
                <w:sz w:val="21"/>
                <w:highlight w:val="none"/>
              </w:rPr>
            </w:pPr>
          </w:p>
          <w:p w14:paraId="64811CDA">
            <w:pPr>
              <w:spacing w:line="277" w:lineRule="auto"/>
              <w:rPr>
                <w:rFonts w:ascii="Arial"/>
                <w:color w:val="auto"/>
                <w:sz w:val="21"/>
                <w:highlight w:val="none"/>
              </w:rPr>
            </w:pPr>
          </w:p>
          <w:p w14:paraId="67E106CD">
            <w:pPr>
              <w:spacing w:line="277" w:lineRule="auto"/>
              <w:rPr>
                <w:rFonts w:ascii="Arial"/>
                <w:color w:val="auto"/>
                <w:sz w:val="21"/>
                <w:highlight w:val="none"/>
              </w:rPr>
            </w:pPr>
          </w:p>
          <w:p w14:paraId="24084629">
            <w:pPr>
              <w:spacing w:line="277" w:lineRule="auto"/>
              <w:rPr>
                <w:rFonts w:ascii="Arial"/>
                <w:color w:val="auto"/>
                <w:sz w:val="21"/>
                <w:highlight w:val="none"/>
              </w:rPr>
            </w:pPr>
          </w:p>
          <w:p w14:paraId="4C697BF4">
            <w:pPr>
              <w:pStyle w:val="15"/>
              <w:spacing w:before="65" w:line="304" w:lineRule="auto"/>
              <w:ind w:left="113" w:right="106"/>
              <w:jc w:val="both"/>
              <w:rPr>
                <w:color w:val="auto"/>
                <w:highlight w:val="none"/>
              </w:rPr>
            </w:pPr>
            <w:r>
              <w:rPr>
                <w:color w:val="auto"/>
                <w:spacing w:val="13"/>
                <w:highlight w:val="none"/>
              </w:rPr>
              <w:t>⑺确保工程质</w:t>
            </w:r>
            <w:r>
              <w:rPr>
                <w:color w:val="auto"/>
                <w:spacing w:val="34"/>
                <w:highlight w:val="none"/>
              </w:rPr>
              <w:t>量的技术组织</w:t>
            </w:r>
            <w:r>
              <w:rPr>
                <w:color w:val="auto"/>
                <w:spacing w:val="3"/>
                <w:highlight w:val="none"/>
              </w:rPr>
              <w:t>措施（6分）</w:t>
            </w:r>
          </w:p>
        </w:tc>
        <w:tc>
          <w:tcPr>
            <w:tcW w:w="5948" w:type="dxa"/>
            <w:vAlign w:val="top"/>
          </w:tcPr>
          <w:p w14:paraId="5285822A">
            <w:pPr>
              <w:pStyle w:val="15"/>
              <w:spacing w:before="33" w:line="305" w:lineRule="auto"/>
              <w:ind w:left="113" w:right="107"/>
              <w:jc w:val="both"/>
              <w:rPr>
                <w:color w:val="auto"/>
                <w:highlight w:val="none"/>
              </w:rPr>
            </w:pPr>
            <w:r>
              <w:rPr>
                <w:color w:val="auto"/>
                <w:spacing w:val="9"/>
                <w:highlight w:val="none"/>
              </w:rPr>
              <w:t>优（6分)：有专门的质量技术管理班子和制度，且人员配备科</w:t>
            </w:r>
            <w:r>
              <w:rPr>
                <w:color w:val="auto"/>
                <w:spacing w:val="10"/>
                <w:highlight w:val="none"/>
              </w:rPr>
              <w:t>学合理，制度健全。主要工序有质量技术保证措施和手段，自</w:t>
            </w:r>
            <w:r>
              <w:rPr>
                <w:color w:val="auto"/>
                <w:spacing w:val="9"/>
                <w:highlight w:val="none"/>
              </w:rPr>
              <w:t>控体系完整，能保证技术质量，达到承诺的质量标准。</w:t>
            </w:r>
          </w:p>
          <w:p w14:paraId="2C68D940">
            <w:pPr>
              <w:pStyle w:val="15"/>
              <w:spacing w:before="33" w:line="309" w:lineRule="auto"/>
              <w:ind w:left="114" w:right="39" w:firstLine="33"/>
              <w:rPr>
                <w:color w:val="auto"/>
                <w:highlight w:val="none"/>
              </w:rPr>
            </w:pPr>
            <w:r>
              <w:rPr>
                <w:color w:val="auto"/>
                <w:spacing w:val="5"/>
                <w:highlight w:val="none"/>
              </w:rPr>
              <w:t>良（4.5</w:t>
            </w:r>
            <w:r>
              <w:rPr>
                <w:color w:val="auto"/>
                <w:spacing w:val="-35"/>
                <w:highlight w:val="none"/>
              </w:rPr>
              <w:t xml:space="preserve"> </w:t>
            </w:r>
            <w:r>
              <w:rPr>
                <w:color w:val="auto"/>
                <w:spacing w:val="5"/>
                <w:highlight w:val="none"/>
              </w:rPr>
              <w:t>分</w:t>
            </w:r>
            <w:r>
              <w:rPr>
                <w:color w:val="auto"/>
                <w:spacing w:val="-7"/>
                <w:highlight w:val="none"/>
              </w:rPr>
              <w:t>）：</w:t>
            </w:r>
            <w:r>
              <w:rPr>
                <w:color w:val="auto"/>
                <w:spacing w:val="5"/>
                <w:highlight w:val="none"/>
              </w:rPr>
              <w:t>有专门的质量技术管理班子和制度，且人员配备</w:t>
            </w:r>
            <w:r>
              <w:rPr>
                <w:color w:val="auto"/>
                <w:spacing w:val="12"/>
                <w:highlight w:val="none"/>
              </w:rPr>
              <w:t>较合理，制度较健全。主要工序有质量技术保证措施和手段，</w:t>
            </w:r>
            <w:r>
              <w:rPr>
                <w:color w:val="auto"/>
                <w:spacing w:val="7"/>
                <w:highlight w:val="none"/>
              </w:rPr>
              <w:t>自控体系较完整，能有效保证技术质量，达到</w:t>
            </w:r>
            <w:r>
              <w:rPr>
                <w:color w:val="auto"/>
                <w:spacing w:val="6"/>
                <w:highlight w:val="none"/>
              </w:rPr>
              <w:t>承诺的质量标准。</w:t>
            </w:r>
            <w:r>
              <w:rPr>
                <w:color w:val="auto"/>
                <w:highlight w:val="none"/>
              </w:rPr>
              <w:t xml:space="preserve"> </w:t>
            </w:r>
            <w:r>
              <w:rPr>
                <w:color w:val="auto"/>
                <w:spacing w:val="6"/>
                <w:highlight w:val="none"/>
              </w:rPr>
              <w:t>中（3</w:t>
            </w:r>
            <w:r>
              <w:rPr>
                <w:color w:val="auto"/>
                <w:spacing w:val="-35"/>
                <w:highlight w:val="none"/>
              </w:rPr>
              <w:t xml:space="preserve"> </w:t>
            </w:r>
            <w:r>
              <w:rPr>
                <w:color w:val="auto"/>
                <w:spacing w:val="6"/>
                <w:highlight w:val="none"/>
              </w:rPr>
              <w:t>分</w:t>
            </w:r>
            <w:r>
              <w:rPr>
                <w:color w:val="auto"/>
                <w:spacing w:val="-2"/>
                <w:highlight w:val="none"/>
              </w:rPr>
              <w:t>）：</w:t>
            </w:r>
            <w:r>
              <w:rPr>
                <w:color w:val="auto"/>
                <w:spacing w:val="6"/>
                <w:highlight w:val="none"/>
              </w:rPr>
              <w:t>有专门的质量技术管理班子和制度，且人员配备可</w:t>
            </w:r>
            <w:r>
              <w:rPr>
                <w:color w:val="auto"/>
                <w:spacing w:val="10"/>
                <w:highlight w:val="none"/>
              </w:rPr>
              <w:t>行，制度较健全。主要工序有质量技术保证措施和手</w:t>
            </w:r>
            <w:r>
              <w:rPr>
                <w:color w:val="auto"/>
                <w:spacing w:val="9"/>
                <w:highlight w:val="none"/>
              </w:rPr>
              <w:t>段，自控体系较完整，能有效保证技术质量，达到承诺的质量标准。</w:t>
            </w:r>
          </w:p>
          <w:p w14:paraId="201A7C90">
            <w:pPr>
              <w:pStyle w:val="15"/>
              <w:spacing w:before="30" w:line="305" w:lineRule="auto"/>
              <w:ind w:left="115" w:right="107" w:firstLine="1"/>
              <w:rPr>
                <w:color w:val="auto"/>
                <w:highlight w:val="none"/>
              </w:rPr>
            </w:pPr>
            <w:r>
              <w:rPr>
                <w:color w:val="auto"/>
                <w:spacing w:val="6"/>
                <w:highlight w:val="none"/>
              </w:rPr>
              <w:t>差（1.5</w:t>
            </w:r>
            <w:r>
              <w:rPr>
                <w:color w:val="auto"/>
                <w:spacing w:val="-35"/>
                <w:highlight w:val="none"/>
              </w:rPr>
              <w:t xml:space="preserve"> </w:t>
            </w:r>
            <w:r>
              <w:rPr>
                <w:color w:val="auto"/>
                <w:spacing w:val="6"/>
                <w:highlight w:val="none"/>
              </w:rPr>
              <w:t>分</w:t>
            </w:r>
            <w:r>
              <w:rPr>
                <w:color w:val="auto"/>
                <w:spacing w:val="-5"/>
                <w:highlight w:val="none"/>
              </w:rPr>
              <w:t>）：</w:t>
            </w:r>
            <w:r>
              <w:rPr>
                <w:color w:val="auto"/>
                <w:spacing w:val="6"/>
                <w:highlight w:val="none"/>
              </w:rPr>
              <w:t>无专门的质量技术管理班子和制度，且人员配备</w:t>
            </w:r>
            <w:r>
              <w:rPr>
                <w:color w:val="auto"/>
                <w:spacing w:val="12"/>
                <w:highlight w:val="none"/>
              </w:rPr>
              <w:t>不合理，制度不健全。主要工序无质量技术保证</w:t>
            </w:r>
            <w:r>
              <w:rPr>
                <w:color w:val="auto"/>
                <w:spacing w:val="11"/>
                <w:highlight w:val="none"/>
              </w:rPr>
              <w:t>措施和手段，</w:t>
            </w:r>
            <w:r>
              <w:rPr>
                <w:color w:val="auto"/>
                <w:spacing w:val="12"/>
                <w:highlight w:val="none"/>
              </w:rPr>
              <w:t>自控体系不完整，不能有效保证技术质量，达不</w:t>
            </w:r>
            <w:r>
              <w:rPr>
                <w:color w:val="auto"/>
                <w:spacing w:val="11"/>
                <w:highlight w:val="none"/>
              </w:rPr>
              <w:t>到承诺的质量</w:t>
            </w:r>
            <w:r>
              <w:rPr>
                <w:color w:val="auto"/>
                <w:spacing w:val="2"/>
                <w:highlight w:val="none"/>
              </w:rPr>
              <w:t>标准。</w:t>
            </w:r>
          </w:p>
        </w:tc>
      </w:tr>
      <w:tr w14:paraId="4084B6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0" w:hRule="atLeast"/>
        </w:trPr>
        <w:tc>
          <w:tcPr>
            <w:tcW w:w="703" w:type="dxa"/>
            <w:vMerge w:val="continue"/>
            <w:tcBorders>
              <w:top w:val="nil"/>
            </w:tcBorders>
            <w:vAlign w:val="top"/>
          </w:tcPr>
          <w:p w14:paraId="69C55367">
            <w:pPr>
              <w:rPr>
                <w:rFonts w:ascii="Arial"/>
                <w:color w:val="auto"/>
                <w:sz w:val="21"/>
                <w:highlight w:val="none"/>
              </w:rPr>
            </w:pPr>
          </w:p>
        </w:tc>
        <w:tc>
          <w:tcPr>
            <w:tcW w:w="1424" w:type="dxa"/>
            <w:vMerge w:val="continue"/>
            <w:tcBorders>
              <w:top w:val="nil"/>
            </w:tcBorders>
            <w:vAlign w:val="top"/>
          </w:tcPr>
          <w:p w14:paraId="7C20F661">
            <w:pPr>
              <w:rPr>
                <w:rFonts w:ascii="Arial"/>
                <w:color w:val="auto"/>
                <w:sz w:val="21"/>
                <w:highlight w:val="none"/>
              </w:rPr>
            </w:pPr>
          </w:p>
        </w:tc>
        <w:tc>
          <w:tcPr>
            <w:tcW w:w="1631" w:type="dxa"/>
            <w:vAlign w:val="top"/>
          </w:tcPr>
          <w:p w14:paraId="2C26B546">
            <w:pPr>
              <w:spacing w:line="323" w:lineRule="auto"/>
              <w:rPr>
                <w:rFonts w:ascii="Arial"/>
                <w:color w:val="auto"/>
                <w:sz w:val="21"/>
                <w:highlight w:val="none"/>
              </w:rPr>
            </w:pPr>
          </w:p>
          <w:p w14:paraId="711C28C8">
            <w:pPr>
              <w:spacing w:line="324" w:lineRule="auto"/>
              <w:rPr>
                <w:rFonts w:ascii="Arial"/>
                <w:color w:val="auto"/>
                <w:sz w:val="21"/>
                <w:highlight w:val="none"/>
              </w:rPr>
            </w:pPr>
          </w:p>
          <w:p w14:paraId="125AB3EC">
            <w:pPr>
              <w:pStyle w:val="15"/>
              <w:spacing w:before="65" w:line="304" w:lineRule="auto"/>
              <w:ind w:left="113" w:right="106"/>
              <w:jc w:val="both"/>
              <w:rPr>
                <w:color w:val="auto"/>
                <w:highlight w:val="none"/>
              </w:rPr>
            </w:pPr>
            <w:r>
              <w:rPr>
                <w:color w:val="auto"/>
                <w:spacing w:val="12"/>
                <w:highlight w:val="none"/>
              </w:rPr>
              <w:t>⑻</w:t>
            </w:r>
            <w:r>
              <w:rPr>
                <w:color w:val="auto"/>
                <w:spacing w:val="-57"/>
                <w:highlight w:val="none"/>
              </w:rPr>
              <w:t xml:space="preserve"> </w:t>
            </w:r>
            <w:r>
              <w:rPr>
                <w:color w:val="auto"/>
                <w:spacing w:val="12"/>
                <w:highlight w:val="none"/>
              </w:rPr>
              <w:t>确保</w:t>
            </w:r>
            <w:r>
              <w:rPr>
                <w:color w:val="auto"/>
                <w:spacing w:val="-54"/>
                <w:highlight w:val="none"/>
              </w:rPr>
              <w:t xml:space="preserve"> </w:t>
            </w:r>
            <w:r>
              <w:rPr>
                <w:color w:val="auto"/>
                <w:spacing w:val="12"/>
                <w:highlight w:val="none"/>
              </w:rPr>
              <w:t>安全</w:t>
            </w:r>
            <w:r>
              <w:rPr>
                <w:color w:val="auto"/>
                <w:spacing w:val="-57"/>
                <w:highlight w:val="none"/>
              </w:rPr>
              <w:t xml:space="preserve"> </w:t>
            </w:r>
            <w:r>
              <w:rPr>
                <w:color w:val="auto"/>
                <w:spacing w:val="12"/>
                <w:highlight w:val="none"/>
              </w:rPr>
              <w:t>生</w:t>
            </w:r>
            <w:r>
              <w:rPr>
                <w:color w:val="auto"/>
                <w:spacing w:val="34"/>
                <w:highlight w:val="none"/>
              </w:rPr>
              <w:t>产的技术组织</w:t>
            </w:r>
            <w:r>
              <w:rPr>
                <w:color w:val="auto"/>
                <w:spacing w:val="3"/>
                <w:highlight w:val="none"/>
              </w:rPr>
              <w:t>措施（6</w:t>
            </w:r>
            <w:r>
              <w:rPr>
                <w:color w:val="auto"/>
                <w:spacing w:val="-31"/>
                <w:highlight w:val="none"/>
              </w:rPr>
              <w:t xml:space="preserve"> </w:t>
            </w:r>
            <w:r>
              <w:rPr>
                <w:color w:val="auto"/>
                <w:spacing w:val="3"/>
                <w:highlight w:val="none"/>
              </w:rPr>
              <w:t>分）</w:t>
            </w:r>
          </w:p>
        </w:tc>
        <w:tc>
          <w:tcPr>
            <w:tcW w:w="5948" w:type="dxa"/>
            <w:vAlign w:val="top"/>
          </w:tcPr>
          <w:p w14:paraId="68595566">
            <w:pPr>
              <w:pStyle w:val="15"/>
              <w:spacing w:before="35" w:line="307" w:lineRule="auto"/>
              <w:ind w:left="113" w:right="107"/>
              <w:jc w:val="both"/>
              <w:rPr>
                <w:color w:val="auto"/>
                <w:highlight w:val="none"/>
              </w:rPr>
            </w:pPr>
            <w:r>
              <w:rPr>
                <w:color w:val="auto"/>
                <w:spacing w:val="6"/>
                <w:highlight w:val="none"/>
              </w:rPr>
              <w:t>优（6</w:t>
            </w:r>
            <w:r>
              <w:rPr>
                <w:color w:val="auto"/>
                <w:spacing w:val="-34"/>
                <w:highlight w:val="none"/>
              </w:rPr>
              <w:t xml:space="preserve"> </w:t>
            </w:r>
            <w:r>
              <w:rPr>
                <w:color w:val="auto"/>
                <w:spacing w:val="6"/>
                <w:highlight w:val="none"/>
              </w:rPr>
              <w:t>分</w:t>
            </w:r>
            <w:r>
              <w:rPr>
                <w:color w:val="auto"/>
                <w:spacing w:val="-2"/>
                <w:highlight w:val="none"/>
              </w:rPr>
              <w:t>）：</w:t>
            </w:r>
            <w:r>
              <w:rPr>
                <w:color w:val="auto"/>
                <w:spacing w:val="6"/>
                <w:highlight w:val="none"/>
              </w:rPr>
              <w:t>有专门的安全管理人员和制度，且人员配备科学合</w:t>
            </w:r>
            <w:r>
              <w:rPr>
                <w:color w:val="auto"/>
                <w:spacing w:val="12"/>
                <w:highlight w:val="none"/>
              </w:rPr>
              <w:t>理，制度健全，各道工序安全技术措施针对性强，</w:t>
            </w:r>
            <w:r>
              <w:rPr>
                <w:color w:val="auto"/>
                <w:spacing w:val="11"/>
                <w:highlight w:val="none"/>
              </w:rPr>
              <w:t>符合实际且</w:t>
            </w:r>
            <w:r>
              <w:rPr>
                <w:color w:val="auto"/>
                <w:spacing w:val="12"/>
                <w:highlight w:val="none"/>
              </w:rPr>
              <w:t>满足有关安全技术标准要求。现场防火、应急救援</w:t>
            </w:r>
            <w:r>
              <w:rPr>
                <w:color w:val="auto"/>
                <w:spacing w:val="11"/>
                <w:highlight w:val="none"/>
              </w:rPr>
              <w:t>、社会治安</w:t>
            </w:r>
            <w:r>
              <w:rPr>
                <w:color w:val="auto"/>
                <w:spacing w:val="7"/>
                <w:highlight w:val="none"/>
              </w:rPr>
              <w:t>安全措施得力。</w:t>
            </w:r>
          </w:p>
          <w:p w14:paraId="2089392D">
            <w:pPr>
              <w:pStyle w:val="15"/>
              <w:spacing w:before="32" w:line="302" w:lineRule="auto"/>
              <w:ind w:left="114" w:right="107" w:firstLine="33"/>
              <w:jc w:val="both"/>
              <w:rPr>
                <w:color w:val="auto"/>
                <w:highlight w:val="none"/>
              </w:rPr>
            </w:pPr>
            <w:r>
              <w:rPr>
                <w:color w:val="auto"/>
                <w:spacing w:val="5"/>
                <w:highlight w:val="none"/>
              </w:rPr>
              <w:t>良（4.5</w:t>
            </w:r>
            <w:r>
              <w:rPr>
                <w:color w:val="auto"/>
                <w:spacing w:val="-35"/>
                <w:highlight w:val="none"/>
              </w:rPr>
              <w:t xml:space="preserve"> </w:t>
            </w:r>
            <w:r>
              <w:rPr>
                <w:color w:val="auto"/>
                <w:spacing w:val="5"/>
                <w:highlight w:val="none"/>
              </w:rPr>
              <w:t>分</w:t>
            </w:r>
            <w:r>
              <w:rPr>
                <w:color w:val="auto"/>
                <w:spacing w:val="-7"/>
                <w:highlight w:val="none"/>
              </w:rPr>
              <w:t>）：</w:t>
            </w:r>
            <w:r>
              <w:rPr>
                <w:color w:val="auto"/>
                <w:spacing w:val="5"/>
                <w:highlight w:val="none"/>
              </w:rPr>
              <w:t>有专门的安全管理人员和制度，且人员配备较合</w:t>
            </w:r>
            <w:r>
              <w:rPr>
                <w:color w:val="auto"/>
                <w:spacing w:val="12"/>
                <w:highlight w:val="none"/>
              </w:rPr>
              <w:t>理，制度较健全，各道工序安全技术措施有针对性</w:t>
            </w:r>
            <w:r>
              <w:rPr>
                <w:color w:val="auto"/>
                <w:spacing w:val="11"/>
                <w:highlight w:val="none"/>
              </w:rPr>
              <w:t>，符合实际</w:t>
            </w:r>
            <w:r>
              <w:rPr>
                <w:color w:val="auto"/>
                <w:spacing w:val="12"/>
                <w:highlight w:val="none"/>
              </w:rPr>
              <w:t>且满足有关安全技术标准要求。现场防火、应急救</w:t>
            </w:r>
            <w:r>
              <w:rPr>
                <w:color w:val="auto"/>
                <w:spacing w:val="11"/>
                <w:highlight w:val="none"/>
              </w:rPr>
              <w:t>援、社会治</w:t>
            </w:r>
          </w:p>
        </w:tc>
      </w:tr>
    </w:tbl>
    <w:p w14:paraId="059D372D">
      <w:pPr>
        <w:spacing w:before="93" w:line="188" w:lineRule="auto"/>
        <w:ind w:left="0"/>
        <w:rPr>
          <w:rFonts w:ascii="Times New Roman" w:hAnsi="Times New Roman" w:eastAsia="Times New Roman" w:cs="Times New Roman"/>
          <w:color w:val="auto"/>
          <w:sz w:val="18"/>
          <w:szCs w:val="18"/>
          <w:highlight w:val="none"/>
        </w:rPr>
        <w:sectPr>
          <w:footerReference r:id="rId15" w:type="default"/>
          <w:pgSz w:w="11910" w:h="16840"/>
          <w:pgMar w:top="1371" w:right="1083" w:bottom="400" w:left="1115" w:header="0" w:footer="567" w:gutter="0"/>
          <w:pgNumType w:fmt="decimal"/>
          <w:cols w:space="720" w:num="1"/>
        </w:sectPr>
      </w:pPr>
    </w:p>
    <w:tbl>
      <w:tblPr>
        <w:tblStyle w:val="14"/>
        <w:tblW w:w="97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424"/>
        <w:gridCol w:w="1631"/>
        <w:gridCol w:w="5948"/>
      </w:tblGrid>
      <w:tr w14:paraId="1B2514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3" w:type="dxa"/>
            <w:shd w:val="clear" w:color="auto" w:fill="DAE3F3"/>
            <w:vAlign w:val="top"/>
          </w:tcPr>
          <w:p w14:paraId="347D2E19">
            <w:pPr>
              <w:pStyle w:val="15"/>
              <w:spacing w:before="36" w:line="297" w:lineRule="auto"/>
              <w:ind w:left="255" w:right="140" w:hanging="106"/>
              <w:rPr>
                <w:color w:val="auto"/>
                <w:highlight w:val="none"/>
              </w:rPr>
            </w:pPr>
            <w:r>
              <w:rPr>
                <w:color w:val="auto"/>
                <w:spacing w:val="3"/>
                <w:highlight w:val="none"/>
              </w:rPr>
              <w:t>条款</w:t>
            </w:r>
            <w:r>
              <w:rPr>
                <w:color w:val="auto"/>
                <w:highlight w:val="none"/>
              </w:rPr>
              <w:t xml:space="preserve"> 号</w:t>
            </w:r>
          </w:p>
        </w:tc>
        <w:tc>
          <w:tcPr>
            <w:tcW w:w="3055" w:type="dxa"/>
            <w:gridSpan w:val="2"/>
            <w:shd w:val="clear" w:color="auto" w:fill="DAE3F3"/>
            <w:vAlign w:val="top"/>
          </w:tcPr>
          <w:p w14:paraId="24C63CED">
            <w:pPr>
              <w:pStyle w:val="15"/>
              <w:spacing w:before="205" w:line="228" w:lineRule="auto"/>
              <w:ind w:left="1112"/>
              <w:rPr>
                <w:color w:val="auto"/>
                <w:highlight w:val="none"/>
              </w:rPr>
            </w:pPr>
            <w:r>
              <w:rPr>
                <w:color w:val="auto"/>
                <w:spacing w:val="7"/>
                <w:highlight w:val="none"/>
              </w:rPr>
              <w:t>评审因素</w:t>
            </w:r>
          </w:p>
        </w:tc>
        <w:tc>
          <w:tcPr>
            <w:tcW w:w="5948" w:type="dxa"/>
            <w:shd w:val="clear" w:color="auto" w:fill="DAE3F3"/>
            <w:vAlign w:val="top"/>
          </w:tcPr>
          <w:p w14:paraId="5B8F93DC">
            <w:pPr>
              <w:pStyle w:val="15"/>
              <w:spacing w:before="36" w:line="228" w:lineRule="auto"/>
              <w:ind w:left="2557"/>
              <w:rPr>
                <w:color w:val="auto"/>
                <w:highlight w:val="none"/>
              </w:rPr>
            </w:pPr>
            <w:r>
              <w:rPr>
                <w:color w:val="auto"/>
                <w:spacing w:val="7"/>
                <w:highlight w:val="none"/>
              </w:rPr>
              <w:t>评审标准</w:t>
            </w:r>
          </w:p>
        </w:tc>
      </w:tr>
      <w:tr w14:paraId="4181A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8" w:hRule="atLeast"/>
        </w:trPr>
        <w:tc>
          <w:tcPr>
            <w:tcW w:w="703" w:type="dxa"/>
            <w:vMerge w:val="restart"/>
            <w:tcBorders>
              <w:bottom w:val="nil"/>
            </w:tcBorders>
            <w:vAlign w:val="top"/>
          </w:tcPr>
          <w:p w14:paraId="7E738344">
            <w:pPr>
              <w:rPr>
                <w:rFonts w:ascii="Arial"/>
                <w:color w:val="auto"/>
                <w:sz w:val="21"/>
                <w:highlight w:val="none"/>
              </w:rPr>
            </w:pPr>
          </w:p>
        </w:tc>
        <w:tc>
          <w:tcPr>
            <w:tcW w:w="1424" w:type="dxa"/>
            <w:vMerge w:val="restart"/>
            <w:tcBorders>
              <w:bottom w:val="nil"/>
            </w:tcBorders>
            <w:vAlign w:val="top"/>
          </w:tcPr>
          <w:p w14:paraId="51CEEB40">
            <w:pPr>
              <w:rPr>
                <w:rFonts w:ascii="Arial"/>
                <w:color w:val="auto"/>
                <w:sz w:val="21"/>
                <w:highlight w:val="none"/>
              </w:rPr>
            </w:pPr>
          </w:p>
        </w:tc>
        <w:tc>
          <w:tcPr>
            <w:tcW w:w="1631" w:type="dxa"/>
            <w:vAlign w:val="top"/>
          </w:tcPr>
          <w:p w14:paraId="4925F097">
            <w:pPr>
              <w:rPr>
                <w:rFonts w:ascii="Arial"/>
                <w:color w:val="auto"/>
                <w:sz w:val="21"/>
                <w:highlight w:val="none"/>
              </w:rPr>
            </w:pPr>
          </w:p>
        </w:tc>
        <w:tc>
          <w:tcPr>
            <w:tcW w:w="5948" w:type="dxa"/>
            <w:vAlign w:val="top"/>
          </w:tcPr>
          <w:p w14:paraId="7F895117">
            <w:pPr>
              <w:pStyle w:val="15"/>
              <w:spacing w:before="31" w:line="228" w:lineRule="auto"/>
              <w:ind w:left="118"/>
              <w:rPr>
                <w:color w:val="auto"/>
                <w:highlight w:val="none"/>
              </w:rPr>
            </w:pPr>
            <w:r>
              <w:rPr>
                <w:color w:val="auto"/>
                <w:spacing w:val="7"/>
                <w:highlight w:val="none"/>
              </w:rPr>
              <w:t>安安全措施得力。</w:t>
            </w:r>
          </w:p>
          <w:p w14:paraId="2F00C0DE">
            <w:pPr>
              <w:pStyle w:val="15"/>
              <w:spacing w:before="92" w:line="307" w:lineRule="auto"/>
              <w:ind w:left="114" w:right="62" w:firstLine="19"/>
              <w:rPr>
                <w:color w:val="auto"/>
                <w:highlight w:val="none"/>
              </w:rPr>
            </w:pPr>
            <w:r>
              <w:rPr>
                <w:color w:val="auto"/>
                <w:spacing w:val="8"/>
                <w:highlight w:val="none"/>
              </w:rPr>
              <w:t>中（3分</w:t>
            </w:r>
            <w:r>
              <w:rPr>
                <w:color w:val="auto"/>
                <w:spacing w:val="18"/>
                <w:highlight w:val="none"/>
              </w:rPr>
              <w:t>）：</w:t>
            </w:r>
            <w:r>
              <w:rPr>
                <w:color w:val="auto"/>
                <w:spacing w:val="8"/>
                <w:highlight w:val="none"/>
              </w:rPr>
              <w:t>有专门的安全管理人员和制度，且人员配备可行，</w:t>
            </w:r>
            <w:r>
              <w:rPr>
                <w:color w:val="auto"/>
                <w:spacing w:val="12"/>
                <w:highlight w:val="none"/>
              </w:rPr>
              <w:t>制度较健全，各道工序安全技术措施有针对性，符</w:t>
            </w:r>
            <w:r>
              <w:rPr>
                <w:color w:val="auto"/>
                <w:spacing w:val="11"/>
                <w:highlight w:val="none"/>
              </w:rPr>
              <w:t>合实际且满</w:t>
            </w:r>
            <w:r>
              <w:rPr>
                <w:color w:val="auto"/>
                <w:spacing w:val="12"/>
                <w:highlight w:val="none"/>
              </w:rPr>
              <w:t>足有关安全技术标准要求。现场防火、应急救援、</w:t>
            </w:r>
            <w:r>
              <w:rPr>
                <w:color w:val="auto"/>
                <w:spacing w:val="11"/>
                <w:highlight w:val="none"/>
              </w:rPr>
              <w:t>社会治安安</w:t>
            </w:r>
            <w:r>
              <w:rPr>
                <w:color w:val="auto"/>
                <w:spacing w:val="6"/>
                <w:highlight w:val="none"/>
              </w:rPr>
              <w:t>全措施得力。</w:t>
            </w:r>
          </w:p>
          <w:p w14:paraId="4BC65032">
            <w:pPr>
              <w:pStyle w:val="15"/>
              <w:spacing w:before="30" w:line="306" w:lineRule="auto"/>
              <w:ind w:left="113" w:right="107" w:firstLine="3"/>
              <w:jc w:val="both"/>
              <w:rPr>
                <w:color w:val="auto"/>
                <w:highlight w:val="none"/>
              </w:rPr>
            </w:pPr>
            <w:r>
              <w:rPr>
                <w:color w:val="auto"/>
                <w:spacing w:val="6"/>
                <w:highlight w:val="none"/>
              </w:rPr>
              <w:t>差（1.5</w:t>
            </w:r>
            <w:r>
              <w:rPr>
                <w:color w:val="auto"/>
                <w:spacing w:val="-35"/>
                <w:highlight w:val="none"/>
              </w:rPr>
              <w:t xml:space="preserve"> </w:t>
            </w:r>
            <w:r>
              <w:rPr>
                <w:color w:val="auto"/>
                <w:spacing w:val="6"/>
                <w:highlight w:val="none"/>
              </w:rPr>
              <w:t>分</w:t>
            </w:r>
            <w:r>
              <w:rPr>
                <w:color w:val="auto"/>
                <w:spacing w:val="-5"/>
                <w:highlight w:val="none"/>
              </w:rPr>
              <w:t>）：</w:t>
            </w:r>
            <w:r>
              <w:rPr>
                <w:color w:val="auto"/>
                <w:spacing w:val="6"/>
                <w:highlight w:val="none"/>
              </w:rPr>
              <w:t>无专门的安全管理人员和制度，且人员配备不合</w:t>
            </w:r>
            <w:r>
              <w:rPr>
                <w:color w:val="auto"/>
                <w:spacing w:val="12"/>
                <w:highlight w:val="none"/>
              </w:rPr>
              <w:t>理，制度不健全，各道工序安全技术措施针对性差，</w:t>
            </w:r>
            <w:r>
              <w:rPr>
                <w:color w:val="auto"/>
                <w:spacing w:val="11"/>
                <w:highlight w:val="none"/>
              </w:rPr>
              <w:t>不符合实</w:t>
            </w:r>
            <w:r>
              <w:rPr>
                <w:color w:val="auto"/>
                <w:spacing w:val="12"/>
                <w:highlight w:val="none"/>
              </w:rPr>
              <w:t>际且不满足有关安全技术标准要求。现场防火、应急</w:t>
            </w:r>
            <w:r>
              <w:rPr>
                <w:color w:val="auto"/>
                <w:spacing w:val="11"/>
                <w:highlight w:val="none"/>
              </w:rPr>
              <w:t>救援、社</w:t>
            </w:r>
            <w:r>
              <w:rPr>
                <w:color w:val="auto"/>
                <w:spacing w:val="8"/>
                <w:highlight w:val="none"/>
              </w:rPr>
              <w:t>会治安安全措施不得力。</w:t>
            </w:r>
          </w:p>
        </w:tc>
      </w:tr>
      <w:tr w14:paraId="3DA2F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0" w:hRule="atLeast"/>
        </w:trPr>
        <w:tc>
          <w:tcPr>
            <w:tcW w:w="703" w:type="dxa"/>
            <w:vMerge w:val="continue"/>
            <w:tcBorders>
              <w:top w:val="nil"/>
              <w:bottom w:val="nil"/>
            </w:tcBorders>
            <w:vAlign w:val="top"/>
          </w:tcPr>
          <w:p w14:paraId="6C0F3ED7">
            <w:pPr>
              <w:rPr>
                <w:rFonts w:ascii="Arial"/>
                <w:color w:val="auto"/>
                <w:sz w:val="21"/>
                <w:highlight w:val="none"/>
              </w:rPr>
            </w:pPr>
          </w:p>
        </w:tc>
        <w:tc>
          <w:tcPr>
            <w:tcW w:w="1424" w:type="dxa"/>
            <w:vMerge w:val="continue"/>
            <w:tcBorders>
              <w:top w:val="nil"/>
              <w:bottom w:val="nil"/>
            </w:tcBorders>
            <w:vAlign w:val="top"/>
          </w:tcPr>
          <w:p w14:paraId="23747514">
            <w:pPr>
              <w:rPr>
                <w:rFonts w:ascii="Arial"/>
                <w:color w:val="auto"/>
                <w:sz w:val="21"/>
                <w:highlight w:val="none"/>
              </w:rPr>
            </w:pPr>
          </w:p>
        </w:tc>
        <w:tc>
          <w:tcPr>
            <w:tcW w:w="1631" w:type="dxa"/>
            <w:vAlign w:val="top"/>
          </w:tcPr>
          <w:p w14:paraId="0475CBC9">
            <w:pPr>
              <w:rPr>
                <w:rFonts w:ascii="Arial"/>
                <w:color w:val="auto"/>
                <w:sz w:val="21"/>
                <w:highlight w:val="none"/>
              </w:rPr>
            </w:pPr>
          </w:p>
          <w:p w14:paraId="300D3A9F">
            <w:pPr>
              <w:rPr>
                <w:rFonts w:ascii="Arial"/>
                <w:color w:val="auto"/>
                <w:sz w:val="21"/>
                <w:highlight w:val="none"/>
              </w:rPr>
            </w:pPr>
          </w:p>
          <w:p w14:paraId="3E374D93">
            <w:pPr>
              <w:rPr>
                <w:rFonts w:ascii="Arial"/>
                <w:color w:val="auto"/>
                <w:sz w:val="21"/>
                <w:highlight w:val="none"/>
              </w:rPr>
            </w:pPr>
          </w:p>
          <w:p w14:paraId="27561558">
            <w:pPr>
              <w:rPr>
                <w:rFonts w:ascii="Arial"/>
                <w:color w:val="auto"/>
                <w:sz w:val="21"/>
                <w:highlight w:val="none"/>
              </w:rPr>
            </w:pPr>
          </w:p>
          <w:p w14:paraId="33517EB5">
            <w:pPr>
              <w:spacing w:line="241" w:lineRule="auto"/>
              <w:rPr>
                <w:rFonts w:ascii="Arial"/>
                <w:color w:val="auto"/>
                <w:sz w:val="21"/>
                <w:highlight w:val="none"/>
              </w:rPr>
            </w:pPr>
          </w:p>
          <w:p w14:paraId="42521302">
            <w:pPr>
              <w:spacing w:line="241" w:lineRule="auto"/>
              <w:rPr>
                <w:rFonts w:ascii="Arial"/>
                <w:color w:val="auto"/>
                <w:sz w:val="21"/>
                <w:highlight w:val="none"/>
              </w:rPr>
            </w:pPr>
          </w:p>
          <w:p w14:paraId="59FF9152">
            <w:pPr>
              <w:spacing w:line="241" w:lineRule="auto"/>
              <w:rPr>
                <w:rFonts w:ascii="Arial"/>
                <w:color w:val="auto"/>
                <w:sz w:val="21"/>
                <w:highlight w:val="none"/>
              </w:rPr>
            </w:pPr>
          </w:p>
          <w:p w14:paraId="5DCA03CB">
            <w:pPr>
              <w:spacing w:line="241" w:lineRule="auto"/>
              <w:rPr>
                <w:rFonts w:ascii="Arial"/>
                <w:color w:val="auto"/>
                <w:sz w:val="21"/>
                <w:highlight w:val="none"/>
              </w:rPr>
            </w:pPr>
          </w:p>
          <w:p w14:paraId="23702038">
            <w:pPr>
              <w:spacing w:line="241" w:lineRule="auto"/>
              <w:rPr>
                <w:rFonts w:ascii="Arial"/>
                <w:color w:val="auto"/>
                <w:sz w:val="21"/>
                <w:highlight w:val="none"/>
              </w:rPr>
            </w:pPr>
          </w:p>
          <w:p w14:paraId="2C9ECB2B">
            <w:pPr>
              <w:pStyle w:val="15"/>
              <w:spacing w:before="65" w:line="305" w:lineRule="auto"/>
              <w:ind w:left="113" w:right="106"/>
              <w:jc w:val="both"/>
              <w:rPr>
                <w:color w:val="auto"/>
                <w:highlight w:val="none"/>
              </w:rPr>
            </w:pPr>
            <w:r>
              <w:rPr>
                <w:color w:val="auto"/>
                <w:spacing w:val="3"/>
                <w:highlight w:val="none"/>
              </w:rPr>
              <w:t>⑼</w:t>
            </w:r>
            <w:r>
              <w:rPr>
                <w:color w:val="auto"/>
                <w:spacing w:val="-58"/>
                <w:highlight w:val="none"/>
              </w:rPr>
              <w:t xml:space="preserve"> </w:t>
            </w:r>
            <w:r>
              <w:rPr>
                <w:color w:val="auto"/>
                <w:spacing w:val="3"/>
                <w:highlight w:val="none"/>
              </w:rPr>
              <w:t>确保工期的</w:t>
            </w:r>
            <w:r>
              <w:rPr>
                <w:color w:val="auto"/>
                <w:spacing w:val="34"/>
                <w:highlight w:val="none"/>
              </w:rPr>
              <w:t>技术组织措施</w:t>
            </w:r>
            <w:r>
              <w:rPr>
                <w:color w:val="auto"/>
                <w:highlight w:val="none"/>
              </w:rPr>
              <w:t>（6分）</w:t>
            </w:r>
          </w:p>
        </w:tc>
        <w:tc>
          <w:tcPr>
            <w:tcW w:w="5948" w:type="dxa"/>
            <w:vAlign w:val="top"/>
          </w:tcPr>
          <w:p w14:paraId="3523FD05">
            <w:pPr>
              <w:pStyle w:val="15"/>
              <w:spacing w:before="34" w:line="306" w:lineRule="auto"/>
              <w:ind w:left="113" w:right="46"/>
              <w:jc w:val="both"/>
              <w:rPr>
                <w:color w:val="auto"/>
                <w:highlight w:val="none"/>
              </w:rPr>
            </w:pPr>
            <w:r>
              <w:rPr>
                <w:color w:val="auto"/>
                <w:spacing w:val="7"/>
                <w:highlight w:val="none"/>
              </w:rPr>
              <w:t>优（6</w:t>
            </w:r>
            <w:r>
              <w:rPr>
                <w:color w:val="auto"/>
                <w:spacing w:val="-37"/>
                <w:highlight w:val="none"/>
              </w:rPr>
              <w:t xml:space="preserve"> </w:t>
            </w:r>
            <w:r>
              <w:rPr>
                <w:color w:val="auto"/>
                <w:spacing w:val="7"/>
                <w:highlight w:val="none"/>
              </w:rPr>
              <w:t>分</w:t>
            </w:r>
            <w:r>
              <w:rPr>
                <w:color w:val="auto"/>
                <w:spacing w:val="18"/>
                <w:highlight w:val="none"/>
              </w:rPr>
              <w:t>）：</w:t>
            </w:r>
            <w:r>
              <w:rPr>
                <w:color w:val="auto"/>
                <w:spacing w:val="7"/>
                <w:highlight w:val="none"/>
              </w:rPr>
              <w:t>在施工工艺、施工方法、材料选用、劳动力安排、</w:t>
            </w:r>
            <w:r>
              <w:rPr>
                <w:color w:val="auto"/>
                <w:highlight w:val="none"/>
              </w:rPr>
              <w:t xml:space="preserve"> </w:t>
            </w:r>
            <w:r>
              <w:rPr>
                <w:color w:val="auto"/>
                <w:spacing w:val="12"/>
                <w:highlight w:val="none"/>
              </w:rPr>
              <w:t>技术等方面有保证工期的具体措施且措施得当。有控</w:t>
            </w:r>
            <w:r>
              <w:rPr>
                <w:color w:val="auto"/>
                <w:spacing w:val="11"/>
                <w:highlight w:val="none"/>
              </w:rPr>
              <w:t>制工期的</w:t>
            </w:r>
            <w:r>
              <w:rPr>
                <w:color w:val="auto"/>
                <w:spacing w:val="12"/>
                <w:highlight w:val="none"/>
              </w:rPr>
              <w:t>施工进度计划。有施工总进度表或施工网络图，各项</w:t>
            </w:r>
            <w:r>
              <w:rPr>
                <w:color w:val="auto"/>
                <w:spacing w:val="11"/>
                <w:highlight w:val="none"/>
              </w:rPr>
              <w:t>计划图表</w:t>
            </w:r>
            <w:r>
              <w:rPr>
                <w:color w:val="auto"/>
                <w:spacing w:val="9"/>
                <w:highlight w:val="none"/>
              </w:rPr>
              <w:t>编制完善，安排科学合理，符合本项目施工实际要求。</w:t>
            </w:r>
          </w:p>
          <w:p w14:paraId="1423E646">
            <w:pPr>
              <w:pStyle w:val="15"/>
              <w:spacing w:before="33" w:line="307" w:lineRule="auto"/>
              <w:ind w:left="115" w:right="39" w:firstLine="32"/>
              <w:jc w:val="both"/>
              <w:rPr>
                <w:color w:val="auto"/>
                <w:highlight w:val="none"/>
              </w:rPr>
            </w:pPr>
            <w:r>
              <w:rPr>
                <w:color w:val="auto"/>
                <w:spacing w:val="1"/>
                <w:highlight w:val="none"/>
              </w:rPr>
              <w:t>良（4.5</w:t>
            </w:r>
            <w:r>
              <w:rPr>
                <w:color w:val="auto"/>
                <w:spacing w:val="-38"/>
                <w:highlight w:val="none"/>
              </w:rPr>
              <w:t xml:space="preserve"> </w:t>
            </w:r>
            <w:r>
              <w:rPr>
                <w:color w:val="auto"/>
                <w:spacing w:val="1"/>
                <w:highlight w:val="none"/>
              </w:rPr>
              <w:t>分</w:t>
            </w:r>
            <w:r>
              <w:rPr>
                <w:color w:val="auto"/>
                <w:spacing w:val="-18"/>
                <w:highlight w:val="none"/>
              </w:rPr>
              <w:t>）：</w:t>
            </w:r>
            <w:r>
              <w:rPr>
                <w:color w:val="auto"/>
                <w:spacing w:val="1"/>
                <w:highlight w:val="none"/>
              </w:rPr>
              <w:t>在施工工艺、施工方法、材料选用、劳动力安排、</w:t>
            </w:r>
            <w:r>
              <w:rPr>
                <w:color w:val="auto"/>
                <w:highlight w:val="none"/>
              </w:rPr>
              <w:t xml:space="preserve"> </w:t>
            </w:r>
            <w:r>
              <w:rPr>
                <w:color w:val="auto"/>
                <w:spacing w:val="12"/>
                <w:highlight w:val="none"/>
              </w:rPr>
              <w:t>技术等方面有保证工期的有措施且措施得当。有</w:t>
            </w:r>
            <w:r>
              <w:rPr>
                <w:color w:val="auto"/>
                <w:spacing w:val="11"/>
                <w:highlight w:val="none"/>
              </w:rPr>
              <w:t>控制工期的施</w:t>
            </w:r>
            <w:r>
              <w:rPr>
                <w:color w:val="auto"/>
                <w:highlight w:val="none"/>
              </w:rPr>
              <w:t xml:space="preserve"> </w:t>
            </w:r>
            <w:r>
              <w:rPr>
                <w:color w:val="auto"/>
                <w:spacing w:val="12"/>
                <w:highlight w:val="none"/>
              </w:rPr>
              <w:t>工进度计划。有施工总进度表或施工网络图，各</w:t>
            </w:r>
            <w:r>
              <w:rPr>
                <w:color w:val="auto"/>
                <w:spacing w:val="11"/>
                <w:highlight w:val="none"/>
              </w:rPr>
              <w:t>项计划图表编</w:t>
            </w:r>
            <w:r>
              <w:rPr>
                <w:color w:val="auto"/>
                <w:highlight w:val="none"/>
              </w:rPr>
              <w:t xml:space="preserve"> </w:t>
            </w:r>
            <w:r>
              <w:rPr>
                <w:color w:val="auto"/>
                <w:spacing w:val="9"/>
                <w:highlight w:val="none"/>
              </w:rPr>
              <w:t>制完善，安排较合理，符合本项目施工实际要求。</w:t>
            </w:r>
          </w:p>
          <w:p w14:paraId="32B847F4">
            <w:pPr>
              <w:pStyle w:val="15"/>
              <w:spacing w:before="30" w:line="307" w:lineRule="auto"/>
              <w:ind w:left="114" w:right="46" w:firstLine="19"/>
              <w:rPr>
                <w:color w:val="auto"/>
                <w:highlight w:val="none"/>
              </w:rPr>
            </w:pPr>
            <w:r>
              <w:rPr>
                <w:color w:val="auto"/>
                <w:spacing w:val="9"/>
                <w:highlight w:val="none"/>
              </w:rPr>
              <w:t>中（3分</w:t>
            </w:r>
            <w:r>
              <w:rPr>
                <w:color w:val="auto"/>
                <w:spacing w:val="15"/>
                <w:highlight w:val="none"/>
              </w:rPr>
              <w:t>）：</w:t>
            </w:r>
            <w:r>
              <w:rPr>
                <w:color w:val="auto"/>
                <w:spacing w:val="9"/>
                <w:highlight w:val="none"/>
              </w:rPr>
              <w:t>在施工工艺、施工方法、材料选用、劳动力</w:t>
            </w:r>
            <w:r>
              <w:rPr>
                <w:color w:val="auto"/>
                <w:spacing w:val="8"/>
                <w:highlight w:val="none"/>
              </w:rPr>
              <w:t>安排、</w:t>
            </w:r>
            <w:r>
              <w:rPr>
                <w:color w:val="auto"/>
                <w:highlight w:val="none"/>
              </w:rPr>
              <w:t xml:space="preserve"> </w:t>
            </w:r>
            <w:r>
              <w:rPr>
                <w:color w:val="auto"/>
                <w:spacing w:val="12"/>
                <w:highlight w:val="none"/>
              </w:rPr>
              <w:t>技术等方面有保证工期的措施。有控制工期的施工进度计划。有施工总进度表或施工网络图，各项计划图表编制</w:t>
            </w:r>
            <w:r>
              <w:rPr>
                <w:color w:val="auto"/>
                <w:spacing w:val="11"/>
                <w:highlight w:val="none"/>
              </w:rPr>
              <w:t>较完善，安</w:t>
            </w:r>
            <w:r>
              <w:rPr>
                <w:color w:val="auto"/>
                <w:spacing w:val="8"/>
                <w:highlight w:val="none"/>
              </w:rPr>
              <w:t>排可行，基本符合本项目施工实际要求。</w:t>
            </w:r>
          </w:p>
          <w:p w14:paraId="41D1E924">
            <w:pPr>
              <w:pStyle w:val="15"/>
              <w:spacing w:before="32" w:line="305" w:lineRule="auto"/>
              <w:ind w:left="113" w:right="39" w:firstLine="3"/>
              <w:jc w:val="both"/>
              <w:rPr>
                <w:color w:val="auto"/>
                <w:highlight w:val="none"/>
              </w:rPr>
            </w:pPr>
            <w:r>
              <w:rPr>
                <w:color w:val="auto"/>
                <w:spacing w:val="2"/>
                <w:highlight w:val="none"/>
              </w:rPr>
              <w:t>差（1.5</w:t>
            </w:r>
            <w:r>
              <w:rPr>
                <w:color w:val="auto"/>
                <w:spacing w:val="-37"/>
                <w:highlight w:val="none"/>
              </w:rPr>
              <w:t xml:space="preserve"> </w:t>
            </w:r>
            <w:r>
              <w:rPr>
                <w:color w:val="auto"/>
                <w:spacing w:val="2"/>
                <w:highlight w:val="none"/>
              </w:rPr>
              <w:t>分</w:t>
            </w:r>
            <w:r>
              <w:rPr>
                <w:color w:val="auto"/>
                <w:spacing w:val="-17"/>
                <w:highlight w:val="none"/>
              </w:rPr>
              <w:t>）：</w:t>
            </w:r>
            <w:r>
              <w:rPr>
                <w:color w:val="auto"/>
                <w:spacing w:val="2"/>
                <w:highlight w:val="none"/>
              </w:rPr>
              <w:t>在施工工艺、施工方法、材料选用、劳动力安排、</w:t>
            </w:r>
            <w:r>
              <w:rPr>
                <w:color w:val="auto"/>
                <w:highlight w:val="none"/>
              </w:rPr>
              <w:t xml:space="preserve"> </w:t>
            </w:r>
            <w:r>
              <w:rPr>
                <w:color w:val="auto"/>
                <w:spacing w:val="12"/>
                <w:highlight w:val="none"/>
              </w:rPr>
              <w:t>技术等方面无保证工期的具体措施且措施不得当。无</w:t>
            </w:r>
            <w:r>
              <w:rPr>
                <w:color w:val="auto"/>
                <w:spacing w:val="11"/>
                <w:highlight w:val="none"/>
              </w:rPr>
              <w:t>控制工期</w:t>
            </w:r>
            <w:r>
              <w:rPr>
                <w:color w:val="auto"/>
                <w:highlight w:val="none"/>
              </w:rPr>
              <w:t xml:space="preserve"> </w:t>
            </w:r>
            <w:r>
              <w:rPr>
                <w:color w:val="auto"/>
                <w:spacing w:val="12"/>
                <w:highlight w:val="none"/>
              </w:rPr>
              <w:t>的施工进度计划。无施工总进度表或施工网络图，各</w:t>
            </w:r>
            <w:r>
              <w:rPr>
                <w:color w:val="auto"/>
                <w:spacing w:val="11"/>
                <w:highlight w:val="none"/>
              </w:rPr>
              <w:t>项计划图</w:t>
            </w:r>
            <w:r>
              <w:rPr>
                <w:color w:val="auto"/>
                <w:highlight w:val="none"/>
              </w:rPr>
              <w:t xml:space="preserve"> </w:t>
            </w:r>
            <w:r>
              <w:rPr>
                <w:color w:val="auto"/>
                <w:spacing w:val="9"/>
                <w:highlight w:val="none"/>
              </w:rPr>
              <w:t>表编制不完善，安排不合理，不符合本项目施工实际要求。</w:t>
            </w:r>
          </w:p>
        </w:tc>
      </w:tr>
      <w:tr w14:paraId="1DD4B1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2" w:hRule="atLeast"/>
        </w:trPr>
        <w:tc>
          <w:tcPr>
            <w:tcW w:w="703" w:type="dxa"/>
            <w:vMerge w:val="continue"/>
            <w:tcBorders>
              <w:top w:val="nil"/>
            </w:tcBorders>
            <w:vAlign w:val="top"/>
          </w:tcPr>
          <w:p w14:paraId="4DC6E07B">
            <w:pPr>
              <w:rPr>
                <w:rFonts w:ascii="Arial"/>
                <w:color w:val="auto"/>
                <w:sz w:val="21"/>
                <w:highlight w:val="none"/>
              </w:rPr>
            </w:pPr>
          </w:p>
        </w:tc>
        <w:tc>
          <w:tcPr>
            <w:tcW w:w="1424" w:type="dxa"/>
            <w:vMerge w:val="continue"/>
            <w:tcBorders>
              <w:top w:val="nil"/>
            </w:tcBorders>
            <w:vAlign w:val="top"/>
          </w:tcPr>
          <w:p w14:paraId="5A275F29">
            <w:pPr>
              <w:rPr>
                <w:rFonts w:ascii="Arial"/>
                <w:color w:val="auto"/>
                <w:sz w:val="21"/>
                <w:highlight w:val="none"/>
              </w:rPr>
            </w:pPr>
          </w:p>
        </w:tc>
        <w:tc>
          <w:tcPr>
            <w:tcW w:w="1631" w:type="dxa"/>
            <w:vAlign w:val="top"/>
          </w:tcPr>
          <w:p w14:paraId="73582766">
            <w:pPr>
              <w:spacing w:line="249" w:lineRule="auto"/>
              <w:rPr>
                <w:rFonts w:ascii="Arial"/>
                <w:color w:val="auto"/>
                <w:sz w:val="21"/>
                <w:highlight w:val="none"/>
              </w:rPr>
            </w:pPr>
          </w:p>
          <w:p w14:paraId="560ACE3E">
            <w:pPr>
              <w:spacing w:line="249" w:lineRule="auto"/>
              <w:rPr>
                <w:rFonts w:ascii="Arial"/>
                <w:color w:val="auto"/>
                <w:sz w:val="21"/>
                <w:highlight w:val="none"/>
              </w:rPr>
            </w:pPr>
          </w:p>
          <w:p w14:paraId="73CF3133">
            <w:pPr>
              <w:spacing w:line="250" w:lineRule="auto"/>
              <w:rPr>
                <w:rFonts w:ascii="Arial"/>
                <w:color w:val="auto"/>
                <w:sz w:val="21"/>
                <w:highlight w:val="none"/>
              </w:rPr>
            </w:pPr>
          </w:p>
          <w:p w14:paraId="1CC9C757">
            <w:pPr>
              <w:spacing w:line="250" w:lineRule="auto"/>
              <w:rPr>
                <w:rFonts w:ascii="Arial"/>
                <w:color w:val="auto"/>
                <w:sz w:val="21"/>
                <w:highlight w:val="none"/>
              </w:rPr>
            </w:pPr>
          </w:p>
          <w:p w14:paraId="76C31140">
            <w:pPr>
              <w:spacing w:line="250" w:lineRule="auto"/>
              <w:rPr>
                <w:rFonts w:ascii="Arial"/>
                <w:color w:val="auto"/>
                <w:sz w:val="21"/>
                <w:highlight w:val="none"/>
              </w:rPr>
            </w:pPr>
          </w:p>
          <w:p w14:paraId="10DB07A9">
            <w:pPr>
              <w:spacing w:line="250" w:lineRule="auto"/>
              <w:rPr>
                <w:rFonts w:ascii="Arial"/>
                <w:color w:val="auto"/>
                <w:sz w:val="21"/>
                <w:highlight w:val="none"/>
              </w:rPr>
            </w:pPr>
          </w:p>
          <w:p w14:paraId="7F309470">
            <w:pPr>
              <w:pStyle w:val="15"/>
              <w:spacing w:before="65" w:line="305" w:lineRule="auto"/>
              <w:ind w:left="113" w:right="106"/>
              <w:jc w:val="both"/>
              <w:rPr>
                <w:color w:val="auto"/>
                <w:highlight w:val="none"/>
              </w:rPr>
            </w:pPr>
            <w:r>
              <w:rPr>
                <w:color w:val="auto"/>
                <w:spacing w:val="3"/>
                <w:highlight w:val="none"/>
              </w:rPr>
              <w:t>⑽</w:t>
            </w:r>
            <w:r>
              <w:rPr>
                <w:color w:val="auto"/>
                <w:spacing w:val="-57"/>
                <w:highlight w:val="none"/>
              </w:rPr>
              <w:t xml:space="preserve"> </w:t>
            </w:r>
            <w:r>
              <w:rPr>
                <w:color w:val="auto"/>
                <w:spacing w:val="3"/>
                <w:highlight w:val="none"/>
              </w:rPr>
              <w:t>确保文明施</w:t>
            </w:r>
            <w:r>
              <w:rPr>
                <w:color w:val="auto"/>
                <w:spacing w:val="34"/>
                <w:highlight w:val="none"/>
              </w:rPr>
              <w:t>工的技术组织</w:t>
            </w:r>
            <w:r>
              <w:rPr>
                <w:color w:val="auto"/>
                <w:spacing w:val="3"/>
                <w:highlight w:val="none"/>
              </w:rPr>
              <w:t>措施（6</w:t>
            </w:r>
            <w:r>
              <w:rPr>
                <w:color w:val="auto"/>
                <w:spacing w:val="-31"/>
                <w:highlight w:val="none"/>
              </w:rPr>
              <w:t xml:space="preserve"> </w:t>
            </w:r>
            <w:r>
              <w:rPr>
                <w:color w:val="auto"/>
                <w:spacing w:val="3"/>
                <w:highlight w:val="none"/>
              </w:rPr>
              <w:t>分）</w:t>
            </w:r>
          </w:p>
        </w:tc>
        <w:tc>
          <w:tcPr>
            <w:tcW w:w="5948" w:type="dxa"/>
            <w:vAlign w:val="top"/>
          </w:tcPr>
          <w:p w14:paraId="645B80A0">
            <w:pPr>
              <w:pStyle w:val="15"/>
              <w:spacing w:before="34" w:line="308" w:lineRule="auto"/>
              <w:ind w:left="113" w:right="107"/>
              <w:rPr>
                <w:color w:val="auto"/>
                <w:highlight w:val="none"/>
              </w:rPr>
            </w:pPr>
            <w:r>
              <w:rPr>
                <w:color w:val="auto"/>
                <w:spacing w:val="6"/>
                <w:highlight w:val="none"/>
              </w:rPr>
              <w:t>优（6</w:t>
            </w:r>
            <w:r>
              <w:rPr>
                <w:color w:val="auto"/>
                <w:spacing w:val="-34"/>
                <w:highlight w:val="none"/>
              </w:rPr>
              <w:t xml:space="preserve"> </w:t>
            </w:r>
            <w:r>
              <w:rPr>
                <w:color w:val="auto"/>
                <w:spacing w:val="6"/>
                <w:highlight w:val="none"/>
              </w:rPr>
              <w:t>分</w:t>
            </w:r>
            <w:r>
              <w:rPr>
                <w:color w:val="auto"/>
                <w:spacing w:val="-2"/>
                <w:highlight w:val="none"/>
              </w:rPr>
              <w:t>）：</w:t>
            </w:r>
            <w:r>
              <w:rPr>
                <w:color w:val="auto"/>
                <w:spacing w:val="6"/>
                <w:highlight w:val="none"/>
              </w:rPr>
              <w:t>针对本工程项目特点，有现场文明施工、环境保护</w:t>
            </w:r>
            <w:r>
              <w:rPr>
                <w:color w:val="auto"/>
                <w:spacing w:val="29"/>
                <w:highlight w:val="none"/>
              </w:rPr>
              <w:t>措施，且措施内容达到《</w:t>
            </w:r>
            <w:r>
              <w:rPr>
                <w:color w:val="auto"/>
                <w:spacing w:val="-37"/>
                <w:highlight w:val="none"/>
              </w:rPr>
              <w:t xml:space="preserve"> </w:t>
            </w:r>
            <w:r>
              <w:rPr>
                <w:color w:val="auto"/>
                <w:spacing w:val="29"/>
                <w:highlight w:val="none"/>
              </w:rPr>
              <w:t>建筑施工安全生产检查标准》</w:t>
            </w:r>
            <w:r>
              <w:rPr>
                <w:color w:val="auto"/>
                <w:spacing w:val="11"/>
                <w:highlight w:val="none"/>
              </w:rPr>
              <w:t>（</w:t>
            </w:r>
            <w:r>
              <w:rPr>
                <w:color w:val="auto"/>
                <w:highlight w:val="none"/>
              </w:rPr>
              <w:t>JGJ</w:t>
            </w:r>
            <w:r>
              <w:rPr>
                <w:color w:val="auto"/>
                <w:spacing w:val="11"/>
                <w:highlight w:val="none"/>
              </w:rPr>
              <w:t>59-2011）合格标准并符合《广西壮族自治区建筑工程文</w:t>
            </w:r>
            <w:r>
              <w:rPr>
                <w:color w:val="auto"/>
                <w:spacing w:val="12"/>
                <w:highlight w:val="none"/>
              </w:rPr>
              <w:t>明施工导则》要求。各项措施科学周全、具体、有</w:t>
            </w:r>
            <w:r>
              <w:rPr>
                <w:color w:val="auto"/>
                <w:spacing w:val="11"/>
                <w:highlight w:val="none"/>
              </w:rPr>
              <w:t>效。有具体</w:t>
            </w:r>
            <w:r>
              <w:rPr>
                <w:color w:val="auto"/>
                <w:spacing w:val="8"/>
                <w:highlight w:val="none"/>
              </w:rPr>
              <w:t>实现现场文明施工目标的承诺。</w:t>
            </w:r>
          </w:p>
          <w:p w14:paraId="28CB1AB4">
            <w:pPr>
              <w:pStyle w:val="15"/>
              <w:spacing w:before="35" w:line="308" w:lineRule="auto"/>
              <w:ind w:left="115" w:right="107" w:firstLine="32"/>
              <w:rPr>
                <w:color w:val="auto"/>
                <w:highlight w:val="none"/>
              </w:rPr>
            </w:pPr>
            <w:r>
              <w:rPr>
                <w:color w:val="auto"/>
                <w:spacing w:val="5"/>
                <w:highlight w:val="none"/>
              </w:rPr>
              <w:t>良（4.5</w:t>
            </w:r>
            <w:r>
              <w:rPr>
                <w:color w:val="auto"/>
                <w:spacing w:val="-34"/>
                <w:highlight w:val="none"/>
              </w:rPr>
              <w:t xml:space="preserve"> </w:t>
            </w:r>
            <w:r>
              <w:rPr>
                <w:color w:val="auto"/>
                <w:spacing w:val="5"/>
                <w:highlight w:val="none"/>
              </w:rPr>
              <w:t>分</w:t>
            </w:r>
            <w:r>
              <w:rPr>
                <w:color w:val="auto"/>
                <w:spacing w:val="-6"/>
                <w:highlight w:val="none"/>
              </w:rPr>
              <w:t>）：</w:t>
            </w:r>
            <w:r>
              <w:rPr>
                <w:color w:val="auto"/>
                <w:spacing w:val="5"/>
                <w:highlight w:val="none"/>
              </w:rPr>
              <w:t>针对本工程项目特点，有现场文明施工、</w:t>
            </w:r>
            <w:r>
              <w:rPr>
                <w:color w:val="auto"/>
                <w:spacing w:val="4"/>
                <w:highlight w:val="none"/>
              </w:rPr>
              <w:t>环境保</w:t>
            </w:r>
            <w:r>
              <w:rPr>
                <w:color w:val="auto"/>
                <w:spacing w:val="26"/>
                <w:highlight w:val="none"/>
              </w:rPr>
              <w:t>护措施，且措施内容达到《建筑施工安全生产检查标准》</w:t>
            </w:r>
            <w:r>
              <w:rPr>
                <w:color w:val="auto"/>
                <w:spacing w:val="11"/>
                <w:highlight w:val="none"/>
              </w:rPr>
              <w:t>（</w:t>
            </w:r>
            <w:r>
              <w:rPr>
                <w:color w:val="auto"/>
                <w:highlight w:val="none"/>
              </w:rPr>
              <w:t>JGJ</w:t>
            </w:r>
            <w:r>
              <w:rPr>
                <w:color w:val="auto"/>
                <w:spacing w:val="11"/>
                <w:highlight w:val="none"/>
              </w:rPr>
              <w:t>59-2011）合格标准并符合《广西壮族自治区建筑工程文</w:t>
            </w:r>
            <w:r>
              <w:rPr>
                <w:color w:val="auto"/>
                <w:highlight w:val="none"/>
              </w:rPr>
              <w:t xml:space="preserve"> </w:t>
            </w:r>
            <w:r>
              <w:rPr>
                <w:color w:val="auto"/>
                <w:spacing w:val="12"/>
                <w:highlight w:val="none"/>
              </w:rPr>
              <w:t>明施工导则》要求。各项措施有效。有实现现场</w:t>
            </w:r>
            <w:r>
              <w:rPr>
                <w:color w:val="auto"/>
                <w:spacing w:val="11"/>
                <w:highlight w:val="none"/>
              </w:rPr>
              <w:t>文明施工目标</w:t>
            </w:r>
            <w:r>
              <w:rPr>
                <w:color w:val="auto"/>
                <w:spacing w:val="4"/>
                <w:highlight w:val="none"/>
              </w:rPr>
              <w:t>的承诺。</w:t>
            </w:r>
          </w:p>
          <w:p w14:paraId="6B342D32">
            <w:pPr>
              <w:pStyle w:val="15"/>
              <w:spacing w:before="32" w:line="307" w:lineRule="auto"/>
              <w:ind w:left="114" w:right="107" w:firstLine="19"/>
              <w:rPr>
                <w:color w:val="auto"/>
                <w:highlight w:val="none"/>
              </w:rPr>
            </w:pPr>
            <w:r>
              <w:rPr>
                <w:color w:val="auto"/>
                <w:spacing w:val="5"/>
                <w:highlight w:val="none"/>
              </w:rPr>
              <w:t>中（3</w:t>
            </w:r>
            <w:r>
              <w:rPr>
                <w:color w:val="auto"/>
                <w:spacing w:val="-35"/>
                <w:highlight w:val="none"/>
              </w:rPr>
              <w:t xml:space="preserve"> </w:t>
            </w:r>
            <w:r>
              <w:rPr>
                <w:color w:val="auto"/>
                <w:spacing w:val="5"/>
                <w:highlight w:val="none"/>
              </w:rPr>
              <w:t>分</w:t>
            </w:r>
            <w:r>
              <w:rPr>
                <w:color w:val="auto"/>
                <w:spacing w:val="1"/>
                <w:highlight w:val="none"/>
              </w:rPr>
              <w:t>）：</w:t>
            </w:r>
            <w:r>
              <w:rPr>
                <w:color w:val="auto"/>
                <w:spacing w:val="5"/>
                <w:highlight w:val="none"/>
              </w:rPr>
              <w:t>针对本工程项目特点，有现场文明施工、环境保护</w:t>
            </w:r>
            <w:r>
              <w:rPr>
                <w:color w:val="auto"/>
                <w:highlight w:val="none"/>
              </w:rPr>
              <w:t xml:space="preserve"> </w:t>
            </w:r>
            <w:r>
              <w:rPr>
                <w:color w:val="auto"/>
                <w:spacing w:val="29"/>
                <w:highlight w:val="none"/>
              </w:rPr>
              <w:t>措施，且措施内容达到《</w:t>
            </w:r>
            <w:r>
              <w:rPr>
                <w:color w:val="auto"/>
                <w:spacing w:val="-37"/>
                <w:highlight w:val="none"/>
              </w:rPr>
              <w:t xml:space="preserve"> </w:t>
            </w:r>
            <w:r>
              <w:rPr>
                <w:color w:val="auto"/>
                <w:spacing w:val="29"/>
                <w:highlight w:val="none"/>
              </w:rPr>
              <w:t>建筑施工安全生产检查标准</w:t>
            </w:r>
            <w:r>
              <w:rPr>
                <w:color w:val="auto"/>
                <w:spacing w:val="-50"/>
                <w:highlight w:val="none"/>
              </w:rPr>
              <w:t xml:space="preserve"> </w:t>
            </w:r>
            <w:r>
              <w:rPr>
                <w:color w:val="auto"/>
                <w:spacing w:val="29"/>
                <w:highlight w:val="none"/>
              </w:rPr>
              <w:t>》</w:t>
            </w:r>
            <w:r>
              <w:rPr>
                <w:color w:val="auto"/>
                <w:spacing w:val="11"/>
                <w:highlight w:val="none"/>
              </w:rPr>
              <w:t>（</w:t>
            </w:r>
            <w:r>
              <w:rPr>
                <w:color w:val="auto"/>
                <w:highlight w:val="none"/>
              </w:rPr>
              <w:t>JGJ</w:t>
            </w:r>
            <w:r>
              <w:rPr>
                <w:color w:val="auto"/>
                <w:spacing w:val="11"/>
                <w:highlight w:val="none"/>
              </w:rPr>
              <w:t>59-2011）合格标准并符合《广西壮族自治区建筑工程文</w:t>
            </w:r>
            <w:r>
              <w:rPr>
                <w:color w:val="auto"/>
                <w:spacing w:val="12"/>
                <w:highlight w:val="none"/>
              </w:rPr>
              <w:t>明施工导则》要求。各项措施可行。有实现现场文</w:t>
            </w:r>
            <w:r>
              <w:rPr>
                <w:color w:val="auto"/>
                <w:spacing w:val="11"/>
                <w:highlight w:val="none"/>
              </w:rPr>
              <w:t>明施工目标</w:t>
            </w:r>
            <w:r>
              <w:rPr>
                <w:color w:val="auto"/>
                <w:spacing w:val="5"/>
                <w:highlight w:val="none"/>
              </w:rPr>
              <w:t>的承诺。</w:t>
            </w:r>
          </w:p>
        </w:tc>
      </w:tr>
    </w:tbl>
    <w:p w14:paraId="04303121">
      <w:pPr>
        <w:spacing w:before="103" w:line="188" w:lineRule="auto"/>
        <w:ind w:left="0"/>
        <w:rPr>
          <w:rFonts w:ascii="Times New Roman" w:hAnsi="Times New Roman" w:eastAsia="Times New Roman" w:cs="Times New Roman"/>
          <w:color w:val="auto"/>
          <w:sz w:val="18"/>
          <w:szCs w:val="18"/>
          <w:highlight w:val="none"/>
        </w:rPr>
        <w:sectPr>
          <w:pgSz w:w="11910" w:h="16840"/>
          <w:pgMar w:top="1371" w:right="1083" w:bottom="400" w:left="1115" w:header="0" w:footer="454" w:gutter="0"/>
          <w:pgNumType w:fmt="decimal"/>
          <w:cols w:space="720" w:num="1"/>
        </w:sectPr>
      </w:pPr>
    </w:p>
    <w:tbl>
      <w:tblPr>
        <w:tblStyle w:val="14"/>
        <w:tblW w:w="97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3"/>
        <w:gridCol w:w="1424"/>
        <w:gridCol w:w="1631"/>
        <w:gridCol w:w="5948"/>
      </w:tblGrid>
      <w:tr w14:paraId="62798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03" w:type="dxa"/>
            <w:shd w:val="clear" w:color="auto" w:fill="DAE3F3"/>
            <w:vAlign w:val="top"/>
          </w:tcPr>
          <w:p w14:paraId="5E848556">
            <w:pPr>
              <w:pStyle w:val="15"/>
              <w:spacing w:before="36" w:line="297" w:lineRule="auto"/>
              <w:ind w:left="255" w:right="140" w:hanging="106"/>
              <w:rPr>
                <w:color w:val="auto"/>
                <w:highlight w:val="none"/>
              </w:rPr>
            </w:pPr>
            <w:r>
              <w:rPr>
                <w:color w:val="auto"/>
                <w:spacing w:val="3"/>
                <w:highlight w:val="none"/>
              </w:rPr>
              <w:t>条款</w:t>
            </w:r>
            <w:r>
              <w:rPr>
                <w:color w:val="auto"/>
                <w:highlight w:val="none"/>
              </w:rPr>
              <w:t xml:space="preserve"> 号</w:t>
            </w:r>
          </w:p>
        </w:tc>
        <w:tc>
          <w:tcPr>
            <w:tcW w:w="3055" w:type="dxa"/>
            <w:gridSpan w:val="2"/>
            <w:shd w:val="clear" w:color="auto" w:fill="DAE3F3"/>
            <w:vAlign w:val="top"/>
          </w:tcPr>
          <w:p w14:paraId="09EB0C0A">
            <w:pPr>
              <w:pStyle w:val="15"/>
              <w:spacing w:before="205" w:line="228" w:lineRule="auto"/>
              <w:ind w:left="1112"/>
              <w:rPr>
                <w:color w:val="auto"/>
                <w:highlight w:val="none"/>
              </w:rPr>
            </w:pPr>
            <w:r>
              <w:rPr>
                <w:color w:val="auto"/>
                <w:spacing w:val="7"/>
                <w:highlight w:val="none"/>
              </w:rPr>
              <w:t>评审因素</w:t>
            </w:r>
          </w:p>
        </w:tc>
        <w:tc>
          <w:tcPr>
            <w:tcW w:w="5948" w:type="dxa"/>
            <w:shd w:val="clear" w:color="auto" w:fill="DAE3F3"/>
            <w:vAlign w:val="top"/>
          </w:tcPr>
          <w:p w14:paraId="2A95BBD7">
            <w:pPr>
              <w:pStyle w:val="15"/>
              <w:spacing w:before="36" w:line="228" w:lineRule="auto"/>
              <w:ind w:left="2557"/>
              <w:rPr>
                <w:color w:val="auto"/>
                <w:highlight w:val="none"/>
              </w:rPr>
            </w:pPr>
            <w:r>
              <w:rPr>
                <w:color w:val="auto"/>
                <w:spacing w:val="7"/>
                <w:highlight w:val="none"/>
              </w:rPr>
              <w:t>评审标准</w:t>
            </w:r>
          </w:p>
        </w:tc>
      </w:tr>
      <w:tr w14:paraId="2A5CD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703" w:type="dxa"/>
            <w:vMerge w:val="restart"/>
            <w:tcBorders>
              <w:bottom w:val="nil"/>
            </w:tcBorders>
            <w:vAlign w:val="top"/>
          </w:tcPr>
          <w:p w14:paraId="55D5C8CE">
            <w:pPr>
              <w:rPr>
                <w:rFonts w:ascii="Arial"/>
                <w:color w:val="auto"/>
                <w:sz w:val="21"/>
                <w:highlight w:val="none"/>
              </w:rPr>
            </w:pPr>
          </w:p>
        </w:tc>
        <w:tc>
          <w:tcPr>
            <w:tcW w:w="1424" w:type="dxa"/>
            <w:vMerge w:val="restart"/>
            <w:tcBorders>
              <w:bottom w:val="nil"/>
            </w:tcBorders>
            <w:vAlign w:val="top"/>
          </w:tcPr>
          <w:p w14:paraId="6214CFC3">
            <w:pPr>
              <w:rPr>
                <w:rFonts w:ascii="Arial"/>
                <w:color w:val="auto"/>
                <w:sz w:val="21"/>
                <w:highlight w:val="none"/>
              </w:rPr>
            </w:pPr>
          </w:p>
        </w:tc>
        <w:tc>
          <w:tcPr>
            <w:tcW w:w="1631" w:type="dxa"/>
            <w:vAlign w:val="top"/>
          </w:tcPr>
          <w:p w14:paraId="2EBEAB72">
            <w:pPr>
              <w:rPr>
                <w:rFonts w:ascii="Arial"/>
                <w:color w:val="auto"/>
                <w:sz w:val="21"/>
                <w:highlight w:val="none"/>
              </w:rPr>
            </w:pPr>
          </w:p>
        </w:tc>
        <w:tc>
          <w:tcPr>
            <w:tcW w:w="5948" w:type="dxa"/>
            <w:vAlign w:val="top"/>
          </w:tcPr>
          <w:p w14:paraId="07CF0B1A">
            <w:pPr>
              <w:pStyle w:val="15"/>
              <w:spacing w:before="33" w:line="307" w:lineRule="auto"/>
              <w:ind w:left="113" w:right="107" w:firstLine="3"/>
              <w:rPr>
                <w:color w:val="auto"/>
                <w:highlight w:val="none"/>
              </w:rPr>
            </w:pPr>
            <w:r>
              <w:rPr>
                <w:color w:val="auto"/>
                <w:spacing w:val="6"/>
                <w:highlight w:val="none"/>
              </w:rPr>
              <w:t>差（1.5</w:t>
            </w:r>
            <w:r>
              <w:rPr>
                <w:color w:val="auto"/>
                <w:spacing w:val="-36"/>
                <w:highlight w:val="none"/>
              </w:rPr>
              <w:t xml:space="preserve"> </w:t>
            </w:r>
            <w:r>
              <w:rPr>
                <w:color w:val="auto"/>
                <w:spacing w:val="6"/>
                <w:highlight w:val="none"/>
              </w:rPr>
              <w:t>分</w:t>
            </w:r>
            <w:r>
              <w:rPr>
                <w:color w:val="auto"/>
                <w:spacing w:val="-6"/>
                <w:highlight w:val="none"/>
              </w:rPr>
              <w:t>）：</w:t>
            </w:r>
            <w:r>
              <w:rPr>
                <w:color w:val="auto"/>
                <w:spacing w:val="6"/>
                <w:highlight w:val="none"/>
              </w:rPr>
              <w:t>未针对本工程项目特点设置现场文明施工、环境</w:t>
            </w:r>
            <w:r>
              <w:rPr>
                <w:color w:val="auto"/>
                <w:spacing w:val="11"/>
                <w:highlight w:val="none"/>
              </w:rPr>
              <w:t>保护措施，且措施内容未达到《建筑施工安全生产检查标准》（</w:t>
            </w:r>
            <w:r>
              <w:rPr>
                <w:color w:val="auto"/>
                <w:highlight w:val="none"/>
              </w:rPr>
              <w:t>JGJ</w:t>
            </w:r>
            <w:r>
              <w:rPr>
                <w:color w:val="auto"/>
                <w:spacing w:val="11"/>
                <w:highlight w:val="none"/>
              </w:rPr>
              <w:t>59-2011）合格标准，不符合《广西壮族自治区建筑工程</w:t>
            </w:r>
            <w:r>
              <w:rPr>
                <w:color w:val="auto"/>
                <w:spacing w:val="12"/>
                <w:highlight w:val="none"/>
              </w:rPr>
              <w:t>文明施工导则》要求。各项措施不得力。无具体实现</w:t>
            </w:r>
            <w:r>
              <w:rPr>
                <w:color w:val="auto"/>
                <w:spacing w:val="11"/>
                <w:highlight w:val="none"/>
              </w:rPr>
              <w:t>现场文明</w:t>
            </w:r>
            <w:r>
              <w:rPr>
                <w:color w:val="auto"/>
                <w:spacing w:val="7"/>
                <w:highlight w:val="none"/>
              </w:rPr>
              <w:t>施工目标的承诺。</w:t>
            </w:r>
          </w:p>
        </w:tc>
      </w:tr>
      <w:tr w14:paraId="4C845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6" w:hRule="atLeast"/>
        </w:trPr>
        <w:tc>
          <w:tcPr>
            <w:tcW w:w="703" w:type="dxa"/>
            <w:vMerge w:val="continue"/>
            <w:tcBorders>
              <w:top w:val="nil"/>
              <w:bottom w:val="nil"/>
            </w:tcBorders>
            <w:vAlign w:val="top"/>
          </w:tcPr>
          <w:p w14:paraId="15015162">
            <w:pPr>
              <w:rPr>
                <w:rFonts w:ascii="Arial"/>
                <w:color w:val="auto"/>
                <w:sz w:val="21"/>
                <w:highlight w:val="none"/>
              </w:rPr>
            </w:pPr>
          </w:p>
        </w:tc>
        <w:tc>
          <w:tcPr>
            <w:tcW w:w="1424" w:type="dxa"/>
            <w:vMerge w:val="continue"/>
            <w:tcBorders>
              <w:top w:val="nil"/>
              <w:bottom w:val="nil"/>
            </w:tcBorders>
            <w:vAlign w:val="top"/>
          </w:tcPr>
          <w:p w14:paraId="4F5F390A">
            <w:pPr>
              <w:rPr>
                <w:rFonts w:ascii="Arial"/>
                <w:color w:val="auto"/>
                <w:sz w:val="21"/>
                <w:highlight w:val="none"/>
              </w:rPr>
            </w:pPr>
          </w:p>
        </w:tc>
        <w:tc>
          <w:tcPr>
            <w:tcW w:w="1631" w:type="dxa"/>
            <w:vAlign w:val="top"/>
          </w:tcPr>
          <w:p w14:paraId="106E0DF0">
            <w:pPr>
              <w:spacing w:line="271" w:lineRule="auto"/>
              <w:rPr>
                <w:rFonts w:ascii="Arial"/>
                <w:color w:val="auto"/>
                <w:sz w:val="21"/>
                <w:highlight w:val="none"/>
              </w:rPr>
            </w:pPr>
          </w:p>
          <w:p w14:paraId="183BB044">
            <w:pPr>
              <w:spacing w:line="271" w:lineRule="auto"/>
              <w:rPr>
                <w:rFonts w:ascii="Arial"/>
                <w:color w:val="auto"/>
                <w:sz w:val="21"/>
                <w:highlight w:val="none"/>
              </w:rPr>
            </w:pPr>
          </w:p>
          <w:p w14:paraId="75AC3319">
            <w:pPr>
              <w:spacing w:line="271" w:lineRule="auto"/>
              <w:rPr>
                <w:rFonts w:ascii="Arial"/>
                <w:color w:val="auto"/>
                <w:sz w:val="21"/>
                <w:highlight w:val="none"/>
              </w:rPr>
            </w:pPr>
          </w:p>
          <w:p w14:paraId="0BE89578">
            <w:pPr>
              <w:pStyle w:val="15"/>
              <w:spacing w:before="65" w:line="304" w:lineRule="auto"/>
              <w:ind w:left="113" w:right="19"/>
              <w:jc w:val="both"/>
              <w:rPr>
                <w:color w:val="auto"/>
                <w:highlight w:val="none"/>
              </w:rPr>
            </w:pPr>
            <w:r>
              <w:rPr>
                <w:color w:val="auto"/>
                <w:spacing w:val="3"/>
                <w:highlight w:val="none"/>
              </w:rPr>
              <w:t>⑾</w:t>
            </w:r>
            <w:r>
              <w:rPr>
                <w:color w:val="auto"/>
                <w:spacing w:val="-55"/>
                <w:highlight w:val="none"/>
              </w:rPr>
              <w:t xml:space="preserve"> </w:t>
            </w:r>
            <w:r>
              <w:rPr>
                <w:color w:val="auto"/>
                <w:spacing w:val="3"/>
                <w:highlight w:val="none"/>
              </w:rPr>
              <w:t>工程施工的</w:t>
            </w:r>
            <w:r>
              <w:rPr>
                <w:color w:val="auto"/>
                <w:highlight w:val="none"/>
              </w:rPr>
              <w:t xml:space="preserve">  </w:t>
            </w:r>
            <w:r>
              <w:rPr>
                <w:color w:val="auto"/>
                <w:spacing w:val="34"/>
                <w:highlight w:val="none"/>
              </w:rPr>
              <w:t>重点和难点及</w:t>
            </w:r>
            <w:r>
              <w:rPr>
                <w:color w:val="auto"/>
                <w:highlight w:val="none"/>
              </w:rPr>
              <w:t xml:space="preserve">  </w:t>
            </w:r>
            <w:r>
              <w:rPr>
                <w:color w:val="auto"/>
                <w:spacing w:val="-9"/>
                <w:highlight w:val="none"/>
              </w:rPr>
              <w:t>保证措施（6</w:t>
            </w:r>
            <w:r>
              <w:rPr>
                <w:color w:val="auto"/>
                <w:spacing w:val="-37"/>
                <w:highlight w:val="none"/>
              </w:rPr>
              <w:t xml:space="preserve"> </w:t>
            </w:r>
            <w:r>
              <w:rPr>
                <w:color w:val="auto"/>
                <w:spacing w:val="-9"/>
                <w:highlight w:val="none"/>
              </w:rPr>
              <w:t>分）</w:t>
            </w:r>
          </w:p>
        </w:tc>
        <w:tc>
          <w:tcPr>
            <w:tcW w:w="5948" w:type="dxa"/>
            <w:vAlign w:val="top"/>
          </w:tcPr>
          <w:p w14:paraId="17BE6F47">
            <w:pPr>
              <w:pStyle w:val="15"/>
              <w:spacing w:before="35" w:line="297" w:lineRule="auto"/>
              <w:ind w:left="120" w:right="107" w:hanging="7"/>
              <w:rPr>
                <w:color w:val="auto"/>
                <w:highlight w:val="none"/>
              </w:rPr>
            </w:pPr>
            <w:r>
              <w:rPr>
                <w:color w:val="auto"/>
                <w:spacing w:val="6"/>
                <w:highlight w:val="none"/>
              </w:rPr>
              <w:t>优（6</w:t>
            </w:r>
            <w:r>
              <w:rPr>
                <w:color w:val="auto"/>
                <w:spacing w:val="-36"/>
                <w:highlight w:val="none"/>
              </w:rPr>
              <w:t xml:space="preserve"> </w:t>
            </w:r>
            <w:r>
              <w:rPr>
                <w:color w:val="auto"/>
                <w:spacing w:val="6"/>
                <w:highlight w:val="none"/>
              </w:rPr>
              <w:t>分</w:t>
            </w:r>
            <w:r>
              <w:rPr>
                <w:color w:val="auto"/>
                <w:highlight w:val="none"/>
              </w:rPr>
              <w:t>）：</w:t>
            </w:r>
            <w:r>
              <w:rPr>
                <w:color w:val="auto"/>
                <w:spacing w:val="6"/>
                <w:highlight w:val="none"/>
              </w:rPr>
              <w:t>针对本工程的特点，阐述本工程的重点和难点，解</w:t>
            </w:r>
            <w:r>
              <w:rPr>
                <w:color w:val="auto"/>
                <w:spacing w:val="8"/>
                <w:highlight w:val="none"/>
              </w:rPr>
              <w:t>决重点和难点问题的方法科学合理。</w:t>
            </w:r>
          </w:p>
          <w:p w14:paraId="031D1503">
            <w:pPr>
              <w:pStyle w:val="15"/>
              <w:spacing w:before="34" w:line="300" w:lineRule="auto"/>
              <w:ind w:left="113" w:right="62" w:firstLine="34"/>
              <w:rPr>
                <w:color w:val="auto"/>
                <w:highlight w:val="none"/>
              </w:rPr>
            </w:pPr>
            <w:r>
              <w:rPr>
                <w:color w:val="auto"/>
                <w:spacing w:val="5"/>
                <w:highlight w:val="none"/>
              </w:rPr>
              <w:t>良（4.5</w:t>
            </w:r>
            <w:r>
              <w:rPr>
                <w:color w:val="auto"/>
                <w:spacing w:val="-34"/>
                <w:highlight w:val="none"/>
              </w:rPr>
              <w:t xml:space="preserve"> </w:t>
            </w:r>
            <w:r>
              <w:rPr>
                <w:color w:val="auto"/>
                <w:spacing w:val="5"/>
                <w:highlight w:val="none"/>
              </w:rPr>
              <w:t>分</w:t>
            </w:r>
            <w:r>
              <w:rPr>
                <w:color w:val="auto"/>
                <w:spacing w:val="15"/>
                <w:highlight w:val="none"/>
              </w:rPr>
              <w:t>）：</w:t>
            </w:r>
            <w:r>
              <w:rPr>
                <w:color w:val="auto"/>
                <w:spacing w:val="5"/>
                <w:highlight w:val="none"/>
              </w:rPr>
              <w:t>针对本工程的特点，阐述本工程的重点和难点，</w:t>
            </w:r>
            <w:r>
              <w:rPr>
                <w:color w:val="auto"/>
                <w:spacing w:val="8"/>
                <w:highlight w:val="none"/>
              </w:rPr>
              <w:t>解决重点和难点问题的方法较合理。</w:t>
            </w:r>
          </w:p>
          <w:p w14:paraId="1C4E5F51">
            <w:pPr>
              <w:pStyle w:val="15"/>
              <w:spacing w:before="31" w:line="300" w:lineRule="auto"/>
              <w:ind w:left="121" w:right="107" w:firstLine="13"/>
              <w:rPr>
                <w:color w:val="auto"/>
                <w:highlight w:val="none"/>
              </w:rPr>
            </w:pPr>
            <w:r>
              <w:rPr>
                <w:color w:val="auto"/>
                <w:spacing w:val="5"/>
                <w:highlight w:val="none"/>
              </w:rPr>
              <w:t>中（3</w:t>
            </w:r>
            <w:r>
              <w:rPr>
                <w:color w:val="auto"/>
                <w:spacing w:val="-34"/>
                <w:highlight w:val="none"/>
              </w:rPr>
              <w:t xml:space="preserve"> </w:t>
            </w:r>
            <w:r>
              <w:rPr>
                <w:color w:val="auto"/>
                <w:spacing w:val="5"/>
                <w:highlight w:val="none"/>
              </w:rPr>
              <w:t>分</w:t>
            </w:r>
            <w:r>
              <w:rPr>
                <w:color w:val="auto"/>
                <w:spacing w:val="2"/>
                <w:highlight w:val="none"/>
              </w:rPr>
              <w:t>）：</w:t>
            </w:r>
            <w:r>
              <w:rPr>
                <w:color w:val="auto"/>
                <w:spacing w:val="5"/>
                <w:highlight w:val="none"/>
              </w:rPr>
              <w:t>针对本工程的特点，阐述本工程的重点和难点，解</w:t>
            </w:r>
            <w:r>
              <w:rPr>
                <w:color w:val="auto"/>
                <w:spacing w:val="8"/>
                <w:highlight w:val="none"/>
              </w:rPr>
              <w:t>决重点和难点问题的方法可行。</w:t>
            </w:r>
          </w:p>
          <w:p w14:paraId="25AAB782">
            <w:pPr>
              <w:pStyle w:val="15"/>
              <w:spacing w:before="29" w:line="296" w:lineRule="auto"/>
              <w:ind w:left="113" w:right="55" w:firstLine="3"/>
              <w:rPr>
                <w:color w:val="auto"/>
                <w:highlight w:val="none"/>
              </w:rPr>
            </w:pPr>
            <w:r>
              <w:rPr>
                <w:color w:val="auto"/>
                <w:spacing w:val="2"/>
                <w:highlight w:val="none"/>
              </w:rPr>
              <w:t>差（1.5</w:t>
            </w:r>
            <w:r>
              <w:rPr>
                <w:color w:val="auto"/>
                <w:spacing w:val="-37"/>
                <w:highlight w:val="none"/>
              </w:rPr>
              <w:t xml:space="preserve"> </w:t>
            </w:r>
            <w:r>
              <w:rPr>
                <w:color w:val="auto"/>
                <w:spacing w:val="2"/>
                <w:highlight w:val="none"/>
              </w:rPr>
              <w:t>分</w:t>
            </w:r>
            <w:r>
              <w:rPr>
                <w:color w:val="auto"/>
                <w:spacing w:val="-25"/>
                <w:highlight w:val="none"/>
              </w:rPr>
              <w:t>）：</w:t>
            </w:r>
            <w:r>
              <w:rPr>
                <w:color w:val="auto"/>
                <w:spacing w:val="2"/>
                <w:highlight w:val="none"/>
              </w:rPr>
              <w:t>未针对本工程的特点，阐述本工程的重点和难点，</w:t>
            </w:r>
            <w:r>
              <w:rPr>
                <w:color w:val="auto"/>
                <w:spacing w:val="8"/>
                <w:highlight w:val="none"/>
              </w:rPr>
              <w:t>解决重点和难点问题的方法不合理。</w:t>
            </w:r>
          </w:p>
        </w:tc>
      </w:tr>
      <w:tr w14:paraId="2F255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703" w:type="dxa"/>
            <w:vMerge w:val="continue"/>
            <w:tcBorders>
              <w:top w:val="nil"/>
            </w:tcBorders>
            <w:vAlign w:val="top"/>
          </w:tcPr>
          <w:p w14:paraId="5A000B22">
            <w:pPr>
              <w:rPr>
                <w:rFonts w:ascii="Arial"/>
                <w:color w:val="auto"/>
                <w:sz w:val="21"/>
                <w:highlight w:val="none"/>
              </w:rPr>
            </w:pPr>
          </w:p>
        </w:tc>
        <w:tc>
          <w:tcPr>
            <w:tcW w:w="1424" w:type="dxa"/>
            <w:vMerge w:val="continue"/>
            <w:tcBorders>
              <w:top w:val="nil"/>
            </w:tcBorders>
            <w:vAlign w:val="top"/>
          </w:tcPr>
          <w:p w14:paraId="1B810947">
            <w:pPr>
              <w:rPr>
                <w:rFonts w:ascii="Arial"/>
                <w:color w:val="auto"/>
                <w:sz w:val="21"/>
                <w:highlight w:val="none"/>
              </w:rPr>
            </w:pPr>
          </w:p>
        </w:tc>
        <w:tc>
          <w:tcPr>
            <w:tcW w:w="1631" w:type="dxa"/>
            <w:vAlign w:val="top"/>
          </w:tcPr>
          <w:p w14:paraId="04A17C1C">
            <w:pPr>
              <w:spacing w:line="246" w:lineRule="auto"/>
              <w:rPr>
                <w:rFonts w:ascii="Arial"/>
                <w:color w:val="auto"/>
                <w:sz w:val="21"/>
                <w:highlight w:val="none"/>
              </w:rPr>
            </w:pPr>
          </w:p>
          <w:p w14:paraId="19546186">
            <w:pPr>
              <w:spacing w:line="246" w:lineRule="auto"/>
              <w:rPr>
                <w:rFonts w:ascii="Arial"/>
                <w:color w:val="auto"/>
                <w:sz w:val="21"/>
                <w:highlight w:val="none"/>
              </w:rPr>
            </w:pPr>
          </w:p>
          <w:p w14:paraId="687D0A04">
            <w:pPr>
              <w:spacing w:line="247" w:lineRule="auto"/>
              <w:rPr>
                <w:rFonts w:ascii="Arial"/>
                <w:color w:val="auto"/>
                <w:sz w:val="21"/>
                <w:highlight w:val="none"/>
              </w:rPr>
            </w:pPr>
          </w:p>
          <w:p w14:paraId="12BD9AC1">
            <w:pPr>
              <w:pStyle w:val="15"/>
              <w:spacing w:before="65" w:line="297" w:lineRule="auto"/>
              <w:ind w:left="113" w:right="106"/>
              <w:rPr>
                <w:color w:val="auto"/>
                <w:highlight w:val="none"/>
              </w:rPr>
            </w:pPr>
            <w:r>
              <w:rPr>
                <w:color w:val="auto"/>
                <w:spacing w:val="6"/>
                <w:highlight w:val="none"/>
              </w:rPr>
              <w:t>⑿</w:t>
            </w:r>
            <w:r>
              <w:rPr>
                <w:color w:val="auto"/>
                <w:spacing w:val="-62"/>
                <w:highlight w:val="none"/>
              </w:rPr>
              <w:t xml:space="preserve"> </w:t>
            </w:r>
            <w:r>
              <w:rPr>
                <w:color w:val="auto"/>
                <w:spacing w:val="6"/>
                <w:highlight w:val="none"/>
              </w:rPr>
              <w:t>施工总平</w:t>
            </w:r>
            <w:r>
              <w:rPr>
                <w:color w:val="auto"/>
                <w:spacing w:val="-58"/>
                <w:highlight w:val="none"/>
              </w:rPr>
              <w:t xml:space="preserve"> </w:t>
            </w:r>
            <w:r>
              <w:rPr>
                <w:color w:val="auto"/>
                <w:spacing w:val="6"/>
                <w:highlight w:val="none"/>
              </w:rPr>
              <w:t>面</w:t>
            </w:r>
            <w:r>
              <w:rPr>
                <w:color w:val="auto"/>
                <w:spacing w:val="4"/>
                <w:highlight w:val="none"/>
              </w:rPr>
              <w:t>布置图（6分）</w:t>
            </w:r>
          </w:p>
        </w:tc>
        <w:tc>
          <w:tcPr>
            <w:tcW w:w="5948" w:type="dxa"/>
            <w:vAlign w:val="top"/>
          </w:tcPr>
          <w:p w14:paraId="48ACB7DB">
            <w:pPr>
              <w:pStyle w:val="15"/>
              <w:spacing w:before="35" w:line="300" w:lineRule="auto"/>
              <w:ind w:left="113" w:right="107"/>
              <w:rPr>
                <w:color w:val="auto"/>
                <w:highlight w:val="none"/>
              </w:rPr>
            </w:pPr>
            <w:r>
              <w:rPr>
                <w:color w:val="auto"/>
                <w:spacing w:val="6"/>
                <w:highlight w:val="none"/>
              </w:rPr>
              <w:t>优（6</w:t>
            </w:r>
            <w:r>
              <w:rPr>
                <w:color w:val="auto"/>
                <w:spacing w:val="-36"/>
                <w:highlight w:val="none"/>
              </w:rPr>
              <w:t xml:space="preserve"> </w:t>
            </w:r>
            <w:r>
              <w:rPr>
                <w:color w:val="auto"/>
                <w:spacing w:val="6"/>
                <w:highlight w:val="none"/>
              </w:rPr>
              <w:t>分</w:t>
            </w:r>
            <w:r>
              <w:rPr>
                <w:color w:val="auto"/>
                <w:highlight w:val="none"/>
              </w:rPr>
              <w:t>）：</w:t>
            </w:r>
            <w:r>
              <w:rPr>
                <w:color w:val="auto"/>
                <w:spacing w:val="6"/>
                <w:highlight w:val="none"/>
              </w:rPr>
              <w:t>有施工总平面布置图，安排科学合理，符合本项目</w:t>
            </w:r>
            <w:r>
              <w:rPr>
                <w:color w:val="auto"/>
                <w:spacing w:val="7"/>
                <w:highlight w:val="none"/>
              </w:rPr>
              <w:t>施工实际要求。</w:t>
            </w:r>
          </w:p>
          <w:p w14:paraId="27F62DB7">
            <w:pPr>
              <w:pStyle w:val="15"/>
              <w:spacing w:before="31" w:line="300" w:lineRule="auto"/>
              <w:ind w:left="113" w:right="107" w:firstLine="34"/>
              <w:rPr>
                <w:color w:val="auto"/>
                <w:highlight w:val="none"/>
              </w:rPr>
            </w:pPr>
            <w:r>
              <w:rPr>
                <w:color w:val="auto"/>
                <w:spacing w:val="5"/>
                <w:highlight w:val="none"/>
              </w:rPr>
              <w:t>良（4.5</w:t>
            </w:r>
            <w:r>
              <w:rPr>
                <w:color w:val="auto"/>
                <w:spacing w:val="-35"/>
                <w:highlight w:val="none"/>
              </w:rPr>
              <w:t xml:space="preserve"> </w:t>
            </w:r>
            <w:r>
              <w:rPr>
                <w:color w:val="auto"/>
                <w:spacing w:val="5"/>
                <w:highlight w:val="none"/>
              </w:rPr>
              <w:t>分</w:t>
            </w:r>
            <w:r>
              <w:rPr>
                <w:color w:val="auto"/>
                <w:spacing w:val="-5"/>
                <w:highlight w:val="none"/>
              </w:rPr>
              <w:t>）：</w:t>
            </w:r>
            <w:r>
              <w:rPr>
                <w:color w:val="auto"/>
                <w:spacing w:val="5"/>
                <w:highlight w:val="none"/>
              </w:rPr>
              <w:t>有施工总平面布置图，安排较合理，符</w:t>
            </w:r>
            <w:r>
              <w:rPr>
                <w:color w:val="auto"/>
                <w:spacing w:val="4"/>
                <w:highlight w:val="none"/>
              </w:rPr>
              <w:t>合本项目</w:t>
            </w:r>
            <w:r>
              <w:rPr>
                <w:color w:val="auto"/>
                <w:spacing w:val="7"/>
                <w:highlight w:val="none"/>
              </w:rPr>
              <w:t>施工实际要求。</w:t>
            </w:r>
          </w:p>
          <w:p w14:paraId="06A02707">
            <w:pPr>
              <w:pStyle w:val="15"/>
              <w:spacing w:before="29" w:line="300" w:lineRule="auto"/>
              <w:ind w:left="113" w:right="107" w:firstLine="20"/>
              <w:rPr>
                <w:color w:val="auto"/>
                <w:highlight w:val="none"/>
              </w:rPr>
            </w:pPr>
            <w:r>
              <w:rPr>
                <w:color w:val="auto"/>
                <w:spacing w:val="5"/>
                <w:highlight w:val="none"/>
              </w:rPr>
              <w:t>中（3</w:t>
            </w:r>
            <w:r>
              <w:rPr>
                <w:color w:val="auto"/>
                <w:spacing w:val="-34"/>
                <w:highlight w:val="none"/>
              </w:rPr>
              <w:t xml:space="preserve"> </w:t>
            </w:r>
            <w:r>
              <w:rPr>
                <w:color w:val="auto"/>
                <w:spacing w:val="5"/>
                <w:highlight w:val="none"/>
              </w:rPr>
              <w:t>分</w:t>
            </w:r>
            <w:r>
              <w:rPr>
                <w:color w:val="auto"/>
                <w:spacing w:val="2"/>
                <w:highlight w:val="none"/>
              </w:rPr>
              <w:t>）：</w:t>
            </w:r>
            <w:r>
              <w:rPr>
                <w:color w:val="auto"/>
                <w:spacing w:val="5"/>
                <w:highlight w:val="none"/>
              </w:rPr>
              <w:t>有施工总平面布置图，安排可行，基本符合本项目</w:t>
            </w:r>
            <w:r>
              <w:rPr>
                <w:color w:val="auto"/>
                <w:spacing w:val="7"/>
                <w:highlight w:val="none"/>
              </w:rPr>
              <w:t>施工实际要求。</w:t>
            </w:r>
          </w:p>
          <w:p w14:paraId="2D7C9DE4">
            <w:pPr>
              <w:pStyle w:val="15"/>
              <w:spacing w:before="31" w:line="295" w:lineRule="auto"/>
              <w:ind w:left="154" w:right="107" w:hanging="37"/>
              <w:rPr>
                <w:color w:val="auto"/>
                <w:highlight w:val="none"/>
              </w:rPr>
            </w:pPr>
            <w:r>
              <w:rPr>
                <w:color w:val="auto"/>
                <w:spacing w:val="6"/>
                <w:highlight w:val="none"/>
              </w:rPr>
              <w:t>差（1.5</w:t>
            </w:r>
            <w:r>
              <w:rPr>
                <w:color w:val="auto"/>
                <w:spacing w:val="-35"/>
                <w:highlight w:val="none"/>
              </w:rPr>
              <w:t xml:space="preserve"> </w:t>
            </w:r>
            <w:r>
              <w:rPr>
                <w:color w:val="auto"/>
                <w:spacing w:val="6"/>
                <w:highlight w:val="none"/>
              </w:rPr>
              <w:t>分</w:t>
            </w:r>
            <w:r>
              <w:rPr>
                <w:color w:val="auto"/>
                <w:spacing w:val="-5"/>
                <w:highlight w:val="none"/>
              </w:rPr>
              <w:t>）：</w:t>
            </w:r>
            <w:r>
              <w:rPr>
                <w:color w:val="auto"/>
                <w:spacing w:val="6"/>
                <w:highlight w:val="none"/>
              </w:rPr>
              <w:t>无施工总平面布置图，安排不合理，不符合本项</w:t>
            </w:r>
            <w:r>
              <w:rPr>
                <w:color w:val="auto"/>
                <w:spacing w:val="2"/>
                <w:highlight w:val="none"/>
              </w:rPr>
              <w:t>目施工实际要求。</w:t>
            </w:r>
          </w:p>
        </w:tc>
      </w:tr>
      <w:tr w14:paraId="40BD41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9706" w:type="dxa"/>
            <w:gridSpan w:val="4"/>
            <w:vAlign w:val="top"/>
          </w:tcPr>
          <w:p w14:paraId="0E7CCE17">
            <w:pPr>
              <w:pStyle w:val="15"/>
              <w:spacing w:before="36" w:line="226" w:lineRule="auto"/>
              <w:ind w:left="122"/>
              <w:rPr>
                <w:color w:val="auto"/>
                <w:highlight w:val="none"/>
              </w:rPr>
            </w:pPr>
            <w:r>
              <w:rPr>
                <w:color w:val="auto"/>
                <w:spacing w:val="6"/>
                <w:highlight w:val="none"/>
              </w:rPr>
              <w:t>总得分=价格分+技术分。</w:t>
            </w:r>
          </w:p>
        </w:tc>
      </w:tr>
    </w:tbl>
    <w:p w14:paraId="01F335A4">
      <w:pPr>
        <w:spacing w:before="30" w:line="228" w:lineRule="auto"/>
        <w:ind w:left="977"/>
        <w:outlineLvl w:val="9"/>
        <w:rPr>
          <w:rFonts w:ascii="宋体" w:hAnsi="宋体" w:eastAsia="宋体" w:cs="宋体"/>
          <w:color w:val="auto"/>
          <w:sz w:val="20"/>
          <w:szCs w:val="20"/>
          <w:highlight w:val="none"/>
        </w:rPr>
      </w:pPr>
      <w:bookmarkStart w:id="47" w:name="_Toc30730"/>
      <w:bookmarkStart w:id="48" w:name="_Toc20074"/>
      <w:bookmarkStart w:id="49" w:name="_Toc30901"/>
      <w:r>
        <w:rPr>
          <w:rFonts w:ascii="宋体" w:hAnsi="宋体" w:eastAsia="宋体" w:cs="宋体"/>
          <w:color w:val="auto"/>
          <w:spacing w:val="10"/>
          <w:sz w:val="20"/>
          <w:szCs w:val="20"/>
          <w:highlight w:val="none"/>
        </w:rPr>
        <w:t>商务技术评审因素为客观评分项的，应在评分项目或</w:t>
      </w:r>
      <w:r>
        <w:rPr>
          <w:rFonts w:ascii="宋体" w:hAnsi="宋体" w:eastAsia="宋体" w:cs="宋体"/>
          <w:color w:val="auto"/>
          <w:spacing w:val="9"/>
          <w:sz w:val="20"/>
          <w:szCs w:val="20"/>
          <w:highlight w:val="none"/>
        </w:rPr>
        <w:t>评分标准中予以标注为“客观分”。</w:t>
      </w:r>
      <w:bookmarkEnd w:id="47"/>
      <w:bookmarkEnd w:id="48"/>
      <w:bookmarkEnd w:id="49"/>
    </w:p>
    <w:p w14:paraId="3B8395D8">
      <w:pPr>
        <w:spacing w:before="94" w:line="227" w:lineRule="auto"/>
        <w:ind w:left="55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对供应商的客观评分项目，各评审专家评分应当一致。</w:t>
      </w:r>
    </w:p>
    <w:p w14:paraId="66BC6B09">
      <w:pPr>
        <w:spacing w:before="94" w:line="227" w:lineRule="auto"/>
        <w:ind w:left="974"/>
        <w:outlineLvl w:val="9"/>
        <w:rPr>
          <w:rFonts w:ascii="宋体" w:hAnsi="宋体" w:eastAsia="宋体" w:cs="宋体"/>
          <w:color w:val="auto"/>
          <w:sz w:val="20"/>
          <w:szCs w:val="20"/>
          <w:highlight w:val="none"/>
        </w:rPr>
      </w:pPr>
      <w:bookmarkStart w:id="50" w:name="_Toc11665"/>
      <w:bookmarkStart w:id="51" w:name="_Toc22290"/>
      <w:bookmarkStart w:id="52" w:name="_Toc15868"/>
      <w:r>
        <w:rPr>
          <w:rFonts w:ascii="宋体" w:hAnsi="宋体" w:eastAsia="宋体" w:cs="宋体"/>
          <w:color w:val="auto"/>
          <w:spacing w:val="7"/>
          <w:sz w:val="20"/>
          <w:szCs w:val="20"/>
          <w:highlight w:val="none"/>
        </w:rPr>
        <w:t>8.终止采购活动</w:t>
      </w:r>
      <w:bookmarkEnd w:id="50"/>
      <w:bookmarkEnd w:id="51"/>
      <w:bookmarkEnd w:id="52"/>
    </w:p>
    <w:p w14:paraId="369D22C1">
      <w:pPr>
        <w:spacing w:before="94" w:line="227" w:lineRule="auto"/>
        <w:ind w:left="972"/>
        <w:outlineLvl w:val="9"/>
        <w:rPr>
          <w:rFonts w:ascii="宋体" w:hAnsi="宋体" w:eastAsia="宋体" w:cs="宋体"/>
          <w:color w:val="auto"/>
          <w:sz w:val="20"/>
          <w:szCs w:val="20"/>
          <w:highlight w:val="none"/>
        </w:rPr>
      </w:pPr>
      <w:bookmarkStart w:id="53" w:name="_Toc20454"/>
      <w:bookmarkStart w:id="54" w:name="_Toc26828"/>
      <w:bookmarkStart w:id="55" w:name="_Toc19176"/>
      <w:r>
        <w:rPr>
          <w:rFonts w:ascii="宋体" w:hAnsi="宋体" w:eastAsia="宋体" w:cs="宋体"/>
          <w:color w:val="auto"/>
          <w:spacing w:val="10"/>
          <w:sz w:val="20"/>
          <w:szCs w:val="20"/>
          <w:highlight w:val="none"/>
        </w:rPr>
        <w:t>磋商小组发现采购文件存在歧义、重大缺陷导致评审工作无法进行，或者采购文件</w:t>
      </w:r>
      <w:r>
        <w:rPr>
          <w:rFonts w:ascii="宋体" w:hAnsi="宋体" w:eastAsia="宋体" w:cs="宋体"/>
          <w:color w:val="auto"/>
          <w:spacing w:val="9"/>
          <w:sz w:val="20"/>
          <w:szCs w:val="20"/>
          <w:highlight w:val="none"/>
        </w:rPr>
        <w:t>内容违</w:t>
      </w:r>
      <w:bookmarkEnd w:id="53"/>
      <w:bookmarkEnd w:id="54"/>
      <w:bookmarkEnd w:id="55"/>
    </w:p>
    <w:p w14:paraId="4FC9C826">
      <w:pPr>
        <w:spacing w:before="96" w:line="303" w:lineRule="auto"/>
        <w:ind w:left="552" w:right="547" w:firstLine="1"/>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反国家有关规定的，要停止评审工作并向采购人或采购代理机构书面说明情况，采购人或</w:t>
      </w:r>
      <w:r>
        <w:rPr>
          <w:rFonts w:ascii="宋体" w:hAnsi="宋体" w:eastAsia="宋体" w:cs="宋体"/>
          <w:color w:val="auto"/>
          <w:spacing w:val="9"/>
          <w:sz w:val="20"/>
          <w:szCs w:val="20"/>
          <w:highlight w:val="none"/>
        </w:rPr>
        <w:t>采购</w:t>
      </w:r>
      <w:r>
        <w:rPr>
          <w:rFonts w:ascii="宋体" w:hAnsi="宋体" w:eastAsia="宋体" w:cs="宋体"/>
          <w:color w:val="auto"/>
          <w:spacing w:val="10"/>
          <w:sz w:val="20"/>
          <w:szCs w:val="20"/>
          <w:highlight w:val="none"/>
        </w:rPr>
        <w:t>代理机构应当修改采购文件后重新组织采购活动；发现供应商提供虚假材料、串通等违法违规</w:t>
      </w:r>
      <w:r>
        <w:rPr>
          <w:rFonts w:ascii="宋体" w:hAnsi="宋体" w:eastAsia="宋体" w:cs="宋体"/>
          <w:color w:val="auto"/>
          <w:spacing w:val="9"/>
          <w:sz w:val="20"/>
          <w:szCs w:val="20"/>
          <w:highlight w:val="none"/>
        </w:rPr>
        <w:t>行为的，要及时向采购人或采购代理机构报告。</w:t>
      </w:r>
    </w:p>
    <w:p w14:paraId="363A86DD">
      <w:pPr>
        <w:spacing w:before="34" w:line="226" w:lineRule="auto"/>
        <w:ind w:left="557"/>
        <w:outlineLvl w:val="9"/>
        <w:rPr>
          <w:rFonts w:ascii="宋体" w:hAnsi="宋体" w:eastAsia="宋体" w:cs="宋体"/>
          <w:color w:val="auto"/>
          <w:sz w:val="20"/>
          <w:szCs w:val="20"/>
          <w:highlight w:val="none"/>
        </w:rPr>
      </w:pPr>
      <w:bookmarkStart w:id="56" w:name="_Toc762"/>
      <w:bookmarkStart w:id="57" w:name="_Toc15055"/>
      <w:bookmarkStart w:id="58" w:name="_Toc25749"/>
      <w:r>
        <w:rPr>
          <w:rFonts w:ascii="宋体" w:hAnsi="宋体" w:eastAsia="宋体" w:cs="宋体"/>
          <w:b/>
          <w:bCs/>
          <w:color w:val="auto"/>
          <w:spacing w:val="6"/>
          <w:sz w:val="20"/>
          <w:szCs w:val="20"/>
          <w:highlight w:val="none"/>
        </w:rPr>
        <w:t>二、评标报告</w:t>
      </w:r>
      <w:bookmarkEnd w:id="56"/>
      <w:bookmarkEnd w:id="57"/>
      <w:bookmarkEnd w:id="58"/>
    </w:p>
    <w:p w14:paraId="55C76760">
      <w:pPr>
        <w:spacing w:before="97" w:line="228" w:lineRule="auto"/>
        <w:ind w:left="989"/>
        <w:outlineLvl w:val="9"/>
        <w:rPr>
          <w:rFonts w:ascii="宋体" w:hAnsi="宋体" w:eastAsia="宋体" w:cs="宋体"/>
          <w:color w:val="auto"/>
          <w:sz w:val="20"/>
          <w:szCs w:val="20"/>
          <w:highlight w:val="none"/>
        </w:rPr>
      </w:pPr>
      <w:bookmarkStart w:id="59" w:name="_Toc24639"/>
      <w:bookmarkStart w:id="60" w:name="_Toc9782"/>
      <w:bookmarkStart w:id="61" w:name="_Toc3856"/>
      <w:r>
        <w:rPr>
          <w:rFonts w:ascii="宋体" w:hAnsi="宋体" w:eastAsia="宋体" w:cs="宋体"/>
          <w:color w:val="auto"/>
          <w:spacing w:val="4"/>
          <w:sz w:val="20"/>
          <w:szCs w:val="20"/>
          <w:highlight w:val="none"/>
        </w:rPr>
        <w:t>1.成交标准</w:t>
      </w:r>
      <w:bookmarkEnd w:id="59"/>
      <w:bookmarkEnd w:id="60"/>
      <w:bookmarkEnd w:id="61"/>
    </w:p>
    <w:p w14:paraId="4CDFFFF6">
      <w:pPr>
        <w:spacing w:before="94" w:line="309" w:lineRule="auto"/>
        <w:ind w:left="552" w:right="492" w:firstLine="44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由磋商小组根据综合评分情况，按照评审得分由高到低顺序</w:t>
      </w:r>
      <w:r>
        <w:rPr>
          <w:rFonts w:ascii="宋体" w:hAnsi="宋体" w:eastAsia="宋体" w:cs="宋体"/>
          <w:color w:val="auto"/>
          <w:spacing w:val="4"/>
          <w:sz w:val="20"/>
          <w:szCs w:val="20"/>
          <w:highlight w:val="none"/>
        </w:rPr>
        <w:t>推荐</w:t>
      </w:r>
      <w:r>
        <w:rPr>
          <w:rFonts w:ascii="宋体" w:hAnsi="宋体" w:eastAsia="宋体" w:cs="宋体"/>
          <w:color w:val="auto"/>
          <w:spacing w:val="-32"/>
          <w:sz w:val="20"/>
          <w:szCs w:val="20"/>
          <w:highlight w:val="none"/>
        </w:rPr>
        <w:t xml:space="preserve"> </w:t>
      </w:r>
      <w:r>
        <w:rPr>
          <w:rFonts w:ascii="宋体" w:hAnsi="宋体" w:eastAsia="宋体" w:cs="宋体"/>
          <w:color w:val="auto"/>
          <w:spacing w:val="4"/>
          <w:sz w:val="20"/>
          <w:szCs w:val="20"/>
          <w:highlight w:val="none"/>
        </w:rPr>
        <w:t>3</w:t>
      </w:r>
      <w:r>
        <w:rPr>
          <w:rFonts w:ascii="宋体" w:hAnsi="宋体" w:eastAsia="宋体" w:cs="宋体"/>
          <w:color w:val="auto"/>
          <w:spacing w:val="-36"/>
          <w:sz w:val="20"/>
          <w:szCs w:val="20"/>
          <w:highlight w:val="none"/>
        </w:rPr>
        <w:t xml:space="preserve"> </w:t>
      </w:r>
      <w:r>
        <w:rPr>
          <w:rFonts w:ascii="宋体" w:hAnsi="宋体" w:eastAsia="宋体" w:cs="宋体"/>
          <w:color w:val="auto"/>
          <w:spacing w:val="4"/>
          <w:sz w:val="20"/>
          <w:szCs w:val="20"/>
          <w:highlight w:val="none"/>
        </w:rPr>
        <w:t>名以上成交候选供应商，</w:t>
      </w:r>
      <w:r>
        <w:rPr>
          <w:rFonts w:ascii="宋体" w:hAnsi="宋体" w:eastAsia="宋体" w:cs="宋体"/>
          <w:color w:val="auto"/>
          <w:spacing w:val="9"/>
          <w:sz w:val="20"/>
          <w:szCs w:val="20"/>
          <w:highlight w:val="none"/>
        </w:rPr>
        <w:t>并在线编写电子评审报告。符合本章第一节第</w:t>
      </w:r>
      <w:r>
        <w:rPr>
          <w:rFonts w:ascii="宋体" w:hAnsi="宋体" w:eastAsia="宋体" w:cs="宋体"/>
          <w:color w:val="auto"/>
          <w:spacing w:val="-35"/>
          <w:sz w:val="20"/>
          <w:szCs w:val="20"/>
          <w:highlight w:val="none"/>
        </w:rPr>
        <w:t xml:space="preserve"> </w:t>
      </w:r>
      <w:r>
        <w:rPr>
          <w:rFonts w:ascii="宋体" w:hAnsi="宋体" w:eastAsia="宋体" w:cs="宋体"/>
          <w:color w:val="auto"/>
          <w:spacing w:val="9"/>
          <w:sz w:val="20"/>
          <w:szCs w:val="20"/>
          <w:highlight w:val="none"/>
        </w:rPr>
        <w:t>5.3</w:t>
      </w:r>
      <w:r>
        <w:rPr>
          <w:rFonts w:ascii="宋体" w:hAnsi="宋体" w:eastAsia="宋体" w:cs="宋体"/>
          <w:color w:val="auto"/>
          <w:spacing w:val="-39"/>
          <w:sz w:val="20"/>
          <w:szCs w:val="20"/>
          <w:highlight w:val="none"/>
        </w:rPr>
        <w:t xml:space="preserve"> </w:t>
      </w:r>
      <w:r>
        <w:rPr>
          <w:rFonts w:ascii="宋体" w:hAnsi="宋体" w:eastAsia="宋体" w:cs="宋体"/>
          <w:color w:val="auto"/>
          <w:spacing w:val="9"/>
          <w:sz w:val="20"/>
          <w:szCs w:val="20"/>
          <w:highlight w:val="none"/>
        </w:rPr>
        <w:t>条情形的，可以推荐</w:t>
      </w:r>
      <w:r>
        <w:rPr>
          <w:rFonts w:ascii="宋体" w:hAnsi="宋体" w:eastAsia="宋体" w:cs="宋体"/>
          <w:color w:val="auto"/>
          <w:spacing w:val="-34"/>
          <w:sz w:val="20"/>
          <w:szCs w:val="20"/>
          <w:highlight w:val="none"/>
        </w:rPr>
        <w:t xml:space="preserve"> </w:t>
      </w:r>
      <w:r>
        <w:rPr>
          <w:rFonts w:ascii="宋体" w:hAnsi="宋体" w:eastAsia="宋体" w:cs="宋体"/>
          <w:color w:val="auto"/>
          <w:spacing w:val="9"/>
          <w:sz w:val="20"/>
          <w:szCs w:val="20"/>
          <w:highlight w:val="none"/>
        </w:rPr>
        <w:t>2</w:t>
      </w:r>
      <w:r>
        <w:rPr>
          <w:rFonts w:ascii="宋体" w:hAnsi="宋体" w:eastAsia="宋体" w:cs="宋体"/>
          <w:color w:val="auto"/>
          <w:spacing w:val="-39"/>
          <w:sz w:val="20"/>
          <w:szCs w:val="20"/>
          <w:highlight w:val="none"/>
        </w:rPr>
        <w:t xml:space="preserve"> </w:t>
      </w:r>
      <w:r>
        <w:rPr>
          <w:rFonts w:ascii="宋体" w:hAnsi="宋体" w:eastAsia="宋体" w:cs="宋体"/>
          <w:color w:val="auto"/>
          <w:spacing w:val="9"/>
          <w:sz w:val="20"/>
          <w:szCs w:val="20"/>
          <w:highlight w:val="none"/>
        </w:rPr>
        <w:t>家成交候选供应</w:t>
      </w:r>
      <w:r>
        <w:rPr>
          <w:rFonts w:ascii="宋体" w:hAnsi="宋体" w:eastAsia="宋体" w:cs="宋体"/>
          <w:color w:val="auto"/>
          <w:spacing w:val="8"/>
          <w:sz w:val="20"/>
          <w:szCs w:val="20"/>
          <w:highlight w:val="none"/>
        </w:rPr>
        <w:t>商。</w:t>
      </w:r>
      <w:r>
        <w:rPr>
          <w:rFonts w:ascii="宋体" w:hAnsi="宋体" w:eastAsia="宋体" w:cs="宋体"/>
          <w:color w:val="auto"/>
          <w:spacing w:val="9"/>
          <w:sz w:val="20"/>
          <w:szCs w:val="20"/>
          <w:highlight w:val="none"/>
        </w:rPr>
        <w:t>评审得分相同的，按照最后报价（不计算价格折扣）</w:t>
      </w:r>
      <w:r>
        <w:rPr>
          <w:rFonts w:ascii="宋体" w:hAnsi="宋体" w:eastAsia="宋体" w:cs="宋体"/>
          <w:color w:val="auto"/>
          <w:spacing w:val="-56"/>
          <w:sz w:val="20"/>
          <w:szCs w:val="20"/>
          <w:highlight w:val="none"/>
        </w:rPr>
        <w:t xml:space="preserve"> </w:t>
      </w:r>
      <w:r>
        <w:rPr>
          <w:rFonts w:ascii="宋体" w:hAnsi="宋体" w:eastAsia="宋体" w:cs="宋体"/>
          <w:color w:val="auto"/>
          <w:spacing w:val="9"/>
          <w:sz w:val="20"/>
          <w:szCs w:val="20"/>
          <w:highlight w:val="none"/>
        </w:rPr>
        <w:t>由低到高的顺序推荐。评审得分</w:t>
      </w:r>
      <w:r>
        <w:rPr>
          <w:rFonts w:ascii="宋体" w:hAnsi="宋体" w:eastAsia="宋体" w:cs="宋体"/>
          <w:color w:val="auto"/>
          <w:spacing w:val="8"/>
          <w:sz w:val="20"/>
          <w:szCs w:val="20"/>
          <w:highlight w:val="none"/>
        </w:rPr>
        <w:t>且最后报</w:t>
      </w:r>
      <w:r>
        <w:rPr>
          <w:rFonts w:ascii="宋体" w:hAnsi="宋体" w:eastAsia="宋体" w:cs="宋体"/>
          <w:color w:val="auto"/>
          <w:spacing w:val="10"/>
          <w:sz w:val="20"/>
          <w:szCs w:val="20"/>
          <w:highlight w:val="none"/>
        </w:rPr>
        <w:t>价（不计算价格折扣）相同的，按照技术指标优劣顺序推荐（按技术得分由高到低排序，技术</w:t>
      </w:r>
      <w:r>
        <w:rPr>
          <w:rFonts w:ascii="宋体" w:hAnsi="宋体" w:eastAsia="宋体" w:cs="宋体"/>
          <w:color w:val="auto"/>
          <w:spacing w:val="9"/>
          <w:sz w:val="20"/>
          <w:szCs w:val="20"/>
          <w:highlight w:val="none"/>
        </w:rPr>
        <w:t>得分相同的按照服务需求偏离分由高到低排序）</w:t>
      </w:r>
      <w:r>
        <w:rPr>
          <w:rFonts w:ascii="宋体" w:hAnsi="宋体" w:eastAsia="宋体" w:cs="宋体"/>
          <w:color w:val="auto"/>
          <w:spacing w:val="-46"/>
          <w:sz w:val="20"/>
          <w:szCs w:val="20"/>
          <w:highlight w:val="none"/>
        </w:rPr>
        <w:t xml:space="preserve"> </w:t>
      </w:r>
      <w:r>
        <w:rPr>
          <w:rFonts w:ascii="宋体" w:hAnsi="宋体" w:eastAsia="宋体" w:cs="宋体"/>
          <w:color w:val="auto"/>
          <w:spacing w:val="9"/>
          <w:sz w:val="20"/>
          <w:szCs w:val="20"/>
          <w:highlight w:val="none"/>
        </w:rPr>
        <w:t>。评审得分、最后报价（不计算价格折扣）、技术得分、服务需求偏离分均相同的，由磋商小组随机抽取推荐。</w:t>
      </w:r>
    </w:p>
    <w:p w14:paraId="446B5ABD">
      <w:pPr>
        <w:spacing w:before="33" w:line="228" w:lineRule="auto"/>
        <w:ind w:left="976"/>
        <w:outlineLvl w:val="9"/>
        <w:rPr>
          <w:rFonts w:ascii="宋体" w:hAnsi="宋体" w:eastAsia="宋体" w:cs="宋体"/>
          <w:color w:val="auto"/>
          <w:sz w:val="20"/>
          <w:szCs w:val="20"/>
          <w:highlight w:val="none"/>
        </w:rPr>
      </w:pPr>
      <w:bookmarkStart w:id="62" w:name="_Toc16605"/>
      <w:bookmarkStart w:id="63" w:name="_Toc1397"/>
      <w:bookmarkStart w:id="64" w:name="_Toc27059"/>
      <w:r>
        <w:rPr>
          <w:rFonts w:ascii="宋体" w:hAnsi="宋体" w:eastAsia="宋体" w:cs="宋体"/>
          <w:color w:val="auto"/>
          <w:spacing w:val="7"/>
          <w:sz w:val="20"/>
          <w:szCs w:val="20"/>
          <w:highlight w:val="none"/>
        </w:rPr>
        <w:t>2.评标争议事项处理</w:t>
      </w:r>
      <w:bookmarkEnd w:id="62"/>
      <w:bookmarkEnd w:id="63"/>
      <w:bookmarkEnd w:id="64"/>
    </w:p>
    <w:p w14:paraId="06130595">
      <w:pPr>
        <w:spacing w:before="94" w:line="299" w:lineRule="auto"/>
        <w:ind w:left="556" w:right="476" w:firstLine="41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磋商小组成员对需要共同认定的事项存在争议的</w:t>
      </w:r>
      <w:r>
        <w:rPr>
          <w:rFonts w:ascii="宋体" w:hAnsi="宋体" w:eastAsia="宋体" w:cs="宋体"/>
          <w:color w:val="auto"/>
          <w:spacing w:val="6"/>
          <w:sz w:val="20"/>
          <w:szCs w:val="20"/>
          <w:highlight w:val="none"/>
        </w:rPr>
        <w:t>，应当按照少数服从多数的原则作出结论。</w:t>
      </w:r>
      <w:r>
        <w:rPr>
          <w:rFonts w:ascii="宋体" w:hAnsi="宋体" w:eastAsia="宋体" w:cs="宋体"/>
          <w:color w:val="auto"/>
          <w:spacing w:val="9"/>
          <w:sz w:val="20"/>
          <w:szCs w:val="20"/>
          <w:highlight w:val="none"/>
        </w:rPr>
        <w:t>持不同意见的磋商小组成员应当在评标报告上签署不同意见及理由，否则视为同意评标报告。</w:t>
      </w:r>
    </w:p>
    <w:p w14:paraId="016BF90A">
      <w:pPr>
        <w:spacing w:line="299" w:lineRule="auto"/>
        <w:rPr>
          <w:rFonts w:ascii="宋体" w:hAnsi="宋体" w:eastAsia="宋体" w:cs="宋体"/>
          <w:color w:val="auto"/>
          <w:sz w:val="20"/>
          <w:szCs w:val="20"/>
          <w:highlight w:val="none"/>
        </w:rPr>
        <w:sectPr>
          <w:footerReference r:id="rId16" w:type="default"/>
          <w:pgSz w:w="11910" w:h="16840"/>
          <w:pgMar w:top="1371" w:right="1083" w:bottom="1019" w:left="1115" w:header="0" w:footer="857" w:gutter="0"/>
          <w:pgNumType w:fmt="decimal"/>
          <w:cols w:space="720" w:num="1"/>
        </w:sectPr>
      </w:pPr>
    </w:p>
    <w:p w14:paraId="0246DFF7">
      <w:pPr>
        <w:spacing w:before="41" w:line="228" w:lineRule="auto"/>
        <w:ind w:left="1"/>
        <w:outlineLvl w:val="9"/>
        <w:rPr>
          <w:rFonts w:ascii="宋体" w:hAnsi="宋体" w:eastAsia="宋体" w:cs="宋体"/>
          <w:color w:val="auto"/>
          <w:sz w:val="20"/>
          <w:szCs w:val="20"/>
          <w:highlight w:val="none"/>
        </w:rPr>
      </w:pPr>
      <w:bookmarkStart w:id="65" w:name="_Toc14205"/>
      <w:bookmarkStart w:id="66" w:name="_Toc5248"/>
      <w:bookmarkStart w:id="67" w:name="_Toc20930"/>
      <w:r>
        <w:rPr>
          <w:rFonts w:ascii="宋体" w:hAnsi="宋体" w:eastAsia="宋体" w:cs="宋体"/>
          <w:b/>
          <w:bCs/>
          <w:color w:val="auto"/>
          <w:spacing w:val="7"/>
          <w:sz w:val="20"/>
          <w:szCs w:val="20"/>
          <w:highlight w:val="none"/>
        </w:rPr>
        <w:t>三、评审过程的保密与录像</w:t>
      </w:r>
      <w:bookmarkEnd w:id="65"/>
      <w:bookmarkEnd w:id="66"/>
      <w:bookmarkEnd w:id="67"/>
    </w:p>
    <w:p w14:paraId="525530C9">
      <w:pPr>
        <w:spacing w:before="94" w:line="228" w:lineRule="auto"/>
        <w:ind w:left="437"/>
        <w:outlineLvl w:val="9"/>
        <w:rPr>
          <w:rFonts w:ascii="宋体" w:hAnsi="宋体" w:eastAsia="宋体" w:cs="宋体"/>
          <w:color w:val="auto"/>
          <w:sz w:val="20"/>
          <w:szCs w:val="20"/>
          <w:highlight w:val="none"/>
        </w:rPr>
      </w:pPr>
      <w:bookmarkStart w:id="68" w:name="_Toc24910"/>
      <w:bookmarkStart w:id="69" w:name="_Toc17656"/>
      <w:bookmarkStart w:id="70" w:name="_Toc27508"/>
      <w:r>
        <w:rPr>
          <w:rFonts w:ascii="宋体" w:hAnsi="宋体" w:eastAsia="宋体" w:cs="宋体"/>
          <w:color w:val="auto"/>
          <w:spacing w:val="1"/>
          <w:sz w:val="20"/>
          <w:szCs w:val="20"/>
          <w:highlight w:val="none"/>
        </w:rPr>
        <w:t>1.保密。</w:t>
      </w:r>
      <w:bookmarkEnd w:id="68"/>
      <w:bookmarkEnd w:id="69"/>
      <w:bookmarkEnd w:id="70"/>
    </w:p>
    <w:p w14:paraId="1EA6748C">
      <w:pPr>
        <w:spacing w:before="89" w:line="305" w:lineRule="auto"/>
        <w:ind w:firstLine="420"/>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评审活动在严格保密的情况下进行。评审过程中凡是与采购响应文件评审和比较、中标成</w:t>
      </w:r>
      <w:r>
        <w:rPr>
          <w:rFonts w:ascii="宋体" w:hAnsi="宋体" w:eastAsia="宋体" w:cs="宋体"/>
          <w:color w:val="auto"/>
          <w:spacing w:val="9"/>
          <w:sz w:val="20"/>
          <w:szCs w:val="20"/>
          <w:highlight w:val="none"/>
        </w:rPr>
        <w:t>交供应商推荐等评审有关的情况，</w:t>
      </w:r>
      <w:r>
        <w:rPr>
          <w:rFonts w:ascii="宋体" w:hAnsi="宋体" w:eastAsia="宋体" w:cs="宋体"/>
          <w:color w:val="auto"/>
          <w:spacing w:val="-59"/>
          <w:sz w:val="20"/>
          <w:szCs w:val="20"/>
          <w:highlight w:val="none"/>
        </w:rPr>
        <w:t xml:space="preserve"> </w:t>
      </w:r>
      <w:r>
        <w:rPr>
          <w:rFonts w:ascii="宋体" w:hAnsi="宋体" w:eastAsia="宋体" w:cs="宋体"/>
          <w:color w:val="auto"/>
          <w:spacing w:val="9"/>
          <w:sz w:val="20"/>
          <w:szCs w:val="20"/>
          <w:highlight w:val="none"/>
        </w:rPr>
        <w:t>以及涉及国家秘密和商业秘密等信息，评审委员会成员、采购人和采购机构工作人员、相关监督人员等与评审有关的人员应当予以保密。</w:t>
      </w:r>
    </w:p>
    <w:p w14:paraId="052E9A15">
      <w:pPr>
        <w:spacing w:before="32" w:line="228" w:lineRule="auto"/>
        <w:ind w:left="424"/>
        <w:outlineLvl w:val="9"/>
        <w:rPr>
          <w:rFonts w:ascii="宋体" w:hAnsi="宋体" w:eastAsia="宋体" w:cs="宋体"/>
          <w:color w:val="auto"/>
          <w:sz w:val="20"/>
          <w:szCs w:val="20"/>
          <w:highlight w:val="none"/>
        </w:rPr>
      </w:pPr>
      <w:bookmarkStart w:id="71" w:name="_Toc27443"/>
      <w:bookmarkStart w:id="72" w:name="_Toc18467"/>
      <w:bookmarkStart w:id="73" w:name="_Toc11391"/>
      <w:r>
        <w:rPr>
          <w:rFonts w:ascii="宋体" w:hAnsi="宋体" w:eastAsia="宋体" w:cs="宋体"/>
          <w:color w:val="auto"/>
          <w:spacing w:val="5"/>
          <w:sz w:val="20"/>
          <w:szCs w:val="20"/>
          <w:highlight w:val="none"/>
        </w:rPr>
        <w:t>2.录音录像。</w:t>
      </w:r>
      <w:bookmarkEnd w:id="71"/>
      <w:bookmarkEnd w:id="72"/>
      <w:bookmarkEnd w:id="73"/>
    </w:p>
    <w:p w14:paraId="2F21103E">
      <w:pPr>
        <w:spacing w:before="94" w:line="227" w:lineRule="auto"/>
        <w:jc w:val="right"/>
        <w:outlineLvl w:val="9"/>
        <w:rPr>
          <w:rFonts w:ascii="宋体" w:hAnsi="宋体" w:eastAsia="宋体" w:cs="宋体"/>
          <w:color w:val="auto"/>
          <w:sz w:val="20"/>
          <w:szCs w:val="20"/>
          <w:highlight w:val="none"/>
        </w:rPr>
      </w:pPr>
      <w:bookmarkStart w:id="74" w:name="_Toc31936"/>
      <w:bookmarkStart w:id="75" w:name="_Toc13507"/>
      <w:bookmarkStart w:id="76" w:name="_Toc24870"/>
      <w:r>
        <w:rPr>
          <w:rFonts w:ascii="宋体" w:hAnsi="宋体" w:eastAsia="宋体" w:cs="宋体"/>
          <w:color w:val="auto"/>
          <w:spacing w:val="10"/>
          <w:sz w:val="20"/>
          <w:szCs w:val="20"/>
          <w:highlight w:val="none"/>
        </w:rPr>
        <w:t>采购代理机构对评审工作现场及操作屏幕进行全过程录音录像，录音录像资料作为采购项</w:t>
      </w:r>
      <w:bookmarkEnd w:id="74"/>
      <w:bookmarkEnd w:id="75"/>
      <w:bookmarkEnd w:id="76"/>
    </w:p>
    <w:p w14:paraId="78E694F9">
      <w:pPr>
        <w:spacing w:before="94" w:line="228" w:lineRule="auto"/>
        <w:ind w:left="4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目文件随其他文件一并存档。</w:t>
      </w:r>
    </w:p>
    <w:p w14:paraId="5C851C4E">
      <w:pPr>
        <w:spacing w:line="228" w:lineRule="auto"/>
        <w:rPr>
          <w:rFonts w:ascii="宋体" w:hAnsi="宋体" w:eastAsia="宋体" w:cs="宋体"/>
          <w:color w:val="auto"/>
          <w:sz w:val="20"/>
          <w:szCs w:val="20"/>
          <w:highlight w:val="none"/>
        </w:rPr>
        <w:sectPr>
          <w:footerReference r:id="rId17" w:type="default"/>
          <w:pgSz w:w="11910" w:h="16840"/>
          <w:pgMar w:top="1361" w:right="1630" w:bottom="1019" w:left="1667" w:header="0" w:footer="857" w:gutter="0"/>
          <w:pgNumType w:fmt="decimal"/>
          <w:cols w:space="720" w:num="1"/>
        </w:sectPr>
      </w:pPr>
    </w:p>
    <w:p w14:paraId="2197DE59">
      <w:pPr>
        <w:spacing w:before="71" w:line="225" w:lineRule="auto"/>
        <w:ind w:left="3253"/>
        <w:rPr>
          <w:rFonts w:ascii="宋体" w:hAnsi="宋体" w:eastAsia="宋体" w:cs="宋体"/>
          <w:color w:val="auto"/>
          <w:sz w:val="35"/>
          <w:szCs w:val="35"/>
          <w:highlight w:val="none"/>
        </w:rPr>
      </w:pPr>
      <w:r>
        <w:rPr>
          <w:rFonts w:ascii="宋体" w:hAnsi="宋体" w:eastAsia="宋体" w:cs="宋体"/>
          <w:b/>
          <w:bCs/>
          <w:color w:val="auto"/>
          <w:spacing w:val="2"/>
          <w:sz w:val="35"/>
          <w:szCs w:val="35"/>
          <w:highlight w:val="none"/>
        </w:rPr>
        <w:t>中小微企业划型标准</w:t>
      </w:r>
    </w:p>
    <w:p w14:paraId="05554425">
      <w:pPr>
        <w:spacing w:line="225" w:lineRule="exact"/>
        <w:rPr>
          <w:color w:val="auto"/>
          <w:highlight w:val="none"/>
        </w:rPr>
      </w:pPr>
    </w:p>
    <w:tbl>
      <w:tblPr>
        <w:tblStyle w:val="14"/>
        <w:tblW w:w="96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4"/>
        <w:gridCol w:w="1769"/>
        <w:gridCol w:w="1094"/>
        <w:gridCol w:w="1949"/>
        <w:gridCol w:w="1694"/>
        <w:gridCol w:w="1140"/>
      </w:tblGrid>
      <w:tr w14:paraId="12BA2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014" w:type="dxa"/>
            <w:vAlign w:val="top"/>
          </w:tcPr>
          <w:p w14:paraId="6D7BC40A">
            <w:pPr>
              <w:pStyle w:val="15"/>
              <w:spacing w:before="35" w:line="228" w:lineRule="auto"/>
              <w:ind w:left="593"/>
              <w:rPr>
                <w:color w:val="auto"/>
                <w:highlight w:val="none"/>
              </w:rPr>
            </w:pPr>
            <w:r>
              <w:rPr>
                <w:b/>
                <w:bCs/>
                <w:color w:val="auto"/>
                <w:spacing w:val="5"/>
                <w:highlight w:val="none"/>
              </w:rPr>
              <w:t>行业名称</w:t>
            </w:r>
          </w:p>
        </w:tc>
        <w:tc>
          <w:tcPr>
            <w:tcW w:w="1769" w:type="dxa"/>
            <w:vAlign w:val="top"/>
          </w:tcPr>
          <w:p w14:paraId="7862E824">
            <w:pPr>
              <w:pStyle w:val="15"/>
              <w:spacing w:before="35" w:line="228" w:lineRule="auto"/>
              <w:ind w:left="470"/>
              <w:rPr>
                <w:color w:val="auto"/>
                <w:highlight w:val="none"/>
              </w:rPr>
            </w:pPr>
            <w:r>
              <w:rPr>
                <w:b/>
                <w:bCs/>
                <w:color w:val="auto"/>
                <w:spacing w:val="5"/>
                <w:highlight w:val="none"/>
              </w:rPr>
              <w:t>指标名称</w:t>
            </w:r>
          </w:p>
        </w:tc>
        <w:tc>
          <w:tcPr>
            <w:tcW w:w="1094" w:type="dxa"/>
            <w:vAlign w:val="top"/>
          </w:tcPr>
          <w:p w14:paraId="2064BF76">
            <w:pPr>
              <w:pStyle w:val="15"/>
              <w:spacing w:before="35" w:line="228" w:lineRule="auto"/>
              <w:ind w:left="131"/>
              <w:rPr>
                <w:color w:val="auto"/>
                <w:highlight w:val="none"/>
              </w:rPr>
            </w:pPr>
            <w:r>
              <w:rPr>
                <w:b/>
                <w:bCs/>
                <w:color w:val="auto"/>
                <w:spacing w:val="6"/>
                <w:highlight w:val="none"/>
              </w:rPr>
              <w:t>计量单位</w:t>
            </w:r>
          </w:p>
        </w:tc>
        <w:tc>
          <w:tcPr>
            <w:tcW w:w="1949" w:type="dxa"/>
            <w:vAlign w:val="top"/>
          </w:tcPr>
          <w:p w14:paraId="0D7FC555">
            <w:pPr>
              <w:pStyle w:val="15"/>
              <w:spacing w:before="35" w:line="228" w:lineRule="auto"/>
              <w:ind w:left="789"/>
              <w:rPr>
                <w:color w:val="auto"/>
                <w:highlight w:val="none"/>
              </w:rPr>
            </w:pPr>
            <w:r>
              <w:rPr>
                <w:b/>
                <w:bCs/>
                <w:color w:val="auto"/>
                <w:spacing w:val="-6"/>
                <w:highlight w:val="none"/>
              </w:rPr>
              <w:t>中型</w:t>
            </w:r>
          </w:p>
        </w:tc>
        <w:tc>
          <w:tcPr>
            <w:tcW w:w="1694" w:type="dxa"/>
            <w:vAlign w:val="top"/>
          </w:tcPr>
          <w:p w14:paraId="00D6DC86">
            <w:pPr>
              <w:pStyle w:val="15"/>
              <w:spacing w:before="34" w:line="230" w:lineRule="auto"/>
              <w:ind w:left="648"/>
              <w:rPr>
                <w:color w:val="auto"/>
                <w:highlight w:val="none"/>
              </w:rPr>
            </w:pPr>
            <w:r>
              <w:rPr>
                <w:b/>
                <w:bCs/>
                <w:color w:val="auto"/>
                <w:spacing w:val="1"/>
                <w:highlight w:val="none"/>
              </w:rPr>
              <w:t>小型</w:t>
            </w:r>
          </w:p>
        </w:tc>
        <w:tc>
          <w:tcPr>
            <w:tcW w:w="1140" w:type="dxa"/>
            <w:vAlign w:val="top"/>
          </w:tcPr>
          <w:p w14:paraId="1AAF6B26">
            <w:pPr>
              <w:pStyle w:val="15"/>
              <w:spacing w:before="34" w:line="228" w:lineRule="auto"/>
              <w:ind w:left="364"/>
              <w:rPr>
                <w:color w:val="auto"/>
                <w:highlight w:val="none"/>
              </w:rPr>
            </w:pPr>
            <w:r>
              <w:rPr>
                <w:b/>
                <w:bCs/>
                <w:color w:val="auto"/>
                <w:spacing w:val="3"/>
                <w:highlight w:val="none"/>
              </w:rPr>
              <w:t>微型</w:t>
            </w:r>
          </w:p>
        </w:tc>
      </w:tr>
      <w:tr w14:paraId="06B15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Align w:val="top"/>
          </w:tcPr>
          <w:p w14:paraId="3372766C">
            <w:pPr>
              <w:pStyle w:val="15"/>
              <w:spacing w:before="30" w:line="228" w:lineRule="auto"/>
              <w:ind w:left="273"/>
              <w:rPr>
                <w:color w:val="auto"/>
                <w:highlight w:val="none"/>
              </w:rPr>
            </w:pPr>
            <w:r>
              <w:rPr>
                <w:b/>
                <w:bCs/>
                <w:color w:val="auto"/>
                <w:spacing w:val="7"/>
                <w:highlight w:val="none"/>
              </w:rPr>
              <w:t>农、林、牧、渔</w:t>
            </w:r>
          </w:p>
        </w:tc>
        <w:tc>
          <w:tcPr>
            <w:tcW w:w="1769" w:type="dxa"/>
            <w:vAlign w:val="top"/>
          </w:tcPr>
          <w:p w14:paraId="0935DEBB">
            <w:pPr>
              <w:pStyle w:val="15"/>
              <w:spacing w:before="30" w:line="228" w:lineRule="auto"/>
              <w:ind w:left="119"/>
              <w:rPr>
                <w:color w:val="auto"/>
                <w:highlight w:val="none"/>
              </w:rPr>
            </w:pPr>
            <w:r>
              <w:rPr>
                <w:color w:val="auto"/>
                <w:spacing w:val="5"/>
                <w:highlight w:val="none"/>
              </w:rPr>
              <w:t>营业收入（Y）</w:t>
            </w:r>
          </w:p>
        </w:tc>
        <w:tc>
          <w:tcPr>
            <w:tcW w:w="1094" w:type="dxa"/>
            <w:vAlign w:val="top"/>
          </w:tcPr>
          <w:p w14:paraId="794D4264">
            <w:pPr>
              <w:pStyle w:val="15"/>
              <w:spacing w:before="31" w:line="228" w:lineRule="auto"/>
              <w:ind w:left="117"/>
              <w:rPr>
                <w:color w:val="auto"/>
                <w:highlight w:val="none"/>
              </w:rPr>
            </w:pPr>
            <w:r>
              <w:rPr>
                <w:color w:val="auto"/>
                <w:spacing w:val="2"/>
                <w:highlight w:val="none"/>
              </w:rPr>
              <w:t>万元</w:t>
            </w:r>
          </w:p>
        </w:tc>
        <w:tc>
          <w:tcPr>
            <w:tcW w:w="1949" w:type="dxa"/>
            <w:vAlign w:val="top"/>
          </w:tcPr>
          <w:p w14:paraId="32AE3FB0">
            <w:pPr>
              <w:pStyle w:val="15"/>
              <w:spacing w:before="31" w:line="264" w:lineRule="exact"/>
              <w:ind w:left="116"/>
              <w:rPr>
                <w:color w:val="auto"/>
                <w:highlight w:val="none"/>
              </w:rPr>
            </w:pPr>
            <w:r>
              <w:rPr>
                <w:color w:val="auto"/>
                <w:spacing w:val="4"/>
                <w:position w:val="1"/>
                <w:highlight w:val="none"/>
              </w:rPr>
              <w:t>500≤Y＜20000</w:t>
            </w:r>
          </w:p>
        </w:tc>
        <w:tc>
          <w:tcPr>
            <w:tcW w:w="1694" w:type="dxa"/>
            <w:vAlign w:val="top"/>
          </w:tcPr>
          <w:p w14:paraId="3B2E2893">
            <w:pPr>
              <w:pStyle w:val="15"/>
              <w:spacing w:before="31" w:line="264" w:lineRule="exact"/>
              <w:ind w:left="119"/>
              <w:rPr>
                <w:color w:val="auto"/>
                <w:highlight w:val="none"/>
              </w:rPr>
            </w:pPr>
            <w:r>
              <w:rPr>
                <w:color w:val="auto"/>
                <w:spacing w:val="4"/>
                <w:position w:val="1"/>
                <w:highlight w:val="none"/>
              </w:rPr>
              <w:t>50≤Y＜500</w:t>
            </w:r>
          </w:p>
        </w:tc>
        <w:tc>
          <w:tcPr>
            <w:tcW w:w="1140" w:type="dxa"/>
            <w:vAlign w:val="top"/>
          </w:tcPr>
          <w:p w14:paraId="138A490E">
            <w:pPr>
              <w:pStyle w:val="15"/>
              <w:spacing w:before="31" w:line="268" w:lineRule="exact"/>
              <w:ind w:left="112"/>
              <w:rPr>
                <w:color w:val="auto"/>
                <w:highlight w:val="none"/>
              </w:rPr>
            </w:pPr>
            <w:r>
              <w:rPr>
                <w:color w:val="auto"/>
                <w:spacing w:val="4"/>
                <w:position w:val="1"/>
                <w:highlight w:val="none"/>
              </w:rPr>
              <w:t>Y＜50</w:t>
            </w:r>
          </w:p>
        </w:tc>
      </w:tr>
      <w:tr w14:paraId="6ECD82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restart"/>
            <w:tcBorders>
              <w:bottom w:val="nil"/>
            </w:tcBorders>
            <w:vAlign w:val="top"/>
          </w:tcPr>
          <w:p w14:paraId="54E17D42">
            <w:pPr>
              <w:pStyle w:val="15"/>
              <w:spacing w:before="206"/>
              <w:ind w:left="804"/>
              <w:rPr>
                <w:color w:val="auto"/>
                <w:highlight w:val="none"/>
              </w:rPr>
            </w:pPr>
            <w:r>
              <w:rPr>
                <w:b/>
                <w:bCs/>
                <w:color w:val="auto"/>
                <w:spacing w:val="2"/>
                <w:highlight w:val="none"/>
              </w:rPr>
              <w:t>工业</w:t>
            </w:r>
          </w:p>
        </w:tc>
        <w:tc>
          <w:tcPr>
            <w:tcW w:w="1769" w:type="dxa"/>
            <w:vAlign w:val="top"/>
          </w:tcPr>
          <w:p w14:paraId="018F95F9">
            <w:pPr>
              <w:pStyle w:val="15"/>
              <w:spacing w:before="32" w:line="228" w:lineRule="auto"/>
              <w:ind w:left="115"/>
              <w:rPr>
                <w:color w:val="auto"/>
                <w:highlight w:val="none"/>
              </w:rPr>
            </w:pPr>
            <w:r>
              <w:rPr>
                <w:color w:val="auto"/>
                <w:spacing w:val="6"/>
                <w:highlight w:val="none"/>
              </w:rPr>
              <w:t>从业人员（X）</w:t>
            </w:r>
          </w:p>
        </w:tc>
        <w:tc>
          <w:tcPr>
            <w:tcW w:w="1094" w:type="dxa"/>
            <w:vAlign w:val="top"/>
          </w:tcPr>
          <w:p w14:paraId="594A9161">
            <w:pPr>
              <w:pStyle w:val="15"/>
              <w:spacing w:before="31" w:line="231" w:lineRule="auto"/>
              <w:ind w:left="114"/>
              <w:rPr>
                <w:color w:val="auto"/>
                <w:highlight w:val="none"/>
              </w:rPr>
            </w:pPr>
            <w:r>
              <w:rPr>
                <w:color w:val="auto"/>
                <w:highlight w:val="none"/>
              </w:rPr>
              <w:t>人</w:t>
            </w:r>
          </w:p>
        </w:tc>
        <w:tc>
          <w:tcPr>
            <w:tcW w:w="1949" w:type="dxa"/>
            <w:vAlign w:val="top"/>
          </w:tcPr>
          <w:p w14:paraId="4B996966">
            <w:pPr>
              <w:pStyle w:val="15"/>
              <w:spacing w:before="31" w:line="265" w:lineRule="exact"/>
              <w:ind w:left="116"/>
              <w:rPr>
                <w:color w:val="auto"/>
                <w:highlight w:val="none"/>
              </w:rPr>
            </w:pPr>
            <w:r>
              <w:rPr>
                <w:color w:val="auto"/>
                <w:spacing w:val="4"/>
                <w:position w:val="1"/>
                <w:highlight w:val="none"/>
              </w:rPr>
              <w:t>300≤X＜1000</w:t>
            </w:r>
          </w:p>
        </w:tc>
        <w:tc>
          <w:tcPr>
            <w:tcW w:w="1694" w:type="dxa"/>
            <w:vAlign w:val="top"/>
          </w:tcPr>
          <w:p w14:paraId="44C91E42">
            <w:pPr>
              <w:pStyle w:val="15"/>
              <w:spacing w:before="31" w:line="265" w:lineRule="exact"/>
              <w:ind w:left="117"/>
              <w:rPr>
                <w:color w:val="auto"/>
                <w:highlight w:val="none"/>
              </w:rPr>
            </w:pPr>
            <w:r>
              <w:rPr>
                <w:color w:val="auto"/>
                <w:spacing w:val="4"/>
                <w:position w:val="1"/>
                <w:highlight w:val="none"/>
              </w:rPr>
              <w:t>20≤X＜300</w:t>
            </w:r>
          </w:p>
        </w:tc>
        <w:tc>
          <w:tcPr>
            <w:tcW w:w="1140" w:type="dxa"/>
            <w:vAlign w:val="top"/>
          </w:tcPr>
          <w:p w14:paraId="50696EE3">
            <w:pPr>
              <w:pStyle w:val="15"/>
              <w:spacing w:before="31" w:line="269" w:lineRule="exact"/>
              <w:ind w:left="112"/>
              <w:rPr>
                <w:color w:val="auto"/>
                <w:highlight w:val="none"/>
              </w:rPr>
            </w:pPr>
            <w:r>
              <w:rPr>
                <w:color w:val="auto"/>
                <w:spacing w:val="4"/>
                <w:position w:val="1"/>
                <w:highlight w:val="none"/>
              </w:rPr>
              <w:t>X＜20</w:t>
            </w:r>
          </w:p>
        </w:tc>
      </w:tr>
      <w:tr w14:paraId="2AF9B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continue"/>
            <w:tcBorders>
              <w:top w:val="nil"/>
            </w:tcBorders>
            <w:vAlign w:val="top"/>
          </w:tcPr>
          <w:p w14:paraId="56F8DAD8">
            <w:pPr>
              <w:rPr>
                <w:rFonts w:ascii="Arial"/>
                <w:color w:val="auto"/>
                <w:sz w:val="21"/>
                <w:highlight w:val="none"/>
              </w:rPr>
            </w:pPr>
          </w:p>
        </w:tc>
        <w:tc>
          <w:tcPr>
            <w:tcW w:w="1769" w:type="dxa"/>
            <w:vAlign w:val="top"/>
          </w:tcPr>
          <w:p w14:paraId="1EFE8C20">
            <w:pPr>
              <w:pStyle w:val="15"/>
              <w:spacing w:before="31" w:line="228" w:lineRule="auto"/>
              <w:ind w:left="119"/>
              <w:rPr>
                <w:color w:val="auto"/>
                <w:highlight w:val="none"/>
              </w:rPr>
            </w:pPr>
            <w:r>
              <w:rPr>
                <w:color w:val="auto"/>
                <w:spacing w:val="5"/>
                <w:highlight w:val="none"/>
              </w:rPr>
              <w:t>营业收入（Y）</w:t>
            </w:r>
          </w:p>
        </w:tc>
        <w:tc>
          <w:tcPr>
            <w:tcW w:w="1094" w:type="dxa"/>
            <w:vAlign w:val="top"/>
          </w:tcPr>
          <w:p w14:paraId="1C013476">
            <w:pPr>
              <w:pStyle w:val="15"/>
              <w:spacing w:before="32" w:line="228" w:lineRule="auto"/>
              <w:ind w:left="117"/>
              <w:rPr>
                <w:color w:val="auto"/>
                <w:highlight w:val="none"/>
              </w:rPr>
            </w:pPr>
            <w:r>
              <w:rPr>
                <w:color w:val="auto"/>
                <w:spacing w:val="2"/>
                <w:highlight w:val="none"/>
              </w:rPr>
              <w:t>万元</w:t>
            </w:r>
          </w:p>
        </w:tc>
        <w:tc>
          <w:tcPr>
            <w:tcW w:w="1949" w:type="dxa"/>
            <w:vAlign w:val="top"/>
          </w:tcPr>
          <w:p w14:paraId="24E35406">
            <w:pPr>
              <w:pStyle w:val="15"/>
              <w:spacing w:before="32" w:line="264" w:lineRule="exact"/>
              <w:ind w:left="115"/>
              <w:rPr>
                <w:color w:val="auto"/>
                <w:highlight w:val="none"/>
              </w:rPr>
            </w:pPr>
            <w:r>
              <w:rPr>
                <w:color w:val="auto"/>
                <w:spacing w:val="4"/>
                <w:position w:val="1"/>
                <w:highlight w:val="none"/>
              </w:rPr>
              <w:t>2000≤Y＜40000</w:t>
            </w:r>
          </w:p>
        </w:tc>
        <w:tc>
          <w:tcPr>
            <w:tcW w:w="1694" w:type="dxa"/>
            <w:vAlign w:val="top"/>
          </w:tcPr>
          <w:p w14:paraId="79CE8F32">
            <w:pPr>
              <w:pStyle w:val="15"/>
              <w:spacing w:before="32" w:line="264" w:lineRule="exact"/>
              <w:ind w:left="119"/>
              <w:rPr>
                <w:color w:val="auto"/>
                <w:highlight w:val="none"/>
              </w:rPr>
            </w:pPr>
            <w:r>
              <w:rPr>
                <w:color w:val="auto"/>
                <w:spacing w:val="4"/>
                <w:position w:val="1"/>
                <w:highlight w:val="none"/>
              </w:rPr>
              <w:t>300≤Y＜2000</w:t>
            </w:r>
          </w:p>
        </w:tc>
        <w:tc>
          <w:tcPr>
            <w:tcW w:w="1140" w:type="dxa"/>
            <w:vAlign w:val="top"/>
          </w:tcPr>
          <w:p w14:paraId="1BF93D12">
            <w:pPr>
              <w:pStyle w:val="15"/>
              <w:spacing w:before="32" w:line="268" w:lineRule="exact"/>
              <w:ind w:left="112"/>
              <w:rPr>
                <w:color w:val="auto"/>
                <w:highlight w:val="none"/>
              </w:rPr>
            </w:pPr>
            <w:r>
              <w:rPr>
                <w:color w:val="auto"/>
                <w:spacing w:val="5"/>
                <w:position w:val="1"/>
                <w:highlight w:val="none"/>
              </w:rPr>
              <w:t>Y＜300</w:t>
            </w:r>
          </w:p>
        </w:tc>
      </w:tr>
      <w:tr w14:paraId="334BE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014" w:type="dxa"/>
            <w:vMerge w:val="restart"/>
            <w:tcBorders>
              <w:bottom w:val="nil"/>
            </w:tcBorders>
            <w:vAlign w:val="top"/>
          </w:tcPr>
          <w:p w14:paraId="09BA475F">
            <w:pPr>
              <w:pStyle w:val="15"/>
              <w:spacing w:before="208" w:line="228" w:lineRule="auto"/>
              <w:ind w:left="698"/>
              <w:rPr>
                <w:color w:val="auto"/>
                <w:highlight w:val="none"/>
              </w:rPr>
            </w:pPr>
            <w:r>
              <w:rPr>
                <w:b/>
                <w:bCs/>
                <w:color w:val="auto"/>
                <w:spacing w:val="4"/>
                <w:highlight w:val="none"/>
              </w:rPr>
              <w:t>建筑业</w:t>
            </w:r>
          </w:p>
        </w:tc>
        <w:tc>
          <w:tcPr>
            <w:tcW w:w="1769" w:type="dxa"/>
            <w:vAlign w:val="top"/>
          </w:tcPr>
          <w:p w14:paraId="3A274BC6">
            <w:pPr>
              <w:pStyle w:val="15"/>
              <w:spacing w:before="32" w:line="228" w:lineRule="auto"/>
              <w:ind w:left="119"/>
              <w:rPr>
                <w:color w:val="auto"/>
                <w:highlight w:val="none"/>
              </w:rPr>
            </w:pPr>
            <w:r>
              <w:rPr>
                <w:color w:val="auto"/>
                <w:spacing w:val="5"/>
                <w:highlight w:val="none"/>
              </w:rPr>
              <w:t>营业收入（Y）</w:t>
            </w:r>
          </w:p>
        </w:tc>
        <w:tc>
          <w:tcPr>
            <w:tcW w:w="1094" w:type="dxa"/>
            <w:vAlign w:val="top"/>
          </w:tcPr>
          <w:p w14:paraId="2E2CBCB7">
            <w:pPr>
              <w:pStyle w:val="15"/>
              <w:spacing w:before="32" w:line="228" w:lineRule="auto"/>
              <w:ind w:left="117"/>
              <w:rPr>
                <w:color w:val="auto"/>
                <w:highlight w:val="none"/>
              </w:rPr>
            </w:pPr>
            <w:r>
              <w:rPr>
                <w:color w:val="auto"/>
                <w:spacing w:val="2"/>
                <w:highlight w:val="none"/>
              </w:rPr>
              <w:t>万元</w:t>
            </w:r>
          </w:p>
        </w:tc>
        <w:tc>
          <w:tcPr>
            <w:tcW w:w="1949" w:type="dxa"/>
            <w:vAlign w:val="top"/>
          </w:tcPr>
          <w:p w14:paraId="7853E376">
            <w:pPr>
              <w:pStyle w:val="15"/>
              <w:spacing w:before="32" w:line="265" w:lineRule="exact"/>
              <w:ind w:left="114"/>
              <w:rPr>
                <w:color w:val="auto"/>
                <w:highlight w:val="none"/>
              </w:rPr>
            </w:pPr>
            <w:r>
              <w:rPr>
                <w:color w:val="auto"/>
                <w:spacing w:val="5"/>
                <w:position w:val="1"/>
                <w:highlight w:val="none"/>
              </w:rPr>
              <w:t>6000≤Y＜80000</w:t>
            </w:r>
          </w:p>
        </w:tc>
        <w:tc>
          <w:tcPr>
            <w:tcW w:w="1694" w:type="dxa"/>
            <w:vAlign w:val="top"/>
          </w:tcPr>
          <w:p w14:paraId="6C67424C">
            <w:pPr>
              <w:pStyle w:val="15"/>
              <w:spacing w:before="32" w:line="265" w:lineRule="exact"/>
              <w:ind w:left="119"/>
              <w:rPr>
                <w:color w:val="auto"/>
                <w:highlight w:val="none"/>
              </w:rPr>
            </w:pPr>
            <w:r>
              <w:rPr>
                <w:color w:val="auto"/>
                <w:spacing w:val="4"/>
                <w:position w:val="1"/>
                <w:highlight w:val="none"/>
              </w:rPr>
              <w:t>300≤Y＜6000</w:t>
            </w:r>
          </w:p>
        </w:tc>
        <w:tc>
          <w:tcPr>
            <w:tcW w:w="1140" w:type="dxa"/>
            <w:vAlign w:val="top"/>
          </w:tcPr>
          <w:p w14:paraId="26DC0076">
            <w:pPr>
              <w:pStyle w:val="15"/>
              <w:spacing w:before="32" w:line="268" w:lineRule="exact"/>
              <w:ind w:left="112"/>
              <w:rPr>
                <w:color w:val="auto"/>
                <w:highlight w:val="none"/>
              </w:rPr>
            </w:pPr>
            <w:r>
              <w:rPr>
                <w:color w:val="auto"/>
                <w:spacing w:val="5"/>
                <w:position w:val="1"/>
                <w:highlight w:val="none"/>
              </w:rPr>
              <w:t>Y＜300</w:t>
            </w:r>
          </w:p>
        </w:tc>
      </w:tr>
      <w:tr w14:paraId="26483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continue"/>
            <w:tcBorders>
              <w:top w:val="nil"/>
            </w:tcBorders>
            <w:vAlign w:val="top"/>
          </w:tcPr>
          <w:p w14:paraId="0D268B6B">
            <w:pPr>
              <w:rPr>
                <w:rFonts w:ascii="Arial"/>
                <w:color w:val="auto"/>
                <w:sz w:val="21"/>
                <w:highlight w:val="none"/>
              </w:rPr>
            </w:pPr>
          </w:p>
        </w:tc>
        <w:tc>
          <w:tcPr>
            <w:tcW w:w="1769" w:type="dxa"/>
            <w:vAlign w:val="top"/>
          </w:tcPr>
          <w:p w14:paraId="508C53FF">
            <w:pPr>
              <w:pStyle w:val="15"/>
              <w:spacing w:before="31" w:line="228" w:lineRule="auto"/>
              <w:ind w:left="121"/>
              <w:rPr>
                <w:color w:val="auto"/>
                <w:highlight w:val="none"/>
              </w:rPr>
            </w:pPr>
            <w:r>
              <w:rPr>
                <w:color w:val="auto"/>
                <w:spacing w:val="5"/>
                <w:highlight w:val="none"/>
              </w:rPr>
              <w:t>资产总额（Z）</w:t>
            </w:r>
          </w:p>
        </w:tc>
        <w:tc>
          <w:tcPr>
            <w:tcW w:w="1094" w:type="dxa"/>
            <w:vAlign w:val="top"/>
          </w:tcPr>
          <w:p w14:paraId="443B6B67">
            <w:pPr>
              <w:pStyle w:val="15"/>
              <w:spacing w:before="32" w:line="228" w:lineRule="auto"/>
              <w:ind w:left="117"/>
              <w:rPr>
                <w:color w:val="auto"/>
                <w:highlight w:val="none"/>
              </w:rPr>
            </w:pPr>
            <w:r>
              <w:rPr>
                <w:color w:val="auto"/>
                <w:spacing w:val="2"/>
                <w:highlight w:val="none"/>
              </w:rPr>
              <w:t>万元</w:t>
            </w:r>
          </w:p>
        </w:tc>
        <w:tc>
          <w:tcPr>
            <w:tcW w:w="1949" w:type="dxa"/>
            <w:vAlign w:val="top"/>
          </w:tcPr>
          <w:p w14:paraId="7A84B402">
            <w:pPr>
              <w:pStyle w:val="15"/>
              <w:spacing w:before="31" w:line="265" w:lineRule="exact"/>
              <w:ind w:left="116"/>
              <w:rPr>
                <w:color w:val="auto"/>
                <w:highlight w:val="none"/>
              </w:rPr>
            </w:pPr>
            <w:r>
              <w:rPr>
                <w:color w:val="auto"/>
                <w:spacing w:val="4"/>
                <w:position w:val="1"/>
                <w:highlight w:val="none"/>
              </w:rPr>
              <w:t>5000≤Z＜80000</w:t>
            </w:r>
          </w:p>
        </w:tc>
        <w:tc>
          <w:tcPr>
            <w:tcW w:w="1694" w:type="dxa"/>
            <w:vAlign w:val="top"/>
          </w:tcPr>
          <w:p w14:paraId="360D2C3C">
            <w:pPr>
              <w:pStyle w:val="15"/>
              <w:spacing w:before="31" w:line="265" w:lineRule="exact"/>
              <w:ind w:left="119"/>
              <w:rPr>
                <w:color w:val="auto"/>
                <w:highlight w:val="none"/>
              </w:rPr>
            </w:pPr>
            <w:r>
              <w:rPr>
                <w:color w:val="auto"/>
                <w:spacing w:val="4"/>
                <w:position w:val="1"/>
                <w:highlight w:val="none"/>
              </w:rPr>
              <w:t>300≤Z＜5000</w:t>
            </w:r>
          </w:p>
        </w:tc>
        <w:tc>
          <w:tcPr>
            <w:tcW w:w="1140" w:type="dxa"/>
            <w:vAlign w:val="top"/>
          </w:tcPr>
          <w:p w14:paraId="153CF27C">
            <w:pPr>
              <w:pStyle w:val="15"/>
              <w:spacing w:before="31" w:line="269" w:lineRule="exact"/>
              <w:ind w:left="114"/>
              <w:rPr>
                <w:color w:val="auto"/>
                <w:highlight w:val="none"/>
              </w:rPr>
            </w:pPr>
            <w:r>
              <w:rPr>
                <w:color w:val="auto"/>
                <w:spacing w:val="4"/>
                <w:position w:val="1"/>
                <w:highlight w:val="none"/>
              </w:rPr>
              <w:t>Z＜300</w:t>
            </w:r>
          </w:p>
        </w:tc>
      </w:tr>
      <w:tr w14:paraId="13751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restart"/>
            <w:tcBorders>
              <w:bottom w:val="nil"/>
            </w:tcBorders>
            <w:vAlign w:val="top"/>
          </w:tcPr>
          <w:p w14:paraId="6FB3057F">
            <w:pPr>
              <w:pStyle w:val="15"/>
              <w:spacing w:before="207" w:line="228" w:lineRule="auto"/>
              <w:ind w:left="695"/>
              <w:rPr>
                <w:color w:val="auto"/>
                <w:highlight w:val="none"/>
              </w:rPr>
            </w:pPr>
            <w:r>
              <w:rPr>
                <w:b/>
                <w:bCs/>
                <w:color w:val="auto"/>
                <w:spacing w:val="5"/>
                <w:highlight w:val="none"/>
              </w:rPr>
              <w:t>批发业</w:t>
            </w:r>
          </w:p>
        </w:tc>
        <w:tc>
          <w:tcPr>
            <w:tcW w:w="1769" w:type="dxa"/>
            <w:vAlign w:val="top"/>
          </w:tcPr>
          <w:p w14:paraId="6653F608">
            <w:pPr>
              <w:pStyle w:val="15"/>
              <w:spacing w:before="32" w:line="228" w:lineRule="auto"/>
              <w:ind w:left="115"/>
              <w:rPr>
                <w:color w:val="auto"/>
                <w:highlight w:val="none"/>
              </w:rPr>
            </w:pPr>
            <w:r>
              <w:rPr>
                <w:color w:val="auto"/>
                <w:spacing w:val="6"/>
                <w:highlight w:val="none"/>
              </w:rPr>
              <w:t>从业人员（X）</w:t>
            </w:r>
          </w:p>
        </w:tc>
        <w:tc>
          <w:tcPr>
            <w:tcW w:w="1094" w:type="dxa"/>
            <w:vAlign w:val="top"/>
          </w:tcPr>
          <w:p w14:paraId="13AF5698">
            <w:pPr>
              <w:pStyle w:val="15"/>
              <w:spacing w:before="31" w:line="231" w:lineRule="auto"/>
              <w:ind w:left="114"/>
              <w:rPr>
                <w:color w:val="auto"/>
                <w:highlight w:val="none"/>
              </w:rPr>
            </w:pPr>
            <w:r>
              <w:rPr>
                <w:color w:val="auto"/>
                <w:highlight w:val="none"/>
              </w:rPr>
              <w:t>人</w:t>
            </w:r>
          </w:p>
        </w:tc>
        <w:tc>
          <w:tcPr>
            <w:tcW w:w="1949" w:type="dxa"/>
            <w:vAlign w:val="top"/>
          </w:tcPr>
          <w:p w14:paraId="268D3EF2">
            <w:pPr>
              <w:pStyle w:val="15"/>
              <w:spacing w:before="32" w:line="264" w:lineRule="exact"/>
              <w:ind w:left="115"/>
              <w:rPr>
                <w:color w:val="auto"/>
                <w:highlight w:val="none"/>
              </w:rPr>
            </w:pPr>
            <w:r>
              <w:rPr>
                <w:color w:val="auto"/>
                <w:spacing w:val="5"/>
                <w:position w:val="1"/>
                <w:highlight w:val="none"/>
              </w:rPr>
              <w:t>20≤X＜200</w:t>
            </w:r>
          </w:p>
        </w:tc>
        <w:tc>
          <w:tcPr>
            <w:tcW w:w="1694" w:type="dxa"/>
            <w:vAlign w:val="top"/>
          </w:tcPr>
          <w:p w14:paraId="7455DCB4">
            <w:pPr>
              <w:pStyle w:val="15"/>
              <w:spacing w:before="32" w:line="264" w:lineRule="exact"/>
              <w:ind w:left="119"/>
              <w:rPr>
                <w:color w:val="auto"/>
                <w:highlight w:val="none"/>
              </w:rPr>
            </w:pPr>
            <w:r>
              <w:rPr>
                <w:color w:val="auto"/>
                <w:spacing w:val="4"/>
                <w:position w:val="1"/>
                <w:highlight w:val="none"/>
              </w:rPr>
              <w:t>5≤X＜20</w:t>
            </w:r>
          </w:p>
        </w:tc>
        <w:tc>
          <w:tcPr>
            <w:tcW w:w="1140" w:type="dxa"/>
            <w:vAlign w:val="top"/>
          </w:tcPr>
          <w:p w14:paraId="1269B5FE">
            <w:pPr>
              <w:pStyle w:val="15"/>
              <w:spacing w:before="32" w:line="268" w:lineRule="exact"/>
              <w:ind w:left="112"/>
              <w:rPr>
                <w:color w:val="auto"/>
                <w:highlight w:val="none"/>
              </w:rPr>
            </w:pPr>
            <w:r>
              <w:rPr>
                <w:color w:val="auto"/>
                <w:spacing w:val="4"/>
                <w:position w:val="1"/>
                <w:highlight w:val="none"/>
              </w:rPr>
              <w:t>X＜5</w:t>
            </w:r>
          </w:p>
        </w:tc>
      </w:tr>
      <w:tr w14:paraId="30500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continue"/>
            <w:tcBorders>
              <w:top w:val="nil"/>
            </w:tcBorders>
            <w:vAlign w:val="top"/>
          </w:tcPr>
          <w:p w14:paraId="069433AA">
            <w:pPr>
              <w:rPr>
                <w:rFonts w:ascii="Arial"/>
                <w:color w:val="auto"/>
                <w:sz w:val="21"/>
                <w:highlight w:val="none"/>
              </w:rPr>
            </w:pPr>
          </w:p>
        </w:tc>
        <w:tc>
          <w:tcPr>
            <w:tcW w:w="1769" w:type="dxa"/>
            <w:vAlign w:val="top"/>
          </w:tcPr>
          <w:p w14:paraId="539DA9AD">
            <w:pPr>
              <w:pStyle w:val="15"/>
              <w:spacing w:before="32" w:line="228" w:lineRule="auto"/>
              <w:ind w:left="119"/>
              <w:rPr>
                <w:color w:val="auto"/>
                <w:highlight w:val="none"/>
              </w:rPr>
            </w:pPr>
            <w:r>
              <w:rPr>
                <w:color w:val="auto"/>
                <w:spacing w:val="5"/>
                <w:highlight w:val="none"/>
              </w:rPr>
              <w:t>营业收入（Y）</w:t>
            </w:r>
          </w:p>
        </w:tc>
        <w:tc>
          <w:tcPr>
            <w:tcW w:w="1094" w:type="dxa"/>
            <w:vAlign w:val="top"/>
          </w:tcPr>
          <w:p w14:paraId="3DE56D62">
            <w:pPr>
              <w:pStyle w:val="15"/>
              <w:spacing w:before="33" w:line="228" w:lineRule="auto"/>
              <w:ind w:left="117"/>
              <w:rPr>
                <w:color w:val="auto"/>
                <w:highlight w:val="none"/>
              </w:rPr>
            </w:pPr>
            <w:r>
              <w:rPr>
                <w:color w:val="auto"/>
                <w:spacing w:val="2"/>
                <w:highlight w:val="none"/>
              </w:rPr>
              <w:t>万元</w:t>
            </w:r>
          </w:p>
        </w:tc>
        <w:tc>
          <w:tcPr>
            <w:tcW w:w="1949" w:type="dxa"/>
            <w:vAlign w:val="top"/>
          </w:tcPr>
          <w:p w14:paraId="029A18C2">
            <w:pPr>
              <w:pStyle w:val="15"/>
              <w:spacing w:before="32" w:line="265" w:lineRule="exact"/>
              <w:ind w:left="116"/>
              <w:rPr>
                <w:color w:val="auto"/>
                <w:highlight w:val="none"/>
              </w:rPr>
            </w:pPr>
            <w:r>
              <w:rPr>
                <w:color w:val="auto"/>
                <w:spacing w:val="4"/>
                <w:position w:val="1"/>
                <w:highlight w:val="none"/>
              </w:rPr>
              <w:t>5000≤Y＜40000</w:t>
            </w:r>
          </w:p>
        </w:tc>
        <w:tc>
          <w:tcPr>
            <w:tcW w:w="1694" w:type="dxa"/>
            <w:vAlign w:val="top"/>
          </w:tcPr>
          <w:p w14:paraId="1D36063B">
            <w:pPr>
              <w:pStyle w:val="15"/>
              <w:spacing w:before="32" w:line="265" w:lineRule="exact"/>
              <w:ind w:left="130"/>
              <w:rPr>
                <w:color w:val="auto"/>
                <w:highlight w:val="none"/>
              </w:rPr>
            </w:pPr>
            <w:r>
              <w:rPr>
                <w:color w:val="auto"/>
                <w:spacing w:val="3"/>
                <w:position w:val="1"/>
                <w:highlight w:val="none"/>
              </w:rPr>
              <w:t>1000≤Y＜5000</w:t>
            </w:r>
          </w:p>
        </w:tc>
        <w:tc>
          <w:tcPr>
            <w:tcW w:w="1140" w:type="dxa"/>
            <w:vAlign w:val="top"/>
          </w:tcPr>
          <w:p w14:paraId="1D9BEFDF">
            <w:pPr>
              <w:pStyle w:val="15"/>
              <w:spacing w:before="32" w:line="269" w:lineRule="exact"/>
              <w:ind w:left="112"/>
              <w:rPr>
                <w:color w:val="auto"/>
                <w:highlight w:val="none"/>
              </w:rPr>
            </w:pPr>
            <w:r>
              <w:rPr>
                <w:color w:val="auto"/>
                <w:spacing w:val="5"/>
                <w:position w:val="1"/>
                <w:highlight w:val="none"/>
              </w:rPr>
              <w:t>Y＜1000</w:t>
            </w:r>
          </w:p>
        </w:tc>
      </w:tr>
      <w:tr w14:paraId="290822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restart"/>
            <w:tcBorders>
              <w:bottom w:val="nil"/>
            </w:tcBorders>
            <w:vAlign w:val="top"/>
          </w:tcPr>
          <w:p w14:paraId="1BE8A2B4">
            <w:pPr>
              <w:pStyle w:val="15"/>
              <w:spacing w:before="207" w:line="228" w:lineRule="auto"/>
              <w:ind w:left="696"/>
              <w:rPr>
                <w:color w:val="auto"/>
                <w:highlight w:val="none"/>
              </w:rPr>
            </w:pPr>
            <w:r>
              <w:rPr>
                <w:b/>
                <w:bCs/>
                <w:color w:val="auto"/>
                <w:spacing w:val="5"/>
                <w:highlight w:val="none"/>
              </w:rPr>
              <w:t>零售业</w:t>
            </w:r>
          </w:p>
        </w:tc>
        <w:tc>
          <w:tcPr>
            <w:tcW w:w="1769" w:type="dxa"/>
            <w:vAlign w:val="top"/>
          </w:tcPr>
          <w:p w14:paraId="4197F4ED">
            <w:pPr>
              <w:pStyle w:val="15"/>
              <w:spacing w:before="35" w:line="228" w:lineRule="auto"/>
              <w:ind w:left="115"/>
              <w:rPr>
                <w:color w:val="auto"/>
                <w:highlight w:val="none"/>
              </w:rPr>
            </w:pPr>
            <w:r>
              <w:rPr>
                <w:color w:val="auto"/>
                <w:spacing w:val="6"/>
                <w:highlight w:val="none"/>
              </w:rPr>
              <w:t>从业人员（X）</w:t>
            </w:r>
          </w:p>
        </w:tc>
        <w:tc>
          <w:tcPr>
            <w:tcW w:w="1094" w:type="dxa"/>
            <w:vAlign w:val="top"/>
          </w:tcPr>
          <w:p w14:paraId="40D44D7F">
            <w:pPr>
              <w:pStyle w:val="15"/>
              <w:spacing w:before="34" w:line="231" w:lineRule="auto"/>
              <w:ind w:left="114"/>
              <w:rPr>
                <w:color w:val="auto"/>
                <w:highlight w:val="none"/>
              </w:rPr>
            </w:pPr>
            <w:r>
              <w:rPr>
                <w:color w:val="auto"/>
                <w:highlight w:val="none"/>
              </w:rPr>
              <w:t>人</w:t>
            </w:r>
          </w:p>
        </w:tc>
        <w:tc>
          <w:tcPr>
            <w:tcW w:w="1949" w:type="dxa"/>
            <w:vAlign w:val="top"/>
          </w:tcPr>
          <w:p w14:paraId="555980B6">
            <w:pPr>
              <w:pStyle w:val="15"/>
              <w:spacing w:before="35" w:line="265" w:lineRule="exact"/>
              <w:ind w:left="116"/>
              <w:rPr>
                <w:color w:val="auto"/>
                <w:highlight w:val="none"/>
              </w:rPr>
            </w:pPr>
            <w:r>
              <w:rPr>
                <w:color w:val="auto"/>
                <w:spacing w:val="5"/>
                <w:position w:val="1"/>
                <w:highlight w:val="none"/>
              </w:rPr>
              <w:t>50≤X＜300</w:t>
            </w:r>
          </w:p>
        </w:tc>
        <w:tc>
          <w:tcPr>
            <w:tcW w:w="1694" w:type="dxa"/>
            <w:vAlign w:val="top"/>
          </w:tcPr>
          <w:p w14:paraId="5384CDBD">
            <w:pPr>
              <w:pStyle w:val="15"/>
              <w:spacing w:before="35" w:line="265" w:lineRule="exact"/>
              <w:ind w:left="130"/>
              <w:rPr>
                <w:color w:val="auto"/>
                <w:highlight w:val="none"/>
              </w:rPr>
            </w:pPr>
            <w:r>
              <w:rPr>
                <w:color w:val="auto"/>
                <w:spacing w:val="2"/>
                <w:position w:val="1"/>
                <w:highlight w:val="none"/>
              </w:rPr>
              <w:t>10≤X＜50</w:t>
            </w:r>
          </w:p>
        </w:tc>
        <w:tc>
          <w:tcPr>
            <w:tcW w:w="1140" w:type="dxa"/>
            <w:vAlign w:val="top"/>
          </w:tcPr>
          <w:p w14:paraId="12E76DB7">
            <w:pPr>
              <w:pStyle w:val="15"/>
              <w:spacing w:before="35" w:line="268" w:lineRule="exact"/>
              <w:ind w:left="112"/>
              <w:rPr>
                <w:color w:val="auto"/>
                <w:highlight w:val="none"/>
              </w:rPr>
            </w:pPr>
            <w:r>
              <w:rPr>
                <w:color w:val="auto"/>
                <w:spacing w:val="4"/>
                <w:position w:val="1"/>
                <w:highlight w:val="none"/>
              </w:rPr>
              <w:t>X＜10</w:t>
            </w:r>
          </w:p>
        </w:tc>
      </w:tr>
      <w:tr w14:paraId="1B42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continue"/>
            <w:tcBorders>
              <w:top w:val="nil"/>
            </w:tcBorders>
            <w:vAlign w:val="top"/>
          </w:tcPr>
          <w:p w14:paraId="08748D9D">
            <w:pPr>
              <w:rPr>
                <w:rFonts w:ascii="Arial"/>
                <w:color w:val="auto"/>
                <w:sz w:val="21"/>
                <w:highlight w:val="none"/>
              </w:rPr>
            </w:pPr>
          </w:p>
        </w:tc>
        <w:tc>
          <w:tcPr>
            <w:tcW w:w="1769" w:type="dxa"/>
            <w:vAlign w:val="top"/>
          </w:tcPr>
          <w:p w14:paraId="0080FDE1">
            <w:pPr>
              <w:pStyle w:val="15"/>
              <w:spacing w:before="33" w:line="228" w:lineRule="auto"/>
              <w:ind w:left="119"/>
              <w:rPr>
                <w:color w:val="auto"/>
                <w:highlight w:val="none"/>
              </w:rPr>
            </w:pPr>
            <w:r>
              <w:rPr>
                <w:color w:val="auto"/>
                <w:spacing w:val="5"/>
                <w:highlight w:val="none"/>
              </w:rPr>
              <w:t>营业收入（Y）</w:t>
            </w:r>
          </w:p>
        </w:tc>
        <w:tc>
          <w:tcPr>
            <w:tcW w:w="1094" w:type="dxa"/>
            <w:vAlign w:val="top"/>
          </w:tcPr>
          <w:p w14:paraId="4BC2D90D">
            <w:pPr>
              <w:pStyle w:val="15"/>
              <w:spacing w:before="33" w:line="228" w:lineRule="auto"/>
              <w:ind w:left="117"/>
              <w:rPr>
                <w:color w:val="auto"/>
                <w:highlight w:val="none"/>
              </w:rPr>
            </w:pPr>
            <w:r>
              <w:rPr>
                <w:color w:val="auto"/>
                <w:spacing w:val="2"/>
                <w:highlight w:val="none"/>
              </w:rPr>
              <w:t>万元</w:t>
            </w:r>
          </w:p>
        </w:tc>
        <w:tc>
          <w:tcPr>
            <w:tcW w:w="1949" w:type="dxa"/>
            <w:vAlign w:val="top"/>
          </w:tcPr>
          <w:p w14:paraId="2624FD40">
            <w:pPr>
              <w:pStyle w:val="15"/>
              <w:spacing w:before="33" w:line="265" w:lineRule="exact"/>
              <w:ind w:left="116"/>
              <w:rPr>
                <w:color w:val="auto"/>
                <w:highlight w:val="none"/>
              </w:rPr>
            </w:pPr>
            <w:r>
              <w:rPr>
                <w:color w:val="auto"/>
                <w:spacing w:val="4"/>
                <w:position w:val="1"/>
                <w:highlight w:val="none"/>
              </w:rPr>
              <w:t>500≤Y＜20000</w:t>
            </w:r>
          </w:p>
        </w:tc>
        <w:tc>
          <w:tcPr>
            <w:tcW w:w="1694" w:type="dxa"/>
            <w:vAlign w:val="top"/>
          </w:tcPr>
          <w:p w14:paraId="635286E0">
            <w:pPr>
              <w:pStyle w:val="15"/>
              <w:spacing w:before="33" w:line="265" w:lineRule="exact"/>
              <w:ind w:left="130"/>
              <w:rPr>
                <w:color w:val="auto"/>
                <w:highlight w:val="none"/>
              </w:rPr>
            </w:pPr>
            <w:r>
              <w:rPr>
                <w:color w:val="auto"/>
                <w:spacing w:val="3"/>
                <w:position w:val="1"/>
                <w:highlight w:val="none"/>
              </w:rPr>
              <w:t>100≤Y＜500</w:t>
            </w:r>
          </w:p>
        </w:tc>
        <w:tc>
          <w:tcPr>
            <w:tcW w:w="1140" w:type="dxa"/>
            <w:vAlign w:val="top"/>
          </w:tcPr>
          <w:p w14:paraId="6004C3E2">
            <w:pPr>
              <w:pStyle w:val="15"/>
              <w:spacing w:before="33" w:line="268" w:lineRule="exact"/>
              <w:ind w:left="112"/>
              <w:rPr>
                <w:color w:val="auto"/>
                <w:highlight w:val="none"/>
              </w:rPr>
            </w:pPr>
            <w:r>
              <w:rPr>
                <w:color w:val="auto"/>
                <w:spacing w:val="5"/>
                <w:position w:val="1"/>
                <w:highlight w:val="none"/>
              </w:rPr>
              <w:t>Y＜100</w:t>
            </w:r>
          </w:p>
        </w:tc>
      </w:tr>
      <w:tr w14:paraId="7A51F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restart"/>
            <w:tcBorders>
              <w:bottom w:val="nil"/>
            </w:tcBorders>
            <w:vAlign w:val="top"/>
          </w:tcPr>
          <w:p w14:paraId="2BF4AA54">
            <w:pPr>
              <w:pStyle w:val="15"/>
              <w:spacing w:before="208" w:line="228" w:lineRule="auto"/>
              <w:ind w:left="489"/>
              <w:rPr>
                <w:color w:val="auto"/>
                <w:highlight w:val="none"/>
              </w:rPr>
            </w:pPr>
            <w:r>
              <w:rPr>
                <w:b/>
                <w:bCs/>
                <w:color w:val="auto"/>
                <w:spacing w:val="5"/>
                <w:highlight w:val="none"/>
              </w:rPr>
              <w:t>交通运输业</w:t>
            </w:r>
          </w:p>
        </w:tc>
        <w:tc>
          <w:tcPr>
            <w:tcW w:w="1769" w:type="dxa"/>
            <w:vAlign w:val="top"/>
          </w:tcPr>
          <w:p w14:paraId="1C7F2175">
            <w:pPr>
              <w:pStyle w:val="15"/>
              <w:spacing w:before="34" w:line="228" w:lineRule="auto"/>
              <w:ind w:left="115"/>
              <w:rPr>
                <w:color w:val="auto"/>
                <w:highlight w:val="none"/>
              </w:rPr>
            </w:pPr>
            <w:r>
              <w:rPr>
                <w:color w:val="auto"/>
                <w:spacing w:val="6"/>
                <w:highlight w:val="none"/>
              </w:rPr>
              <w:t>从业人员（X）</w:t>
            </w:r>
          </w:p>
        </w:tc>
        <w:tc>
          <w:tcPr>
            <w:tcW w:w="1094" w:type="dxa"/>
            <w:vAlign w:val="top"/>
          </w:tcPr>
          <w:p w14:paraId="027597C9">
            <w:pPr>
              <w:pStyle w:val="15"/>
              <w:spacing w:before="33" w:line="231" w:lineRule="auto"/>
              <w:ind w:left="114"/>
              <w:rPr>
                <w:color w:val="auto"/>
                <w:highlight w:val="none"/>
              </w:rPr>
            </w:pPr>
            <w:r>
              <w:rPr>
                <w:color w:val="auto"/>
                <w:highlight w:val="none"/>
              </w:rPr>
              <w:t>人</w:t>
            </w:r>
          </w:p>
        </w:tc>
        <w:tc>
          <w:tcPr>
            <w:tcW w:w="1949" w:type="dxa"/>
            <w:vAlign w:val="top"/>
          </w:tcPr>
          <w:p w14:paraId="40C6A2EB">
            <w:pPr>
              <w:pStyle w:val="15"/>
              <w:spacing w:before="33" w:line="265" w:lineRule="exact"/>
              <w:ind w:left="116"/>
              <w:rPr>
                <w:color w:val="auto"/>
                <w:highlight w:val="none"/>
              </w:rPr>
            </w:pPr>
            <w:r>
              <w:rPr>
                <w:color w:val="auto"/>
                <w:spacing w:val="4"/>
                <w:position w:val="1"/>
                <w:highlight w:val="none"/>
              </w:rPr>
              <w:t>300≤X＜1000</w:t>
            </w:r>
          </w:p>
        </w:tc>
        <w:tc>
          <w:tcPr>
            <w:tcW w:w="1694" w:type="dxa"/>
            <w:vAlign w:val="top"/>
          </w:tcPr>
          <w:p w14:paraId="276C955A">
            <w:pPr>
              <w:pStyle w:val="15"/>
              <w:spacing w:before="33" w:line="265" w:lineRule="exact"/>
              <w:ind w:left="117"/>
              <w:rPr>
                <w:color w:val="auto"/>
                <w:highlight w:val="none"/>
              </w:rPr>
            </w:pPr>
            <w:r>
              <w:rPr>
                <w:color w:val="auto"/>
                <w:spacing w:val="4"/>
                <w:position w:val="1"/>
                <w:highlight w:val="none"/>
              </w:rPr>
              <w:t>20≤X＜300</w:t>
            </w:r>
          </w:p>
        </w:tc>
        <w:tc>
          <w:tcPr>
            <w:tcW w:w="1140" w:type="dxa"/>
            <w:vAlign w:val="top"/>
          </w:tcPr>
          <w:p w14:paraId="0B99F9E4">
            <w:pPr>
              <w:pStyle w:val="15"/>
              <w:spacing w:before="33" w:line="269" w:lineRule="exact"/>
              <w:ind w:left="112"/>
              <w:rPr>
                <w:color w:val="auto"/>
                <w:highlight w:val="none"/>
              </w:rPr>
            </w:pPr>
            <w:r>
              <w:rPr>
                <w:color w:val="auto"/>
                <w:spacing w:val="4"/>
                <w:position w:val="1"/>
                <w:highlight w:val="none"/>
              </w:rPr>
              <w:t>X＜20</w:t>
            </w:r>
          </w:p>
        </w:tc>
      </w:tr>
      <w:tr w14:paraId="31EAE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014" w:type="dxa"/>
            <w:vMerge w:val="continue"/>
            <w:tcBorders>
              <w:top w:val="nil"/>
            </w:tcBorders>
            <w:vAlign w:val="top"/>
          </w:tcPr>
          <w:p w14:paraId="29CAEA60">
            <w:pPr>
              <w:rPr>
                <w:rFonts w:ascii="Arial"/>
                <w:color w:val="auto"/>
                <w:sz w:val="21"/>
                <w:highlight w:val="none"/>
              </w:rPr>
            </w:pPr>
          </w:p>
        </w:tc>
        <w:tc>
          <w:tcPr>
            <w:tcW w:w="1769" w:type="dxa"/>
            <w:vAlign w:val="top"/>
          </w:tcPr>
          <w:p w14:paraId="1BC94765">
            <w:pPr>
              <w:pStyle w:val="15"/>
              <w:spacing w:before="33" w:line="228" w:lineRule="auto"/>
              <w:ind w:left="119"/>
              <w:rPr>
                <w:color w:val="auto"/>
                <w:highlight w:val="none"/>
              </w:rPr>
            </w:pPr>
            <w:r>
              <w:rPr>
                <w:color w:val="auto"/>
                <w:spacing w:val="5"/>
                <w:highlight w:val="none"/>
              </w:rPr>
              <w:t>营业收入（Y）</w:t>
            </w:r>
          </w:p>
        </w:tc>
        <w:tc>
          <w:tcPr>
            <w:tcW w:w="1094" w:type="dxa"/>
            <w:vAlign w:val="top"/>
          </w:tcPr>
          <w:p w14:paraId="3C45694D">
            <w:pPr>
              <w:pStyle w:val="15"/>
              <w:spacing w:before="34" w:line="228" w:lineRule="auto"/>
              <w:ind w:left="117"/>
              <w:rPr>
                <w:color w:val="auto"/>
                <w:highlight w:val="none"/>
              </w:rPr>
            </w:pPr>
            <w:r>
              <w:rPr>
                <w:color w:val="auto"/>
                <w:spacing w:val="2"/>
                <w:highlight w:val="none"/>
              </w:rPr>
              <w:t>万元</w:t>
            </w:r>
          </w:p>
        </w:tc>
        <w:tc>
          <w:tcPr>
            <w:tcW w:w="1949" w:type="dxa"/>
            <w:vAlign w:val="top"/>
          </w:tcPr>
          <w:p w14:paraId="15137A6C">
            <w:pPr>
              <w:pStyle w:val="15"/>
              <w:spacing w:before="34" w:line="264" w:lineRule="exact"/>
              <w:ind w:left="116"/>
              <w:rPr>
                <w:color w:val="auto"/>
                <w:highlight w:val="none"/>
              </w:rPr>
            </w:pPr>
            <w:r>
              <w:rPr>
                <w:color w:val="auto"/>
                <w:spacing w:val="4"/>
                <w:position w:val="1"/>
                <w:highlight w:val="none"/>
              </w:rPr>
              <w:t>3000≤Y＜30000</w:t>
            </w:r>
          </w:p>
        </w:tc>
        <w:tc>
          <w:tcPr>
            <w:tcW w:w="1694" w:type="dxa"/>
            <w:vAlign w:val="top"/>
          </w:tcPr>
          <w:p w14:paraId="50A0DF31">
            <w:pPr>
              <w:pStyle w:val="15"/>
              <w:spacing w:before="34" w:line="264" w:lineRule="exact"/>
              <w:ind w:left="117"/>
              <w:rPr>
                <w:color w:val="auto"/>
                <w:highlight w:val="none"/>
              </w:rPr>
            </w:pPr>
            <w:r>
              <w:rPr>
                <w:color w:val="auto"/>
                <w:spacing w:val="5"/>
                <w:position w:val="1"/>
                <w:highlight w:val="none"/>
              </w:rPr>
              <w:t>200≤Y＜3000</w:t>
            </w:r>
          </w:p>
        </w:tc>
        <w:tc>
          <w:tcPr>
            <w:tcW w:w="1140" w:type="dxa"/>
            <w:vAlign w:val="top"/>
          </w:tcPr>
          <w:p w14:paraId="330CAF9F">
            <w:pPr>
              <w:pStyle w:val="15"/>
              <w:spacing w:before="34" w:line="268" w:lineRule="exact"/>
              <w:ind w:left="112"/>
              <w:rPr>
                <w:color w:val="auto"/>
                <w:highlight w:val="none"/>
              </w:rPr>
            </w:pPr>
            <w:r>
              <w:rPr>
                <w:color w:val="auto"/>
                <w:spacing w:val="5"/>
                <w:position w:val="1"/>
                <w:highlight w:val="none"/>
              </w:rPr>
              <w:t>Y＜200</w:t>
            </w:r>
          </w:p>
        </w:tc>
      </w:tr>
      <w:tr w14:paraId="0149B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restart"/>
            <w:tcBorders>
              <w:bottom w:val="nil"/>
            </w:tcBorders>
            <w:vAlign w:val="top"/>
          </w:tcPr>
          <w:p w14:paraId="77408AC2">
            <w:pPr>
              <w:pStyle w:val="15"/>
              <w:spacing w:before="209" w:line="228" w:lineRule="auto"/>
              <w:ind w:left="695"/>
              <w:rPr>
                <w:color w:val="auto"/>
                <w:highlight w:val="none"/>
              </w:rPr>
            </w:pPr>
            <w:r>
              <w:rPr>
                <w:b/>
                <w:bCs/>
                <w:color w:val="auto"/>
                <w:spacing w:val="5"/>
                <w:highlight w:val="none"/>
              </w:rPr>
              <w:t>仓储业</w:t>
            </w:r>
          </w:p>
        </w:tc>
        <w:tc>
          <w:tcPr>
            <w:tcW w:w="1769" w:type="dxa"/>
            <w:vAlign w:val="top"/>
          </w:tcPr>
          <w:p w14:paraId="1E3C31BA">
            <w:pPr>
              <w:pStyle w:val="15"/>
              <w:spacing w:before="34" w:line="228" w:lineRule="auto"/>
              <w:ind w:left="115"/>
              <w:rPr>
                <w:color w:val="auto"/>
                <w:highlight w:val="none"/>
              </w:rPr>
            </w:pPr>
            <w:r>
              <w:rPr>
                <w:color w:val="auto"/>
                <w:spacing w:val="6"/>
                <w:highlight w:val="none"/>
              </w:rPr>
              <w:t>从业人员（X）</w:t>
            </w:r>
          </w:p>
        </w:tc>
        <w:tc>
          <w:tcPr>
            <w:tcW w:w="1094" w:type="dxa"/>
            <w:vAlign w:val="top"/>
          </w:tcPr>
          <w:p w14:paraId="73D279C9">
            <w:pPr>
              <w:pStyle w:val="15"/>
              <w:spacing w:before="33" w:line="231" w:lineRule="auto"/>
              <w:ind w:left="114"/>
              <w:rPr>
                <w:color w:val="auto"/>
                <w:highlight w:val="none"/>
              </w:rPr>
            </w:pPr>
            <w:r>
              <w:rPr>
                <w:color w:val="auto"/>
                <w:highlight w:val="none"/>
              </w:rPr>
              <w:t>人</w:t>
            </w:r>
          </w:p>
        </w:tc>
        <w:tc>
          <w:tcPr>
            <w:tcW w:w="1949" w:type="dxa"/>
            <w:vAlign w:val="top"/>
          </w:tcPr>
          <w:p w14:paraId="0593C255">
            <w:pPr>
              <w:pStyle w:val="15"/>
              <w:spacing w:before="33" w:line="265" w:lineRule="exact"/>
              <w:ind w:left="128"/>
              <w:rPr>
                <w:color w:val="auto"/>
                <w:highlight w:val="none"/>
              </w:rPr>
            </w:pPr>
            <w:r>
              <w:rPr>
                <w:color w:val="auto"/>
                <w:spacing w:val="3"/>
                <w:position w:val="1"/>
                <w:highlight w:val="none"/>
              </w:rPr>
              <w:t>100≤X＜200</w:t>
            </w:r>
          </w:p>
        </w:tc>
        <w:tc>
          <w:tcPr>
            <w:tcW w:w="1694" w:type="dxa"/>
            <w:vAlign w:val="top"/>
          </w:tcPr>
          <w:p w14:paraId="233BCA12">
            <w:pPr>
              <w:pStyle w:val="15"/>
              <w:spacing w:before="33" w:line="265" w:lineRule="exact"/>
              <w:ind w:left="117"/>
              <w:rPr>
                <w:color w:val="auto"/>
                <w:highlight w:val="none"/>
              </w:rPr>
            </w:pPr>
            <w:r>
              <w:rPr>
                <w:color w:val="auto"/>
                <w:spacing w:val="4"/>
                <w:position w:val="1"/>
                <w:highlight w:val="none"/>
              </w:rPr>
              <w:t>20≤X＜100</w:t>
            </w:r>
          </w:p>
        </w:tc>
        <w:tc>
          <w:tcPr>
            <w:tcW w:w="1140" w:type="dxa"/>
            <w:vAlign w:val="top"/>
          </w:tcPr>
          <w:p w14:paraId="213F6C9E">
            <w:pPr>
              <w:pStyle w:val="15"/>
              <w:spacing w:before="33" w:line="269" w:lineRule="exact"/>
              <w:ind w:left="112"/>
              <w:rPr>
                <w:color w:val="auto"/>
                <w:highlight w:val="none"/>
              </w:rPr>
            </w:pPr>
            <w:r>
              <w:rPr>
                <w:color w:val="auto"/>
                <w:spacing w:val="4"/>
                <w:position w:val="1"/>
                <w:highlight w:val="none"/>
              </w:rPr>
              <w:t>X＜20</w:t>
            </w:r>
          </w:p>
        </w:tc>
      </w:tr>
      <w:tr w14:paraId="1408B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014" w:type="dxa"/>
            <w:vMerge w:val="continue"/>
            <w:tcBorders>
              <w:top w:val="nil"/>
            </w:tcBorders>
            <w:vAlign w:val="top"/>
          </w:tcPr>
          <w:p w14:paraId="7E31C8EA">
            <w:pPr>
              <w:rPr>
                <w:rFonts w:ascii="Arial"/>
                <w:color w:val="auto"/>
                <w:sz w:val="21"/>
                <w:highlight w:val="none"/>
              </w:rPr>
            </w:pPr>
          </w:p>
        </w:tc>
        <w:tc>
          <w:tcPr>
            <w:tcW w:w="1769" w:type="dxa"/>
            <w:vAlign w:val="top"/>
          </w:tcPr>
          <w:p w14:paraId="7DF9151F">
            <w:pPr>
              <w:pStyle w:val="15"/>
              <w:spacing w:before="36" w:line="228" w:lineRule="auto"/>
              <w:ind w:left="119"/>
              <w:rPr>
                <w:color w:val="auto"/>
                <w:highlight w:val="none"/>
              </w:rPr>
            </w:pPr>
            <w:r>
              <w:rPr>
                <w:color w:val="auto"/>
                <w:spacing w:val="5"/>
                <w:highlight w:val="none"/>
              </w:rPr>
              <w:t>营业收入（Y）</w:t>
            </w:r>
          </w:p>
        </w:tc>
        <w:tc>
          <w:tcPr>
            <w:tcW w:w="1094" w:type="dxa"/>
            <w:vAlign w:val="top"/>
          </w:tcPr>
          <w:p w14:paraId="7B6F9BAD">
            <w:pPr>
              <w:pStyle w:val="15"/>
              <w:spacing w:before="36" w:line="228" w:lineRule="auto"/>
              <w:ind w:left="117"/>
              <w:rPr>
                <w:color w:val="auto"/>
                <w:highlight w:val="none"/>
              </w:rPr>
            </w:pPr>
            <w:r>
              <w:rPr>
                <w:color w:val="auto"/>
                <w:spacing w:val="2"/>
                <w:highlight w:val="none"/>
              </w:rPr>
              <w:t>万元</w:t>
            </w:r>
          </w:p>
        </w:tc>
        <w:tc>
          <w:tcPr>
            <w:tcW w:w="1949" w:type="dxa"/>
            <w:vAlign w:val="top"/>
          </w:tcPr>
          <w:p w14:paraId="314435C9">
            <w:pPr>
              <w:pStyle w:val="15"/>
              <w:spacing w:before="36" w:line="265" w:lineRule="exact"/>
              <w:ind w:left="128"/>
              <w:rPr>
                <w:color w:val="auto"/>
                <w:highlight w:val="none"/>
              </w:rPr>
            </w:pPr>
            <w:r>
              <w:rPr>
                <w:color w:val="auto"/>
                <w:spacing w:val="3"/>
                <w:position w:val="1"/>
                <w:highlight w:val="none"/>
              </w:rPr>
              <w:t>1000≤Y＜30000</w:t>
            </w:r>
          </w:p>
        </w:tc>
        <w:tc>
          <w:tcPr>
            <w:tcW w:w="1694" w:type="dxa"/>
            <w:vAlign w:val="top"/>
          </w:tcPr>
          <w:p w14:paraId="2FD75000">
            <w:pPr>
              <w:pStyle w:val="15"/>
              <w:spacing w:before="36" w:line="265" w:lineRule="exact"/>
              <w:ind w:left="130"/>
              <w:rPr>
                <w:color w:val="auto"/>
                <w:highlight w:val="none"/>
              </w:rPr>
            </w:pPr>
            <w:r>
              <w:rPr>
                <w:color w:val="auto"/>
                <w:spacing w:val="3"/>
                <w:position w:val="1"/>
                <w:highlight w:val="none"/>
              </w:rPr>
              <w:t>100≤Y＜1000</w:t>
            </w:r>
          </w:p>
        </w:tc>
        <w:tc>
          <w:tcPr>
            <w:tcW w:w="1140" w:type="dxa"/>
            <w:vAlign w:val="top"/>
          </w:tcPr>
          <w:p w14:paraId="16D3209E">
            <w:pPr>
              <w:pStyle w:val="15"/>
              <w:spacing w:before="36" w:line="268" w:lineRule="exact"/>
              <w:ind w:left="112"/>
              <w:rPr>
                <w:color w:val="auto"/>
                <w:highlight w:val="none"/>
              </w:rPr>
            </w:pPr>
            <w:r>
              <w:rPr>
                <w:color w:val="auto"/>
                <w:spacing w:val="5"/>
                <w:position w:val="1"/>
                <w:highlight w:val="none"/>
              </w:rPr>
              <w:t>Y＜100</w:t>
            </w:r>
          </w:p>
        </w:tc>
      </w:tr>
      <w:tr w14:paraId="52464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restart"/>
            <w:tcBorders>
              <w:bottom w:val="nil"/>
            </w:tcBorders>
            <w:vAlign w:val="top"/>
          </w:tcPr>
          <w:p w14:paraId="528A2F44">
            <w:pPr>
              <w:pStyle w:val="15"/>
              <w:spacing w:before="208" w:line="229" w:lineRule="auto"/>
              <w:ind w:left="711"/>
              <w:rPr>
                <w:color w:val="auto"/>
                <w:highlight w:val="none"/>
              </w:rPr>
            </w:pPr>
            <w:r>
              <w:rPr>
                <w:b/>
                <w:bCs/>
                <w:color w:val="auto"/>
                <w:highlight w:val="none"/>
              </w:rPr>
              <w:t>邮政业</w:t>
            </w:r>
          </w:p>
        </w:tc>
        <w:tc>
          <w:tcPr>
            <w:tcW w:w="1769" w:type="dxa"/>
            <w:vAlign w:val="top"/>
          </w:tcPr>
          <w:p w14:paraId="75E707C8">
            <w:pPr>
              <w:pStyle w:val="15"/>
              <w:spacing w:before="33" w:line="228" w:lineRule="auto"/>
              <w:ind w:left="115"/>
              <w:rPr>
                <w:color w:val="auto"/>
                <w:highlight w:val="none"/>
              </w:rPr>
            </w:pPr>
            <w:r>
              <w:rPr>
                <w:color w:val="auto"/>
                <w:spacing w:val="6"/>
                <w:highlight w:val="none"/>
              </w:rPr>
              <w:t>从业人员（X）</w:t>
            </w:r>
          </w:p>
        </w:tc>
        <w:tc>
          <w:tcPr>
            <w:tcW w:w="1094" w:type="dxa"/>
            <w:vAlign w:val="top"/>
          </w:tcPr>
          <w:p w14:paraId="47486723">
            <w:pPr>
              <w:pStyle w:val="15"/>
              <w:spacing w:before="32" w:line="231" w:lineRule="auto"/>
              <w:ind w:left="114"/>
              <w:rPr>
                <w:color w:val="auto"/>
                <w:highlight w:val="none"/>
              </w:rPr>
            </w:pPr>
            <w:r>
              <w:rPr>
                <w:color w:val="auto"/>
                <w:highlight w:val="none"/>
              </w:rPr>
              <w:t>人</w:t>
            </w:r>
          </w:p>
        </w:tc>
        <w:tc>
          <w:tcPr>
            <w:tcW w:w="1949" w:type="dxa"/>
            <w:vAlign w:val="top"/>
          </w:tcPr>
          <w:p w14:paraId="0F3A7164">
            <w:pPr>
              <w:pStyle w:val="15"/>
              <w:spacing w:before="33" w:line="265" w:lineRule="exact"/>
              <w:ind w:left="116"/>
              <w:rPr>
                <w:color w:val="auto"/>
                <w:highlight w:val="none"/>
              </w:rPr>
            </w:pPr>
            <w:r>
              <w:rPr>
                <w:color w:val="auto"/>
                <w:spacing w:val="4"/>
                <w:position w:val="1"/>
                <w:highlight w:val="none"/>
              </w:rPr>
              <w:t>300≤X＜1000</w:t>
            </w:r>
          </w:p>
        </w:tc>
        <w:tc>
          <w:tcPr>
            <w:tcW w:w="1694" w:type="dxa"/>
            <w:vAlign w:val="top"/>
          </w:tcPr>
          <w:p w14:paraId="27AD0BBA">
            <w:pPr>
              <w:pStyle w:val="15"/>
              <w:spacing w:before="33" w:line="265" w:lineRule="exact"/>
              <w:ind w:left="117"/>
              <w:rPr>
                <w:color w:val="auto"/>
                <w:highlight w:val="none"/>
              </w:rPr>
            </w:pPr>
            <w:r>
              <w:rPr>
                <w:color w:val="auto"/>
                <w:spacing w:val="4"/>
                <w:position w:val="1"/>
                <w:highlight w:val="none"/>
              </w:rPr>
              <w:t>20≤X＜300</w:t>
            </w:r>
          </w:p>
        </w:tc>
        <w:tc>
          <w:tcPr>
            <w:tcW w:w="1140" w:type="dxa"/>
            <w:vAlign w:val="top"/>
          </w:tcPr>
          <w:p w14:paraId="0327D32F">
            <w:pPr>
              <w:pStyle w:val="15"/>
              <w:spacing w:before="33" w:line="268" w:lineRule="exact"/>
              <w:ind w:left="112"/>
              <w:rPr>
                <w:color w:val="auto"/>
                <w:highlight w:val="none"/>
              </w:rPr>
            </w:pPr>
            <w:r>
              <w:rPr>
                <w:color w:val="auto"/>
                <w:spacing w:val="4"/>
                <w:position w:val="1"/>
                <w:highlight w:val="none"/>
              </w:rPr>
              <w:t>X＜20</w:t>
            </w:r>
          </w:p>
        </w:tc>
      </w:tr>
      <w:tr w14:paraId="0670A9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continue"/>
            <w:tcBorders>
              <w:top w:val="nil"/>
            </w:tcBorders>
            <w:vAlign w:val="top"/>
          </w:tcPr>
          <w:p w14:paraId="3A730C0E">
            <w:pPr>
              <w:rPr>
                <w:rFonts w:ascii="Arial"/>
                <w:color w:val="auto"/>
                <w:sz w:val="21"/>
                <w:highlight w:val="none"/>
              </w:rPr>
            </w:pPr>
          </w:p>
        </w:tc>
        <w:tc>
          <w:tcPr>
            <w:tcW w:w="1769" w:type="dxa"/>
            <w:vAlign w:val="top"/>
          </w:tcPr>
          <w:p w14:paraId="4423DDA2">
            <w:pPr>
              <w:pStyle w:val="15"/>
              <w:spacing w:before="35" w:line="228" w:lineRule="auto"/>
              <w:ind w:left="119"/>
              <w:rPr>
                <w:color w:val="auto"/>
                <w:highlight w:val="none"/>
              </w:rPr>
            </w:pPr>
            <w:r>
              <w:rPr>
                <w:color w:val="auto"/>
                <w:spacing w:val="5"/>
                <w:highlight w:val="none"/>
              </w:rPr>
              <w:t>营业收入（Y）</w:t>
            </w:r>
          </w:p>
        </w:tc>
        <w:tc>
          <w:tcPr>
            <w:tcW w:w="1094" w:type="dxa"/>
            <w:vAlign w:val="top"/>
          </w:tcPr>
          <w:p w14:paraId="5896A267">
            <w:pPr>
              <w:pStyle w:val="15"/>
              <w:spacing w:before="36" w:line="228" w:lineRule="auto"/>
              <w:ind w:left="117"/>
              <w:rPr>
                <w:color w:val="auto"/>
                <w:highlight w:val="none"/>
              </w:rPr>
            </w:pPr>
            <w:r>
              <w:rPr>
                <w:color w:val="auto"/>
                <w:spacing w:val="2"/>
                <w:highlight w:val="none"/>
              </w:rPr>
              <w:t>万元</w:t>
            </w:r>
          </w:p>
        </w:tc>
        <w:tc>
          <w:tcPr>
            <w:tcW w:w="1949" w:type="dxa"/>
            <w:vAlign w:val="top"/>
          </w:tcPr>
          <w:p w14:paraId="388509A2">
            <w:pPr>
              <w:pStyle w:val="15"/>
              <w:spacing w:before="36" w:line="264" w:lineRule="exact"/>
              <w:ind w:left="115"/>
              <w:rPr>
                <w:color w:val="auto"/>
                <w:highlight w:val="none"/>
              </w:rPr>
            </w:pPr>
            <w:r>
              <w:rPr>
                <w:color w:val="auto"/>
                <w:spacing w:val="4"/>
                <w:position w:val="1"/>
                <w:highlight w:val="none"/>
              </w:rPr>
              <w:t>2000≤Y＜30000</w:t>
            </w:r>
          </w:p>
        </w:tc>
        <w:tc>
          <w:tcPr>
            <w:tcW w:w="1694" w:type="dxa"/>
            <w:vAlign w:val="top"/>
          </w:tcPr>
          <w:p w14:paraId="1692355E">
            <w:pPr>
              <w:pStyle w:val="15"/>
              <w:spacing w:before="36" w:line="264" w:lineRule="exact"/>
              <w:ind w:left="130"/>
              <w:rPr>
                <w:color w:val="auto"/>
                <w:highlight w:val="none"/>
              </w:rPr>
            </w:pPr>
            <w:r>
              <w:rPr>
                <w:color w:val="auto"/>
                <w:spacing w:val="3"/>
                <w:position w:val="1"/>
                <w:highlight w:val="none"/>
              </w:rPr>
              <w:t>100≤Y＜2000</w:t>
            </w:r>
          </w:p>
        </w:tc>
        <w:tc>
          <w:tcPr>
            <w:tcW w:w="1140" w:type="dxa"/>
            <w:vAlign w:val="top"/>
          </w:tcPr>
          <w:p w14:paraId="27C6B07C">
            <w:pPr>
              <w:pStyle w:val="15"/>
              <w:spacing w:before="36" w:line="268" w:lineRule="exact"/>
              <w:ind w:left="112"/>
              <w:rPr>
                <w:color w:val="auto"/>
                <w:highlight w:val="none"/>
              </w:rPr>
            </w:pPr>
            <w:r>
              <w:rPr>
                <w:color w:val="auto"/>
                <w:spacing w:val="5"/>
                <w:position w:val="1"/>
                <w:highlight w:val="none"/>
              </w:rPr>
              <w:t>Y＜100</w:t>
            </w:r>
          </w:p>
        </w:tc>
      </w:tr>
      <w:tr w14:paraId="28ECC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014" w:type="dxa"/>
            <w:vMerge w:val="restart"/>
            <w:tcBorders>
              <w:bottom w:val="nil"/>
            </w:tcBorders>
            <w:vAlign w:val="top"/>
          </w:tcPr>
          <w:p w14:paraId="7F44DD18">
            <w:pPr>
              <w:pStyle w:val="15"/>
              <w:spacing w:before="209" w:line="228" w:lineRule="auto"/>
              <w:ind w:left="695"/>
              <w:rPr>
                <w:color w:val="auto"/>
                <w:highlight w:val="none"/>
              </w:rPr>
            </w:pPr>
            <w:r>
              <w:rPr>
                <w:b/>
                <w:bCs/>
                <w:color w:val="auto"/>
                <w:spacing w:val="5"/>
                <w:highlight w:val="none"/>
              </w:rPr>
              <w:t>住宿业</w:t>
            </w:r>
          </w:p>
        </w:tc>
        <w:tc>
          <w:tcPr>
            <w:tcW w:w="1769" w:type="dxa"/>
            <w:vAlign w:val="top"/>
          </w:tcPr>
          <w:p w14:paraId="60C830C7">
            <w:pPr>
              <w:pStyle w:val="15"/>
              <w:spacing w:before="34" w:line="228" w:lineRule="auto"/>
              <w:ind w:left="115"/>
              <w:rPr>
                <w:color w:val="auto"/>
                <w:highlight w:val="none"/>
              </w:rPr>
            </w:pPr>
            <w:r>
              <w:rPr>
                <w:color w:val="auto"/>
                <w:spacing w:val="6"/>
                <w:highlight w:val="none"/>
              </w:rPr>
              <w:t>从业人员（X）</w:t>
            </w:r>
          </w:p>
        </w:tc>
        <w:tc>
          <w:tcPr>
            <w:tcW w:w="1094" w:type="dxa"/>
            <w:vAlign w:val="top"/>
          </w:tcPr>
          <w:p w14:paraId="0545DAB9">
            <w:pPr>
              <w:pStyle w:val="15"/>
              <w:spacing w:before="33" w:line="231" w:lineRule="auto"/>
              <w:ind w:left="114"/>
              <w:rPr>
                <w:color w:val="auto"/>
                <w:highlight w:val="none"/>
              </w:rPr>
            </w:pPr>
            <w:r>
              <w:rPr>
                <w:color w:val="auto"/>
                <w:highlight w:val="none"/>
              </w:rPr>
              <w:t>人</w:t>
            </w:r>
          </w:p>
        </w:tc>
        <w:tc>
          <w:tcPr>
            <w:tcW w:w="1949" w:type="dxa"/>
            <w:vAlign w:val="top"/>
          </w:tcPr>
          <w:p w14:paraId="323DB991">
            <w:pPr>
              <w:pStyle w:val="15"/>
              <w:spacing w:before="34" w:line="264" w:lineRule="exact"/>
              <w:ind w:left="128"/>
              <w:rPr>
                <w:color w:val="auto"/>
                <w:highlight w:val="none"/>
              </w:rPr>
            </w:pPr>
            <w:r>
              <w:rPr>
                <w:color w:val="auto"/>
                <w:spacing w:val="3"/>
                <w:position w:val="1"/>
                <w:highlight w:val="none"/>
              </w:rPr>
              <w:t>100≤X＜300</w:t>
            </w:r>
          </w:p>
        </w:tc>
        <w:tc>
          <w:tcPr>
            <w:tcW w:w="1694" w:type="dxa"/>
            <w:vAlign w:val="top"/>
          </w:tcPr>
          <w:p w14:paraId="7796B8F3">
            <w:pPr>
              <w:pStyle w:val="15"/>
              <w:spacing w:before="34" w:line="264" w:lineRule="exact"/>
              <w:ind w:left="130"/>
              <w:rPr>
                <w:color w:val="auto"/>
                <w:highlight w:val="none"/>
              </w:rPr>
            </w:pPr>
            <w:r>
              <w:rPr>
                <w:color w:val="auto"/>
                <w:spacing w:val="3"/>
                <w:position w:val="1"/>
                <w:highlight w:val="none"/>
              </w:rPr>
              <w:t>10≤X＜100</w:t>
            </w:r>
          </w:p>
        </w:tc>
        <w:tc>
          <w:tcPr>
            <w:tcW w:w="1140" w:type="dxa"/>
            <w:vAlign w:val="top"/>
          </w:tcPr>
          <w:p w14:paraId="3E9A7156">
            <w:pPr>
              <w:pStyle w:val="15"/>
              <w:spacing w:before="34" w:line="268" w:lineRule="exact"/>
              <w:ind w:left="112"/>
              <w:rPr>
                <w:color w:val="auto"/>
                <w:highlight w:val="none"/>
              </w:rPr>
            </w:pPr>
            <w:r>
              <w:rPr>
                <w:color w:val="auto"/>
                <w:spacing w:val="4"/>
                <w:position w:val="1"/>
                <w:highlight w:val="none"/>
              </w:rPr>
              <w:t>X＜10</w:t>
            </w:r>
          </w:p>
        </w:tc>
      </w:tr>
      <w:tr w14:paraId="44DF2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continue"/>
            <w:tcBorders>
              <w:top w:val="nil"/>
            </w:tcBorders>
            <w:vAlign w:val="top"/>
          </w:tcPr>
          <w:p w14:paraId="09DBBAB6">
            <w:pPr>
              <w:rPr>
                <w:rFonts w:ascii="Arial"/>
                <w:color w:val="auto"/>
                <w:sz w:val="21"/>
                <w:highlight w:val="none"/>
              </w:rPr>
            </w:pPr>
          </w:p>
        </w:tc>
        <w:tc>
          <w:tcPr>
            <w:tcW w:w="1769" w:type="dxa"/>
            <w:vAlign w:val="top"/>
          </w:tcPr>
          <w:p w14:paraId="55C6ADE9">
            <w:pPr>
              <w:pStyle w:val="15"/>
              <w:spacing w:before="33" w:line="228" w:lineRule="auto"/>
              <w:ind w:left="119"/>
              <w:rPr>
                <w:color w:val="auto"/>
                <w:highlight w:val="none"/>
              </w:rPr>
            </w:pPr>
            <w:r>
              <w:rPr>
                <w:color w:val="auto"/>
                <w:spacing w:val="5"/>
                <w:highlight w:val="none"/>
              </w:rPr>
              <w:t>营业收入（Y）</w:t>
            </w:r>
          </w:p>
        </w:tc>
        <w:tc>
          <w:tcPr>
            <w:tcW w:w="1094" w:type="dxa"/>
            <w:vAlign w:val="top"/>
          </w:tcPr>
          <w:p w14:paraId="161E8253">
            <w:pPr>
              <w:pStyle w:val="15"/>
              <w:spacing w:before="34" w:line="228" w:lineRule="auto"/>
              <w:ind w:left="117"/>
              <w:rPr>
                <w:color w:val="auto"/>
                <w:highlight w:val="none"/>
              </w:rPr>
            </w:pPr>
            <w:r>
              <w:rPr>
                <w:color w:val="auto"/>
                <w:spacing w:val="2"/>
                <w:highlight w:val="none"/>
              </w:rPr>
              <w:t>万元</w:t>
            </w:r>
          </w:p>
        </w:tc>
        <w:tc>
          <w:tcPr>
            <w:tcW w:w="1949" w:type="dxa"/>
            <w:vAlign w:val="top"/>
          </w:tcPr>
          <w:p w14:paraId="585449DA">
            <w:pPr>
              <w:pStyle w:val="15"/>
              <w:spacing w:before="33" w:line="265" w:lineRule="exact"/>
              <w:ind w:left="115"/>
              <w:rPr>
                <w:color w:val="auto"/>
                <w:highlight w:val="none"/>
              </w:rPr>
            </w:pPr>
            <w:r>
              <w:rPr>
                <w:color w:val="auto"/>
                <w:spacing w:val="4"/>
                <w:position w:val="1"/>
                <w:highlight w:val="none"/>
              </w:rPr>
              <w:t>2000≤Y＜10000</w:t>
            </w:r>
          </w:p>
        </w:tc>
        <w:tc>
          <w:tcPr>
            <w:tcW w:w="1694" w:type="dxa"/>
            <w:vAlign w:val="top"/>
          </w:tcPr>
          <w:p w14:paraId="4CF01861">
            <w:pPr>
              <w:pStyle w:val="15"/>
              <w:spacing w:before="33" w:line="265" w:lineRule="exact"/>
              <w:ind w:left="130"/>
              <w:rPr>
                <w:color w:val="auto"/>
                <w:highlight w:val="none"/>
              </w:rPr>
            </w:pPr>
            <w:r>
              <w:rPr>
                <w:color w:val="auto"/>
                <w:spacing w:val="3"/>
                <w:position w:val="1"/>
                <w:highlight w:val="none"/>
              </w:rPr>
              <w:t>100≤Y＜2000</w:t>
            </w:r>
          </w:p>
        </w:tc>
        <w:tc>
          <w:tcPr>
            <w:tcW w:w="1140" w:type="dxa"/>
            <w:vAlign w:val="top"/>
          </w:tcPr>
          <w:p w14:paraId="7BEFE173">
            <w:pPr>
              <w:pStyle w:val="15"/>
              <w:spacing w:before="33" w:line="269" w:lineRule="exact"/>
              <w:ind w:left="112"/>
              <w:rPr>
                <w:color w:val="auto"/>
                <w:highlight w:val="none"/>
              </w:rPr>
            </w:pPr>
            <w:r>
              <w:rPr>
                <w:color w:val="auto"/>
                <w:spacing w:val="5"/>
                <w:position w:val="1"/>
                <w:highlight w:val="none"/>
              </w:rPr>
              <w:t>Y＜100</w:t>
            </w:r>
          </w:p>
        </w:tc>
      </w:tr>
      <w:tr w14:paraId="6AEB6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014" w:type="dxa"/>
            <w:vMerge w:val="restart"/>
            <w:tcBorders>
              <w:bottom w:val="nil"/>
            </w:tcBorders>
            <w:vAlign w:val="top"/>
          </w:tcPr>
          <w:p w14:paraId="221F43B6">
            <w:pPr>
              <w:pStyle w:val="15"/>
              <w:spacing w:before="208" w:line="228" w:lineRule="auto"/>
              <w:ind w:left="697"/>
              <w:rPr>
                <w:color w:val="auto"/>
                <w:highlight w:val="none"/>
              </w:rPr>
            </w:pPr>
            <w:r>
              <w:rPr>
                <w:b/>
                <w:bCs/>
                <w:color w:val="auto"/>
                <w:spacing w:val="5"/>
                <w:highlight w:val="none"/>
              </w:rPr>
              <w:t>餐饮业</w:t>
            </w:r>
          </w:p>
        </w:tc>
        <w:tc>
          <w:tcPr>
            <w:tcW w:w="1769" w:type="dxa"/>
            <w:vAlign w:val="top"/>
          </w:tcPr>
          <w:p w14:paraId="51F66EC2">
            <w:pPr>
              <w:pStyle w:val="15"/>
              <w:spacing w:before="36" w:line="228" w:lineRule="auto"/>
              <w:ind w:left="115"/>
              <w:rPr>
                <w:color w:val="auto"/>
                <w:highlight w:val="none"/>
              </w:rPr>
            </w:pPr>
            <w:r>
              <w:rPr>
                <w:color w:val="auto"/>
                <w:spacing w:val="6"/>
                <w:highlight w:val="none"/>
              </w:rPr>
              <w:t>从业人员（X）</w:t>
            </w:r>
          </w:p>
        </w:tc>
        <w:tc>
          <w:tcPr>
            <w:tcW w:w="1094" w:type="dxa"/>
            <w:vAlign w:val="top"/>
          </w:tcPr>
          <w:p w14:paraId="511FEBF4">
            <w:pPr>
              <w:pStyle w:val="15"/>
              <w:spacing w:before="35" w:line="231" w:lineRule="auto"/>
              <w:ind w:left="114"/>
              <w:rPr>
                <w:color w:val="auto"/>
                <w:highlight w:val="none"/>
              </w:rPr>
            </w:pPr>
            <w:r>
              <w:rPr>
                <w:color w:val="auto"/>
                <w:highlight w:val="none"/>
              </w:rPr>
              <w:t>人</w:t>
            </w:r>
          </w:p>
        </w:tc>
        <w:tc>
          <w:tcPr>
            <w:tcW w:w="1949" w:type="dxa"/>
            <w:vAlign w:val="top"/>
          </w:tcPr>
          <w:p w14:paraId="23E40B02">
            <w:pPr>
              <w:pStyle w:val="15"/>
              <w:spacing w:before="36" w:line="265" w:lineRule="exact"/>
              <w:ind w:left="128"/>
              <w:rPr>
                <w:color w:val="auto"/>
                <w:highlight w:val="none"/>
              </w:rPr>
            </w:pPr>
            <w:r>
              <w:rPr>
                <w:color w:val="auto"/>
                <w:spacing w:val="3"/>
                <w:position w:val="1"/>
                <w:highlight w:val="none"/>
              </w:rPr>
              <w:t>100≤X＜300</w:t>
            </w:r>
          </w:p>
        </w:tc>
        <w:tc>
          <w:tcPr>
            <w:tcW w:w="1694" w:type="dxa"/>
            <w:vAlign w:val="top"/>
          </w:tcPr>
          <w:p w14:paraId="18D6E3FD">
            <w:pPr>
              <w:pStyle w:val="15"/>
              <w:spacing w:before="36" w:line="265" w:lineRule="exact"/>
              <w:ind w:left="130"/>
              <w:rPr>
                <w:color w:val="auto"/>
                <w:highlight w:val="none"/>
              </w:rPr>
            </w:pPr>
            <w:r>
              <w:rPr>
                <w:color w:val="auto"/>
                <w:spacing w:val="3"/>
                <w:position w:val="1"/>
                <w:highlight w:val="none"/>
              </w:rPr>
              <w:t>10≤X＜100</w:t>
            </w:r>
          </w:p>
        </w:tc>
        <w:tc>
          <w:tcPr>
            <w:tcW w:w="1140" w:type="dxa"/>
            <w:vAlign w:val="top"/>
          </w:tcPr>
          <w:p w14:paraId="023BD397">
            <w:pPr>
              <w:pStyle w:val="15"/>
              <w:spacing w:before="36" w:line="268" w:lineRule="exact"/>
              <w:ind w:left="112"/>
              <w:rPr>
                <w:color w:val="auto"/>
                <w:highlight w:val="none"/>
              </w:rPr>
            </w:pPr>
            <w:r>
              <w:rPr>
                <w:color w:val="auto"/>
                <w:spacing w:val="4"/>
                <w:position w:val="1"/>
                <w:highlight w:val="none"/>
              </w:rPr>
              <w:t>X＜10</w:t>
            </w:r>
          </w:p>
        </w:tc>
      </w:tr>
      <w:tr w14:paraId="1C1CA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continue"/>
            <w:tcBorders>
              <w:top w:val="nil"/>
            </w:tcBorders>
            <w:vAlign w:val="top"/>
          </w:tcPr>
          <w:p w14:paraId="4BA70759">
            <w:pPr>
              <w:rPr>
                <w:rFonts w:ascii="Arial"/>
                <w:color w:val="auto"/>
                <w:sz w:val="21"/>
                <w:highlight w:val="none"/>
              </w:rPr>
            </w:pPr>
          </w:p>
        </w:tc>
        <w:tc>
          <w:tcPr>
            <w:tcW w:w="1769" w:type="dxa"/>
            <w:vAlign w:val="top"/>
          </w:tcPr>
          <w:p w14:paraId="2C5A9A64">
            <w:pPr>
              <w:pStyle w:val="15"/>
              <w:spacing w:before="33" w:line="228" w:lineRule="auto"/>
              <w:ind w:left="119"/>
              <w:rPr>
                <w:color w:val="auto"/>
                <w:highlight w:val="none"/>
              </w:rPr>
            </w:pPr>
            <w:r>
              <w:rPr>
                <w:color w:val="auto"/>
                <w:spacing w:val="5"/>
                <w:highlight w:val="none"/>
              </w:rPr>
              <w:t>营业收入（Y）</w:t>
            </w:r>
          </w:p>
        </w:tc>
        <w:tc>
          <w:tcPr>
            <w:tcW w:w="1094" w:type="dxa"/>
            <w:vAlign w:val="top"/>
          </w:tcPr>
          <w:p w14:paraId="1B16B69A">
            <w:pPr>
              <w:pStyle w:val="15"/>
              <w:spacing w:before="33" w:line="228" w:lineRule="auto"/>
              <w:ind w:left="117"/>
              <w:rPr>
                <w:color w:val="auto"/>
                <w:highlight w:val="none"/>
              </w:rPr>
            </w:pPr>
            <w:r>
              <w:rPr>
                <w:color w:val="auto"/>
                <w:spacing w:val="2"/>
                <w:highlight w:val="none"/>
              </w:rPr>
              <w:t>万元</w:t>
            </w:r>
          </w:p>
        </w:tc>
        <w:tc>
          <w:tcPr>
            <w:tcW w:w="1949" w:type="dxa"/>
            <w:vAlign w:val="top"/>
          </w:tcPr>
          <w:p w14:paraId="2D332A6C">
            <w:pPr>
              <w:pStyle w:val="15"/>
              <w:spacing w:before="33" w:line="265" w:lineRule="exact"/>
              <w:ind w:left="115"/>
              <w:rPr>
                <w:color w:val="auto"/>
                <w:highlight w:val="none"/>
              </w:rPr>
            </w:pPr>
            <w:r>
              <w:rPr>
                <w:color w:val="auto"/>
                <w:spacing w:val="4"/>
                <w:position w:val="1"/>
                <w:highlight w:val="none"/>
              </w:rPr>
              <w:t>2000≤Y＜10000</w:t>
            </w:r>
          </w:p>
        </w:tc>
        <w:tc>
          <w:tcPr>
            <w:tcW w:w="1694" w:type="dxa"/>
            <w:vAlign w:val="top"/>
          </w:tcPr>
          <w:p w14:paraId="42584FBD">
            <w:pPr>
              <w:pStyle w:val="15"/>
              <w:spacing w:before="33" w:line="265" w:lineRule="exact"/>
              <w:ind w:left="130"/>
              <w:rPr>
                <w:color w:val="auto"/>
                <w:highlight w:val="none"/>
              </w:rPr>
            </w:pPr>
            <w:r>
              <w:rPr>
                <w:color w:val="auto"/>
                <w:spacing w:val="3"/>
                <w:position w:val="1"/>
                <w:highlight w:val="none"/>
              </w:rPr>
              <w:t>100≤Y＜2000</w:t>
            </w:r>
          </w:p>
        </w:tc>
        <w:tc>
          <w:tcPr>
            <w:tcW w:w="1140" w:type="dxa"/>
            <w:vAlign w:val="top"/>
          </w:tcPr>
          <w:p w14:paraId="3C0D4351">
            <w:pPr>
              <w:pStyle w:val="15"/>
              <w:spacing w:before="33" w:line="268" w:lineRule="exact"/>
              <w:ind w:left="112"/>
              <w:rPr>
                <w:color w:val="auto"/>
                <w:highlight w:val="none"/>
              </w:rPr>
            </w:pPr>
            <w:r>
              <w:rPr>
                <w:color w:val="auto"/>
                <w:spacing w:val="5"/>
                <w:position w:val="1"/>
                <w:highlight w:val="none"/>
              </w:rPr>
              <w:t>Y＜100</w:t>
            </w:r>
          </w:p>
        </w:tc>
      </w:tr>
      <w:tr w14:paraId="3EBB4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014" w:type="dxa"/>
            <w:vMerge w:val="restart"/>
            <w:tcBorders>
              <w:bottom w:val="nil"/>
            </w:tcBorders>
            <w:vAlign w:val="top"/>
          </w:tcPr>
          <w:p w14:paraId="724D37E7">
            <w:pPr>
              <w:pStyle w:val="15"/>
              <w:spacing w:before="208" w:line="227" w:lineRule="auto"/>
              <w:ind w:left="484"/>
              <w:rPr>
                <w:color w:val="auto"/>
                <w:highlight w:val="none"/>
              </w:rPr>
            </w:pPr>
            <w:r>
              <w:rPr>
                <w:b/>
                <w:bCs/>
                <w:color w:val="auto"/>
                <w:spacing w:val="6"/>
                <w:highlight w:val="none"/>
              </w:rPr>
              <w:t>信息传输业</w:t>
            </w:r>
          </w:p>
        </w:tc>
        <w:tc>
          <w:tcPr>
            <w:tcW w:w="1769" w:type="dxa"/>
            <w:vAlign w:val="top"/>
          </w:tcPr>
          <w:p w14:paraId="33BD3CFC">
            <w:pPr>
              <w:pStyle w:val="15"/>
              <w:spacing w:before="36" w:line="228" w:lineRule="auto"/>
              <w:ind w:left="115"/>
              <w:rPr>
                <w:color w:val="auto"/>
                <w:highlight w:val="none"/>
              </w:rPr>
            </w:pPr>
            <w:r>
              <w:rPr>
                <w:color w:val="auto"/>
                <w:spacing w:val="6"/>
                <w:highlight w:val="none"/>
              </w:rPr>
              <w:t>从业人员（X）</w:t>
            </w:r>
          </w:p>
        </w:tc>
        <w:tc>
          <w:tcPr>
            <w:tcW w:w="1094" w:type="dxa"/>
            <w:vAlign w:val="top"/>
          </w:tcPr>
          <w:p w14:paraId="1BCA2AE3">
            <w:pPr>
              <w:pStyle w:val="15"/>
              <w:spacing w:before="35" w:line="231" w:lineRule="auto"/>
              <w:ind w:left="114"/>
              <w:rPr>
                <w:color w:val="auto"/>
                <w:highlight w:val="none"/>
              </w:rPr>
            </w:pPr>
            <w:r>
              <w:rPr>
                <w:color w:val="auto"/>
                <w:highlight w:val="none"/>
              </w:rPr>
              <w:t>人</w:t>
            </w:r>
          </w:p>
        </w:tc>
        <w:tc>
          <w:tcPr>
            <w:tcW w:w="1949" w:type="dxa"/>
            <w:vAlign w:val="top"/>
          </w:tcPr>
          <w:p w14:paraId="25AC52FB">
            <w:pPr>
              <w:pStyle w:val="15"/>
              <w:spacing w:before="36" w:line="264" w:lineRule="exact"/>
              <w:ind w:left="128"/>
              <w:rPr>
                <w:color w:val="auto"/>
                <w:highlight w:val="none"/>
              </w:rPr>
            </w:pPr>
            <w:r>
              <w:rPr>
                <w:color w:val="auto"/>
                <w:spacing w:val="3"/>
                <w:position w:val="1"/>
                <w:highlight w:val="none"/>
              </w:rPr>
              <w:t>100≤X＜2000</w:t>
            </w:r>
          </w:p>
        </w:tc>
        <w:tc>
          <w:tcPr>
            <w:tcW w:w="1694" w:type="dxa"/>
            <w:vAlign w:val="top"/>
          </w:tcPr>
          <w:p w14:paraId="51203A93">
            <w:pPr>
              <w:pStyle w:val="15"/>
              <w:spacing w:before="36" w:line="264" w:lineRule="exact"/>
              <w:ind w:left="130"/>
              <w:rPr>
                <w:color w:val="auto"/>
                <w:highlight w:val="none"/>
              </w:rPr>
            </w:pPr>
            <w:r>
              <w:rPr>
                <w:color w:val="auto"/>
                <w:spacing w:val="3"/>
                <w:position w:val="1"/>
                <w:highlight w:val="none"/>
              </w:rPr>
              <w:t>10≤X＜100</w:t>
            </w:r>
          </w:p>
        </w:tc>
        <w:tc>
          <w:tcPr>
            <w:tcW w:w="1140" w:type="dxa"/>
            <w:vAlign w:val="top"/>
          </w:tcPr>
          <w:p w14:paraId="6D9579CC">
            <w:pPr>
              <w:pStyle w:val="15"/>
              <w:spacing w:before="36" w:line="268" w:lineRule="exact"/>
              <w:ind w:left="112"/>
              <w:rPr>
                <w:color w:val="auto"/>
                <w:highlight w:val="none"/>
              </w:rPr>
            </w:pPr>
            <w:r>
              <w:rPr>
                <w:color w:val="auto"/>
                <w:spacing w:val="4"/>
                <w:position w:val="1"/>
                <w:highlight w:val="none"/>
              </w:rPr>
              <w:t>X＜10</w:t>
            </w:r>
          </w:p>
        </w:tc>
      </w:tr>
      <w:tr w14:paraId="73873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continue"/>
            <w:tcBorders>
              <w:top w:val="nil"/>
            </w:tcBorders>
            <w:vAlign w:val="top"/>
          </w:tcPr>
          <w:p w14:paraId="4310ABFD">
            <w:pPr>
              <w:rPr>
                <w:rFonts w:ascii="Arial"/>
                <w:color w:val="auto"/>
                <w:sz w:val="21"/>
                <w:highlight w:val="none"/>
              </w:rPr>
            </w:pPr>
          </w:p>
        </w:tc>
        <w:tc>
          <w:tcPr>
            <w:tcW w:w="1769" w:type="dxa"/>
            <w:vAlign w:val="top"/>
          </w:tcPr>
          <w:p w14:paraId="1B63E444">
            <w:pPr>
              <w:pStyle w:val="15"/>
              <w:spacing w:before="32" w:line="228" w:lineRule="auto"/>
              <w:ind w:left="119"/>
              <w:rPr>
                <w:color w:val="auto"/>
                <w:highlight w:val="none"/>
              </w:rPr>
            </w:pPr>
            <w:r>
              <w:rPr>
                <w:color w:val="auto"/>
                <w:spacing w:val="5"/>
                <w:highlight w:val="none"/>
              </w:rPr>
              <w:t>营业收入（Y）</w:t>
            </w:r>
          </w:p>
        </w:tc>
        <w:tc>
          <w:tcPr>
            <w:tcW w:w="1094" w:type="dxa"/>
            <w:vAlign w:val="top"/>
          </w:tcPr>
          <w:p w14:paraId="2985CDB3">
            <w:pPr>
              <w:pStyle w:val="15"/>
              <w:spacing w:before="33" w:line="228" w:lineRule="auto"/>
              <w:ind w:left="117"/>
              <w:rPr>
                <w:color w:val="auto"/>
                <w:highlight w:val="none"/>
              </w:rPr>
            </w:pPr>
            <w:r>
              <w:rPr>
                <w:color w:val="auto"/>
                <w:spacing w:val="2"/>
                <w:highlight w:val="none"/>
              </w:rPr>
              <w:t>万元</w:t>
            </w:r>
          </w:p>
        </w:tc>
        <w:tc>
          <w:tcPr>
            <w:tcW w:w="1949" w:type="dxa"/>
            <w:vAlign w:val="top"/>
          </w:tcPr>
          <w:p w14:paraId="26DF80D4">
            <w:pPr>
              <w:pStyle w:val="15"/>
              <w:spacing w:before="33" w:line="264" w:lineRule="exact"/>
              <w:ind w:left="128"/>
              <w:rPr>
                <w:color w:val="auto"/>
                <w:highlight w:val="none"/>
              </w:rPr>
            </w:pPr>
            <w:r>
              <w:rPr>
                <w:color w:val="auto"/>
                <w:spacing w:val="4"/>
                <w:position w:val="1"/>
                <w:highlight w:val="none"/>
              </w:rPr>
              <w:t>1000≤Y＜100000</w:t>
            </w:r>
          </w:p>
        </w:tc>
        <w:tc>
          <w:tcPr>
            <w:tcW w:w="1694" w:type="dxa"/>
            <w:vAlign w:val="top"/>
          </w:tcPr>
          <w:p w14:paraId="400B3664">
            <w:pPr>
              <w:pStyle w:val="15"/>
              <w:spacing w:before="33" w:line="264" w:lineRule="exact"/>
              <w:ind w:left="130"/>
              <w:rPr>
                <w:color w:val="auto"/>
                <w:highlight w:val="none"/>
              </w:rPr>
            </w:pPr>
            <w:r>
              <w:rPr>
                <w:color w:val="auto"/>
                <w:spacing w:val="3"/>
                <w:position w:val="1"/>
                <w:highlight w:val="none"/>
              </w:rPr>
              <w:t>100≤Y＜1000</w:t>
            </w:r>
          </w:p>
        </w:tc>
        <w:tc>
          <w:tcPr>
            <w:tcW w:w="1140" w:type="dxa"/>
            <w:vAlign w:val="top"/>
          </w:tcPr>
          <w:p w14:paraId="0293E982">
            <w:pPr>
              <w:pStyle w:val="15"/>
              <w:spacing w:before="33" w:line="268" w:lineRule="exact"/>
              <w:ind w:left="112"/>
              <w:rPr>
                <w:color w:val="auto"/>
                <w:highlight w:val="none"/>
              </w:rPr>
            </w:pPr>
            <w:r>
              <w:rPr>
                <w:color w:val="auto"/>
                <w:spacing w:val="5"/>
                <w:position w:val="1"/>
                <w:highlight w:val="none"/>
              </w:rPr>
              <w:t>Y＜100</w:t>
            </w:r>
          </w:p>
        </w:tc>
      </w:tr>
      <w:tr w14:paraId="51E9B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restart"/>
            <w:tcBorders>
              <w:bottom w:val="nil"/>
            </w:tcBorders>
            <w:vAlign w:val="top"/>
          </w:tcPr>
          <w:p w14:paraId="4D9B43FA">
            <w:pPr>
              <w:pStyle w:val="15"/>
              <w:spacing w:before="38" w:line="299" w:lineRule="auto"/>
              <w:ind w:left="802" w:right="164" w:hanging="632"/>
              <w:rPr>
                <w:color w:val="auto"/>
                <w:highlight w:val="none"/>
              </w:rPr>
            </w:pPr>
            <w:r>
              <w:rPr>
                <w:b/>
                <w:bCs/>
                <w:color w:val="auto"/>
                <w:spacing w:val="7"/>
                <w:highlight w:val="none"/>
              </w:rPr>
              <w:t>软件和信息技术服</w:t>
            </w:r>
            <w:r>
              <w:rPr>
                <w:color w:val="auto"/>
                <w:highlight w:val="none"/>
              </w:rPr>
              <w:t xml:space="preserve"> </w:t>
            </w:r>
            <w:r>
              <w:rPr>
                <w:b/>
                <w:bCs/>
                <w:color w:val="auto"/>
                <w:spacing w:val="3"/>
                <w:highlight w:val="none"/>
              </w:rPr>
              <w:t>务业</w:t>
            </w:r>
          </w:p>
        </w:tc>
        <w:tc>
          <w:tcPr>
            <w:tcW w:w="1769" w:type="dxa"/>
            <w:vAlign w:val="top"/>
          </w:tcPr>
          <w:p w14:paraId="3293B19A">
            <w:pPr>
              <w:pStyle w:val="15"/>
              <w:spacing w:before="36" w:line="228" w:lineRule="auto"/>
              <w:ind w:left="115"/>
              <w:rPr>
                <w:color w:val="auto"/>
                <w:highlight w:val="none"/>
              </w:rPr>
            </w:pPr>
            <w:r>
              <w:rPr>
                <w:color w:val="auto"/>
                <w:spacing w:val="6"/>
                <w:highlight w:val="none"/>
              </w:rPr>
              <w:t>从业人员（X）</w:t>
            </w:r>
          </w:p>
        </w:tc>
        <w:tc>
          <w:tcPr>
            <w:tcW w:w="1094" w:type="dxa"/>
            <w:vAlign w:val="top"/>
          </w:tcPr>
          <w:p w14:paraId="7302789E">
            <w:pPr>
              <w:pStyle w:val="15"/>
              <w:spacing w:before="35" w:line="231" w:lineRule="auto"/>
              <w:ind w:left="114"/>
              <w:rPr>
                <w:color w:val="auto"/>
                <w:highlight w:val="none"/>
              </w:rPr>
            </w:pPr>
            <w:r>
              <w:rPr>
                <w:color w:val="auto"/>
                <w:highlight w:val="none"/>
              </w:rPr>
              <w:t>人</w:t>
            </w:r>
          </w:p>
        </w:tc>
        <w:tc>
          <w:tcPr>
            <w:tcW w:w="1949" w:type="dxa"/>
            <w:vAlign w:val="top"/>
          </w:tcPr>
          <w:p w14:paraId="18674EA6">
            <w:pPr>
              <w:pStyle w:val="15"/>
              <w:spacing w:before="36" w:line="264" w:lineRule="exact"/>
              <w:ind w:left="128"/>
              <w:rPr>
                <w:color w:val="auto"/>
                <w:highlight w:val="none"/>
              </w:rPr>
            </w:pPr>
            <w:r>
              <w:rPr>
                <w:color w:val="auto"/>
                <w:spacing w:val="3"/>
                <w:position w:val="1"/>
                <w:highlight w:val="none"/>
              </w:rPr>
              <w:t>100≤X＜300</w:t>
            </w:r>
          </w:p>
        </w:tc>
        <w:tc>
          <w:tcPr>
            <w:tcW w:w="1694" w:type="dxa"/>
            <w:vAlign w:val="top"/>
          </w:tcPr>
          <w:p w14:paraId="2205CD13">
            <w:pPr>
              <w:pStyle w:val="15"/>
              <w:spacing w:before="36" w:line="264" w:lineRule="exact"/>
              <w:ind w:left="130"/>
              <w:rPr>
                <w:color w:val="auto"/>
                <w:highlight w:val="none"/>
              </w:rPr>
            </w:pPr>
            <w:r>
              <w:rPr>
                <w:color w:val="auto"/>
                <w:spacing w:val="3"/>
                <w:position w:val="1"/>
                <w:highlight w:val="none"/>
              </w:rPr>
              <w:t>10≤X＜100</w:t>
            </w:r>
          </w:p>
        </w:tc>
        <w:tc>
          <w:tcPr>
            <w:tcW w:w="1140" w:type="dxa"/>
            <w:vAlign w:val="top"/>
          </w:tcPr>
          <w:p w14:paraId="56B3AE85">
            <w:pPr>
              <w:pStyle w:val="15"/>
              <w:spacing w:before="36" w:line="268" w:lineRule="exact"/>
              <w:ind w:left="112"/>
              <w:rPr>
                <w:color w:val="auto"/>
                <w:highlight w:val="none"/>
              </w:rPr>
            </w:pPr>
            <w:r>
              <w:rPr>
                <w:color w:val="auto"/>
                <w:spacing w:val="4"/>
                <w:position w:val="1"/>
                <w:highlight w:val="none"/>
              </w:rPr>
              <w:t>X＜10</w:t>
            </w:r>
          </w:p>
        </w:tc>
      </w:tr>
      <w:tr w14:paraId="1035B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014" w:type="dxa"/>
            <w:vMerge w:val="continue"/>
            <w:tcBorders>
              <w:top w:val="nil"/>
            </w:tcBorders>
            <w:vAlign w:val="top"/>
          </w:tcPr>
          <w:p w14:paraId="21C4D955">
            <w:pPr>
              <w:rPr>
                <w:rFonts w:ascii="Arial"/>
                <w:color w:val="auto"/>
                <w:sz w:val="21"/>
                <w:highlight w:val="none"/>
              </w:rPr>
            </w:pPr>
          </w:p>
        </w:tc>
        <w:tc>
          <w:tcPr>
            <w:tcW w:w="1769" w:type="dxa"/>
            <w:vAlign w:val="top"/>
          </w:tcPr>
          <w:p w14:paraId="2A7C681E">
            <w:pPr>
              <w:pStyle w:val="15"/>
              <w:spacing w:before="36" w:line="228" w:lineRule="auto"/>
              <w:ind w:left="119"/>
              <w:rPr>
                <w:color w:val="auto"/>
                <w:highlight w:val="none"/>
              </w:rPr>
            </w:pPr>
            <w:r>
              <w:rPr>
                <w:color w:val="auto"/>
                <w:spacing w:val="5"/>
                <w:highlight w:val="none"/>
              </w:rPr>
              <w:t>营业收入（Y）</w:t>
            </w:r>
          </w:p>
        </w:tc>
        <w:tc>
          <w:tcPr>
            <w:tcW w:w="1094" w:type="dxa"/>
            <w:vAlign w:val="top"/>
          </w:tcPr>
          <w:p w14:paraId="744FD3A3">
            <w:pPr>
              <w:pStyle w:val="15"/>
              <w:spacing w:before="36" w:line="228" w:lineRule="auto"/>
              <w:ind w:left="117"/>
              <w:rPr>
                <w:color w:val="auto"/>
                <w:highlight w:val="none"/>
              </w:rPr>
            </w:pPr>
            <w:r>
              <w:rPr>
                <w:color w:val="auto"/>
                <w:spacing w:val="2"/>
                <w:highlight w:val="none"/>
              </w:rPr>
              <w:t>万元</w:t>
            </w:r>
          </w:p>
        </w:tc>
        <w:tc>
          <w:tcPr>
            <w:tcW w:w="1949" w:type="dxa"/>
            <w:vAlign w:val="top"/>
          </w:tcPr>
          <w:p w14:paraId="31817947">
            <w:pPr>
              <w:pStyle w:val="15"/>
              <w:spacing w:before="36" w:line="265" w:lineRule="exact"/>
              <w:ind w:left="128"/>
              <w:rPr>
                <w:color w:val="auto"/>
                <w:highlight w:val="none"/>
              </w:rPr>
            </w:pPr>
            <w:r>
              <w:rPr>
                <w:color w:val="auto"/>
                <w:spacing w:val="3"/>
                <w:position w:val="1"/>
                <w:highlight w:val="none"/>
              </w:rPr>
              <w:t>1000≤Y＜10000</w:t>
            </w:r>
          </w:p>
        </w:tc>
        <w:tc>
          <w:tcPr>
            <w:tcW w:w="1694" w:type="dxa"/>
            <w:vAlign w:val="top"/>
          </w:tcPr>
          <w:p w14:paraId="353722F6">
            <w:pPr>
              <w:pStyle w:val="15"/>
              <w:spacing w:before="36" w:line="265" w:lineRule="exact"/>
              <w:ind w:left="119"/>
              <w:rPr>
                <w:color w:val="auto"/>
                <w:highlight w:val="none"/>
              </w:rPr>
            </w:pPr>
            <w:r>
              <w:rPr>
                <w:color w:val="auto"/>
                <w:spacing w:val="4"/>
                <w:position w:val="1"/>
                <w:highlight w:val="none"/>
              </w:rPr>
              <w:t>50≤Y＜1000</w:t>
            </w:r>
          </w:p>
        </w:tc>
        <w:tc>
          <w:tcPr>
            <w:tcW w:w="1140" w:type="dxa"/>
            <w:vAlign w:val="top"/>
          </w:tcPr>
          <w:p w14:paraId="2E56D153">
            <w:pPr>
              <w:pStyle w:val="15"/>
              <w:spacing w:before="36" w:line="268" w:lineRule="exact"/>
              <w:ind w:left="112"/>
              <w:rPr>
                <w:color w:val="auto"/>
                <w:highlight w:val="none"/>
              </w:rPr>
            </w:pPr>
            <w:r>
              <w:rPr>
                <w:color w:val="auto"/>
                <w:spacing w:val="4"/>
                <w:position w:val="1"/>
                <w:highlight w:val="none"/>
              </w:rPr>
              <w:t>Y＜50</w:t>
            </w:r>
          </w:p>
        </w:tc>
      </w:tr>
      <w:tr w14:paraId="503CE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restart"/>
            <w:tcBorders>
              <w:bottom w:val="nil"/>
            </w:tcBorders>
            <w:vAlign w:val="top"/>
          </w:tcPr>
          <w:p w14:paraId="17571341">
            <w:pPr>
              <w:pStyle w:val="15"/>
              <w:spacing w:before="208" w:line="228" w:lineRule="auto"/>
              <w:ind w:left="274"/>
              <w:rPr>
                <w:color w:val="auto"/>
                <w:highlight w:val="none"/>
              </w:rPr>
            </w:pPr>
            <w:r>
              <w:rPr>
                <w:b/>
                <w:bCs/>
                <w:color w:val="auto"/>
                <w:spacing w:val="7"/>
                <w:highlight w:val="none"/>
              </w:rPr>
              <w:t>房地产开发经营</w:t>
            </w:r>
          </w:p>
        </w:tc>
        <w:tc>
          <w:tcPr>
            <w:tcW w:w="1769" w:type="dxa"/>
            <w:vAlign w:val="top"/>
          </w:tcPr>
          <w:p w14:paraId="540F74D9">
            <w:pPr>
              <w:pStyle w:val="15"/>
              <w:spacing w:before="33" w:line="228" w:lineRule="auto"/>
              <w:ind w:left="119"/>
              <w:rPr>
                <w:color w:val="auto"/>
                <w:highlight w:val="none"/>
              </w:rPr>
            </w:pPr>
            <w:r>
              <w:rPr>
                <w:color w:val="auto"/>
                <w:spacing w:val="5"/>
                <w:highlight w:val="none"/>
              </w:rPr>
              <w:t>营业收入（Y）</w:t>
            </w:r>
          </w:p>
        </w:tc>
        <w:tc>
          <w:tcPr>
            <w:tcW w:w="1094" w:type="dxa"/>
            <w:vAlign w:val="top"/>
          </w:tcPr>
          <w:p w14:paraId="4C673A2C">
            <w:pPr>
              <w:pStyle w:val="15"/>
              <w:spacing w:before="33" w:line="228" w:lineRule="auto"/>
              <w:ind w:left="117"/>
              <w:rPr>
                <w:color w:val="auto"/>
                <w:highlight w:val="none"/>
              </w:rPr>
            </w:pPr>
            <w:r>
              <w:rPr>
                <w:color w:val="auto"/>
                <w:spacing w:val="2"/>
                <w:highlight w:val="none"/>
              </w:rPr>
              <w:t>万元</w:t>
            </w:r>
          </w:p>
        </w:tc>
        <w:tc>
          <w:tcPr>
            <w:tcW w:w="1949" w:type="dxa"/>
            <w:vAlign w:val="top"/>
          </w:tcPr>
          <w:p w14:paraId="313EADC2">
            <w:pPr>
              <w:pStyle w:val="15"/>
              <w:spacing w:before="33" w:line="265" w:lineRule="exact"/>
              <w:ind w:left="128"/>
              <w:rPr>
                <w:color w:val="auto"/>
                <w:highlight w:val="none"/>
              </w:rPr>
            </w:pPr>
            <w:r>
              <w:rPr>
                <w:color w:val="auto"/>
                <w:spacing w:val="4"/>
                <w:position w:val="1"/>
                <w:highlight w:val="none"/>
              </w:rPr>
              <w:t>1000≤Y＜200000</w:t>
            </w:r>
          </w:p>
        </w:tc>
        <w:tc>
          <w:tcPr>
            <w:tcW w:w="1694" w:type="dxa"/>
            <w:vAlign w:val="top"/>
          </w:tcPr>
          <w:p w14:paraId="743DC03C">
            <w:pPr>
              <w:pStyle w:val="15"/>
              <w:spacing w:before="33" w:line="265" w:lineRule="exact"/>
              <w:ind w:left="130"/>
              <w:rPr>
                <w:color w:val="auto"/>
                <w:highlight w:val="none"/>
              </w:rPr>
            </w:pPr>
            <w:r>
              <w:rPr>
                <w:color w:val="auto"/>
                <w:spacing w:val="3"/>
                <w:position w:val="1"/>
                <w:highlight w:val="none"/>
              </w:rPr>
              <w:t>100≤X＜1000</w:t>
            </w:r>
          </w:p>
        </w:tc>
        <w:tc>
          <w:tcPr>
            <w:tcW w:w="1140" w:type="dxa"/>
            <w:vAlign w:val="top"/>
          </w:tcPr>
          <w:p w14:paraId="40B35258">
            <w:pPr>
              <w:pStyle w:val="15"/>
              <w:spacing w:before="33" w:line="268" w:lineRule="exact"/>
              <w:ind w:left="112"/>
              <w:rPr>
                <w:color w:val="auto"/>
                <w:highlight w:val="none"/>
              </w:rPr>
            </w:pPr>
            <w:r>
              <w:rPr>
                <w:color w:val="auto"/>
                <w:spacing w:val="4"/>
                <w:position w:val="1"/>
                <w:highlight w:val="none"/>
              </w:rPr>
              <w:t>X＜100</w:t>
            </w:r>
          </w:p>
        </w:tc>
      </w:tr>
      <w:tr w14:paraId="50D48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014" w:type="dxa"/>
            <w:vMerge w:val="continue"/>
            <w:tcBorders>
              <w:top w:val="nil"/>
            </w:tcBorders>
            <w:vAlign w:val="top"/>
          </w:tcPr>
          <w:p w14:paraId="6B6C68D2">
            <w:pPr>
              <w:rPr>
                <w:rFonts w:ascii="Arial"/>
                <w:color w:val="auto"/>
                <w:sz w:val="21"/>
                <w:highlight w:val="none"/>
              </w:rPr>
            </w:pPr>
          </w:p>
        </w:tc>
        <w:tc>
          <w:tcPr>
            <w:tcW w:w="1769" w:type="dxa"/>
            <w:vAlign w:val="top"/>
          </w:tcPr>
          <w:p w14:paraId="5680D158">
            <w:pPr>
              <w:pStyle w:val="15"/>
              <w:spacing w:before="35" w:line="228" w:lineRule="auto"/>
              <w:ind w:left="121"/>
              <w:rPr>
                <w:color w:val="auto"/>
                <w:highlight w:val="none"/>
              </w:rPr>
            </w:pPr>
            <w:r>
              <w:rPr>
                <w:color w:val="auto"/>
                <w:spacing w:val="5"/>
                <w:highlight w:val="none"/>
              </w:rPr>
              <w:t>资产总额（Z）</w:t>
            </w:r>
          </w:p>
        </w:tc>
        <w:tc>
          <w:tcPr>
            <w:tcW w:w="1094" w:type="dxa"/>
            <w:vAlign w:val="top"/>
          </w:tcPr>
          <w:p w14:paraId="5B928B3D">
            <w:pPr>
              <w:pStyle w:val="15"/>
              <w:spacing w:before="36" w:line="228" w:lineRule="auto"/>
              <w:ind w:left="117"/>
              <w:rPr>
                <w:color w:val="auto"/>
                <w:highlight w:val="none"/>
              </w:rPr>
            </w:pPr>
            <w:r>
              <w:rPr>
                <w:color w:val="auto"/>
                <w:spacing w:val="2"/>
                <w:highlight w:val="none"/>
              </w:rPr>
              <w:t>万元</w:t>
            </w:r>
          </w:p>
        </w:tc>
        <w:tc>
          <w:tcPr>
            <w:tcW w:w="1949" w:type="dxa"/>
            <w:vAlign w:val="top"/>
          </w:tcPr>
          <w:p w14:paraId="01E1F44A">
            <w:pPr>
              <w:pStyle w:val="15"/>
              <w:spacing w:before="36" w:line="264" w:lineRule="exact"/>
              <w:ind w:left="116"/>
              <w:rPr>
                <w:color w:val="auto"/>
                <w:highlight w:val="none"/>
              </w:rPr>
            </w:pPr>
            <w:r>
              <w:rPr>
                <w:color w:val="auto"/>
                <w:spacing w:val="4"/>
                <w:position w:val="1"/>
                <w:highlight w:val="none"/>
              </w:rPr>
              <w:t>5000≤Z＜10000</w:t>
            </w:r>
          </w:p>
        </w:tc>
        <w:tc>
          <w:tcPr>
            <w:tcW w:w="1694" w:type="dxa"/>
            <w:vAlign w:val="top"/>
          </w:tcPr>
          <w:p w14:paraId="780B2FC4">
            <w:pPr>
              <w:pStyle w:val="15"/>
              <w:spacing w:before="36" w:line="264" w:lineRule="exact"/>
              <w:ind w:left="117"/>
              <w:rPr>
                <w:color w:val="auto"/>
                <w:highlight w:val="none"/>
              </w:rPr>
            </w:pPr>
            <w:r>
              <w:rPr>
                <w:color w:val="auto"/>
                <w:spacing w:val="4"/>
                <w:position w:val="1"/>
                <w:highlight w:val="none"/>
              </w:rPr>
              <w:t>2000≤Y＜5000</w:t>
            </w:r>
          </w:p>
        </w:tc>
        <w:tc>
          <w:tcPr>
            <w:tcW w:w="1140" w:type="dxa"/>
            <w:vAlign w:val="top"/>
          </w:tcPr>
          <w:p w14:paraId="1FA2F908">
            <w:pPr>
              <w:pStyle w:val="15"/>
              <w:spacing w:before="36" w:line="268" w:lineRule="exact"/>
              <w:ind w:left="112"/>
              <w:rPr>
                <w:color w:val="auto"/>
                <w:highlight w:val="none"/>
              </w:rPr>
            </w:pPr>
            <w:r>
              <w:rPr>
                <w:color w:val="auto"/>
                <w:spacing w:val="5"/>
                <w:position w:val="1"/>
                <w:highlight w:val="none"/>
              </w:rPr>
              <w:t>Y＜2000</w:t>
            </w:r>
          </w:p>
        </w:tc>
      </w:tr>
      <w:tr w14:paraId="4E86D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restart"/>
            <w:tcBorders>
              <w:bottom w:val="nil"/>
            </w:tcBorders>
            <w:vAlign w:val="top"/>
          </w:tcPr>
          <w:p w14:paraId="79C53D35">
            <w:pPr>
              <w:pStyle w:val="15"/>
              <w:spacing w:before="208" w:line="228" w:lineRule="auto"/>
              <w:ind w:left="590"/>
              <w:rPr>
                <w:color w:val="auto"/>
                <w:highlight w:val="none"/>
              </w:rPr>
            </w:pPr>
            <w:r>
              <w:rPr>
                <w:b/>
                <w:bCs/>
                <w:color w:val="auto"/>
                <w:spacing w:val="6"/>
                <w:highlight w:val="none"/>
              </w:rPr>
              <w:t>物业管理</w:t>
            </w:r>
          </w:p>
        </w:tc>
        <w:tc>
          <w:tcPr>
            <w:tcW w:w="1769" w:type="dxa"/>
            <w:vAlign w:val="top"/>
          </w:tcPr>
          <w:p w14:paraId="339CED3C">
            <w:pPr>
              <w:pStyle w:val="15"/>
              <w:spacing w:before="33" w:line="228" w:lineRule="auto"/>
              <w:ind w:left="115"/>
              <w:rPr>
                <w:color w:val="auto"/>
                <w:highlight w:val="none"/>
              </w:rPr>
            </w:pPr>
            <w:r>
              <w:rPr>
                <w:color w:val="auto"/>
                <w:spacing w:val="6"/>
                <w:highlight w:val="none"/>
              </w:rPr>
              <w:t>从业人员（X）</w:t>
            </w:r>
          </w:p>
        </w:tc>
        <w:tc>
          <w:tcPr>
            <w:tcW w:w="1094" w:type="dxa"/>
            <w:vAlign w:val="top"/>
          </w:tcPr>
          <w:p w14:paraId="31FD94E9">
            <w:pPr>
              <w:pStyle w:val="15"/>
              <w:spacing w:before="32" w:line="231" w:lineRule="auto"/>
              <w:ind w:left="114"/>
              <w:rPr>
                <w:color w:val="auto"/>
                <w:highlight w:val="none"/>
              </w:rPr>
            </w:pPr>
            <w:r>
              <w:rPr>
                <w:color w:val="auto"/>
                <w:highlight w:val="none"/>
              </w:rPr>
              <w:t>人</w:t>
            </w:r>
          </w:p>
        </w:tc>
        <w:tc>
          <w:tcPr>
            <w:tcW w:w="1949" w:type="dxa"/>
            <w:vAlign w:val="top"/>
          </w:tcPr>
          <w:p w14:paraId="13E56C66">
            <w:pPr>
              <w:pStyle w:val="15"/>
              <w:spacing w:before="33" w:line="264" w:lineRule="exact"/>
              <w:ind w:left="116"/>
              <w:rPr>
                <w:color w:val="auto"/>
                <w:highlight w:val="none"/>
              </w:rPr>
            </w:pPr>
            <w:r>
              <w:rPr>
                <w:color w:val="auto"/>
                <w:spacing w:val="4"/>
                <w:position w:val="1"/>
                <w:highlight w:val="none"/>
              </w:rPr>
              <w:t>300≤X＜1000</w:t>
            </w:r>
          </w:p>
        </w:tc>
        <w:tc>
          <w:tcPr>
            <w:tcW w:w="1694" w:type="dxa"/>
            <w:vAlign w:val="top"/>
          </w:tcPr>
          <w:p w14:paraId="0C981865">
            <w:pPr>
              <w:pStyle w:val="15"/>
              <w:spacing w:before="33" w:line="264" w:lineRule="exact"/>
              <w:ind w:left="130"/>
              <w:rPr>
                <w:color w:val="auto"/>
                <w:highlight w:val="none"/>
              </w:rPr>
            </w:pPr>
            <w:r>
              <w:rPr>
                <w:color w:val="auto"/>
                <w:spacing w:val="3"/>
                <w:position w:val="1"/>
                <w:highlight w:val="none"/>
              </w:rPr>
              <w:t>100≤X＜300</w:t>
            </w:r>
          </w:p>
        </w:tc>
        <w:tc>
          <w:tcPr>
            <w:tcW w:w="1140" w:type="dxa"/>
            <w:vAlign w:val="top"/>
          </w:tcPr>
          <w:p w14:paraId="494E4D9D">
            <w:pPr>
              <w:pStyle w:val="15"/>
              <w:spacing w:before="33" w:line="268" w:lineRule="exact"/>
              <w:ind w:left="112"/>
              <w:rPr>
                <w:color w:val="auto"/>
                <w:highlight w:val="none"/>
              </w:rPr>
            </w:pPr>
            <w:r>
              <w:rPr>
                <w:color w:val="auto"/>
                <w:spacing w:val="4"/>
                <w:position w:val="1"/>
                <w:highlight w:val="none"/>
              </w:rPr>
              <w:t>X＜100</w:t>
            </w:r>
          </w:p>
        </w:tc>
      </w:tr>
      <w:tr w14:paraId="218F66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continue"/>
            <w:tcBorders>
              <w:top w:val="nil"/>
            </w:tcBorders>
            <w:vAlign w:val="top"/>
          </w:tcPr>
          <w:p w14:paraId="095BB67F">
            <w:pPr>
              <w:rPr>
                <w:rFonts w:ascii="Arial"/>
                <w:color w:val="auto"/>
                <w:sz w:val="21"/>
                <w:highlight w:val="none"/>
              </w:rPr>
            </w:pPr>
          </w:p>
        </w:tc>
        <w:tc>
          <w:tcPr>
            <w:tcW w:w="1769" w:type="dxa"/>
            <w:vAlign w:val="top"/>
          </w:tcPr>
          <w:p w14:paraId="28501557">
            <w:pPr>
              <w:pStyle w:val="15"/>
              <w:spacing w:before="35" w:line="228" w:lineRule="auto"/>
              <w:ind w:left="119"/>
              <w:rPr>
                <w:color w:val="auto"/>
                <w:highlight w:val="none"/>
              </w:rPr>
            </w:pPr>
            <w:r>
              <w:rPr>
                <w:color w:val="auto"/>
                <w:spacing w:val="5"/>
                <w:highlight w:val="none"/>
              </w:rPr>
              <w:t>营业收入（Y）</w:t>
            </w:r>
          </w:p>
        </w:tc>
        <w:tc>
          <w:tcPr>
            <w:tcW w:w="1094" w:type="dxa"/>
            <w:vAlign w:val="top"/>
          </w:tcPr>
          <w:p w14:paraId="5E208E72">
            <w:pPr>
              <w:pStyle w:val="15"/>
              <w:spacing w:before="36" w:line="228" w:lineRule="auto"/>
              <w:ind w:left="117"/>
              <w:rPr>
                <w:color w:val="auto"/>
                <w:highlight w:val="none"/>
              </w:rPr>
            </w:pPr>
            <w:r>
              <w:rPr>
                <w:color w:val="auto"/>
                <w:spacing w:val="2"/>
                <w:highlight w:val="none"/>
              </w:rPr>
              <w:t>万元</w:t>
            </w:r>
          </w:p>
        </w:tc>
        <w:tc>
          <w:tcPr>
            <w:tcW w:w="1949" w:type="dxa"/>
            <w:vAlign w:val="top"/>
          </w:tcPr>
          <w:p w14:paraId="35C7F30A">
            <w:pPr>
              <w:pStyle w:val="15"/>
              <w:spacing w:before="36" w:line="264" w:lineRule="exact"/>
              <w:ind w:left="128"/>
              <w:rPr>
                <w:color w:val="auto"/>
                <w:highlight w:val="none"/>
              </w:rPr>
            </w:pPr>
            <w:r>
              <w:rPr>
                <w:color w:val="auto"/>
                <w:spacing w:val="3"/>
                <w:position w:val="1"/>
                <w:highlight w:val="none"/>
              </w:rPr>
              <w:t>1000≤Y＜5000</w:t>
            </w:r>
          </w:p>
        </w:tc>
        <w:tc>
          <w:tcPr>
            <w:tcW w:w="1694" w:type="dxa"/>
            <w:vAlign w:val="top"/>
          </w:tcPr>
          <w:p w14:paraId="5C2EDE62">
            <w:pPr>
              <w:pStyle w:val="15"/>
              <w:spacing w:before="36" w:line="264" w:lineRule="exact"/>
              <w:ind w:left="119"/>
              <w:rPr>
                <w:color w:val="auto"/>
                <w:highlight w:val="none"/>
              </w:rPr>
            </w:pPr>
            <w:r>
              <w:rPr>
                <w:color w:val="auto"/>
                <w:spacing w:val="4"/>
                <w:position w:val="1"/>
                <w:highlight w:val="none"/>
              </w:rPr>
              <w:t>500≤Y＜1000</w:t>
            </w:r>
          </w:p>
        </w:tc>
        <w:tc>
          <w:tcPr>
            <w:tcW w:w="1140" w:type="dxa"/>
            <w:vAlign w:val="top"/>
          </w:tcPr>
          <w:p w14:paraId="5296DF9E">
            <w:pPr>
              <w:pStyle w:val="15"/>
              <w:spacing w:before="36" w:line="268" w:lineRule="exact"/>
              <w:ind w:left="112"/>
              <w:rPr>
                <w:color w:val="auto"/>
                <w:highlight w:val="none"/>
              </w:rPr>
            </w:pPr>
            <w:r>
              <w:rPr>
                <w:color w:val="auto"/>
                <w:spacing w:val="5"/>
                <w:position w:val="1"/>
                <w:highlight w:val="none"/>
              </w:rPr>
              <w:t>Y＜500</w:t>
            </w:r>
          </w:p>
        </w:tc>
      </w:tr>
      <w:tr w14:paraId="65462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restart"/>
            <w:tcBorders>
              <w:bottom w:val="nil"/>
            </w:tcBorders>
            <w:vAlign w:val="top"/>
          </w:tcPr>
          <w:p w14:paraId="21D34129">
            <w:pPr>
              <w:pStyle w:val="15"/>
              <w:spacing w:before="208" w:line="228" w:lineRule="auto"/>
              <w:ind w:left="169"/>
              <w:rPr>
                <w:color w:val="auto"/>
                <w:highlight w:val="none"/>
              </w:rPr>
            </w:pPr>
            <w:r>
              <w:rPr>
                <w:b/>
                <w:bCs/>
                <w:color w:val="auto"/>
                <w:spacing w:val="7"/>
                <w:highlight w:val="none"/>
              </w:rPr>
              <w:t>租赁和商务服务业</w:t>
            </w:r>
          </w:p>
        </w:tc>
        <w:tc>
          <w:tcPr>
            <w:tcW w:w="1769" w:type="dxa"/>
            <w:vAlign w:val="top"/>
          </w:tcPr>
          <w:p w14:paraId="36978BFA">
            <w:pPr>
              <w:pStyle w:val="15"/>
              <w:spacing w:before="36" w:line="228" w:lineRule="auto"/>
              <w:ind w:left="115"/>
              <w:rPr>
                <w:color w:val="auto"/>
                <w:highlight w:val="none"/>
              </w:rPr>
            </w:pPr>
            <w:r>
              <w:rPr>
                <w:color w:val="auto"/>
                <w:spacing w:val="6"/>
                <w:highlight w:val="none"/>
              </w:rPr>
              <w:t>从业人员（X）</w:t>
            </w:r>
          </w:p>
        </w:tc>
        <w:tc>
          <w:tcPr>
            <w:tcW w:w="1094" w:type="dxa"/>
            <w:vAlign w:val="top"/>
          </w:tcPr>
          <w:p w14:paraId="4B0C7C17">
            <w:pPr>
              <w:pStyle w:val="15"/>
              <w:spacing w:before="35" w:line="231" w:lineRule="auto"/>
              <w:ind w:left="114"/>
              <w:rPr>
                <w:color w:val="auto"/>
                <w:highlight w:val="none"/>
              </w:rPr>
            </w:pPr>
            <w:r>
              <w:rPr>
                <w:color w:val="auto"/>
                <w:highlight w:val="none"/>
              </w:rPr>
              <w:t>人</w:t>
            </w:r>
          </w:p>
        </w:tc>
        <w:tc>
          <w:tcPr>
            <w:tcW w:w="1949" w:type="dxa"/>
            <w:vAlign w:val="top"/>
          </w:tcPr>
          <w:p w14:paraId="2CC7865F">
            <w:pPr>
              <w:pStyle w:val="15"/>
              <w:spacing w:before="36" w:line="265" w:lineRule="exact"/>
              <w:ind w:left="128"/>
              <w:rPr>
                <w:color w:val="auto"/>
                <w:highlight w:val="none"/>
              </w:rPr>
            </w:pPr>
            <w:r>
              <w:rPr>
                <w:color w:val="auto"/>
                <w:spacing w:val="3"/>
                <w:position w:val="1"/>
                <w:highlight w:val="none"/>
              </w:rPr>
              <w:t>100≤X＜300</w:t>
            </w:r>
          </w:p>
        </w:tc>
        <w:tc>
          <w:tcPr>
            <w:tcW w:w="1694" w:type="dxa"/>
            <w:vAlign w:val="top"/>
          </w:tcPr>
          <w:p w14:paraId="3E985B45">
            <w:pPr>
              <w:pStyle w:val="15"/>
              <w:spacing w:before="36" w:line="265" w:lineRule="exact"/>
              <w:ind w:left="130"/>
              <w:rPr>
                <w:color w:val="auto"/>
                <w:highlight w:val="none"/>
              </w:rPr>
            </w:pPr>
            <w:r>
              <w:rPr>
                <w:color w:val="auto"/>
                <w:spacing w:val="3"/>
                <w:position w:val="1"/>
                <w:highlight w:val="none"/>
              </w:rPr>
              <w:t>10≤X＜100</w:t>
            </w:r>
          </w:p>
        </w:tc>
        <w:tc>
          <w:tcPr>
            <w:tcW w:w="1140" w:type="dxa"/>
            <w:vAlign w:val="top"/>
          </w:tcPr>
          <w:p w14:paraId="675E665F">
            <w:pPr>
              <w:pStyle w:val="15"/>
              <w:spacing w:before="36" w:line="268" w:lineRule="exact"/>
              <w:ind w:left="112"/>
              <w:rPr>
                <w:color w:val="auto"/>
                <w:highlight w:val="none"/>
              </w:rPr>
            </w:pPr>
            <w:r>
              <w:rPr>
                <w:color w:val="auto"/>
                <w:spacing w:val="4"/>
                <w:position w:val="1"/>
                <w:highlight w:val="none"/>
              </w:rPr>
              <w:t>X＜10</w:t>
            </w:r>
          </w:p>
        </w:tc>
      </w:tr>
      <w:tr w14:paraId="4EBCC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014" w:type="dxa"/>
            <w:vMerge w:val="continue"/>
            <w:tcBorders>
              <w:top w:val="nil"/>
            </w:tcBorders>
            <w:vAlign w:val="top"/>
          </w:tcPr>
          <w:p w14:paraId="4096C5EE">
            <w:pPr>
              <w:rPr>
                <w:rFonts w:ascii="Arial"/>
                <w:color w:val="auto"/>
                <w:sz w:val="21"/>
                <w:highlight w:val="none"/>
              </w:rPr>
            </w:pPr>
          </w:p>
        </w:tc>
        <w:tc>
          <w:tcPr>
            <w:tcW w:w="1769" w:type="dxa"/>
            <w:vAlign w:val="top"/>
          </w:tcPr>
          <w:p w14:paraId="6C5201B1">
            <w:pPr>
              <w:pStyle w:val="15"/>
              <w:spacing w:before="36" w:line="228" w:lineRule="auto"/>
              <w:ind w:left="121"/>
              <w:rPr>
                <w:color w:val="auto"/>
                <w:highlight w:val="none"/>
              </w:rPr>
            </w:pPr>
            <w:r>
              <w:rPr>
                <w:color w:val="auto"/>
                <w:spacing w:val="5"/>
                <w:highlight w:val="none"/>
              </w:rPr>
              <w:t>资产总额（Z）</w:t>
            </w:r>
          </w:p>
        </w:tc>
        <w:tc>
          <w:tcPr>
            <w:tcW w:w="1094" w:type="dxa"/>
            <w:vAlign w:val="top"/>
          </w:tcPr>
          <w:p w14:paraId="0A11067D">
            <w:pPr>
              <w:pStyle w:val="15"/>
              <w:spacing w:before="37" w:line="228" w:lineRule="auto"/>
              <w:ind w:left="117"/>
              <w:rPr>
                <w:color w:val="auto"/>
                <w:highlight w:val="none"/>
              </w:rPr>
            </w:pPr>
            <w:r>
              <w:rPr>
                <w:color w:val="auto"/>
                <w:spacing w:val="2"/>
                <w:highlight w:val="none"/>
              </w:rPr>
              <w:t>万元</w:t>
            </w:r>
          </w:p>
        </w:tc>
        <w:tc>
          <w:tcPr>
            <w:tcW w:w="1949" w:type="dxa"/>
            <w:vAlign w:val="top"/>
          </w:tcPr>
          <w:p w14:paraId="0C9D06ED">
            <w:pPr>
              <w:pStyle w:val="15"/>
              <w:spacing w:before="36" w:line="265" w:lineRule="exact"/>
              <w:ind w:left="113"/>
              <w:rPr>
                <w:color w:val="auto"/>
                <w:highlight w:val="none"/>
              </w:rPr>
            </w:pPr>
            <w:r>
              <w:rPr>
                <w:color w:val="auto"/>
                <w:spacing w:val="5"/>
                <w:position w:val="1"/>
                <w:highlight w:val="none"/>
              </w:rPr>
              <w:t>8000≤Z＜120000</w:t>
            </w:r>
          </w:p>
        </w:tc>
        <w:tc>
          <w:tcPr>
            <w:tcW w:w="1694" w:type="dxa"/>
            <w:vAlign w:val="top"/>
          </w:tcPr>
          <w:p w14:paraId="4DC8F976">
            <w:pPr>
              <w:pStyle w:val="15"/>
              <w:spacing w:before="36" w:line="265" w:lineRule="exact"/>
              <w:ind w:left="130"/>
              <w:rPr>
                <w:color w:val="auto"/>
                <w:highlight w:val="none"/>
              </w:rPr>
            </w:pPr>
            <w:r>
              <w:rPr>
                <w:color w:val="auto"/>
                <w:spacing w:val="3"/>
                <w:position w:val="1"/>
                <w:highlight w:val="none"/>
              </w:rPr>
              <w:t>100≤Z＜8000</w:t>
            </w:r>
          </w:p>
        </w:tc>
        <w:tc>
          <w:tcPr>
            <w:tcW w:w="1140" w:type="dxa"/>
            <w:vAlign w:val="top"/>
          </w:tcPr>
          <w:p w14:paraId="1E4FE9C1">
            <w:pPr>
              <w:pStyle w:val="15"/>
              <w:spacing w:before="36" w:line="269" w:lineRule="exact"/>
              <w:ind w:left="112"/>
              <w:rPr>
                <w:color w:val="auto"/>
                <w:highlight w:val="none"/>
              </w:rPr>
            </w:pPr>
            <w:r>
              <w:rPr>
                <w:color w:val="auto"/>
                <w:spacing w:val="5"/>
                <w:position w:val="1"/>
                <w:highlight w:val="none"/>
              </w:rPr>
              <w:t>Y＜100</w:t>
            </w:r>
          </w:p>
        </w:tc>
      </w:tr>
      <w:tr w14:paraId="27AA3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014" w:type="dxa"/>
            <w:vAlign w:val="top"/>
          </w:tcPr>
          <w:p w14:paraId="20673085">
            <w:pPr>
              <w:pStyle w:val="15"/>
              <w:spacing w:before="36" w:line="228" w:lineRule="auto"/>
              <w:ind w:left="274"/>
              <w:rPr>
                <w:color w:val="auto"/>
                <w:highlight w:val="none"/>
              </w:rPr>
            </w:pPr>
            <w:r>
              <w:rPr>
                <w:b/>
                <w:bCs/>
                <w:color w:val="auto"/>
                <w:spacing w:val="7"/>
                <w:highlight w:val="none"/>
              </w:rPr>
              <w:t>其他未列明行业</w:t>
            </w:r>
          </w:p>
        </w:tc>
        <w:tc>
          <w:tcPr>
            <w:tcW w:w="1769" w:type="dxa"/>
            <w:vAlign w:val="top"/>
          </w:tcPr>
          <w:p w14:paraId="42852BF9">
            <w:pPr>
              <w:pStyle w:val="15"/>
              <w:spacing w:before="37" w:line="228" w:lineRule="auto"/>
              <w:ind w:left="115"/>
              <w:rPr>
                <w:color w:val="auto"/>
                <w:highlight w:val="none"/>
              </w:rPr>
            </w:pPr>
            <w:r>
              <w:rPr>
                <w:color w:val="auto"/>
                <w:spacing w:val="6"/>
                <w:highlight w:val="none"/>
              </w:rPr>
              <w:t>从业人员（X）</w:t>
            </w:r>
          </w:p>
        </w:tc>
        <w:tc>
          <w:tcPr>
            <w:tcW w:w="1094" w:type="dxa"/>
            <w:vAlign w:val="top"/>
          </w:tcPr>
          <w:p w14:paraId="3869C54C">
            <w:pPr>
              <w:pStyle w:val="15"/>
              <w:spacing w:before="36" w:line="231" w:lineRule="auto"/>
              <w:ind w:left="114"/>
              <w:rPr>
                <w:color w:val="auto"/>
                <w:highlight w:val="none"/>
              </w:rPr>
            </w:pPr>
            <w:r>
              <w:rPr>
                <w:color w:val="auto"/>
                <w:highlight w:val="none"/>
              </w:rPr>
              <w:t>人</w:t>
            </w:r>
          </w:p>
        </w:tc>
        <w:tc>
          <w:tcPr>
            <w:tcW w:w="1949" w:type="dxa"/>
            <w:vAlign w:val="top"/>
          </w:tcPr>
          <w:p w14:paraId="316B1465">
            <w:pPr>
              <w:pStyle w:val="15"/>
              <w:spacing w:before="37" w:line="264" w:lineRule="exact"/>
              <w:ind w:left="128"/>
              <w:rPr>
                <w:color w:val="auto"/>
                <w:highlight w:val="none"/>
              </w:rPr>
            </w:pPr>
            <w:r>
              <w:rPr>
                <w:color w:val="auto"/>
                <w:spacing w:val="3"/>
                <w:position w:val="1"/>
                <w:highlight w:val="none"/>
              </w:rPr>
              <w:t>100≤X＜300</w:t>
            </w:r>
          </w:p>
        </w:tc>
        <w:tc>
          <w:tcPr>
            <w:tcW w:w="1694" w:type="dxa"/>
            <w:vAlign w:val="top"/>
          </w:tcPr>
          <w:p w14:paraId="2566B698">
            <w:pPr>
              <w:pStyle w:val="15"/>
              <w:spacing w:before="37" w:line="264" w:lineRule="exact"/>
              <w:ind w:left="130"/>
              <w:rPr>
                <w:color w:val="auto"/>
                <w:highlight w:val="none"/>
              </w:rPr>
            </w:pPr>
            <w:r>
              <w:rPr>
                <w:color w:val="auto"/>
                <w:spacing w:val="3"/>
                <w:position w:val="1"/>
                <w:highlight w:val="none"/>
              </w:rPr>
              <w:t>10≤X＜100</w:t>
            </w:r>
          </w:p>
        </w:tc>
        <w:tc>
          <w:tcPr>
            <w:tcW w:w="1140" w:type="dxa"/>
            <w:vAlign w:val="top"/>
          </w:tcPr>
          <w:p w14:paraId="5B1C1614">
            <w:pPr>
              <w:pStyle w:val="15"/>
              <w:spacing w:before="37" w:line="268" w:lineRule="exact"/>
              <w:ind w:left="112"/>
              <w:rPr>
                <w:color w:val="auto"/>
                <w:highlight w:val="none"/>
              </w:rPr>
            </w:pPr>
            <w:r>
              <w:rPr>
                <w:color w:val="auto"/>
                <w:spacing w:val="4"/>
                <w:position w:val="1"/>
                <w:highlight w:val="none"/>
              </w:rPr>
              <w:t>X＜10</w:t>
            </w:r>
          </w:p>
        </w:tc>
      </w:tr>
    </w:tbl>
    <w:p w14:paraId="4AF5F2B0">
      <w:pPr>
        <w:spacing w:before="29" w:line="228" w:lineRule="auto"/>
        <w:ind w:left="533"/>
        <w:outlineLvl w:val="9"/>
        <w:rPr>
          <w:rFonts w:ascii="宋体" w:hAnsi="宋体" w:eastAsia="宋体" w:cs="宋体"/>
          <w:color w:val="auto"/>
          <w:sz w:val="20"/>
          <w:szCs w:val="20"/>
          <w:highlight w:val="none"/>
        </w:rPr>
      </w:pPr>
      <w:bookmarkStart w:id="77" w:name="_Toc13641"/>
      <w:bookmarkStart w:id="78" w:name="_Toc14791"/>
      <w:bookmarkStart w:id="79" w:name="_Toc8641"/>
      <w:r>
        <w:rPr>
          <w:rFonts w:ascii="宋体" w:hAnsi="宋体" w:eastAsia="宋体" w:cs="宋体"/>
          <w:color w:val="auto"/>
          <w:spacing w:val="11"/>
          <w:sz w:val="20"/>
          <w:szCs w:val="20"/>
          <w:highlight w:val="none"/>
        </w:rPr>
        <w:t>说明：1.上述标准参照《关于印发中小企业划型标准</w:t>
      </w:r>
      <w:r>
        <w:rPr>
          <w:rFonts w:ascii="宋体" w:hAnsi="宋体" w:eastAsia="宋体" w:cs="宋体"/>
          <w:color w:val="auto"/>
          <w:spacing w:val="10"/>
          <w:sz w:val="20"/>
          <w:szCs w:val="20"/>
          <w:highlight w:val="none"/>
        </w:rPr>
        <w:t>规定的通知》</w:t>
      </w:r>
      <w:r>
        <w:rPr>
          <w:rFonts w:ascii="宋体" w:hAnsi="宋体" w:eastAsia="宋体" w:cs="宋体"/>
          <w:color w:val="auto"/>
          <w:spacing w:val="-76"/>
          <w:sz w:val="20"/>
          <w:szCs w:val="20"/>
          <w:highlight w:val="none"/>
        </w:rPr>
        <w:t xml:space="preserve"> </w:t>
      </w:r>
      <w:r>
        <w:rPr>
          <w:rFonts w:ascii="宋体" w:hAnsi="宋体" w:eastAsia="宋体" w:cs="宋体"/>
          <w:color w:val="auto"/>
          <w:spacing w:val="10"/>
          <w:sz w:val="20"/>
          <w:szCs w:val="20"/>
          <w:highlight w:val="none"/>
        </w:rPr>
        <w:t>（工信部联企业[2011]300</w:t>
      </w:r>
      <w:bookmarkEnd w:id="77"/>
      <w:bookmarkEnd w:id="78"/>
      <w:bookmarkEnd w:id="79"/>
    </w:p>
    <w:p w14:paraId="34AAA882">
      <w:pPr>
        <w:spacing w:before="96" w:line="298" w:lineRule="auto"/>
        <w:ind w:left="530" w:right="524" w:firstLine="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号</w:t>
      </w:r>
      <w:r>
        <w:rPr>
          <w:rFonts w:ascii="宋体" w:hAnsi="宋体" w:eastAsia="宋体" w:cs="宋体"/>
          <w:color w:val="auto"/>
          <w:spacing w:val="16"/>
          <w:sz w:val="20"/>
          <w:szCs w:val="20"/>
          <w:highlight w:val="none"/>
        </w:rPr>
        <w:t>），</w:t>
      </w:r>
      <w:r>
        <w:rPr>
          <w:rFonts w:ascii="宋体" w:hAnsi="宋体" w:eastAsia="宋体" w:cs="宋体"/>
          <w:color w:val="auto"/>
          <w:spacing w:val="10"/>
          <w:sz w:val="20"/>
          <w:szCs w:val="20"/>
          <w:highlight w:val="none"/>
        </w:rPr>
        <w:t>大型、中型和小型企业须同时满足所列指标</w:t>
      </w:r>
      <w:r>
        <w:rPr>
          <w:rFonts w:ascii="宋体" w:hAnsi="宋体" w:eastAsia="宋体" w:cs="宋体"/>
          <w:color w:val="auto"/>
          <w:spacing w:val="9"/>
          <w:sz w:val="20"/>
          <w:szCs w:val="20"/>
          <w:highlight w:val="none"/>
        </w:rPr>
        <w:t>的下限，否则下划一档；微型企业只须满足</w:t>
      </w:r>
      <w:r>
        <w:rPr>
          <w:rFonts w:ascii="宋体" w:hAnsi="宋体" w:eastAsia="宋体" w:cs="宋体"/>
          <w:color w:val="auto"/>
          <w:spacing w:val="1"/>
          <w:sz w:val="20"/>
          <w:szCs w:val="20"/>
          <w:highlight w:val="none"/>
        </w:rPr>
        <w:t xml:space="preserve"> </w:t>
      </w:r>
      <w:r>
        <w:rPr>
          <w:rFonts w:ascii="宋体" w:hAnsi="宋体" w:eastAsia="宋体" w:cs="宋体"/>
          <w:color w:val="auto"/>
          <w:spacing w:val="8"/>
          <w:sz w:val="20"/>
          <w:szCs w:val="20"/>
          <w:highlight w:val="none"/>
        </w:rPr>
        <w:t>所列指标中的一项即可。</w:t>
      </w:r>
    </w:p>
    <w:p w14:paraId="1E6F0F2F">
      <w:pPr>
        <w:spacing w:line="298" w:lineRule="auto"/>
        <w:rPr>
          <w:rFonts w:ascii="宋体" w:hAnsi="宋体" w:eastAsia="宋体" w:cs="宋体"/>
          <w:color w:val="auto"/>
          <w:sz w:val="20"/>
          <w:szCs w:val="20"/>
          <w:highlight w:val="none"/>
        </w:rPr>
        <w:sectPr>
          <w:footerReference r:id="rId18" w:type="default"/>
          <w:pgSz w:w="11910" w:h="16840"/>
          <w:pgMar w:top="1352" w:right="1106" w:bottom="1019" w:left="1138" w:header="0" w:footer="857" w:gutter="0"/>
          <w:pgNumType w:fmt="decimal"/>
          <w:cols w:space="720" w:num="1"/>
        </w:sectPr>
      </w:pPr>
    </w:p>
    <w:p w14:paraId="477064CD">
      <w:pPr>
        <w:spacing w:before="63" w:line="224" w:lineRule="auto"/>
        <w:ind w:left="2697"/>
        <w:outlineLvl w:val="0"/>
        <w:rPr>
          <w:rFonts w:ascii="宋体" w:hAnsi="宋体" w:eastAsia="宋体" w:cs="宋体"/>
          <w:color w:val="auto"/>
          <w:sz w:val="31"/>
          <w:szCs w:val="31"/>
          <w:highlight w:val="none"/>
        </w:rPr>
      </w:pPr>
      <w:bookmarkStart w:id="80" w:name="bookmark9"/>
      <w:bookmarkEnd w:id="80"/>
      <w:bookmarkStart w:id="81" w:name="_Toc23441"/>
      <w:bookmarkStart w:id="82" w:name="_Toc983"/>
      <w:bookmarkStart w:id="83" w:name="_Toc12967"/>
      <w:bookmarkStart w:id="84" w:name="_Toc5702"/>
      <w:r>
        <w:rPr>
          <w:rFonts w:ascii="宋体" w:hAnsi="宋体" w:eastAsia="宋体" w:cs="宋体"/>
          <w:b/>
          <w:bCs/>
          <w:color w:val="auto"/>
          <w:spacing w:val="2"/>
          <w:sz w:val="31"/>
          <w:szCs w:val="31"/>
          <w:highlight w:val="none"/>
        </w:rPr>
        <w:t>第五章</w:t>
      </w:r>
      <w:r>
        <w:rPr>
          <w:rFonts w:ascii="宋体" w:hAnsi="宋体" w:eastAsia="宋体" w:cs="宋体"/>
          <w:color w:val="auto"/>
          <w:spacing w:val="25"/>
          <w:sz w:val="31"/>
          <w:szCs w:val="31"/>
          <w:highlight w:val="none"/>
        </w:rPr>
        <w:t xml:space="preserve">  </w:t>
      </w:r>
      <w:r>
        <w:rPr>
          <w:rFonts w:ascii="宋体" w:hAnsi="宋体" w:eastAsia="宋体" w:cs="宋体"/>
          <w:b/>
          <w:bCs/>
          <w:color w:val="auto"/>
          <w:spacing w:val="2"/>
          <w:sz w:val="31"/>
          <w:szCs w:val="31"/>
          <w:highlight w:val="none"/>
        </w:rPr>
        <w:t>响应文件格式</w:t>
      </w:r>
      <w:bookmarkEnd w:id="81"/>
      <w:bookmarkEnd w:id="82"/>
      <w:bookmarkEnd w:id="83"/>
      <w:bookmarkEnd w:id="84"/>
    </w:p>
    <w:p w14:paraId="1823E275">
      <w:pPr>
        <w:pStyle w:val="2"/>
        <w:spacing w:line="367" w:lineRule="auto"/>
        <w:rPr>
          <w:color w:val="auto"/>
          <w:highlight w:val="none"/>
        </w:rPr>
      </w:pPr>
    </w:p>
    <w:p w14:paraId="74596C70">
      <w:pPr>
        <w:spacing w:before="101" w:line="225" w:lineRule="auto"/>
        <w:outlineLvl w:val="1"/>
        <w:rPr>
          <w:rFonts w:ascii="宋体" w:hAnsi="宋体" w:eastAsia="宋体" w:cs="宋体"/>
          <w:color w:val="auto"/>
          <w:sz w:val="31"/>
          <w:szCs w:val="31"/>
          <w:highlight w:val="none"/>
        </w:rPr>
      </w:pPr>
      <w:bookmarkStart w:id="85" w:name="_Toc15876"/>
      <w:bookmarkStart w:id="86" w:name="_Toc19"/>
      <w:bookmarkStart w:id="87" w:name="_Toc26342"/>
      <w:r>
        <w:rPr>
          <w:rFonts w:ascii="宋体" w:hAnsi="宋体" w:eastAsia="宋体" w:cs="宋体"/>
          <w:b/>
          <w:bCs/>
          <w:color w:val="auto"/>
          <w:spacing w:val="6"/>
          <w:sz w:val="31"/>
          <w:szCs w:val="31"/>
          <w:highlight w:val="none"/>
        </w:rPr>
        <w:t>一、资格证明文件格式</w:t>
      </w:r>
      <w:bookmarkEnd w:id="85"/>
      <w:bookmarkEnd w:id="86"/>
      <w:bookmarkEnd w:id="87"/>
    </w:p>
    <w:p w14:paraId="530593F6">
      <w:pPr>
        <w:spacing w:before="260" w:line="225" w:lineRule="auto"/>
        <w:ind w:left="18"/>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1.资格证明文件封面格式：</w:t>
      </w:r>
    </w:p>
    <w:p w14:paraId="77DAE25A">
      <w:pPr>
        <w:spacing w:before="245" w:line="227" w:lineRule="auto"/>
        <w:ind w:left="62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正本/副本</w:t>
      </w:r>
    </w:p>
    <w:p w14:paraId="11BE96E0">
      <w:pPr>
        <w:pStyle w:val="2"/>
        <w:spacing w:line="283" w:lineRule="auto"/>
        <w:rPr>
          <w:color w:val="auto"/>
          <w:highlight w:val="none"/>
        </w:rPr>
      </w:pPr>
    </w:p>
    <w:p w14:paraId="7DABCEC0">
      <w:pPr>
        <w:pStyle w:val="2"/>
        <w:spacing w:line="283" w:lineRule="auto"/>
        <w:rPr>
          <w:color w:val="auto"/>
          <w:highlight w:val="none"/>
        </w:rPr>
      </w:pPr>
    </w:p>
    <w:p w14:paraId="4AE89E73">
      <w:pPr>
        <w:pStyle w:val="2"/>
        <w:spacing w:line="283" w:lineRule="auto"/>
        <w:rPr>
          <w:color w:val="auto"/>
          <w:highlight w:val="none"/>
        </w:rPr>
      </w:pPr>
    </w:p>
    <w:p w14:paraId="2B04BAF6">
      <w:pPr>
        <w:pStyle w:val="2"/>
        <w:spacing w:line="283" w:lineRule="auto"/>
        <w:rPr>
          <w:color w:val="auto"/>
          <w:highlight w:val="none"/>
        </w:rPr>
      </w:pPr>
    </w:p>
    <w:p w14:paraId="02A0C83E">
      <w:pPr>
        <w:spacing w:before="140" w:line="225" w:lineRule="auto"/>
        <w:ind w:left="1906"/>
        <w:rPr>
          <w:rFonts w:ascii="黑体" w:hAnsi="黑体" w:eastAsia="黑体" w:cs="黑体"/>
          <w:color w:val="auto"/>
          <w:sz w:val="43"/>
          <w:szCs w:val="43"/>
          <w:highlight w:val="none"/>
        </w:rPr>
      </w:pPr>
      <w:r>
        <w:rPr>
          <w:rFonts w:ascii="黑体" w:hAnsi="黑体" w:eastAsia="黑体" w:cs="黑体"/>
          <w:color w:val="auto"/>
          <w:spacing w:val="-14"/>
          <w:sz w:val="43"/>
          <w:szCs w:val="43"/>
          <w:highlight w:val="none"/>
        </w:rPr>
        <w:t>资</w:t>
      </w:r>
      <w:r>
        <w:rPr>
          <w:rFonts w:ascii="黑体" w:hAnsi="黑体" w:eastAsia="黑体" w:cs="黑体"/>
          <w:color w:val="auto"/>
          <w:spacing w:val="14"/>
          <w:sz w:val="43"/>
          <w:szCs w:val="43"/>
          <w:highlight w:val="none"/>
        </w:rPr>
        <w:t xml:space="preserve">  </w:t>
      </w:r>
      <w:r>
        <w:rPr>
          <w:rFonts w:ascii="黑体" w:hAnsi="黑体" w:eastAsia="黑体" w:cs="黑体"/>
          <w:color w:val="auto"/>
          <w:spacing w:val="-14"/>
          <w:sz w:val="43"/>
          <w:szCs w:val="43"/>
          <w:highlight w:val="none"/>
        </w:rPr>
        <w:t>格</w:t>
      </w:r>
      <w:r>
        <w:rPr>
          <w:rFonts w:ascii="黑体" w:hAnsi="黑体" w:eastAsia="黑体" w:cs="黑体"/>
          <w:color w:val="auto"/>
          <w:spacing w:val="14"/>
          <w:sz w:val="43"/>
          <w:szCs w:val="43"/>
          <w:highlight w:val="none"/>
        </w:rPr>
        <w:t xml:space="preserve">  </w:t>
      </w:r>
      <w:r>
        <w:rPr>
          <w:rFonts w:ascii="黑体" w:hAnsi="黑体" w:eastAsia="黑体" w:cs="黑体"/>
          <w:color w:val="auto"/>
          <w:spacing w:val="-14"/>
          <w:sz w:val="43"/>
          <w:szCs w:val="43"/>
          <w:highlight w:val="none"/>
        </w:rPr>
        <w:t>证</w:t>
      </w:r>
      <w:r>
        <w:rPr>
          <w:rFonts w:ascii="黑体" w:hAnsi="黑体" w:eastAsia="黑体" w:cs="黑体"/>
          <w:color w:val="auto"/>
          <w:spacing w:val="25"/>
          <w:sz w:val="43"/>
          <w:szCs w:val="43"/>
          <w:highlight w:val="none"/>
        </w:rPr>
        <w:t xml:space="preserve">  </w:t>
      </w:r>
      <w:r>
        <w:rPr>
          <w:rFonts w:ascii="黑体" w:hAnsi="黑体" w:eastAsia="黑体" w:cs="黑体"/>
          <w:color w:val="auto"/>
          <w:spacing w:val="-14"/>
          <w:sz w:val="43"/>
          <w:szCs w:val="43"/>
          <w:highlight w:val="none"/>
        </w:rPr>
        <w:t>明</w:t>
      </w:r>
      <w:r>
        <w:rPr>
          <w:rFonts w:ascii="黑体" w:hAnsi="黑体" w:eastAsia="黑体" w:cs="黑体"/>
          <w:color w:val="auto"/>
          <w:spacing w:val="15"/>
          <w:sz w:val="43"/>
          <w:szCs w:val="43"/>
          <w:highlight w:val="none"/>
        </w:rPr>
        <w:t xml:space="preserve">  </w:t>
      </w:r>
      <w:r>
        <w:rPr>
          <w:rFonts w:ascii="黑体" w:hAnsi="黑体" w:eastAsia="黑体" w:cs="黑体"/>
          <w:color w:val="auto"/>
          <w:spacing w:val="-14"/>
          <w:sz w:val="43"/>
          <w:szCs w:val="43"/>
          <w:highlight w:val="none"/>
        </w:rPr>
        <w:t>文</w:t>
      </w:r>
      <w:r>
        <w:rPr>
          <w:rFonts w:ascii="黑体" w:hAnsi="黑体" w:eastAsia="黑体" w:cs="黑体"/>
          <w:color w:val="auto"/>
          <w:spacing w:val="13"/>
          <w:sz w:val="43"/>
          <w:szCs w:val="43"/>
          <w:highlight w:val="none"/>
        </w:rPr>
        <w:t xml:space="preserve">  </w:t>
      </w:r>
      <w:r>
        <w:rPr>
          <w:rFonts w:ascii="黑体" w:hAnsi="黑体" w:eastAsia="黑体" w:cs="黑体"/>
          <w:color w:val="auto"/>
          <w:spacing w:val="-14"/>
          <w:sz w:val="43"/>
          <w:szCs w:val="43"/>
          <w:highlight w:val="none"/>
        </w:rPr>
        <w:t>件</w:t>
      </w:r>
    </w:p>
    <w:p w14:paraId="6B73D29B">
      <w:pPr>
        <w:pStyle w:val="2"/>
        <w:spacing w:line="258" w:lineRule="auto"/>
        <w:rPr>
          <w:color w:val="auto"/>
          <w:highlight w:val="none"/>
        </w:rPr>
      </w:pPr>
    </w:p>
    <w:p w14:paraId="238FF85B">
      <w:pPr>
        <w:pStyle w:val="2"/>
        <w:spacing w:line="258" w:lineRule="auto"/>
        <w:rPr>
          <w:color w:val="auto"/>
          <w:highlight w:val="none"/>
        </w:rPr>
      </w:pPr>
    </w:p>
    <w:p w14:paraId="29D5F1C5">
      <w:pPr>
        <w:pStyle w:val="2"/>
        <w:spacing w:line="258" w:lineRule="auto"/>
        <w:rPr>
          <w:color w:val="auto"/>
          <w:highlight w:val="none"/>
        </w:rPr>
      </w:pPr>
    </w:p>
    <w:p w14:paraId="103372F4">
      <w:pPr>
        <w:pStyle w:val="2"/>
        <w:spacing w:line="258" w:lineRule="auto"/>
        <w:rPr>
          <w:color w:val="auto"/>
          <w:highlight w:val="none"/>
        </w:rPr>
      </w:pPr>
    </w:p>
    <w:p w14:paraId="6A87806F">
      <w:pPr>
        <w:pStyle w:val="2"/>
        <w:spacing w:line="258" w:lineRule="auto"/>
        <w:rPr>
          <w:color w:val="auto"/>
          <w:highlight w:val="none"/>
        </w:rPr>
      </w:pPr>
    </w:p>
    <w:p w14:paraId="387F40CC">
      <w:pPr>
        <w:pStyle w:val="2"/>
        <w:spacing w:line="258" w:lineRule="auto"/>
        <w:rPr>
          <w:color w:val="auto"/>
          <w:highlight w:val="none"/>
        </w:rPr>
      </w:pPr>
    </w:p>
    <w:p w14:paraId="34436EBC">
      <w:pPr>
        <w:pStyle w:val="2"/>
        <w:spacing w:line="259" w:lineRule="auto"/>
        <w:rPr>
          <w:color w:val="auto"/>
          <w:highlight w:val="none"/>
        </w:rPr>
      </w:pPr>
    </w:p>
    <w:p w14:paraId="590FCE8D">
      <w:pPr>
        <w:pStyle w:val="2"/>
        <w:spacing w:line="259" w:lineRule="auto"/>
        <w:rPr>
          <w:color w:val="auto"/>
          <w:highlight w:val="none"/>
        </w:rPr>
      </w:pPr>
    </w:p>
    <w:p w14:paraId="50DCC8E1">
      <w:pPr>
        <w:pStyle w:val="2"/>
        <w:spacing w:line="259" w:lineRule="auto"/>
        <w:rPr>
          <w:color w:val="auto"/>
          <w:highlight w:val="none"/>
        </w:rPr>
      </w:pPr>
    </w:p>
    <w:p w14:paraId="1F0A88A4">
      <w:pPr>
        <w:spacing w:before="101" w:line="225" w:lineRule="auto"/>
        <w:ind w:left="64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项目名称：</w:t>
      </w:r>
    </w:p>
    <w:p w14:paraId="120966EA">
      <w:pPr>
        <w:pStyle w:val="2"/>
        <w:spacing w:line="264" w:lineRule="auto"/>
        <w:rPr>
          <w:color w:val="auto"/>
          <w:highlight w:val="none"/>
        </w:rPr>
      </w:pPr>
    </w:p>
    <w:p w14:paraId="4B407D01">
      <w:pPr>
        <w:pStyle w:val="2"/>
        <w:spacing w:line="264" w:lineRule="auto"/>
        <w:rPr>
          <w:color w:val="auto"/>
          <w:highlight w:val="none"/>
        </w:rPr>
      </w:pPr>
    </w:p>
    <w:p w14:paraId="36036C16">
      <w:pPr>
        <w:pStyle w:val="2"/>
        <w:spacing w:line="264" w:lineRule="auto"/>
        <w:rPr>
          <w:color w:val="auto"/>
          <w:highlight w:val="none"/>
        </w:rPr>
      </w:pPr>
    </w:p>
    <w:p w14:paraId="01A71AC2">
      <w:pPr>
        <w:spacing w:before="101" w:line="225" w:lineRule="auto"/>
        <w:ind w:left="72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0EC46E64">
      <w:pPr>
        <w:pStyle w:val="2"/>
        <w:spacing w:line="265" w:lineRule="auto"/>
        <w:rPr>
          <w:color w:val="auto"/>
          <w:highlight w:val="none"/>
        </w:rPr>
      </w:pPr>
    </w:p>
    <w:p w14:paraId="0B9C165F">
      <w:pPr>
        <w:pStyle w:val="2"/>
        <w:spacing w:line="265" w:lineRule="auto"/>
        <w:rPr>
          <w:color w:val="auto"/>
          <w:highlight w:val="none"/>
        </w:rPr>
      </w:pPr>
    </w:p>
    <w:p w14:paraId="746860CC">
      <w:pPr>
        <w:pStyle w:val="2"/>
        <w:spacing w:line="266" w:lineRule="auto"/>
        <w:rPr>
          <w:color w:val="auto"/>
          <w:highlight w:val="none"/>
        </w:rPr>
      </w:pPr>
    </w:p>
    <w:p w14:paraId="68E39183">
      <w:pPr>
        <w:spacing w:before="102" w:line="225" w:lineRule="auto"/>
        <w:jc w:val="right"/>
        <w:rPr>
          <w:rFonts w:ascii="宋体" w:hAnsi="宋体" w:eastAsia="宋体" w:cs="宋体"/>
          <w:color w:val="auto"/>
          <w:sz w:val="31"/>
          <w:szCs w:val="31"/>
          <w:highlight w:val="none"/>
        </w:rPr>
      </w:pPr>
      <w:r>
        <w:rPr>
          <w:rFonts w:ascii="宋体" w:hAnsi="宋体" w:eastAsia="宋体" w:cs="宋体"/>
          <w:color w:val="auto"/>
          <w:spacing w:val="1"/>
          <w:sz w:val="31"/>
          <w:szCs w:val="31"/>
          <w:highlight w:val="none"/>
        </w:rPr>
        <w:t>所竞分标（如有则填写，无分标时填写“无</w:t>
      </w:r>
      <w:r>
        <w:rPr>
          <w:rFonts w:ascii="宋体" w:hAnsi="宋体" w:eastAsia="宋体" w:cs="宋体"/>
          <w:color w:val="auto"/>
          <w:spacing w:val="-110"/>
          <w:sz w:val="31"/>
          <w:szCs w:val="31"/>
          <w:highlight w:val="none"/>
        </w:rPr>
        <w:t xml:space="preserve"> </w:t>
      </w:r>
      <w:r>
        <w:rPr>
          <w:rFonts w:ascii="宋体" w:hAnsi="宋体" w:eastAsia="宋体" w:cs="宋体"/>
          <w:color w:val="auto"/>
          <w:spacing w:val="1"/>
          <w:sz w:val="31"/>
          <w:szCs w:val="31"/>
          <w:highlight w:val="none"/>
        </w:rPr>
        <w:t>”或者留空</w:t>
      </w:r>
      <w:r>
        <w:rPr>
          <w:rFonts w:ascii="宋体" w:hAnsi="宋体" w:eastAsia="宋体" w:cs="宋体"/>
          <w:color w:val="auto"/>
          <w:spacing w:val="-81"/>
          <w:sz w:val="31"/>
          <w:szCs w:val="31"/>
          <w:highlight w:val="none"/>
        </w:rPr>
        <w:t>）：</w:t>
      </w:r>
    </w:p>
    <w:p w14:paraId="0841A306">
      <w:pPr>
        <w:pStyle w:val="2"/>
        <w:spacing w:line="241" w:lineRule="auto"/>
        <w:rPr>
          <w:color w:val="auto"/>
          <w:highlight w:val="none"/>
        </w:rPr>
      </w:pPr>
    </w:p>
    <w:p w14:paraId="622564FA">
      <w:pPr>
        <w:pStyle w:val="2"/>
        <w:spacing w:line="241" w:lineRule="auto"/>
        <w:rPr>
          <w:color w:val="auto"/>
          <w:highlight w:val="none"/>
        </w:rPr>
      </w:pPr>
    </w:p>
    <w:p w14:paraId="60C7039A">
      <w:pPr>
        <w:pStyle w:val="2"/>
        <w:spacing w:line="241" w:lineRule="auto"/>
        <w:rPr>
          <w:color w:val="auto"/>
          <w:highlight w:val="none"/>
        </w:rPr>
      </w:pPr>
    </w:p>
    <w:p w14:paraId="416DBC4B">
      <w:pPr>
        <w:spacing w:before="101" w:line="224" w:lineRule="auto"/>
        <w:ind w:left="714"/>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供应商名称：</w:t>
      </w:r>
    </w:p>
    <w:p w14:paraId="54E6AFB8">
      <w:pPr>
        <w:pStyle w:val="2"/>
        <w:spacing w:line="242" w:lineRule="auto"/>
        <w:rPr>
          <w:color w:val="auto"/>
          <w:highlight w:val="none"/>
        </w:rPr>
      </w:pPr>
    </w:p>
    <w:p w14:paraId="6BDFC052">
      <w:pPr>
        <w:pStyle w:val="2"/>
        <w:spacing w:line="242" w:lineRule="auto"/>
        <w:rPr>
          <w:color w:val="auto"/>
          <w:highlight w:val="none"/>
        </w:rPr>
      </w:pPr>
    </w:p>
    <w:p w14:paraId="27138284">
      <w:pPr>
        <w:pStyle w:val="2"/>
        <w:spacing w:line="242" w:lineRule="auto"/>
        <w:rPr>
          <w:color w:val="auto"/>
          <w:highlight w:val="none"/>
        </w:rPr>
      </w:pPr>
    </w:p>
    <w:p w14:paraId="6715EC4D">
      <w:pPr>
        <w:pStyle w:val="2"/>
        <w:spacing w:line="242" w:lineRule="auto"/>
        <w:rPr>
          <w:color w:val="auto"/>
          <w:highlight w:val="none"/>
        </w:rPr>
      </w:pPr>
    </w:p>
    <w:p w14:paraId="67EA60F9">
      <w:pPr>
        <w:pStyle w:val="2"/>
        <w:spacing w:line="242" w:lineRule="auto"/>
        <w:rPr>
          <w:color w:val="auto"/>
          <w:highlight w:val="none"/>
        </w:rPr>
      </w:pPr>
    </w:p>
    <w:p w14:paraId="32B71673">
      <w:pPr>
        <w:pStyle w:val="2"/>
        <w:spacing w:line="242" w:lineRule="auto"/>
        <w:rPr>
          <w:color w:val="auto"/>
          <w:highlight w:val="none"/>
        </w:rPr>
      </w:pPr>
    </w:p>
    <w:p w14:paraId="1025D76B">
      <w:pPr>
        <w:pStyle w:val="2"/>
        <w:spacing w:line="242" w:lineRule="auto"/>
        <w:rPr>
          <w:color w:val="auto"/>
          <w:highlight w:val="none"/>
        </w:rPr>
      </w:pPr>
    </w:p>
    <w:p w14:paraId="1C529191">
      <w:pPr>
        <w:pStyle w:val="2"/>
        <w:spacing w:line="242" w:lineRule="auto"/>
        <w:rPr>
          <w:color w:val="auto"/>
          <w:highlight w:val="none"/>
        </w:rPr>
      </w:pPr>
    </w:p>
    <w:p w14:paraId="27F354EB">
      <w:pPr>
        <w:pStyle w:val="2"/>
        <w:spacing w:line="242" w:lineRule="auto"/>
        <w:rPr>
          <w:color w:val="auto"/>
          <w:highlight w:val="none"/>
        </w:rPr>
      </w:pPr>
    </w:p>
    <w:p w14:paraId="0C26B627">
      <w:pPr>
        <w:pStyle w:val="2"/>
        <w:spacing w:line="243" w:lineRule="auto"/>
        <w:rPr>
          <w:color w:val="auto"/>
          <w:highlight w:val="none"/>
        </w:rPr>
      </w:pPr>
    </w:p>
    <w:p w14:paraId="47BD604C">
      <w:pPr>
        <w:spacing w:before="101" w:line="225" w:lineRule="auto"/>
        <w:ind w:left="3185"/>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0"/>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64514163">
      <w:pPr>
        <w:spacing w:line="225" w:lineRule="auto"/>
        <w:rPr>
          <w:rFonts w:ascii="宋体" w:hAnsi="宋体" w:eastAsia="宋体" w:cs="宋体"/>
          <w:color w:val="auto"/>
          <w:sz w:val="31"/>
          <w:szCs w:val="31"/>
          <w:highlight w:val="none"/>
        </w:rPr>
        <w:sectPr>
          <w:footerReference r:id="rId19" w:type="default"/>
          <w:pgSz w:w="11910" w:h="16840"/>
          <w:pgMar w:top="1357" w:right="1548" w:bottom="1019" w:left="1678" w:header="0" w:footer="857" w:gutter="0"/>
          <w:pgNumType w:fmt="decimal"/>
          <w:cols w:space="720" w:num="1"/>
        </w:sectPr>
      </w:pPr>
    </w:p>
    <w:p w14:paraId="579820EB">
      <w:pPr>
        <w:spacing w:before="63" w:line="225" w:lineRule="auto"/>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2.资格证明文件目录</w:t>
      </w:r>
    </w:p>
    <w:p w14:paraId="0B16F335">
      <w:pPr>
        <w:spacing w:before="187" w:line="296" w:lineRule="auto"/>
        <w:ind w:firstLine="636"/>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根据磋商文件规定及供应商提供的材料自行编写目录（部</w:t>
      </w:r>
      <w:r>
        <w:rPr>
          <w:rFonts w:ascii="宋体" w:hAnsi="宋体" w:eastAsia="宋体" w:cs="宋体"/>
          <w:color w:val="auto"/>
          <w:spacing w:val="4"/>
          <w:sz w:val="31"/>
          <w:szCs w:val="31"/>
          <w:highlight w:val="none"/>
        </w:rPr>
        <w:t>分格式后附）。</w:t>
      </w:r>
    </w:p>
    <w:p w14:paraId="4821E02F">
      <w:pPr>
        <w:spacing w:line="296" w:lineRule="auto"/>
        <w:rPr>
          <w:rFonts w:ascii="宋体" w:hAnsi="宋体" w:eastAsia="宋体" w:cs="宋体"/>
          <w:color w:val="auto"/>
          <w:sz w:val="31"/>
          <w:szCs w:val="31"/>
          <w:highlight w:val="none"/>
        </w:rPr>
        <w:sectPr>
          <w:pgSz w:w="11910" w:h="16840"/>
          <w:pgMar w:top="1357" w:right="1630" w:bottom="1019" w:left="1677" w:header="0" w:footer="856" w:gutter="0"/>
          <w:pgNumType w:fmt="decimal"/>
          <w:cols w:space="720" w:num="1"/>
        </w:sectPr>
      </w:pPr>
    </w:p>
    <w:p w14:paraId="64F13D62">
      <w:pPr>
        <w:spacing w:before="63" w:line="224" w:lineRule="auto"/>
        <w:ind w:left="1266"/>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崇左市政府采购供应商信用承诺函（格式）</w:t>
      </w:r>
    </w:p>
    <w:p w14:paraId="29723777">
      <w:pPr>
        <w:pStyle w:val="2"/>
        <w:spacing w:line="282" w:lineRule="auto"/>
        <w:rPr>
          <w:color w:val="auto"/>
          <w:highlight w:val="none"/>
        </w:rPr>
      </w:pPr>
    </w:p>
    <w:p w14:paraId="60ECBE55">
      <w:pPr>
        <w:pStyle w:val="2"/>
        <w:spacing w:line="282" w:lineRule="auto"/>
        <w:rPr>
          <w:color w:val="auto"/>
          <w:highlight w:val="none"/>
        </w:rPr>
      </w:pPr>
    </w:p>
    <w:p w14:paraId="58D813DB">
      <w:pPr>
        <w:spacing w:before="79" w:line="219" w:lineRule="auto"/>
        <w:ind w:left="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致</w:t>
      </w:r>
      <w:r>
        <w:rPr>
          <w:rFonts w:ascii="宋体" w:hAnsi="宋体" w:eastAsia="宋体" w:cs="宋体"/>
          <w:color w:val="auto"/>
          <w:spacing w:val="2"/>
          <w:sz w:val="24"/>
          <w:szCs w:val="24"/>
          <w:highlight w:val="none"/>
          <w:u w:val="single" w:color="auto"/>
        </w:rPr>
        <w:t>（采购代理机构名称）</w:t>
      </w:r>
      <w:r>
        <w:rPr>
          <w:rFonts w:ascii="宋体" w:hAnsi="宋体" w:eastAsia="宋体" w:cs="宋体"/>
          <w:color w:val="auto"/>
          <w:spacing w:val="2"/>
          <w:sz w:val="24"/>
          <w:szCs w:val="24"/>
          <w:highlight w:val="none"/>
        </w:rPr>
        <w:t>:</w:t>
      </w:r>
    </w:p>
    <w:p w14:paraId="76CA9460">
      <w:pPr>
        <w:spacing w:before="104" w:line="290" w:lineRule="auto"/>
        <w:ind w:firstLine="482"/>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我方自愿参加</w:t>
      </w:r>
      <w:r>
        <w:rPr>
          <w:rFonts w:ascii="宋体" w:hAnsi="宋体" w:eastAsia="宋体" w:cs="宋体"/>
          <w:color w:val="auto"/>
          <w:spacing w:val="-40"/>
          <w:sz w:val="24"/>
          <w:szCs w:val="24"/>
          <w:highlight w:val="none"/>
          <w:u w:val="single" w:color="auto"/>
        </w:rPr>
        <w:t xml:space="preserve"> </w:t>
      </w:r>
      <w:r>
        <w:rPr>
          <w:rFonts w:ascii="宋体" w:hAnsi="宋体" w:eastAsia="宋体" w:cs="宋体"/>
          <w:color w:val="auto"/>
          <w:spacing w:val="-4"/>
          <w:sz w:val="24"/>
          <w:szCs w:val="24"/>
          <w:highlight w:val="none"/>
          <w:u w:val="single" w:color="auto"/>
        </w:rPr>
        <w:t>（项目名称）</w:t>
      </w:r>
      <w:r>
        <w:rPr>
          <w:rFonts w:ascii="宋体" w:hAnsi="宋体" w:eastAsia="宋体" w:cs="宋体"/>
          <w:color w:val="auto"/>
          <w:spacing w:val="-45"/>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4"/>
          <w:sz w:val="24"/>
          <w:szCs w:val="24"/>
          <w:highlight w:val="none"/>
        </w:rPr>
        <w:t>项目（项目编号</w:t>
      </w:r>
      <w:r>
        <w:rPr>
          <w:rFonts w:ascii="宋体" w:hAnsi="宋体" w:eastAsia="宋体" w:cs="宋体"/>
          <w:color w:val="auto"/>
          <w:spacing w:val="-10"/>
          <w:sz w:val="24"/>
          <w:szCs w:val="24"/>
          <w:highlight w:val="none"/>
        </w:rPr>
        <w:t>：</w:t>
      </w:r>
      <w:r>
        <w:rPr>
          <w:rFonts w:ascii="宋体" w:hAnsi="宋体" w:eastAsia="宋体" w:cs="宋体"/>
          <w:color w:val="auto"/>
          <w:spacing w:val="11"/>
          <w:sz w:val="24"/>
          <w:szCs w:val="24"/>
          <w:highlight w:val="none"/>
          <w:u w:val="single" w:color="auto"/>
        </w:rPr>
        <w:t xml:space="preserve">         </w:t>
      </w:r>
      <w:r>
        <w:rPr>
          <w:rFonts w:ascii="宋体" w:hAnsi="宋体" w:eastAsia="宋体" w:cs="宋体"/>
          <w:color w:val="auto"/>
          <w:spacing w:val="-10"/>
          <w:sz w:val="24"/>
          <w:szCs w:val="24"/>
          <w:highlight w:val="none"/>
        </w:rPr>
        <w:t>）</w:t>
      </w:r>
      <w:r>
        <w:rPr>
          <w:rFonts w:ascii="宋体" w:hAnsi="宋体" w:eastAsia="宋体" w:cs="宋体"/>
          <w:color w:val="auto"/>
          <w:spacing w:val="-4"/>
          <w:sz w:val="24"/>
          <w:szCs w:val="24"/>
          <w:highlight w:val="none"/>
        </w:rPr>
        <w:t>的政府采购活动，</w:t>
      </w:r>
      <w:r>
        <w:rPr>
          <w:rFonts w:ascii="宋体" w:hAnsi="宋体" w:eastAsia="宋体" w:cs="宋体"/>
          <w:color w:val="auto"/>
          <w:spacing w:val="-1"/>
          <w:sz w:val="24"/>
          <w:szCs w:val="24"/>
          <w:highlight w:val="none"/>
        </w:rPr>
        <w:t>严格遵守《中华人民共和国政府采购法》及相关法律法规，依法诚信经营，无条件遵守本次政府采购活动的各项规定，并郑重承诺：</w:t>
      </w:r>
    </w:p>
    <w:p w14:paraId="5EE40350">
      <w:pPr>
        <w:spacing w:before="36" w:line="291" w:lineRule="auto"/>
        <w:ind w:left="4" w:right="73" w:firstLine="494"/>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1.我方具有独立承担民事责任的能力或我方属于银行</w:t>
      </w:r>
      <w:r>
        <w:rPr>
          <w:rFonts w:ascii="宋体" w:hAnsi="宋体" w:eastAsia="宋体" w:cs="宋体"/>
          <w:color w:val="auto"/>
          <w:spacing w:val="12"/>
          <w:sz w:val="24"/>
          <w:szCs w:val="24"/>
          <w:highlight w:val="none"/>
        </w:rPr>
        <w:t>、保险、石油石化、</w:t>
      </w:r>
      <w:r>
        <w:rPr>
          <w:rFonts w:ascii="宋体" w:hAnsi="宋体" w:eastAsia="宋体" w:cs="宋体"/>
          <w:color w:val="auto"/>
          <w:spacing w:val="11"/>
          <w:sz w:val="24"/>
          <w:szCs w:val="24"/>
          <w:highlight w:val="none"/>
        </w:rPr>
        <w:t>电力、</w:t>
      </w:r>
      <w:r>
        <w:rPr>
          <w:rFonts w:ascii="宋体" w:hAnsi="宋体" w:eastAsia="宋体" w:cs="宋体"/>
          <w:color w:val="auto"/>
          <w:spacing w:val="-59"/>
          <w:sz w:val="24"/>
          <w:szCs w:val="24"/>
          <w:highlight w:val="none"/>
        </w:rPr>
        <w:t xml:space="preserve"> </w:t>
      </w:r>
      <w:r>
        <w:rPr>
          <w:rFonts w:ascii="宋体" w:hAnsi="宋体" w:eastAsia="宋体" w:cs="宋体"/>
          <w:color w:val="auto"/>
          <w:spacing w:val="11"/>
          <w:sz w:val="24"/>
          <w:szCs w:val="24"/>
          <w:highlight w:val="none"/>
        </w:rPr>
        <w:t>电信等有行业特殊情况的法人的分支机构在参加本次政府采购活动前已</w:t>
      </w:r>
      <w:r>
        <w:rPr>
          <w:rFonts w:ascii="宋体" w:hAnsi="宋体" w:eastAsia="宋体" w:cs="宋体"/>
          <w:color w:val="auto"/>
          <w:spacing w:val="7"/>
          <w:sz w:val="24"/>
          <w:szCs w:val="24"/>
          <w:highlight w:val="none"/>
        </w:rPr>
        <w:t>取得总公司的授权。</w:t>
      </w:r>
    </w:p>
    <w:p w14:paraId="5809AB11">
      <w:pPr>
        <w:spacing w:before="33" w:line="218" w:lineRule="auto"/>
        <w:ind w:left="48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2.我方具有符合采购文件资格要求的财务状况报告。</w:t>
      </w:r>
    </w:p>
    <w:p w14:paraId="61907E08">
      <w:pPr>
        <w:spacing w:before="106" w:line="285" w:lineRule="auto"/>
        <w:ind w:left="480" w:right="274" w:hanging="18"/>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3.我方具有符合采购文件资格要求的依法缴纳税收和社会保障资金的良好记录。</w:t>
      </w:r>
      <w:r>
        <w:rPr>
          <w:rFonts w:ascii="宋体" w:hAnsi="宋体" w:eastAsia="宋体" w:cs="宋体"/>
          <w:color w:val="auto"/>
          <w:sz w:val="24"/>
          <w:szCs w:val="24"/>
          <w:highlight w:val="none"/>
        </w:rPr>
        <w:t>4.我方具有符合采购文件资格要求履行合同所必需的</w:t>
      </w:r>
      <w:r>
        <w:rPr>
          <w:rFonts w:ascii="宋体" w:hAnsi="宋体" w:eastAsia="宋体" w:cs="宋体"/>
          <w:color w:val="auto"/>
          <w:spacing w:val="-1"/>
          <w:sz w:val="24"/>
          <w:szCs w:val="24"/>
          <w:highlight w:val="none"/>
        </w:rPr>
        <w:t>设备和专业技术能力。</w:t>
      </w:r>
    </w:p>
    <w:p w14:paraId="0616A2E2">
      <w:pPr>
        <w:spacing w:before="35" w:line="219" w:lineRule="auto"/>
        <w:ind w:left="4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5.我方参加政府采购活动前3年内在经营活动中</w:t>
      </w:r>
      <w:r>
        <w:rPr>
          <w:rFonts w:ascii="宋体" w:hAnsi="宋体" w:eastAsia="宋体" w:cs="宋体"/>
          <w:color w:val="auto"/>
          <w:spacing w:val="-2"/>
          <w:sz w:val="24"/>
          <w:szCs w:val="24"/>
          <w:highlight w:val="none"/>
        </w:rPr>
        <w:t>没有重大违法记录。</w:t>
      </w:r>
    </w:p>
    <w:p w14:paraId="67386678">
      <w:pPr>
        <w:spacing w:before="104" w:line="219" w:lineRule="auto"/>
        <w:ind w:left="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我方对以上承诺内容的真实性负责。如有虚假，将依法承担相应责任。</w:t>
      </w:r>
    </w:p>
    <w:p w14:paraId="4507C333">
      <w:pPr>
        <w:pStyle w:val="2"/>
        <w:spacing w:line="267" w:lineRule="auto"/>
        <w:rPr>
          <w:color w:val="auto"/>
          <w:highlight w:val="none"/>
        </w:rPr>
      </w:pPr>
    </w:p>
    <w:p w14:paraId="0EC446B2">
      <w:pPr>
        <w:pStyle w:val="2"/>
        <w:spacing w:line="267" w:lineRule="auto"/>
        <w:rPr>
          <w:color w:val="auto"/>
          <w:highlight w:val="none"/>
        </w:rPr>
      </w:pPr>
    </w:p>
    <w:p w14:paraId="34052F9C">
      <w:pPr>
        <w:pStyle w:val="2"/>
        <w:spacing w:line="268" w:lineRule="auto"/>
        <w:rPr>
          <w:color w:val="auto"/>
          <w:highlight w:val="none"/>
        </w:rPr>
      </w:pPr>
    </w:p>
    <w:p w14:paraId="3A46E6A9">
      <w:pPr>
        <w:spacing w:before="78" w:line="286" w:lineRule="auto"/>
        <w:ind w:left="3642" w:right="2742" w:hanging="4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供应商名称（盖章</w:t>
      </w:r>
      <w:r>
        <w:rPr>
          <w:rFonts w:ascii="宋体" w:hAnsi="宋体" w:eastAsia="宋体" w:cs="宋体"/>
          <w:color w:val="auto"/>
          <w:spacing w:val="-28"/>
          <w:sz w:val="24"/>
          <w:szCs w:val="24"/>
          <w:highlight w:val="none"/>
        </w:rPr>
        <w:t>）：</w:t>
      </w:r>
      <w:r>
        <w:rPr>
          <w:rFonts w:ascii="宋体" w:hAnsi="宋体" w:eastAsia="宋体" w:cs="宋体"/>
          <w:color w:val="auto"/>
          <w:spacing w:val="1"/>
          <w:sz w:val="24"/>
          <w:szCs w:val="24"/>
          <w:highlight w:val="none"/>
        </w:rPr>
        <w:t xml:space="preserve"> </w:t>
      </w:r>
      <w:r>
        <w:rPr>
          <w:rFonts w:ascii="宋体" w:hAnsi="宋体" w:eastAsia="宋体" w:cs="宋体"/>
          <w:color w:val="auto"/>
          <w:spacing w:val="-17"/>
          <w:sz w:val="24"/>
          <w:szCs w:val="24"/>
          <w:highlight w:val="none"/>
        </w:rPr>
        <w:t>日期：</w:t>
      </w:r>
    </w:p>
    <w:p w14:paraId="0EF32020">
      <w:pPr>
        <w:pStyle w:val="2"/>
        <w:spacing w:line="347" w:lineRule="auto"/>
        <w:rPr>
          <w:color w:val="auto"/>
          <w:highlight w:val="none"/>
        </w:rPr>
      </w:pPr>
    </w:p>
    <w:p w14:paraId="234C9058">
      <w:pPr>
        <w:spacing w:before="65" w:line="311" w:lineRule="auto"/>
        <w:ind w:right="75"/>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注：1.参与政府采购活动的供应商可按第1点的内容：</w:t>
      </w:r>
      <w:r>
        <w:rPr>
          <w:rFonts w:ascii="宋体" w:hAnsi="宋体" w:eastAsia="宋体" w:cs="宋体"/>
          <w:color w:val="auto"/>
          <w:spacing w:val="-80"/>
          <w:sz w:val="20"/>
          <w:szCs w:val="20"/>
          <w:highlight w:val="none"/>
        </w:rPr>
        <w:t xml:space="preserve"> </w:t>
      </w:r>
      <w:r>
        <w:rPr>
          <w:rFonts w:ascii="宋体" w:hAnsi="宋体" w:eastAsia="宋体" w:cs="宋体"/>
          <w:color w:val="auto"/>
          <w:spacing w:val="11"/>
          <w:sz w:val="20"/>
          <w:szCs w:val="20"/>
          <w:highlight w:val="none"/>
        </w:rPr>
        <w:t>“我方具有独立承担民事责任的能力</w:t>
      </w:r>
      <w:r>
        <w:rPr>
          <w:rFonts w:ascii="宋体" w:hAnsi="宋体" w:eastAsia="宋体" w:cs="宋体"/>
          <w:color w:val="auto"/>
          <w:spacing w:val="18"/>
          <w:sz w:val="20"/>
          <w:szCs w:val="20"/>
          <w:highlight w:val="none"/>
        </w:rPr>
        <w:t>或我方属于银行、保险、石油石化、</w:t>
      </w:r>
      <w:r>
        <w:rPr>
          <w:rFonts w:ascii="宋体" w:hAnsi="宋体" w:eastAsia="宋体" w:cs="宋体"/>
          <w:color w:val="auto"/>
          <w:spacing w:val="-48"/>
          <w:sz w:val="20"/>
          <w:szCs w:val="20"/>
          <w:highlight w:val="none"/>
        </w:rPr>
        <w:t xml:space="preserve"> </w:t>
      </w:r>
      <w:r>
        <w:rPr>
          <w:rFonts w:ascii="宋体" w:hAnsi="宋体" w:eastAsia="宋体" w:cs="宋体"/>
          <w:color w:val="auto"/>
          <w:spacing w:val="18"/>
          <w:sz w:val="20"/>
          <w:szCs w:val="20"/>
          <w:highlight w:val="none"/>
        </w:rPr>
        <w:t>电力、</w:t>
      </w:r>
      <w:r>
        <w:rPr>
          <w:rFonts w:ascii="宋体" w:hAnsi="宋体" w:eastAsia="宋体" w:cs="宋体"/>
          <w:color w:val="auto"/>
          <w:spacing w:val="-57"/>
          <w:sz w:val="20"/>
          <w:szCs w:val="20"/>
          <w:highlight w:val="none"/>
        </w:rPr>
        <w:t xml:space="preserve"> </w:t>
      </w:r>
      <w:r>
        <w:rPr>
          <w:rFonts w:ascii="宋体" w:hAnsi="宋体" w:eastAsia="宋体" w:cs="宋体"/>
          <w:color w:val="auto"/>
          <w:spacing w:val="18"/>
          <w:sz w:val="20"/>
          <w:szCs w:val="20"/>
          <w:highlight w:val="none"/>
        </w:rPr>
        <w:t>电信等有行业特殊情况的法人的分支机构在参加本次政府采购活动前已取得总公司的授权。”进行承诺，也可以根据自身的真实情况选</w:t>
      </w:r>
      <w:r>
        <w:rPr>
          <w:rFonts w:ascii="宋体" w:hAnsi="宋体" w:eastAsia="宋体" w:cs="宋体"/>
          <w:color w:val="auto"/>
          <w:spacing w:val="12"/>
          <w:sz w:val="20"/>
          <w:szCs w:val="20"/>
          <w:highlight w:val="none"/>
        </w:rPr>
        <w:t>择以下2种方式进行承诺：一是“</w:t>
      </w:r>
      <w:r>
        <w:rPr>
          <w:rFonts w:ascii="宋体" w:hAnsi="宋体" w:eastAsia="宋体" w:cs="宋体"/>
          <w:color w:val="auto"/>
          <w:spacing w:val="-76"/>
          <w:sz w:val="20"/>
          <w:szCs w:val="20"/>
          <w:highlight w:val="none"/>
        </w:rPr>
        <w:t xml:space="preserve"> </w:t>
      </w:r>
      <w:r>
        <w:rPr>
          <w:rFonts w:ascii="宋体" w:hAnsi="宋体" w:eastAsia="宋体" w:cs="宋体"/>
          <w:color w:val="auto"/>
          <w:spacing w:val="12"/>
          <w:sz w:val="20"/>
          <w:szCs w:val="20"/>
          <w:highlight w:val="none"/>
        </w:rPr>
        <w:t>我方具有独立承担民事责任的能力</w:t>
      </w:r>
      <w:r>
        <w:rPr>
          <w:rFonts w:ascii="宋体" w:hAnsi="宋体" w:eastAsia="宋体" w:cs="宋体"/>
          <w:color w:val="auto"/>
          <w:spacing w:val="-60"/>
          <w:sz w:val="20"/>
          <w:szCs w:val="20"/>
          <w:highlight w:val="none"/>
        </w:rPr>
        <w:t xml:space="preserve"> </w:t>
      </w:r>
      <w:r>
        <w:rPr>
          <w:rFonts w:ascii="宋体" w:hAnsi="宋体" w:eastAsia="宋体" w:cs="宋体"/>
          <w:color w:val="auto"/>
          <w:spacing w:val="12"/>
          <w:sz w:val="20"/>
          <w:szCs w:val="20"/>
          <w:highlight w:val="none"/>
        </w:rPr>
        <w:t>”进行承诺；二是“我</w:t>
      </w:r>
      <w:r>
        <w:rPr>
          <w:rFonts w:ascii="宋体" w:hAnsi="宋体" w:eastAsia="宋体" w:cs="宋体"/>
          <w:color w:val="auto"/>
          <w:spacing w:val="18"/>
          <w:sz w:val="20"/>
          <w:szCs w:val="20"/>
          <w:highlight w:val="none"/>
        </w:rPr>
        <w:t>方属于银行、保险、石油石化、电力、</w:t>
      </w:r>
      <w:r>
        <w:rPr>
          <w:rFonts w:ascii="宋体" w:hAnsi="宋体" w:eastAsia="宋体" w:cs="宋体"/>
          <w:color w:val="auto"/>
          <w:spacing w:val="-57"/>
          <w:sz w:val="20"/>
          <w:szCs w:val="20"/>
          <w:highlight w:val="none"/>
        </w:rPr>
        <w:t xml:space="preserve"> </w:t>
      </w:r>
      <w:r>
        <w:rPr>
          <w:rFonts w:ascii="宋体" w:hAnsi="宋体" w:eastAsia="宋体" w:cs="宋体"/>
          <w:color w:val="auto"/>
          <w:spacing w:val="18"/>
          <w:sz w:val="20"/>
          <w:szCs w:val="20"/>
          <w:highlight w:val="none"/>
        </w:rPr>
        <w:t>电信等有行业特殊情况的法人的分支机构在参加本次政府采购活动前已取得总公司的授权</w:t>
      </w:r>
      <w:r>
        <w:rPr>
          <w:rFonts w:ascii="宋体" w:hAnsi="宋体" w:eastAsia="宋体" w:cs="宋体"/>
          <w:color w:val="auto"/>
          <w:spacing w:val="-58"/>
          <w:sz w:val="20"/>
          <w:szCs w:val="20"/>
          <w:highlight w:val="none"/>
        </w:rPr>
        <w:t xml:space="preserve"> </w:t>
      </w:r>
      <w:r>
        <w:rPr>
          <w:rFonts w:ascii="宋体" w:hAnsi="宋体" w:eastAsia="宋体" w:cs="宋体"/>
          <w:color w:val="auto"/>
          <w:spacing w:val="18"/>
          <w:sz w:val="20"/>
          <w:szCs w:val="20"/>
          <w:highlight w:val="none"/>
        </w:rPr>
        <w:t>”进行承</w:t>
      </w:r>
      <w:r>
        <w:rPr>
          <w:rFonts w:ascii="宋体" w:hAnsi="宋体" w:eastAsia="宋体" w:cs="宋体"/>
          <w:color w:val="auto"/>
          <w:spacing w:val="17"/>
          <w:sz w:val="20"/>
          <w:szCs w:val="20"/>
          <w:highlight w:val="none"/>
        </w:rPr>
        <w:t>诺</w:t>
      </w:r>
      <w:r>
        <w:rPr>
          <w:rFonts w:ascii="宋体" w:hAnsi="宋体" w:eastAsia="宋体" w:cs="宋体"/>
          <w:color w:val="auto"/>
          <w:spacing w:val="-57"/>
          <w:sz w:val="20"/>
          <w:szCs w:val="20"/>
          <w:highlight w:val="none"/>
        </w:rPr>
        <w:t xml:space="preserve"> </w:t>
      </w:r>
      <w:r>
        <w:rPr>
          <w:rFonts w:ascii="宋体" w:hAnsi="宋体" w:eastAsia="宋体" w:cs="宋体"/>
          <w:color w:val="auto"/>
          <w:spacing w:val="17"/>
          <w:sz w:val="20"/>
          <w:szCs w:val="20"/>
          <w:highlight w:val="none"/>
        </w:rPr>
        <w:t>。参加政府采购活动的供应商只要第1</w:t>
      </w:r>
      <w:r>
        <w:rPr>
          <w:rFonts w:ascii="宋体" w:hAnsi="宋体" w:eastAsia="宋体" w:cs="宋体"/>
          <w:color w:val="auto"/>
          <w:spacing w:val="20"/>
          <w:sz w:val="20"/>
          <w:szCs w:val="20"/>
          <w:highlight w:val="none"/>
        </w:rPr>
        <w:t>点承诺的内容包含有：具有独立承担民事责任的能力、在参加本次政府采购活动前已取得</w:t>
      </w:r>
      <w:r>
        <w:rPr>
          <w:rFonts w:ascii="宋体" w:hAnsi="宋体" w:eastAsia="宋体" w:cs="宋体"/>
          <w:color w:val="auto"/>
          <w:spacing w:val="19"/>
          <w:sz w:val="20"/>
          <w:szCs w:val="20"/>
          <w:highlight w:val="none"/>
        </w:rPr>
        <w:t>总公司的授权等内容的即为有效的承诺。</w:t>
      </w:r>
    </w:p>
    <w:p w14:paraId="6DD54F6A">
      <w:pPr>
        <w:spacing w:before="32" w:line="300" w:lineRule="auto"/>
        <w:ind w:left="3" w:right="75" w:firstLine="443"/>
        <w:rPr>
          <w:rFonts w:ascii="宋体" w:hAnsi="宋体" w:eastAsia="宋体" w:cs="宋体"/>
          <w:color w:val="auto"/>
          <w:sz w:val="20"/>
          <w:szCs w:val="20"/>
          <w:highlight w:val="none"/>
        </w:rPr>
      </w:pPr>
      <w:r>
        <w:rPr>
          <w:rFonts w:ascii="宋体" w:hAnsi="宋体" w:eastAsia="宋体" w:cs="宋体"/>
          <w:color w:val="auto"/>
          <w:spacing w:val="16"/>
          <w:sz w:val="20"/>
          <w:szCs w:val="20"/>
          <w:highlight w:val="none"/>
        </w:rPr>
        <w:t>2.第1点所指的行业特殊情况使用了“等”字表示列举未尽，即行业特殊情况包含但</w:t>
      </w:r>
      <w:r>
        <w:rPr>
          <w:rFonts w:ascii="宋体" w:hAnsi="宋体" w:eastAsia="宋体" w:cs="宋体"/>
          <w:color w:val="auto"/>
          <w:spacing w:val="14"/>
          <w:sz w:val="20"/>
          <w:szCs w:val="20"/>
          <w:highlight w:val="none"/>
        </w:rPr>
        <w:t>不限于银行、保险、石油石化、电力、电信。</w:t>
      </w:r>
    </w:p>
    <w:p w14:paraId="155C8719">
      <w:pPr>
        <w:spacing w:line="300" w:lineRule="auto"/>
        <w:rPr>
          <w:rFonts w:ascii="宋体" w:hAnsi="宋体" w:eastAsia="宋体" w:cs="宋体"/>
          <w:color w:val="auto"/>
          <w:sz w:val="20"/>
          <w:szCs w:val="20"/>
          <w:highlight w:val="none"/>
        </w:rPr>
        <w:sectPr>
          <w:footerReference r:id="rId20" w:type="default"/>
          <w:pgSz w:w="11910" w:h="16840"/>
          <w:pgMar w:top="1357" w:right="1566" w:bottom="1019" w:left="1668" w:header="0" w:footer="856" w:gutter="0"/>
          <w:pgNumType w:fmt="decimal"/>
          <w:cols w:space="720" w:num="1"/>
        </w:sectPr>
      </w:pPr>
    </w:p>
    <w:p w14:paraId="5AB8AF33">
      <w:pPr>
        <w:spacing w:before="63" w:line="225" w:lineRule="auto"/>
        <w:ind w:left="3003"/>
        <w:rPr>
          <w:rFonts w:ascii="宋体" w:hAnsi="宋体" w:eastAsia="宋体" w:cs="宋体"/>
          <w:color w:val="auto"/>
          <w:sz w:val="31"/>
          <w:szCs w:val="31"/>
          <w:highlight w:val="none"/>
        </w:rPr>
      </w:pPr>
      <w:r>
        <w:rPr>
          <w:rFonts w:ascii="宋体" w:hAnsi="宋体" w:eastAsia="宋体" w:cs="宋体"/>
          <w:b/>
          <w:bCs/>
          <w:color w:val="auto"/>
          <w:spacing w:val="2"/>
          <w:sz w:val="31"/>
          <w:szCs w:val="31"/>
          <w:highlight w:val="none"/>
        </w:rPr>
        <w:t>中小企业声明函（工程）</w:t>
      </w:r>
    </w:p>
    <w:p w14:paraId="28992A9C">
      <w:pPr>
        <w:pStyle w:val="2"/>
        <w:spacing w:line="356" w:lineRule="auto"/>
        <w:rPr>
          <w:color w:val="auto"/>
          <w:highlight w:val="none"/>
        </w:rPr>
      </w:pPr>
    </w:p>
    <w:p w14:paraId="430153C8">
      <w:pPr>
        <w:spacing w:before="65" w:line="307" w:lineRule="auto"/>
        <w:ind w:right="201" w:firstLine="640"/>
        <w:jc w:val="both"/>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本公司（联合体）郑重声明，根据《政府采购促进中小企业发展管理办法》（财库﹝202</w:t>
      </w:r>
      <w:r>
        <w:rPr>
          <w:rFonts w:ascii="宋体" w:hAnsi="宋体" w:eastAsia="宋体" w:cs="宋体"/>
          <w:color w:val="auto"/>
          <w:spacing w:val="5"/>
          <w:sz w:val="20"/>
          <w:szCs w:val="20"/>
          <w:highlight w:val="none"/>
        </w:rPr>
        <w:t>0﹞46</w:t>
      </w:r>
      <w:r>
        <w:rPr>
          <w:rFonts w:ascii="宋体" w:hAnsi="宋体" w:eastAsia="宋体" w:cs="宋体"/>
          <w:color w:val="auto"/>
          <w:spacing w:val="-18"/>
          <w:sz w:val="20"/>
          <w:szCs w:val="20"/>
          <w:highlight w:val="none"/>
        </w:rPr>
        <w:t xml:space="preserve"> </w:t>
      </w:r>
      <w:r>
        <w:rPr>
          <w:rFonts w:ascii="宋体" w:hAnsi="宋体" w:eastAsia="宋体" w:cs="宋体"/>
          <w:color w:val="auto"/>
          <w:spacing w:val="5"/>
          <w:sz w:val="20"/>
          <w:szCs w:val="20"/>
          <w:highlight w:val="none"/>
        </w:rPr>
        <w:t>号）的规定，本公司（联合体）参加</w:t>
      </w:r>
      <w:r>
        <w:rPr>
          <w:rFonts w:ascii="宋体" w:hAnsi="宋体" w:eastAsia="宋体" w:cs="宋体"/>
          <w:color w:val="auto"/>
          <w:spacing w:val="-99"/>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5"/>
          <w:sz w:val="20"/>
          <w:szCs w:val="20"/>
          <w:highlight w:val="none"/>
        </w:rPr>
        <w:t xml:space="preserve"> </w:t>
      </w:r>
      <w:r>
        <w:rPr>
          <w:rFonts w:ascii="宋体" w:hAnsi="宋体" w:eastAsia="宋体" w:cs="宋体"/>
          <w:color w:val="auto"/>
          <w:spacing w:val="5"/>
          <w:sz w:val="20"/>
          <w:szCs w:val="20"/>
          <w:highlight w:val="none"/>
        </w:rPr>
        <w:t>的</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2"/>
          <w:sz w:val="20"/>
          <w:szCs w:val="20"/>
          <w:highlight w:val="none"/>
        </w:rPr>
        <w:t xml:space="preserve"> </w:t>
      </w:r>
      <w:r>
        <w:rPr>
          <w:rFonts w:ascii="宋体" w:hAnsi="宋体" w:eastAsia="宋体" w:cs="宋体"/>
          <w:color w:val="auto"/>
          <w:spacing w:val="5"/>
          <w:sz w:val="20"/>
          <w:szCs w:val="20"/>
          <w:highlight w:val="none"/>
        </w:rPr>
        <w:t>采购活动，工程的施工单位全</w:t>
      </w:r>
      <w:r>
        <w:rPr>
          <w:rFonts w:ascii="宋体" w:hAnsi="宋体" w:eastAsia="宋体" w:cs="宋体"/>
          <w:color w:val="auto"/>
          <w:spacing w:val="12"/>
          <w:sz w:val="20"/>
          <w:szCs w:val="20"/>
          <w:highlight w:val="none"/>
        </w:rPr>
        <w:t>部为符合政策要求的中小企业。相关企业（含联合体中的中小企业、签</w:t>
      </w:r>
      <w:r>
        <w:rPr>
          <w:rFonts w:ascii="宋体" w:hAnsi="宋体" w:eastAsia="宋体" w:cs="宋体"/>
          <w:color w:val="auto"/>
          <w:spacing w:val="11"/>
          <w:sz w:val="20"/>
          <w:szCs w:val="20"/>
          <w:highlight w:val="none"/>
        </w:rPr>
        <w:t>订分包意向协议的中小企</w:t>
      </w:r>
      <w:r>
        <w:rPr>
          <w:rFonts w:ascii="宋体" w:hAnsi="宋体" w:eastAsia="宋体" w:cs="宋体"/>
          <w:color w:val="auto"/>
          <w:spacing w:val="8"/>
          <w:sz w:val="20"/>
          <w:szCs w:val="20"/>
          <w:highlight w:val="none"/>
        </w:rPr>
        <w:t>业）的具体情况如下：</w:t>
      </w:r>
    </w:p>
    <w:p w14:paraId="5A6A5421">
      <w:pPr>
        <w:tabs>
          <w:tab w:val="left" w:pos="9095"/>
        </w:tabs>
        <w:spacing w:before="31" w:line="305" w:lineRule="auto"/>
        <w:ind w:firstLine="669"/>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1.</w:t>
      </w:r>
      <w:r>
        <w:rPr>
          <w:rFonts w:ascii="宋体" w:hAnsi="宋体" w:eastAsia="宋体" w:cs="宋体"/>
          <w:color w:val="auto"/>
          <w:spacing w:val="10"/>
          <w:sz w:val="20"/>
          <w:szCs w:val="20"/>
          <w:highlight w:val="none"/>
          <w:u w:val="single" w:color="auto"/>
        </w:rPr>
        <w:t>（标的名称</w:t>
      </w:r>
      <w:r>
        <w:rPr>
          <w:rFonts w:ascii="宋体" w:hAnsi="宋体" w:eastAsia="宋体" w:cs="宋体"/>
          <w:color w:val="auto"/>
          <w:spacing w:val="17"/>
          <w:sz w:val="20"/>
          <w:szCs w:val="20"/>
          <w:highlight w:val="none"/>
          <w:u w:val="single" w:color="auto"/>
        </w:rPr>
        <w:t>）</w:t>
      </w:r>
      <w:r>
        <w:rPr>
          <w:rFonts w:ascii="宋体" w:hAnsi="宋体" w:eastAsia="宋体" w:cs="宋体"/>
          <w:color w:val="auto"/>
          <w:spacing w:val="17"/>
          <w:sz w:val="20"/>
          <w:szCs w:val="20"/>
          <w:highlight w:val="none"/>
        </w:rPr>
        <w:t>，</w:t>
      </w:r>
      <w:r>
        <w:rPr>
          <w:rFonts w:ascii="宋体" w:hAnsi="宋体" w:eastAsia="宋体" w:cs="宋体"/>
          <w:color w:val="auto"/>
          <w:spacing w:val="10"/>
          <w:sz w:val="20"/>
          <w:szCs w:val="20"/>
          <w:highlight w:val="none"/>
        </w:rPr>
        <w:t>属于</w:t>
      </w:r>
      <w:r>
        <w:rPr>
          <w:rFonts w:ascii="宋体" w:hAnsi="宋体" w:eastAsia="宋体" w:cs="宋体"/>
          <w:color w:val="auto"/>
          <w:spacing w:val="10"/>
          <w:sz w:val="20"/>
          <w:szCs w:val="20"/>
          <w:highlight w:val="none"/>
          <w:u w:val="single" w:color="auto"/>
        </w:rPr>
        <w:t>（采购文件中明确的所属</w:t>
      </w:r>
      <w:r>
        <w:rPr>
          <w:rFonts w:ascii="宋体" w:hAnsi="宋体" w:eastAsia="宋体" w:cs="宋体"/>
          <w:color w:val="auto"/>
          <w:spacing w:val="9"/>
          <w:sz w:val="20"/>
          <w:szCs w:val="20"/>
          <w:highlight w:val="none"/>
          <w:u w:val="single" w:color="auto"/>
        </w:rPr>
        <w:t>行业）</w:t>
      </w:r>
      <w:r>
        <w:rPr>
          <w:rFonts w:ascii="宋体" w:hAnsi="宋体" w:eastAsia="宋体" w:cs="宋体"/>
          <w:color w:val="auto"/>
          <w:spacing w:val="9"/>
          <w:sz w:val="20"/>
          <w:szCs w:val="20"/>
          <w:highlight w:val="none"/>
        </w:rPr>
        <w:t>行业；承建企业为</w:t>
      </w:r>
      <w:r>
        <w:rPr>
          <w:rFonts w:ascii="宋体" w:hAnsi="宋体" w:eastAsia="宋体" w:cs="宋体"/>
          <w:color w:val="auto"/>
          <w:spacing w:val="9"/>
          <w:sz w:val="20"/>
          <w:szCs w:val="20"/>
          <w:highlight w:val="none"/>
          <w:u w:val="single" w:color="auto"/>
        </w:rPr>
        <w:t>（企业名称</w:t>
      </w:r>
      <w:r>
        <w:rPr>
          <w:rFonts w:ascii="宋体" w:hAnsi="宋体" w:eastAsia="宋体" w:cs="宋体"/>
          <w:color w:val="auto"/>
          <w:spacing w:val="17"/>
          <w:sz w:val="20"/>
          <w:szCs w:val="20"/>
          <w:highlight w:val="none"/>
          <w:u w:val="single" w:color="auto"/>
        </w:rPr>
        <w:t>）</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从</w:t>
      </w:r>
      <w:r>
        <w:rPr>
          <w:rFonts w:ascii="宋体" w:hAnsi="宋体" w:eastAsia="宋体" w:cs="宋体"/>
          <w:color w:val="auto"/>
          <w:spacing w:val="6"/>
          <w:sz w:val="20"/>
          <w:szCs w:val="20"/>
          <w:highlight w:val="none"/>
        </w:rPr>
        <w:t>业人员</w:t>
      </w:r>
      <w:r>
        <w:rPr>
          <w:rFonts w:ascii="宋体" w:hAnsi="宋体" w:eastAsia="宋体" w:cs="宋体"/>
          <w:color w:val="auto"/>
          <w:spacing w:val="-98"/>
          <w:sz w:val="20"/>
          <w:szCs w:val="20"/>
          <w:highlight w:val="none"/>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6"/>
          <w:sz w:val="20"/>
          <w:szCs w:val="20"/>
          <w:highlight w:val="none"/>
        </w:rPr>
        <w:t>人，营业收入为</w:t>
      </w:r>
      <w:r>
        <w:rPr>
          <w:rFonts w:ascii="宋体" w:hAnsi="宋体" w:eastAsia="宋体" w:cs="宋体"/>
          <w:color w:val="auto"/>
          <w:spacing w:val="-99"/>
          <w:sz w:val="20"/>
          <w:szCs w:val="20"/>
          <w:highlight w:val="none"/>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6"/>
          <w:sz w:val="20"/>
          <w:szCs w:val="20"/>
          <w:highlight w:val="none"/>
        </w:rPr>
        <w:t>万元，资产总额为</w:t>
      </w:r>
      <w:r>
        <w:rPr>
          <w:rFonts w:ascii="宋体" w:hAnsi="宋体" w:eastAsia="宋体" w:cs="宋体"/>
          <w:color w:val="auto"/>
          <w:spacing w:val="-99"/>
          <w:sz w:val="20"/>
          <w:szCs w:val="20"/>
          <w:highlight w:val="none"/>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81"/>
          <w:sz w:val="20"/>
          <w:szCs w:val="20"/>
          <w:highlight w:val="none"/>
        </w:rPr>
        <w:t xml:space="preserve"> </w:t>
      </w:r>
      <w:r>
        <w:rPr>
          <w:rFonts w:ascii="宋体" w:hAnsi="宋体" w:eastAsia="宋体" w:cs="宋体"/>
          <w:color w:val="auto"/>
          <w:spacing w:val="6"/>
          <w:sz w:val="20"/>
          <w:szCs w:val="20"/>
          <w:highlight w:val="none"/>
        </w:rPr>
        <w:t>万元，属于</w:t>
      </w:r>
      <w:r>
        <w:rPr>
          <w:rFonts w:ascii="宋体" w:hAnsi="宋体" w:eastAsia="宋体" w:cs="宋体"/>
          <w:color w:val="auto"/>
          <w:spacing w:val="6"/>
          <w:sz w:val="20"/>
          <w:szCs w:val="20"/>
          <w:highlight w:val="none"/>
          <w:u w:val="single" w:color="auto"/>
        </w:rPr>
        <w:t>（中型企业、</w:t>
      </w:r>
      <w:r>
        <w:rPr>
          <w:rFonts w:ascii="宋体" w:hAnsi="宋体" w:eastAsia="宋体" w:cs="宋体"/>
          <w:color w:val="auto"/>
          <w:spacing w:val="5"/>
          <w:sz w:val="20"/>
          <w:szCs w:val="20"/>
          <w:highlight w:val="none"/>
          <w:u w:val="single" w:color="auto"/>
        </w:rPr>
        <w:t>小型企业、</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微型企业</w:t>
      </w:r>
      <w:r>
        <w:rPr>
          <w:rFonts w:ascii="宋体" w:hAnsi="宋体" w:eastAsia="宋体" w:cs="宋体"/>
          <w:color w:val="auto"/>
          <w:sz w:val="20"/>
          <w:szCs w:val="20"/>
          <w:highlight w:val="none"/>
          <w:u w:val="single" w:color="auto"/>
        </w:rPr>
        <w:t>）</w:t>
      </w:r>
      <w:r>
        <w:rPr>
          <w:rFonts w:ascii="宋体" w:hAnsi="宋体" w:eastAsia="宋体" w:cs="宋体"/>
          <w:color w:val="auto"/>
          <w:sz w:val="20"/>
          <w:szCs w:val="20"/>
          <w:highlight w:val="none"/>
        </w:rPr>
        <w:t>；</w:t>
      </w:r>
    </w:p>
    <w:p w14:paraId="0D6AA623">
      <w:pPr>
        <w:tabs>
          <w:tab w:val="left" w:pos="9095"/>
        </w:tabs>
        <w:spacing w:before="30" w:line="304" w:lineRule="auto"/>
        <w:ind w:firstLine="656"/>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w:t>
      </w:r>
      <w:r>
        <w:rPr>
          <w:rFonts w:ascii="宋体" w:hAnsi="宋体" w:eastAsia="宋体" w:cs="宋体"/>
          <w:color w:val="auto"/>
          <w:spacing w:val="10"/>
          <w:sz w:val="20"/>
          <w:szCs w:val="20"/>
          <w:highlight w:val="none"/>
          <w:u w:val="single" w:color="auto"/>
        </w:rPr>
        <w:t>（标的名称</w:t>
      </w:r>
      <w:r>
        <w:rPr>
          <w:rFonts w:ascii="宋体" w:hAnsi="宋体" w:eastAsia="宋体" w:cs="宋体"/>
          <w:color w:val="auto"/>
          <w:spacing w:val="17"/>
          <w:sz w:val="20"/>
          <w:szCs w:val="20"/>
          <w:highlight w:val="none"/>
          <w:u w:val="single" w:color="auto"/>
        </w:rPr>
        <w:t>）</w:t>
      </w:r>
      <w:r>
        <w:rPr>
          <w:rFonts w:ascii="宋体" w:hAnsi="宋体" w:eastAsia="宋体" w:cs="宋体"/>
          <w:color w:val="auto"/>
          <w:spacing w:val="17"/>
          <w:sz w:val="20"/>
          <w:szCs w:val="20"/>
          <w:highlight w:val="none"/>
        </w:rPr>
        <w:t>，</w:t>
      </w:r>
      <w:r>
        <w:rPr>
          <w:rFonts w:ascii="宋体" w:hAnsi="宋体" w:eastAsia="宋体" w:cs="宋体"/>
          <w:color w:val="auto"/>
          <w:spacing w:val="10"/>
          <w:sz w:val="20"/>
          <w:szCs w:val="20"/>
          <w:highlight w:val="none"/>
        </w:rPr>
        <w:t>属于</w:t>
      </w:r>
      <w:r>
        <w:rPr>
          <w:rFonts w:ascii="宋体" w:hAnsi="宋体" w:eastAsia="宋体" w:cs="宋体"/>
          <w:color w:val="auto"/>
          <w:spacing w:val="10"/>
          <w:sz w:val="20"/>
          <w:szCs w:val="20"/>
          <w:highlight w:val="none"/>
          <w:u w:val="single" w:color="auto"/>
        </w:rPr>
        <w:t>（采购文件中明确的所属行业）</w:t>
      </w:r>
      <w:r>
        <w:rPr>
          <w:rFonts w:ascii="宋体" w:hAnsi="宋体" w:eastAsia="宋体" w:cs="宋体"/>
          <w:color w:val="auto"/>
          <w:spacing w:val="10"/>
          <w:sz w:val="20"/>
          <w:szCs w:val="20"/>
          <w:highlight w:val="none"/>
        </w:rPr>
        <w:t>行业；承建企业为</w:t>
      </w:r>
      <w:r>
        <w:rPr>
          <w:rFonts w:ascii="宋体" w:hAnsi="宋体" w:eastAsia="宋体" w:cs="宋体"/>
          <w:color w:val="auto"/>
          <w:spacing w:val="10"/>
          <w:sz w:val="20"/>
          <w:szCs w:val="20"/>
          <w:highlight w:val="none"/>
          <w:u w:val="single" w:color="auto"/>
        </w:rPr>
        <w:t>（企</w:t>
      </w:r>
      <w:r>
        <w:rPr>
          <w:rFonts w:ascii="宋体" w:hAnsi="宋体" w:eastAsia="宋体" w:cs="宋体"/>
          <w:color w:val="auto"/>
          <w:spacing w:val="9"/>
          <w:sz w:val="20"/>
          <w:szCs w:val="20"/>
          <w:highlight w:val="none"/>
          <w:u w:val="single" w:color="auto"/>
        </w:rPr>
        <w:t>业名称</w:t>
      </w:r>
      <w:r>
        <w:rPr>
          <w:rFonts w:ascii="宋体" w:hAnsi="宋体" w:eastAsia="宋体" w:cs="宋体"/>
          <w:color w:val="auto"/>
          <w:spacing w:val="17"/>
          <w:sz w:val="20"/>
          <w:szCs w:val="20"/>
          <w:highlight w:val="none"/>
          <w:u w:val="single" w:color="auto"/>
        </w:rPr>
        <w:t>）</w:t>
      </w:r>
      <w:r>
        <w:rPr>
          <w:rFonts w:ascii="宋体" w:hAnsi="宋体" w:eastAsia="宋体" w:cs="宋体"/>
          <w:color w:val="auto"/>
          <w:spacing w:val="17"/>
          <w:sz w:val="20"/>
          <w:szCs w:val="20"/>
          <w:highlight w:val="none"/>
        </w:rPr>
        <w:t>，</w:t>
      </w:r>
      <w:r>
        <w:rPr>
          <w:rFonts w:ascii="宋体" w:hAnsi="宋体" w:eastAsia="宋体" w:cs="宋体"/>
          <w:color w:val="auto"/>
          <w:spacing w:val="9"/>
          <w:sz w:val="20"/>
          <w:szCs w:val="20"/>
          <w:highlight w:val="none"/>
        </w:rPr>
        <w:t>从</w:t>
      </w:r>
      <w:r>
        <w:rPr>
          <w:rFonts w:ascii="宋体" w:hAnsi="宋体" w:eastAsia="宋体" w:cs="宋体"/>
          <w:color w:val="auto"/>
          <w:spacing w:val="2"/>
          <w:sz w:val="20"/>
          <w:szCs w:val="20"/>
          <w:highlight w:val="none"/>
        </w:rPr>
        <w:t xml:space="preserve"> </w:t>
      </w:r>
      <w:r>
        <w:rPr>
          <w:rFonts w:ascii="宋体" w:hAnsi="宋体" w:eastAsia="宋体" w:cs="宋体"/>
          <w:color w:val="auto"/>
          <w:spacing w:val="6"/>
          <w:sz w:val="20"/>
          <w:szCs w:val="20"/>
          <w:highlight w:val="none"/>
        </w:rPr>
        <w:t>业人员</w:t>
      </w:r>
      <w:r>
        <w:rPr>
          <w:rFonts w:ascii="宋体" w:hAnsi="宋体" w:eastAsia="宋体" w:cs="宋体"/>
          <w:color w:val="auto"/>
          <w:spacing w:val="-98"/>
          <w:sz w:val="20"/>
          <w:szCs w:val="20"/>
          <w:highlight w:val="none"/>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6"/>
          <w:sz w:val="20"/>
          <w:szCs w:val="20"/>
          <w:highlight w:val="none"/>
        </w:rPr>
        <w:t>人，营业收入为</w:t>
      </w:r>
      <w:r>
        <w:rPr>
          <w:rFonts w:ascii="宋体" w:hAnsi="宋体" w:eastAsia="宋体" w:cs="宋体"/>
          <w:color w:val="auto"/>
          <w:spacing w:val="-99"/>
          <w:sz w:val="20"/>
          <w:szCs w:val="20"/>
          <w:highlight w:val="none"/>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6"/>
          <w:sz w:val="20"/>
          <w:szCs w:val="20"/>
          <w:highlight w:val="none"/>
        </w:rPr>
        <w:t>万元，资产总额为</w:t>
      </w:r>
      <w:r>
        <w:rPr>
          <w:rFonts w:ascii="宋体" w:hAnsi="宋体" w:eastAsia="宋体" w:cs="宋体"/>
          <w:color w:val="auto"/>
          <w:spacing w:val="-99"/>
          <w:sz w:val="20"/>
          <w:szCs w:val="20"/>
          <w:highlight w:val="none"/>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81"/>
          <w:sz w:val="20"/>
          <w:szCs w:val="20"/>
          <w:highlight w:val="none"/>
        </w:rPr>
        <w:t xml:space="preserve"> </w:t>
      </w:r>
      <w:r>
        <w:rPr>
          <w:rFonts w:ascii="宋体" w:hAnsi="宋体" w:eastAsia="宋体" w:cs="宋体"/>
          <w:color w:val="auto"/>
          <w:spacing w:val="6"/>
          <w:sz w:val="20"/>
          <w:szCs w:val="20"/>
          <w:highlight w:val="none"/>
        </w:rPr>
        <w:t>万元，属于</w:t>
      </w:r>
      <w:r>
        <w:rPr>
          <w:rFonts w:ascii="宋体" w:hAnsi="宋体" w:eastAsia="宋体" w:cs="宋体"/>
          <w:color w:val="auto"/>
          <w:spacing w:val="6"/>
          <w:sz w:val="20"/>
          <w:szCs w:val="20"/>
          <w:highlight w:val="none"/>
          <w:u w:val="single" w:color="auto"/>
        </w:rPr>
        <w:t>（中型企业、</w:t>
      </w:r>
      <w:r>
        <w:rPr>
          <w:rFonts w:ascii="宋体" w:hAnsi="宋体" w:eastAsia="宋体" w:cs="宋体"/>
          <w:color w:val="auto"/>
          <w:spacing w:val="5"/>
          <w:sz w:val="20"/>
          <w:szCs w:val="20"/>
          <w:highlight w:val="none"/>
          <w:u w:val="single" w:color="auto"/>
        </w:rPr>
        <w:t>小型企业、</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u w:val="single" w:color="auto"/>
        </w:rPr>
        <w:t>微型企业</w:t>
      </w:r>
      <w:r>
        <w:rPr>
          <w:rFonts w:ascii="宋体" w:hAnsi="宋体" w:eastAsia="宋体" w:cs="宋体"/>
          <w:color w:val="auto"/>
          <w:sz w:val="20"/>
          <w:szCs w:val="20"/>
          <w:highlight w:val="none"/>
          <w:u w:val="single" w:color="auto"/>
        </w:rPr>
        <w:t>）</w:t>
      </w:r>
      <w:r>
        <w:rPr>
          <w:rFonts w:ascii="宋体" w:hAnsi="宋体" w:eastAsia="宋体" w:cs="宋体"/>
          <w:color w:val="auto"/>
          <w:sz w:val="20"/>
          <w:szCs w:val="20"/>
          <w:highlight w:val="none"/>
        </w:rPr>
        <w:t>；</w:t>
      </w:r>
    </w:p>
    <w:p w14:paraId="3F70079F">
      <w:pPr>
        <w:spacing w:before="32" w:line="324" w:lineRule="exact"/>
        <w:ind w:left="580"/>
        <w:rPr>
          <w:rFonts w:ascii="宋体" w:hAnsi="宋体" w:eastAsia="宋体" w:cs="宋体"/>
          <w:color w:val="auto"/>
          <w:sz w:val="20"/>
          <w:szCs w:val="20"/>
          <w:highlight w:val="none"/>
        </w:rPr>
      </w:pPr>
      <w:r>
        <w:rPr>
          <w:rFonts w:ascii="宋体" w:hAnsi="宋体" w:eastAsia="宋体" w:cs="宋体"/>
          <w:color w:val="auto"/>
          <w:spacing w:val="-2"/>
          <w:position w:val="2"/>
          <w:sz w:val="20"/>
          <w:szCs w:val="20"/>
          <w:highlight w:val="none"/>
        </w:rPr>
        <w:t>……</w:t>
      </w:r>
    </w:p>
    <w:p w14:paraId="6D126E02">
      <w:pPr>
        <w:spacing w:before="17" w:line="300" w:lineRule="auto"/>
        <w:ind w:left="37" w:right="201" w:firstLine="404"/>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 xml:space="preserve">以上企业，不属于大企业的分支机构，不存在控股股东为大企业的情形，也不存在与大企业 </w:t>
      </w:r>
      <w:r>
        <w:rPr>
          <w:rFonts w:ascii="宋体" w:hAnsi="宋体" w:eastAsia="宋体" w:cs="宋体"/>
          <w:color w:val="auto"/>
          <w:spacing w:val="6"/>
          <w:sz w:val="20"/>
          <w:szCs w:val="20"/>
          <w:highlight w:val="none"/>
        </w:rPr>
        <w:t>的负责人为同一人的情形。</w:t>
      </w:r>
    </w:p>
    <w:p w14:paraId="314783FF">
      <w:pPr>
        <w:spacing w:before="32" w:line="227" w:lineRule="auto"/>
        <w:ind w:left="56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本企业对上述声明内容的真实性负责。如有虚假，将依法承担相应责任。</w:t>
      </w:r>
    </w:p>
    <w:p w14:paraId="5F56180D">
      <w:pPr>
        <w:pStyle w:val="2"/>
        <w:spacing w:line="368" w:lineRule="auto"/>
        <w:rPr>
          <w:color w:val="auto"/>
          <w:highlight w:val="none"/>
        </w:rPr>
      </w:pPr>
    </w:p>
    <w:p w14:paraId="401620C0">
      <w:pPr>
        <w:spacing w:before="65" w:line="227" w:lineRule="auto"/>
        <w:ind w:left="45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供应商名称（电子签章</w:t>
      </w:r>
      <w:r>
        <w:rPr>
          <w:rFonts w:ascii="宋体" w:hAnsi="宋体" w:eastAsia="宋体" w:cs="宋体"/>
          <w:color w:val="auto"/>
          <w:spacing w:val="4"/>
          <w:sz w:val="20"/>
          <w:szCs w:val="20"/>
          <w:highlight w:val="none"/>
        </w:rPr>
        <w:t>）：</w:t>
      </w:r>
    </w:p>
    <w:p w14:paraId="10643FFA">
      <w:pPr>
        <w:spacing w:before="92" w:line="228" w:lineRule="auto"/>
        <w:ind w:left="613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日期：</w:t>
      </w:r>
      <w:r>
        <w:rPr>
          <w:rFonts w:ascii="宋体" w:hAnsi="宋体" w:eastAsia="宋体" w:cs="宋体"/>
          <w:color w:val="auto"/>
          <w:spacing w:val="17"/>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12"/>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20"/>
          <w:sz w:val="20"/>
          <w:szCs w:val="20"/>
          <w:highlight w:val="none"/>
        </w:rPr>
        <w:t xml:space="preserve">   </w:t>
      </w:r>
      <w:r>
        <w:rPr>
          <w:rFonts w:ascii="宋体" w:hAnsi="宋体" w:eastAsia="宋体" w:cs="宋体"/>
          <w:color w:val="auto"/>
          <w:spacing w:val="-6"/>
          <w:sz w:val="20"/>
          <w:szCs w:val="20"/>
          <w:highlight w:val="none"/>
        </w:rPr>
        <w:t>日</w:t>
      </w:r>
    </w:p>
    <w:p w14:paraId="4328D9B9">
      <w:pPr>
        <w:pStyle w:val="2"/>
        <w:spacing w:line="352" w:lineRule="auto"/>
        <w:rPr>
          <w:color w:val="auto"/>
          <w:highlight w:val="none"/>
        </w:rPr>
      </w:pPr>
    </w:p>
    <w:p w14:paraId="390624A9">
      <w:pPr>
        <w:pStyle w:val="2"/>
        <w:spacing w:line="353" w:lineRule="auto"/>
        <w:rPr>
          <w:color w:val="auto"/>
          <w:highlight w:val="none"/>
        </w:rPr>
      </w:pPr>
    </w:p>
    <w:p w14:paraId="5CC51F4D">
      <w:pPr>
        <w:spacing w:before="66" w:line="305" w:lineRule="auto"/>
        <w:ind w:left="428" w:right="59" w:firstLine="41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注：享受《政府采购促进中小企业发展管理办法》（财库〔20</w:t>
      </w:r>
      <w:r>
        <w:rPr>
          <w:rFonts w:ascii="宋体" w:hAnsi="宋体" w:eastAsia="宋体" w:cs="宋体"/>
          <w:color w:val="auto"/>
          <w:spacing w:val="7"/>
          <w:sz w:val="20"/>
          <w:szCs w:val="20"/>
          <w:highlight w:val="none"/>
        </w:rPr>
        <w:t>20〕46</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号）规定的中小企业</w:t>
      </w:r>
      <w:r>
        <w:rPr>
          <w:rFonts w:ascii="宋体" w:hAnsi="宋体" w:eastAsia="宋体" w:cs="宋体"/>
          <w:color w:val="auto"/>
          <w:spacing w:val="10"/>
          <w:sz w:val="20"/>
          <w:szCs w:val="20"/>
          <w:highlight w:val="none"/>
        </w:rPr>
        <w:t>扶持政策的，采购人、采购代理机构应当随成交结果公开成交供应商的《中小企业声</w:t>
      </w:r>
      <w:r>
        <w:rPr>
          <w:rFonts w:ascii="宋体" w:hAnsi="宋体" w:eastAsia="宋体" w:cs="宋体"/>
          <w:color w:val="auto"/>
          <w:spacing w:val="9"/>
          <w:sz w:val="20"/>
          <w:szCs w:val="20"/>
          <w:highlight w:val="none"/>
        </w:rPr>
        <w:t>明函》。</w:t>
      </w:r>
      <w:r>
        <w:rPr>
          <w:rFonts w:ascii="宋体" w:hAnsi="宋体" w:eastAsia="宋体" w:cs="宋体"/>
          <w:color w:val="auto"/>
          <w:spacing w:val="10"/>
          <w:sz w:val="20"/>
          <w:szCs w:val="20"/>
          <w:highlight w:val="none"/>
        </w:rPr>
        <w:t>从业人员、营业收入、资产总额填报上一年度数</w:t>
      </w:r>
      <w:r>
        <w:rPr>
          <w:rFonts w:ascii="宋体" w:hAnsi="宋体" w:eastAsia="宋体" w:cs="宋体"/>
          <w:color w:val="auto"/>
          <w:spacing w:val="9"/>
          <w:sz w:val="20"/>
          <w:szCs w:val="20"/>
          <w:highlight w:val="none"/>
        </w:rPr>
        <w:t>据，无上一年度数据的新成立企业可不填报。</w:t>
      </w:r>
    </w:p>
    <w:p w14:paraId="3021B033">
      <w:pPr>
        <w:spacing w:line="305" w:lineRule="auto"/>
        <w:rPr>
          <w:rFonts w:ascii="宋体" w:hAnsi="宋体" w:eastAsia="宋体" w:cs="宋体"/>
          <w:color w:val="auto"/>
          <w:sz w:val="20"/>
          <w:szCs w:val="20"/>
          <w:highlight w:val="none"/>
        </w:rPr>
        <w:sectPr>
          <w:footerReference r:id="rId21" w:type="default"/>
          <w:pgSz w:w="11910" w:h="16840"/>
          <w:pgMar w:top="1357" w:right="1570" w:bottom="1019" w:left="1243" w:header="0" w:footer="857" w:gutter="0"/>
          <w:pgNumType w:fmt="decimal"/>
          <w:cols w:space="720" w:num="1"/>
        </w:sectPr>
      </w:pPr>
    </w:p>
    <w:p w14:paraId="11701530">
      <w:pPr>
        <w:spacing w:before="63" w:line="225" w:lineRule="auto"/>
        <w:ind w:left="2549"/>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残疾人福利性单位声明函</w:t>
      </w:r>
    </w:p>
    <w:p w14:paraId="57F5820B">
      <w:pPr>
        <w:pStyle w:val="2"/>
        <w:spacing w:line="286" w:lineRule="auto"/>
        <w:rPr>
          <w:color w:val="auto"/>
          <w:highlight w:val="none"/>
        </w:rPr>
      </w:pPr>
    </w:p>
    <w:p w14:paraId="2A21FDE3">
      <w:pPr>
        <w:pStyle w:val="2"/>
        <w:spacing w:line="286" w:lineRule="auto"/>
        <w:rPr>
          <w:color w:val="auto"/>
          <w:highlight w:val="none"/>
        </w:rPr>
      </w:pPr>
    </w:p>
    <w:p w14:paraId="3A5C0DDC">
      <w:pPr>
        <w:spacing w:before="65" w:line="307" w:lineRule="auto"/>
        <w:ind w:right="54" w:firstLine="421"/>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本单位郑重声明，根据《财政部</w:t>
      </w:r>
      <w:r>
        <w:rPr>
          <w:rFonts w:ascii="宋体" w:hAnsi="宋体" w:eastAsia="宋体" w:cs="宋体"/>
          <w:color w:val="auto"/>
          <w:spacing w:val="48"/>
          <w:sz w:val="20"/>
          <w:szCs w:val="20"/>
          <w:highlight w:val="none"/>
        </w:rPr>
        <w:t xml:space="preserve"> </w:t>
      </w:r>
      <w:r>
        <w:rPr>
          <w:rFonts w:ascii="宋体" w:hAnsi="宋体" w:eastAsia="宋体" w:cs="宋体"/>
          <w:color w:val="auto"/>
          <w:spacing w:val="8"/>
          <w:sz w:val="20"/>
          <w:szCs w:val="20"/>
          <w:highlight w:val="none"/>
        </w:rPr>
        <w:t>民政部</w:t>
      </w:r>
      <w:r>
        <w:rPr>
          <w:rFonts w:ascii="宋体" w:hAnsi="宋体" w:eastAsia="宋体" w:cs="宋体"/>
          <w:color w:val="auto"/>
          <w:spacing w:val="36"/>
          <w:sz w:val="20"/>
          <w:szCs w:val="20"/>
          <w:highlight w:val="none"/>
        </w:rPr>
        <w:t xml:space="preserve"> </w:t>
      </w:r>
      <w:r>
        <w:rPr>
          <w:rFonts w:ascii="宋体" w:hAnsi="宋体" w:eastAsia="宋体" w:cs="宋体"/>
          <w:color w:val="auto"/>
          <w:spacing w:val="8"/>
          <w:sz w:val="20"/>
          <w:szCs w:val="20"/>
          <w:highlight w:val="none"/>
        </w:rPr>
        <w:t>中国残疾人联合会关于促进残疾人就业政府采购</w:t>
      </w:r>
      <w:r>
        <w:rPr>
          <w:rFonts w:ascii="宋体" w:hAnsi="宋体" w:eastAsia="宋体" w:cs="宋体"/>
          <w:color w:val="auto"/>
          <w:spacing w:val="10"/>
          <w:sz w:val="20"/>
          <w:szCs w:val="20"/>
          <w:highlight w:val="none"/>
        </w:rPr>
        <w:t>政策的通知》（财库〔2017〕141</w:t>
      </w:r>
      <w:r>
        <w:rPr>
          <w:rFonts w:ascii="宋体" w:hAnsi="宋体" w:eastAsia="宋体" w:cs="宋体"/>
          <w:color w:val="auto"/>
          <w:spacing w:val="-33"/>
          <w:sz w:val="20"/>
          <w:szCs w:val="20"/>
          <w:highlight w:val="none"/>
        </w:rPr>
        <w:t xml:space="preserve"> </w:t>
      </w:r>
      <w:r>
        <w:rPr>
          <w:rFonts w:ascii="宋体" w:hAnsi="宋体" w:eastAsia="宋体" w:cs="宋体"/>
          <w:color w:val="auto"/>
          <w:spacing w:val="10"/>
          <w:sz w:val="20"/>
          <w:szCs w:val="20"/>
          <w:highlight w:val="none"/>
        </w:rPr>
        <w:t>号）的规定，本单位为符合条件的残疾人福利性单位，且本</w:t>
      </w:r>
      <w:r>
        <w:rPr>
          <w:rFonts w:ascii="宋体" w:hAnsi="宋体" w:eastAsia="宋体" w:cs="宋体"/>
          <w:color w:val="auto"/>
          <w:spacing w:val="7"/>
          <w:sz w:val="20"/>
          <w:szCs w:val="20"/>
          <w:highlight w:val="none"/>
        </w:rPr>
        <w:t>单位参加</w:t>
      </w:r>
      <w:r>
        <w:rPr>
          <w:rFonts w:ascii="宋体" w:hAnsi="宋体" w:eastAsia="宋体" w:cs="宋体"/>
          <w:color w:val="auto"/>
          <w:spacing w:val="-94"/>
          <w:sz w:val="20"/>
          <w:szCs w:val="20"/>
          <w:highlight w:val="none"/>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73"/>
          <w:sz w:val="20"/>
          <w:szCs w:val="20"/>
          <w:highlight w:val="none"/>
        </w:rPr>
        <w:t xml:space="preserve"> </w:t>
      </w:r>
      <w:r>
        <w:rPr>
          <w:rFonts w:ascii="宋体" w:hAnsi="宋体" w:eastAsia="宋体" w:cs="宋体"/>
          <w:color w:val="auto"/>
          <w:spacing w:val="7"/>
          <w:sz w:val="20"/>
          <w:szCs w:val="20"/>
          <w:highlight w:val="none"/>
        </w:rPr>
        <w:t>单位的</w:t>
      </w:r>
      <w:r>
        <w:rPr>
          <w:rFonts w:ascii="宋体" w:hAnsi="宋体" w:eastAsia="宋体" w:cs="宋体"/>
          <w:color w:val="auto"/>
          <w:spacing w:val="-96"/>
          <w:sz w:val="20"/>
          <w:szCs w:val="20"/>
          <w:highlight w:val="none"/>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84"/>
          <w:sz w:val="20"/>
          <w:szCs w:val="20"/>
          <w:highlight w:val="none"/>
        </w:rPr>
        <w:t xml:space="preserve"> </w:t>
      </w:r>
      <w:r>
        <w:rPr>
          <w:rFonts w:ascii="宋体" w:hAnsi="宋体" w:eastAsia="宋体" w:cs="宋体"/>
          <w:color w:val="auto"/>
          <w:spacing w:val="7"/>
          <w:sz w:val="20"/>
          <w:szCs w:val="20"/>
          <w:highlight w:val="none"/>
        </w:rPr>
        <w:t>项目</w:t>
      </w:r>
      <w:r>
        <w:rPr>
          <w:rFonts w:ascii="宋体" w:hAnsi="宋体" w:eastAsia="宋体" w:cs="宋体"/>
          <w:color w:val="auto"/>
          <w:spacing w:val="8"/>
          <w:sz w:val="20"/>
          <w:szCs w:val="20"/>
          <w:highlight w:val="none"/>
        </w:rPr>
        <w:t>采购活动由本单位提供服务。</w:t>
      </w:r>
    </w:p>
    <w:p w14:paraId="14BDC771">
      <w:pPr>
        <w:spacing w:before="32" w:line="227" w:lineRule="auto"/>
        <w:ind w:left="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本单位对上述声明的真实性负责。如有虚假，将依法承担相应责任。</w:t>
      </w:r>
    </w:p>
    <w:p w14:paraId="75E0BC0B">
      <w:pPr>
        <w:pStyle w:val="2"/>
        <w:spacing w:line="260" w:lineRule="auto"/>
        <w:rPr>
          <w:color w:val="auto"/>
          <w:highlight w:val="none"/>
        </w:rPr>
      </w:pPr>
    </w:p>
    <w:p w14:paraId="3C167ED8">
      <w:pPr>
        <w:pStyle w:val="2"/>
        <w:spacing w:line="261" w:lineRule="auto"/>
        <w:rPr>
          <w:color w:val="auto"/>
          <w:highlight w:val="none"/>
        </w:rPr>
      </w:pPr>
    </w:p>
    <w:p w14:paraId="26021675">
      <w:pPr>
        <w:pStyle w:val="2"/>
        <w:spacing w:line="261" w:lineRule="auto"/>
        <w:rPr>
          <w:color w:val="auto"/>
          <w:highlight w:val="none"/>
        </w:rPr>
      </w:pPr>
    </w:p>
    <w:p w14:paraId="453F070A">
      <w:pPr>
        <w:pStyle w:val="2"/>
        <w:spacing w:line="261" w:lineRule="auto"/>
        <w:rPr>
          <w:color w:val="auto"/>
          <w:highlight w:val="none"/>
        </w:rPr>
      </w:pPr>
    </w:p>
    <w:p w14:paraId="22475533">
      <w:pPr>
        <w:spacing w:before="65" w:line="227" w:lineRule="auto"/>
        <w:ind w:left="21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供应商名称（电子签章</w:t>
      </w:r>
      <w:r>
        <w:rPr>
          <w:rFonts w:ascii="宋体" w:hAnsi="宋体" w:eastAsia="宋体" w:cs="宋体"/>
          <w:color w:val="auto"/>
          <w:spacing w:val="4"/>
          <w:sz w:val="20"/>
          <w:szCs w:val="20"/>
          <w:highlight w:val="none"/>
        </w:rPr>
        <w:t>）：</w:t>
      </w:r>
    </w:p>
    <w:p w14:paraId="018C8985">
      <w:pPr>
        <w:spacing w:before="94" w:line="228" w:lineRule="auto"/>
        <w:ind w:left="3816"/>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日</w:t>
      </w:r>
      <w:r>
        <w:rPr>
          <w:rFonts w:ascii="宋体" w:hAnsi="宋体" w:eastAsia="宋体" w:cs="宋体"/>
          <w:color w:val="auto"/>
          <w:spacing w:val="11"/>
          <w:sz w:val="20"/>
          <w:szCs w:val="20"/>
          <w:highlight w:val="none"/>
        </w:rPr>
        <w:t xml:space="preserve">  </w:t>
      </w:r>
      <w:r>
        <w:rPr>
          <w:rFonts w:ascii="宋体" w:hAnsi="宋体" w:eastAsia="宋体" w:cs="宋体"/>
          <w:color w:val="auto"/>
          <w:spacing w:val="-11"/>
          <w:sz w:val="20"/>
          <w:szCs w:val="20"/>
          <w:highlight w:val="none"/>
        </w:rPr>
        <w:t>期</w:t>
      </w:r>
      <w:r>
        <w:rPr>
          <w:rFonts w:ascii="宋体" w:hAnsi="宋体" w:eastAsia="宋体" w:cs="宋体"/>
          <w:color w:val="auto"/>
          <w:spacing w:val="-74"/>
          <w:sz w:val="20"/>
          <w:szCs w:val="20"/>
          <w:highlight w:val="none"/>
        </w:rPr>
        <w:t xml:space="preserve"> </w:t>
      </w:r>
      <w:r>
        <w:rPr>
          <w:rFonts w:ascii="宋体" w:hAnsi="宋体" w:eastAsia="宋体" w:cs="宋体"/>
          <w:color w:val="auto"/>
          <w:spacing w:val="-11"/>
          <w:sz w:val="20"/>
          <w:szCs w:val="20"/>
          <w:highlight w:val="none"/>
        </w:rPr>
        <w:t>：</w:t>
      </w:r>
      <w:r>
        <w:rPr>
          <w:rFonts w:ascii="宋体" w:hAnsi="宋体" w:eastAsia="宋体" w:cs="宋体"/>
          <w:color w:val="auto"/>
          <w:spacing w:val="8"/>
          <w:sz w:val="20"/>
          <w:szCs w:val="20"/>
          <w:highlight w:val="none"/>
        </w:rPr>
        <w:t xml:space="preserve">     </w:t>
      </w:r>
      <w:r>
        <w:rPr>
          <w:rFonts w:ascii="宋体" w:hAnsi="宋体" w:eastAsia="宋体" w:cs="宋体"/>
          <w:color w:val="auto"/>
          <w:spacing w:val="-11"/>
          <w:sz w:val="20"/>
          <w:szCs w:val="20"/>
          <w:highlight w:val="none"/>
        </w:rPr>
        <w:t>年</w:t>
      </w:r>
      <w:r>
        <w:rPr>
          <w:rFonts w:ascii="宋体" w:hAnsi="宋体" w:eastAsia="宋体" w:cs="宋体"/>
          <w:color w:val="auto"/>
          <w:spacing w:val="11"/>
          <w:sz w:val="20"/>
          <w:szCs w:val="20"/>
          <w:highlight w:val="none"/>
        </w:rPr>
        <w:t xml:space="preserve">   </w:t>
      </w:r>
      <w:r>
        <w:rPr>
          <w:rFonts w:ascii="宋体" w:hAnsi="宋体" w:eastAsia="宋体" w:cs="宋体"/>
          <w:color w:val="auto"/>
          <w:spacing w:val="-11"/>
          <w:sz w:val="20"/>
          <w:szCs w:val="20"/>
          <w:highlight w:val="none"/>
        </w:rPr>
        <w:t>月</w:t>
      </w:r>
      <w:r>
        <w:rPr>
          <w:rFonts w:ascii="宋体" w:hAnsi="宋体" w:eastAsia="宋体" w:cs="宋体"/>
          <w:color w:val="auto"/>
          <w:spacing w:val="19"/>
          <w:sz w:val="20"/>
          <w:szCs w:val="20"/>
          <w:highlight w:val="none"/>
        </w:rPr>
        <w:t xml:space="preserve">   </w:t>
      </w:r>
      <w:r>
        <w:rPr>
          <w:rFonts w:ascii="宋体" w:hAnsi="宋体" w:eastAsia="宋体" w:cs="宋体"/>
          <w:color w:val="auto"/>
          <w:spacing w:val="-11"/>
          <w:sz w:val="20"/>
          <w:szCs w:val="20"/>
          <w:highlight w:val="none"/>
        </w:rPr>
        <w:t>日</w:t>
      </w:r>
    </w:p>
    <w:p w14:paraId="2523C98A">
      <w:pPr>
        <w:pStyle w:val="2"/>
        <w:spacing w:line="260" w:lineRule="auto"/>
        <w:rPr>
          <w:color w:val="auto"/>
          <w:highlight w:val="none"/>
        </w:rPr>
      </w:pPr>
    </w:p>
    <w:p w14:paraId="5605507F">
      <w:pPr>
        <w:pStyle w:val="2"/>
        <w:spacing w:line="260" w:lineRule="auto"/>
        <w:rPr>
          <w:color w:val="auto"/>
          <w:highlight w:val="none"/>
        </w:rPr>
      </w:pPr>
    </w:p>
    <w:p w14:paraId="0101824E">
      <w:pPr>
        <w:pStyle w:val="2"/>
        <w:spacing w:line="260" w:lineRule="auto"/>
        <w:rPr>
          <w:color w:val="auto"/>
          <w:highlight w:val="none"/>
        </w:rPr>
      </w:pPr>
    </w:p>
    <w:p w14:paraId="61FCB650">
      <w:pPr>
        <w:pStyle w:val="2"/>
        <w:spacing w:line="261" w:lineRule="auto"/>
        <w:rPr>
          <w:color w:val="auto"/>
          <w:highlight w:val="none"/>
        </w:rPr>
      </w:pPr>
    </w:p>
    <w:p w14:paraId="4A9D56A9">
      <w:pPr>
        <w:spacing w:before="66" w:line="305" w:lineRule="auto"/>
        <w:ind w:firstLine="420"/>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注：请根据自己的真实情况出具《残疾人福利性单位声明函》。依法享受中小企业优惠政</w:t>
      </w:r>
      <w:r>
        <w:rPr>
          <w:rFonts w:ascii="宋体" w:hAnsi="宋体" w:eastAsia="宋体" w:cs="宋体"/>
          <w:color w:val="auto"/>
          <w:spacing w:val="6"/>
          <w:sz w:val="20"/>
          <w:szCs w:val="20"/>
          <w:highlight w:val="none"/>
        </w:rPr>
        <w:t>策的，采购人或者采购代理机构在公告中标结果时，同时公告其《残疾人福利性单位声明函》，</w:t>
      </w:r>
      <w:r>
        <w:rPr>
          <w:rFonts w:ascii="宋体" w:hAnsi="宋体" w:eastAsia="宋体" w:cs="宋体"/>
          <w:color w:val="auto"/>
          <w:spacing w:val="7"/>
          <w:sz w:val="20"/>
          <w:szCs w:val="20"/>
          <w:highlight w:val="none"/>
        </w:rPr>
        <w:t>接受社会监督。</w:t>
      </w:r>
    </w:p>
    <w:p w14:paraId="2BAC6301">
      <w:pPr>
        <w:spacing w:line="305" w:lineRule="auto"/>
        <w:rPr>
          <w:rFonts w:ascii="宋体" w:hAnsi="宋体" w:eastAsia="宋体" w:cs="宋体"/>
          <w:color w:val="auto"/>
          <w:sz w:val="20"/>
          <w:szCs w:val="20"/>
          <w:highlight w:val="none"/>
        </w:rPr>
        <w:sectPr>
          <w:footerReference r:id="rId22" w:type="default"/>
          <w:pgSz w:w="11910" w:h="16840"/>
          <w:pgMar w:top="1357" w:right="1576" w:bottom="1019" w:left="1668" w:header="0" w:footer="856" w:gutter="0"/>
          <w:pgNumType w:fmt="decimal"/>
          <w:cols w:space="720" w:num="1"/>
        </w:sectPr>
      </w:pPr>
    </w:p>
    <w:p w14:paraId="10204E40">
      <w:pPr>
        <w:spacing w:before="63" w:line="224" w:lineRule="auto"/>
        <w:ind w:left="2681"/>
        <w:rPr>
          <w:rFonts w:ascii="宋体" w:hAnsi="宋体" w:eastAsia="宋体" w:cs="宋体"/>
          <w:color w:val="auto"/>
          <w:sz w:val="31"/>
          <w:szCs w:val="31"/>
          <w:highlight w:val="none"/>
        </w:rPr>
      </w:pPr>
      <w:r>
        <w:rPr>
          <w:rFonts w:ascii="宋体" w:hAnsi="宋体" w:eastAsia="宋体" w:cs="宋体"/>
          <w:b/>
          <w:bCs/>
          <w:color w:val="auto"/>
          <w:spacing w:val="7"/>
          <w:sz w:val="31"/>
          <w:szCs w:val="31"/>
          <w:highlight w:val="none"/>
        </w:rPr>
        <w:t>供应商直接控股、管理关系信息表</w:t>
      </w:r>
    </w:p>
    <w:p w14:paraId="3EE5A0F9">
      <w:pPr>
        <w:pStyle w:val="2"/>
        <w:spacing w:line="241" w:lineRule="auto"/>
        <w:rPr>
          <w:color w:val="auto"/>
          <w:highlight w:val="none"/>
        </w:rPr>
      </w:pPr>
    </w:p>
    <w:p w14:paraId="7A9ACBDF">
      <w:pPr>
        <w:pStyle w:val="2"/>
        <w:spacing w:line="242" w:lineRule="auto"/>
        <w:rPr>
          <w:color w:val="auto"/>
          <w:highlight w:val="none"/>
        </w:rPr>
      </w:pPr>
    </w:p>
    <w:p w14:paraId="1A1E9B61">
      <w:pPr>
        <w:pStyle w:val="2"/>
        <w:spacing w:line="242" w:lineRule="auto"/>
        <w:rPr>
          <w:color w:val="auto"/>
          <w:highlight w:val="none"/>
        </w:rPr>
      </w:pPr>
    </w:p>
    <w:p w14:paraId="09054817">
      <w:pPr>
        <w:spacing w:before="101" w:line="224" w:lineRule="auto"/>
        <w:ind w:left="3164"/>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供应商直接控股股东信息表</w:t>
      </w:r>
    </w:p>
    <w:p w14:paraId="34BA0819">
      <w:pPr>
        <w:spacing w:before="240"/>
        <w:rPr>
          <w:color w:val="auto"/>
          <w:highlight w:val="none"/>
        </w:rPr>
      </w:pPr>
    </w:p>
    <w:tbl>
      <w:tblPr>
        <w:tblStyle w:val="14"/>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46B5C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84" w:type="dxa"/>
            <w:vAlign w:val="top"/>
          </w:tcPr>
          <w:p w14:paraId="5E48F6EF">
            <w:pPr>
              <w:pStyle w:val="15"/>
              <w:spacing w:before="157" w:line="229" w:lineRule="auto"/>
              <w:ind w:left="235"/>
              <w:rPr>
                <w:color w:val="auto"/>
                <w:highlight w:val="none"/>
              </w:rPr>
            </w:pPr>
            <w:r>
              <w:rPr>
                <w:b/>
                <w:bCs/>
                <w:color w:val="auto"/>
                <w:spacing w:val="4"/>
                <w:highlight w:val="none"/>
              </w:rPr>
              <w:t>序号</w:t>
            </w:r>
          </w:p>
        </w:tc>
        <w:tc>
          <w:tcPr>
            <w:tcW w:w="2654" w:type="dxa"/>
            <w:vAlign w:val="top"/>
          </w:tcPr>
          <w:p w14:paraId="05A614A7">
            <w:pPr>
              <w:pStyle w:val="15"/>
              <w:spacing w:before="157" w:line="228" w:lineRule="auto"/>
              <w:ind w:left="489"/>
              <w:rPr>
                <w:color w:val="auto"/>
                <w:highlight w:val="none"/>
              </w:rPr>
            </w:pPr>
            <w:r>
              <w:rPr>
                <w:b/>
                <w:bCs/>
                <w:color w:val="auto"/>
                <w:spacing w:val="7"/>
                <w:highlight w:val="none"/>
              </w:rPr>
              <w:t>直接控股股东名称</w:t>
            </w:r>
          </w:p>
        </w:tc>
        <w:tc>
          <w:tcPr>
            <w:tcW w:w="1454" w:type="dxa"/>
            <w:vAlign w:val="top"/>
          </w:tcPr>
          <w:p w14:paraId="489E5B16">
            <w:pPr>
              <w:pStyle w:val="15"/>
              <w:spacing w:before="157" w:line="229" w:lineRule="auto"/>
              <w:ind w:left="328"/>
              <w:rPr>
                <w:color w:val="auto"/>
                <w:highlight w:val="none"/>
              </w:rPr>
            </w:pPr>
            <w:r>
              <w:rPr>
                <w:b/>
                <w:bCs/>
                <w:color w:val="auto"/>
                <w:spacing w:val="2"/>
                <w:highlight w:val="none"/>
              </w:rPr>
              <w:t>出资比例</w:t>
            </w:r>
          </w:p>
        </w:tc>
        <w:tc>
          <w:tcPr>
            <w:tcW w:w="4285" w:type="dxa"/>
            <w:vAlign w:val="top"/>
          </w:tcPr>
          <w:p w14:paraId="1E70BE5E">
            <w:pPr>
              <w:pStyle w:val="15"/>
              <w:spacing w:before="157" w:line="227" w:lineRule="auto"/>
              <w:ind w:left="573"/>
              <w:rPr>
                <w:color w:val="auto"/>
                <w:highlight w:val="none"/>
              </w:rPr>
            </w:pPr>
            <w:r>
              <w:rPr>
                <w:b/>
                <w:bCs/>
                <w:color w:val="auto"/>
                <w:spacing w:val="7"/>
                <w:highlight w:val="none"/>
              </w:rPr>
              <w:t>身份证号码或者统一社会信用代码</w:t>
            </w:r>
          </w:p>
        </w:tc>
        <w:tc>
          <w:tcPr>
            <w:tcW w:w="874" w:type="dxa"/>
            <w:vAlign w:val="top"/>
          </w:tcPr>
          <w:p w14:paraId="637B9D16">
            <w:pPr>
              <w:pStyle w:val="15"/>
              <w:spacing w:before="157" w:line="229" w:lineRule="auto"/>
              <w:ind w:left="233"/>
              <w:rPr>
                <w:color w:val="auto"/>
                <w:highlight w:val="none"/>
              </w:rPr>
            </w:pPr>
            <w:r>
              <w:rPr>
                <w:b/>
                <w:bCs/>
                <w:color w:val="auto"/>
                <w:spacing w:val="2"/>
                <w:highlight w:val="none"/>
              </w:rPr>
              <w:t>备注</w:t>
            </w:r>
          </w:p>
        </w:tc>
      </w:tr>
      <w:tr w14:paraId="27255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84" w:type="dxa"/>
            <w:vAlign w:val="top"/>
          </w:tcPr>
          <w:p w14:paraId="25ED7B4B">
            <w:pPr>
              <w:pStyle w:val="15"/>
              <w:spacing w:before="184" w:line="189" w:lineRule="auto"/>
              <w:ind w:left="410"/>
              <w:rPr>
                <w:color w:val="auto"/>
                <w:highlight w:val="none"/>
              </w:rPr>
            </w:pPr>
            <w:r>
              <w:rPr>
                <w:color w:val="auto"/>
                <w:highlight w:val="none"/>
              </w:rPr>
              <w:t>1</w:t>
            </w:r>
          </w:p>
        </w:tc>
        <w:tc>
          <w:tcPr>
            <w:tcW w:w="2654" w:type="dxa"/>
            <w:vAlign w:val="top"/>
          </w:tcPr>
          <w:p w14:paraId="19D9A197">
            <w:pPr>
              <w:rPr>
                <w:rFonts w:ascii="Arial"/>
                <w:color w:val="auto"/>
                <w:sz w:val="21"/>
                <w:highlight w:val="none"/>
              </w:rPr>
            </w:pPr>
          </w:p>
        </w:tc>
        <w:tc>
          <w:tcPr>
            <w:tcW w:w="1454" w:type="dxa"/>
            <w:vAlign w:val="top"/>
          </w:tcPr>
          <w:p w14:paraId="23AF0801">
            <w:pPr>
              <w:rPr>
                <w:rFonts w:ascii="Arial"/>
                <w:color w:val="auto"/>
                <w:sz w:val="21"/>
                <w:highlight w:val="none"/>
              </w:rPr>
            </w:pPr>
          </w:p>
        </w:tc>
        <w:tc>
          <w:tcPr>
            <w:tcW w:w="4285" w:type="dxa"/>
            <w:vAlign w:val="top"/>
          </w:tcPr>
          <w:p w14:paraId="46F4BFF2">
            <w:pPr>
              <w:rPr>
                <w:rFonts w:ascii="Arial"/>
                <w:color w:val="auto"/>
                <w:sz w:val="21"/>
                <w:highlight w:val="none"/>
              </w:rPr>
            </w:pPr>
          </w:p>
        </w:tc>
        <w:tc>
          <w:tcPr>
            <w:tcW w:w="874" w:type="dxa"/>
            <w:vAlign w:val="top"/>
          </w:tcPr>
          <w:p w14:paraId="5EB107BC">
            <w:pPr>
              <w:rPr>
                <w:rFonts w:ascii="Arial"/>
                <w:color w:val="auto"/>
                <w:sz w:val="21"/>
                <w:highlight w:val="none"/>
              </w:rPr>
            </w:pPr>
          </w:p>
        </w:tc>
      </w:tr>
      <w:tr w14:paraId="6D302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84" w:type="dxa"/>
            <w:vAlign w:val="top"/>
          </w:tcPr>
          <w:p w14:paraId="696E6CD6">
            <w:pPr>
              <w:pStyle w:val="15"/>
              <w:spacing w:before="187" w:line="189" w:lineRule="auto"/>
              <w:ind w:left="397"/>
              <w:rPr>
                <w:color w:val="auto"/>
                <w:highlight w:val="none"/>
              </w:rPr>
            </w:pPr>
            <w:r>
              <w:rPr>
                <w:color w:val="auto"/>
                <w:highlight w:val="none"/>
              </w:rPr>
              <w:t>2</w:t>
            </w:r>
          </w:p>
        </w:tc>
        <w:tc>
          <w:tcPr>
            <w:tcW w:w="2654" w:type="dxa"/>
            <w:vAlign w:val="top"/>
          </w:tcPr>
          <w:p w14:paraId="0C6DF846">
            <w:pPr>
              <w:rPr>
                <w:rFonts w:ascii="Arial"/>
                <w:color w:val="auto"/>
                <w:sz w:val="21"/>
                <w:highlight w:val="none"/>
              </w:rPr>
            </w:pPr>
          </w:p>
        </w:tc>
        <w:tc>
          <w:tcPr>
            <w:tcW w:w="1454" w:type="dxa"/>
            <w:vAlign w:val="top"/>
          </w:tcPr>
          <w:p w14:paraId="2AF52336">
            <w:pPr>
              <w:rPr>
                <w:rFonts w:ascii="Arial"/>
                <w:color w:val="auto"/>
                <w:sz w:val="21"/>
                <w:highlight w:val="none"/>
              </w:rPr>
            </w:pPr>
          </w:p>
        </w:tc>
        <w:tc>
          <w:tcPr>
            <w:tcW w:w="4285" w:type="dxa"/>
            <w:vAlign w:val="top"/>
          </w:tcPr>
          <w:p w14:paraId="0B2F91C7">
            <w:pPr>
              <w:rPr>
                <w:rFonts w:ascii="Arial"/>
                <w:color w:val="auto"/>
                <w:sz w:val="21"/>
                <w:highlight w:val="none"/>
              </w:rPr>
            </w:pPr>
          </w:p>
        </w:tc>
        <w:tc>
          <w:tcPr>
            <w:tcW w:w="874" w:type="dxa"/>
            <w:vAlign w:val="top"/>
          </w:tcPr>
          <w:p w14:paraId="2BD7D348">
            <w:pPr>
              <w:rPr>
                <w:rFonts w:ascii="Arial"/>
                <w:color w:val="auto"/>
                <w:sz w:val="21"/>
                <w:highlight w:val="none"/>
              </w:rPr>
            </w:pPr>
          </w:p>
        </w:tc>
      </w:tr>
      <w:tr w14:paraId="42A60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84" w:type="dxa"/>
            <w:vAlign w:val="top"/>
          </w:tcPr>
          <w:p w14:paraId="35D343F0">
            <w:pPr>
              <w:pStyle w:val="15"/>
              <w:spacing w:before="186" w:line="189" w:lineRule="auto"/>
              <w:ind w:left="399"/>
              <w:rPr>
                <w:color w:val="auto"/>
                <w:highlight w:val="none"/>
              </w:rPr>
            </w:pPr>
            <w:r>
              <w:rPr>
                <w:color w:val="auto"/>
                <w:highlight w:val="none"/>
              </w:rPr>
              <w:t>3</w:t>
            </w:r>
          </w:p>
        </w:tc>
        <w:tc>
          <w:tcPr>
            <w:tcW w:w="2654" w:type="dxa"/>
            <w:vAlign w:val="top"/>
          </w:tcPr>
          <w:p w14:paraId="1F7D2CE0">
            <w:pPr>
              <w:rPr>
                <w:rFonts w:ascii="Arial"/>
                <w:color w:val="auto"/>
                <w:sz w:val="21"/>
                <w:highlight w:val="none"/>
              </w:rPr>
            </w:pPr>
          </w:p>
        </w:tc>
        <w:tc>
          <w:tcPr>
            <w:tcW w:w="1454" w:type="dxa"/>
            <w:vAlign w:val="top"/>
          </w:tcPr>
          <w:p w14:paraId="0144E731">
            <w:pPr>
              <w:rPr>
                <w:rFonts w:ascii="Arial"/>
                <w:color w:val="auto"/>
                <w:sz w:val="21"/>
                <w:highlight w:val="none"/>
              </w:rPr>
            </w:pPr>
          </w:p>
        </w:tc>
        <w:tc>
          <w:tcPr>
            <w:tcW w:w="4285" w:type="dxa"/>
            <w:vAlign w:val="top"/>
          </w:tcPr>
          <w:p w14:paraId="3B3811B7">
            <w:pPr>
              <w:rPr>
                <w:rFonts w:ascii="Arial"/>
                <w:color w:val="auto"/>
                <w:sz w:val="21"/>
                <w:highlight w:val="none"/>
              </w:rPr>
            </w:pPr>
          </w:p>
        </w:tc>
        <w:tc>
          <w:tcPr>
            <w:tcW w:w="874" w:type="dxa"/>
            <w:vAlign w:val="top"/>
          </w:tcPr>
          <w:p w14:paraId="4FF73BC9">
            <w:pPr>
              <w:rPr>
                <w:rFonts w:ascii="Arial"/>
                <w:color w:val="auto"/>
                <w:sz w:val="21"/>
                <w:highlight w:val="none"/>
              </w:rPr>
            </w:pPr>
          </w:p>
        </w:tc>
      </w:tr>
      <w:tr w14:paraId="35B4D1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84" w:type="dxa"/>
            <w:vAlign w:val="top"/>
          </w:tcPr>
          <w:p w14:paraId="66AC87C7">
            <w:pPr>
              <w:pStyle w:val="15"/>
              <w:spacing w:before="157" w:line="324" w:lineRule="exact"/>
              <w:ind w:left="252"/>
              <w:rPr>
                <w:color w:val="auto"/>
                <w:highlight w:val="none"/>
              </w:rPr>
            </w:pPr>
            <w:r>
              <w:rPr>
                <w:color w:val="auto"/>
                <w:spacing w:val="-2"/>
                <w:position w:val="2"/>
                <w:highlight w:val="none"/>
              </w:rPr>
              <w:t>……</w:t>
            </w:r>
          </w:p>
        </w:tc>
        <w:tc>
          <w:tcPr>
            <w:tcW w:w="2654" w:type="dxa"/>
            <w:vAlign w:val="top"/>
          </w:tcPr>
          <w:p w14:paraId="4CACADAB">
            <w:pPr>
              <w:rPr>
                <w:rFonts w:ascii="Arial"/>
                <w:color w:val="auto"/>
                <w:sz w:val="21"/>
                <w:highlight w:val="none"/>
              </w:rPr>
            </w:pPr>
          </w:p>
        </w:tc>
        <w:tc>
          <w:tcPr>
            <w:tcW w:w="1454" w:type="dxa"/>
            <w:vAlign w:val="top"/>
          </w:tcPr>
          <w:p w14:paraId="148D00C8">
            <w:pPr>
              <w:rPr>
                <w:rFonts w:ascii="Arial"/>
                <w:color w:val="auto"/>
                <w:sz w:val="21"/>
                <w:highlight w:val="none"/>
              </w:rPr>
            </w:pPr>
          </w:p>
        </w:tc>
        <w:tc>
          <w:tcPr>
            <w:tcW w:w="4285" w:type="dxa"/>
            <w:vAlign w:val="top"/>
          </w:tcPr>
          <w:p w14:paraId="6A36B1E8">
            <w:pPr>
              <w:rPr>
                <w:rFonts w:ascii="Arial"/>
                <w:color w:val="auto"/>
                <w:sz w:val="21"/>
                <w:highlight w:val="none"/>
              </w:rPr>
            </w:pPr>
          </w:p>
        </w:tc>
        <w:tc>
          <w:tcPr>
            <w:tcW w:w="874" w:type="dxa"/>
            <w:vAlign w:val="top"/>
          </w:tcPr>
          <w:p w14:paraId="20F4261D">
            <w:pPr>
              <w:rPr>
                <w:rFonts w:ascii="Arial"/>
                <w:color w:val="auto"/>
                <w:sz w:val="21"/>
                <w:highlight w:val="none"/>
              </w:rPr>
            </w:pPr>
          </w:p>
        </w:tc>
      </w:tr>
    </w:tbl>
    <w:p w14:paraId="2D46028D">
      <w:pPr>
        <w:spacing w:before="32" w:line="232" w:lineRule="auto"/>
        <w:ind w:left="776"/>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14:paraId="64549C7E">
      <w:pPr>
        <w:spacing w:before="89" w:line="307" w:lineRule="auto"/>
        <w:ind w:left="776" w:right="779" w:firstLine="435"/>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1.直接控股股东：是指其出资额占有限责任公司资本总额百分之五十以上或者其持有的股</w:t>
      </w:r>
      <w:r>
        <w:rPr>
          <w:rFonts w:ascii="宋体" w:hAnsi="宋体" w:eastAsia="宋体" w:cs="宋体"/>
          <w:color w:val="auto"/>
          <w:spacing w:val="10"/>
          <w:sz w:val="20"/>
          <w:szCs w:val="20"/>
          <w:highlight w:val="none"/>
        </w:rPr>
        <w:t>份占股份有限公司股份总额百分之五十以上的股东；出资额或者持有</w:t>
      </w:r>
      <w:r>
        <w:rPr>
          <w:rFonts w:ascii="宋体" w:hAnsi="宋体" w:eastAsia="宋体" w:cs="宋体"/>
          <w:color w:val="auto"/>
          <w:spacing w:val="9"/>
          <w:sz w:val="20"/>
          <w:szCs w:val="20"/>
          <w:highlight w:val="none"/>
        </w:rPr>
        <w:t>股份的比例虽然不足百分</w:t>
      </w:r>
      <w:r>
        <w:rPr>
          <w:rFonts w:ascii="宋体" w:hAnsi="宋体" w:eastAsia="宋体" w:cs="宋体"/>
          <w:color w:val="auto"/>
          <w:spacing w:val="10"/>
          <w:sz w:val="20"/>
          <w:szCs w:val="20"/>
          <w:highlight w:val="none"/>
        </w:rPr>
        <w:t>之五十，但依其出资额或者持有的股份所享有的表决权已足以对股东</w:t>
      </w:r>
      <w:r>
        <w:rPr>
          <w:rFonts w:ascii="宋体" w:hAnsi="宋体" w:eastAsia="宋体" w:cs="宋体"/>
          <w:color w:val="auto"/>
          <w:spacing w:val="9"/>
          <w:sz w:val="20"/>
          <w:szCs w:val="20"/>
          <w:highlight w:val="none"/>
        </w:rPr>
        <w:t>会、股东大会的决议产生</w:t>
      </w:r>
      <w:r>
        <w:rPr>
          <w:rFonts w:ascii="宋体" w:hAnsi="宋体" w:eastAsia="宋体" w:cs="宋体"/>
          <w:color w:val="auto"/>
          <w:spacing w:val="7"/>
          <w:sz w:val="20"/>
          <w:szCs w:val="20"/>
          <w:highlight w:val="none"/>
        </w:rPr>
        <w:t>重大影响的股东。</w:t>
      </w:r>
    </w:p>
    <w:p w14:paraId="629B880E">
      <w:pPr>
        <w:spacing w:before="30" w:line="300" w:lineRule="auto"/>
        <w:ind w:left="783" w:right="779" w:firstLine="41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2.本表所指的控股关系仅限于直接控股关系，不包括间接的控股关系。公司实际控制人与</w:t>
      </w:r>
      <w:r>
        <w:rPr>
          <w:rFonts w:ascii="宋体" w:hAnsi="宋体" w:eastAsia="宋体" w:cs="宋体"/>
          <w:color w:val="auto"/>
          <w:spacing w:val="8"/>
          <w:sz w:val="20"/>
          <w:szCs w:val="20"/>
          <w:highlight w:val="none"/>
        </w:rPr>
        <w:t>公司之间的关系不属于本表所指的直接控股关系。</w:t>
      </w:r>
    </w:p>
    <w:p w14:paraId="769397D5">
      <w:pPr>
        <w:spacing w:before="31" w:line="227" w:lineRule="auto"/>
        <w:ind w:left="1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3.供应商不存在直接控股股东的，则填“无</w:t>
      </w:r>
      <w:r>
        <w:rPr>
          <w:rFonts w:ascii="宋体" w:hAnsi="宋体" w:eastAsia="宋体" w:cs="宋体"/>
          <w:color w:val="auto"/>
          <w:spacing w:val="-61"/>
          <w:sz w:val="20"/>
          <w:szCs w:val="20"/>
          <w:highlight w:val="none"/>
        </w:rPr>
        <w:t xml:space="preserve"> </w:t>
      </w:r>
      <w:r>
        <w:rPr>
          <w:rFonts w:ascii="宋体" w:hAnsi="宋体" w:eastAsia="宋体" w:cs="宋体"/>
          <w:color w:val="auto"/>
          <w:spacing w:val="8"/>
          <w:sz w:val="20"/>
          <w:szCs w:val="20"/>
          <w:highlight w:val="none"/>
        </w:rPr>
        <w:t>”。</w:t>
      </w:r>
    </w:p>
    <w:p w14:paraId="26A19E03">
      <w:pPr>
        <w:pStyle w:val="2"/>
        <w:spacing w:line="291" w:lineRule="auto"/>
        <w:rPr>
          <w:color w:val="auto"/>
          <w:highlight w:val="none"/>
        </w:rPr>
      </w:pPr>
    </w:p>
    <w:p w14:paraId="69A95C8F">
      <w:pPr>
        <w:pStyle w:val="2"/>
        <w:spacing w:line="291" w:lineRule="auto"/>
        <w:rPr>
          <w:color w:val="auto"/>
          <w:highlight w:val="none"/>
        </w:rPr>
      </w:pPr>
    </w:p>
    <w:p w14:paraId="36911630">
      <w:pPr>
        <w:pStyle w:val="2"/>
        <w:spacing w:line="291" w:lineRule="auto"/>
        <w:rPr>
          <w:color w:val="auto"/>
          <w:highlight w:val="none"/>
        </w:rPr>
      </w:pPr>
    </w:p>
    <w:p w14:paraId="2E17F5AB">
      <w:pPr>
        <w:pStyle w:val="2"/>
        <w:spacing w:line="291" w:lineRule="auto"/>
        <w:rPr>
          <w:color w:val="auto"/>
          <w:highlight w:val="none"/>
        </w:rPr>
      </w:pPr>
    </w:p>
    <w:p w14:paraId="4F1DAAC2">
      <w:pPr>
        <w:spacing w:before="65" w:line="228" w:lineRule="auto"/>
        <w:ind w:left="245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法定代表人或者委托代理人签字：</w:t>
      </w:r>
      <w:r>
        <w:rPr>
          <w:rFonts w:ascii="宋体" w:hAnsi="宋体" w:eastAsia="宋体" w:cs="宋体"/>
          <w:color w:val="auto"/>
          <w:sz w:val="20"/>
          <w:szCs w:val="20"/>
          <w:highlight w:val="none"/>
          <w:u w:val="single" w:color="auto"/>
        </w:rPr>
        <w:t xml:space="preserve">                 </w:t>
      </w:r>
    </w:p>
    <w:p w14:paraId="5C1DAE5C">
      <w:pPr>
        <w:spacing w:before="214" w:line="411" w:lineRule="auto"/>
        <w:ind w:left="5397" w:right="1616" w:hanging="199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供应商（盖公章</w:t>
      </w:r>
      <w:r>
        <w:rPr>
          <w:rFonts w:ascii="宋体" w:hAnsi="宋体" w:eastAsia="宋体" w:cs="宋体"/>
          <w:color w:val="auto"/>
          <w:spacing w:val="36"/>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9"/>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16"/>
          <w:sz w:val="20"/>
          <w:szCs w:val="20"/>
          <w:highlight w:val="none"/>
        </w:rPr>
        <w:t xml:space="preserve">    </w:t>
      </w:r>
      <w:r>
        <w:rPr>
          <w:rFonts w:ascii="宋体" w:hAnsi="宋体" w:eastAsia="宋体" w:cs="宋体"/>
          <w:color w:val="auto"/>
          <w:spacing w:val="-2"/>
          <w:sz w:val="20"/>
          <w:szCs w:val="20"/>
          <w:highlight w:val="none"/>
        </w:rPr>
        <w:t>日</w:t>
      </w:r>
    </w:p>
    <w:p w14:paraId="0FE5F481">
      <w:pPr>
        <w:spacing w:line="411" w:lineRule="auto"/>
        <w:rPr>
          <w:rFonts w:ascii="宋体" w:hAnsi="宋体" w:eastAsia="宋体" w:cs="宋体"/>
          <w:color w:val="auto"/>
          <w:sz w:val="20"/>
          <w:szCs w:val="20"/>
          <w:highlight w:val="none"/>
        </w:rPr>
        <w:sectPr>
          <w:footerReference r:id="rId23" w:type="default"/>
          <w:pgSz w:w="11910" w:h="16840"/>
          <w:pgMar w:top="1357" w:right="861" w:bottom="1019" w:left="892" w:header="0" w:footer="857" w:gutter="0"/>
          <w:pgNumType w:fmt="decimal"/>
          <w:cols w:space="720" w:num="1"/>
        </w:sectPr>
      </w:pPr>
    </w:p>
    <w:p w14:paraId="423AB5C6">
      <w:pPr>
        <w:spacing w:before="63" w:line="224" w:lineRule="auto"/>
        <w:ind w:left="2916"/>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供应商直接管理关系信息表</w:t>
      </w:r>
    </w:p>
    <w:p w14:paraId="0B676215">
      <w:pPr>
        <w:spacing w:before="192"/>
        <w:rPr>
          <w:color w:val="auto"/>
          <w:highlight w:val="none"/>
        </w:rPr>
      </w:pPr>
    </w:p>
    <w:tbl>
      <w:tblPr>
        <w:tblStyle w:val="14"/>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16E35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12" w:type="dxa"/>
            <w:vAlign w:val="top"/>
          </w:tcPr>
          <w:p w14:paraId="72404419">
            <w:pPr>
              <w:pStyle w:val="15"/>
              <w:spacing w:before="155" w:line="229" w:lineRule="auto"/>
              <w:ind w:left="198"/>
              <w:rPr>
                <w:color w:val="auto"/>
                <w:highlight w:val="none"/>
              </w:rPr>
            </w:pPr>
            <w:r>
              <w:rPr>
                <w:b/>
                <w:bCs/>
                <w:color w:val="auto"/>
                <w:spacing w:val="4"/>
                <w:highlight w:val="none"/>
              </w:rPr>
              <w:t>序号</w:t>
            </w:r>
          </w:p>
        </w:tc>
        <w:tc>
          <w:tcPr>
            <w:tcW w:w="3598" w:type="dxa"/>
            <w:vAlign w:val="top"/>
          </w:tcPr>
          <w:p w14:paraId="56C6424D">
            <w:pPr>
              <w:pStyle w:val="15"/>
              <w:spacing w:before="155" w:line="228" w:lineRule="auto"/>
              <w:ind w:left="752"/>
              <w:rPr>
                <w:color w:val="auto"/>
                <w:highlight w:val="none"/>
              </w:rPr>
            </w:pPr>
            <w:r>
              <w:rPr>
                <w:b/>
                <w:bCs/>
                <w:color w:val="auto"/>
                <w:spacing w:val="7"/>
                <w:highlight w:val="none"/>
              </w:rPr>
              <w:t>直接管理关系单位名称</w:t>
            </w:r>
          </w:p>
        </w:tc>
        <w:tc>
          <w:tcPr>
            <w:tcW w:w="3553" w:type="dxa"/>
            <w:vAlign w:val="top"/>
          </w:tcPr>
          <w:p w14:paraId="74C40E4B">
            <w:pPr>
              <w:pStyle w:val="15"/>
              <w:spacing w:before="155" w:line="227" w:lineRule="auto"/>
              <w:ind w:left="945"/>
              <w:rPr>
                <w:color w:val="auto"/>
                <w:highlight w:val="none"/>
              </w:rPr>
            </w:pPr>
            <w:r>
              <w:rPr>
                <w:b/>
                <w:bCs/>
                <w:color w:val="auto"/>
                <w:spacing w:val="6"/>
                <w:highlight w:val="none"/>
              </w:rPr>
              <w:t>统一社会信用代码</w:t>
            </w:r>
          </w:p>
        </w:tc>
        <w:tc>
          <w:tcPr>
            <w:tcW w:w="1693" w:type="dxa"/>
            <w:vAlign w:val="top"/>
          </w:tcPr>
          <w:p w14:paraId="3E028D94">
            <w:pPr>
              <w:pStyle w:val="15"/>
              <w:spacing w:before="155" w:line="229" w:lineRule="auto"/>
              <w:ind w:left="644"/>
              <w:rPr>
                <w:color w:val="auto"/>
                <w:highlight w:val="none"/>
              </w:rPr>
            </w:pPr>
            <w:r>
              <w:rPr>
                <w:b/>
                <w:bCs/>
                <w:color w:val="auto"/>
                <w:spacing w:val="2"/>
                <w:highlight w:val="none"/>
              </w:rPr>
              <w:t>备注</w:t>
            </w:r>
          </w:p>
        </w:tc>
      </w:tr>
      <w:tr w14:paraId="0E538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12" w:type="dxa"/>
            <w:vAlign w:val="top"/>
          </w:tcPr>
          <w:p w14:paraId="7A1134B8">
            <w:pPr>
              <w:pStyle w:val="15"/>
              <w:spacing w:before="184" w:line="189" w:lineRule="auto"/>
              <w:ind w:left="373"/>
              <w:rPr>
                <w:color w:val="auto"/>
                <w:highlight w:val="none"/>
              </w:rPr>
            </w:pPr>
            <w:r>
              <w:rPr>
                <w:color w:val="auto"/>
                <w:highlight w:val="none"/>
              </w:rPr>
              <w:t>1</w:t>
            </w:r>
          </w:p>
        </w:tc>
        <w:tc>
          <w:tcPr>
            <w:tcW w:w="3598" w:type="dxa"/>
            <w:vAlign w:val="top"/>
          </w:tcPr>
          <w:p w14:paraId="222BC4A7">
            <w:pPr>
              <w:rPr>
                <w:rFonts w:ascii="Arial"/>
                <w:color w:val="auto"/>
                <w:sz w:val="21"/>
                <w:highlight w:val="none"/>
              </w:rPr>
            </w:pPr>
          </w:p>
        </w:tc>
        <w:tc>
          <w:tcPr>
            <w:tcW w:w="3553" w:type="dxa"/>
            <w:vAlign w:val="top"/>
          </w:tcPr>
          <w:p w14:paraId="540EB824">
            <w:pPr>
              <w:rPr>
                <w:rFonts w:ascii="Arial"/>
                <w:color w:val="auto"/>
                <w:sz w:val="21"/>
                <w:highlight w:val="none"/>
              </w:rPr>
            </w:pPr>
          </w:p>
        </w:tc>
        <w:tc>
          <w:tcPr>
            <w:tcW w:w="1693" w:type="dxa"/>
            <w:vAlign w:val="top"/>
          </w:tcPr>
          <w:p w14:paraId="3FF66F3C">
            <w:pPr>
              <w:rPr>
                <w:rFonts w:ascii="Arial"/>
                <w:color w:val="auto"/>
                <w:sz w:val="21"/>
                <w:highlight w:val="none"/>
              </w:rPr>
            </w:pPr>
          </w:p>
        </w:tc>
      </w:tr>
      <w:tr w14:paraId="2D1FB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812" w:type="dxa"/>
            <w:vAlign w:val="top"/>
          </w:tcPr>
          <w:p w14:paraId="309D4C79">
            <w:pPr>
              <w:pStyle w:val="15"/>
              <w:spacing w:before="186" w:line="189" w:lineRule="auto"/>
              <w:ind w:left="360"/>
              <w:rPr>
                <w:color w:val="auto"/>
                <w:highlight w:val="none"/>
              </w:rPr>
            </w:pPr>
            <w:r>
              <w:rPr>
                <w:color w:val="auto"/>
                <w:highlight w:val="none"/>
              </w:rPr>
              <w:t>2</w:t>
            </w:r>
          </w:p>
        </w:tc>
        <w:tc>
          <w:tcPr>
            <w:tcW w:w="3598" w:type="dxa"/>
            <w:vAlign w:val="top"/>
          </w:tcPr>
          <w:p w14:paraId="3AA8AB59">
            <w:pPr>
              <w:rPr>
                <w:rFonts w:ascii="Arial"/>
                <w:color w:val="auto"/>
                <w:sz w:val="21"/>
                <w:highlight w:val="none"/>
              </w:rPr>
            </w:pPr>
          </w:p>
        </w:tc>
        <w:tc>
          <w:tcPr>
            <w:tcW w:w="3553" w:type="dxa"/>
            <w:vAlign w:val="top"/>
          </w:tcPr>
          <w:p w14:paraId="2DE52661">
            <w:pPr>
              <w:rPr>
                <w:rFonts w:ascii="Arial"/>
                <w:color w:val="auto"/>
                <w:sz w:val="21"/>
                <w:highlight w:val="none"/>
              </w:rPr>
            </w:pPr>
          </w:p>
        </w:tc>
        <w:tc>
          <w:tcPr>
            <w:tcW w:w="1693" w:type="dxa"/>
            <w:vAlign w:val="top"/>
          </w:tcPr>
          <w:p w14:paraId="104B106B">
            <w:pPr>
              <w:rPr>
                <w:rFonts w:ascii="Arial"/>
                <w:color w:val="auto"/>
                <w:sz w:val="21"/>
                <w:highlight w:val="none"/>
              </w:rPr>
            </w:pPr>
          </w:p>
        </w:tc>
      </w:tr>
      <w:tr w14:paraId="57FFE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12" w:type="dxa"/>
            <w:vAlign w:val="top"/>
          </w:tcPr>
          <w:p w14:paraId="53052A27">
            <w:pPr>
              <w:pStyle w:val="15"/>
              <w:spacing w:before="187" w:line="189" w:lineRule="auto"/>
              <w:ind w:left="362"/>
              <w:rPr>
                <w:color w:val="auto"/>
                <w:highlight w:val="none"/>
              </w:rPr>
            </w:pPr>
            <w:r>
              <w:rPr>
                <w:color w:val="auto"/>
                <w:highlight w:val="none"/>
              </w:rPr>
              <w:t>3</w:t>
            </w:r>
          </w:p>
        </w:tc>
        <w:tc>
          <w:tcPr>
            <w:tcW w:w="3598" w:type="dxa"/>
            <w:vAlign w:val="top"/>
          </w:tcPr>
          <w:p w14:paraId="6EB55832">
            <w:pPr>
              <w:rPr>
                <w:rFonts w:ascii="Arial"/>
                <w:color w:val="auto"/>
                <w:sz w:val="21"/>
                <w:highlight w:val="none"/>
              </w:rPr>
            </w:pPr>
          </w:p>
        </w:tc>
        <w:tc>
          <w:tcPr>
            <w:tcW w:w="3553" w:type="dxa"/>
            <w:vAlign w:val="top"/>
          </w:tcPr>
          <w:p w14:paraId="30BB2F4E">
            <w:pPr>
              <w:rPr>
                <w:rFonts w:ascii="Arial"/>
                <w:color w:val="auto"/>
                <w:sz w:val="21"/>
                <w:highlight w:val="none"/>
              </w:rPr>
            </w:pPr>
          </w:p>
        </w:tc>
        <w:tc>
          <w:tcPr>
            <w:tcW w:w="1693" w:type="dxa"/>
            <w:vAlign w:val="top"/>
          </w:tcPr>
          <w:p w14:paraId="124DDC2F">
            <w:pPr>
              <w:rPr>
                <w:rFonts w:ascii="Arial"/>
                <w:color w:val="auto"/>
                <w:sz w:val="21"/>
                <w:highlight w:val="none"/>
              </w:rPr>
            </w:pPr>
          </w:p>
        </w:tc>
      </w:tr>
      <w:tr w14:paraId="1812A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12" w:type="dxa"/>
            <w:vAlign w:val="top"/>
          </w:tcPr>
          <w:p w14:paraId="5CF06230">
            <w:pPr>
              <w:pStyle w:val="15"/>
              <w:spacing w:before="155" w:line="324" w:lineRule="exact"/>
              <w:ind w:left="215"/>
              <w:rPr>
                <w:color w:val="auto"/>
                <w:highlight w:val="none"/>
              </w:rPr>
            </w:pPr>
            <w:r>
              <w:rPr>
                <w:color w:val="auto"/>
                <w:spacing w:val="-2"/>
                <w:position w:val="2"/>
                <w:highlight w:val="none"/>
              </w:rPr>
              <w:t>……</w:t>
            </w:r>
          </w:p>
        </w:tc>
        <w:tc>
          <w:tcPr>
            <w:tcW w:w="3598" w:type="dxa"/>
            <w:vAlign w:val="top"/>
          </w:tcPr>
          <w:p w14:paraId="4C425A4F">
            <w:pPr>
              <w:rPr>
                <w:rFonts w:ascii="Arial"/>
                <w:color w:val="auto"/>
                <w:sz w:val="21"/>
                <w:highlight w:val="none"/>
              </w:rPr>
            </w:pPr>
          </w:p>
        </w:tc>
        <w:tc>
          <w:tcPr>
            <w:tcW w:w="3553" w:type="dxa"/>
            <w:vAlign w:val="top"/>
          </w:tcPr>
          <w:p w14:paraId="5F965CC3">
            <w:pPr>
              <w:rPr>
                <w:rFonts w:ascii="Arial"/>
                <w:color w:val="auto"/>
                <w:sz w:val="21"/>
                <w:highlight w:val="none"/>
              </w:rPr>
            </w:pPr>
          </w:p>
        </w:tc>
        <w:tc>
          <w:tcPr>
            <w:tcW w:w="1693" w:type="dxa"/>
            <w:vAlign w:val="top"/>
          </w:tcPr>
          <w:p w14:paraId="74868035">
            <w:pPr>
              <w:rPr>
                <w:rFonts w:ascii="Arial"/>
                <w:color w:val="auto"/>
                <w:sz w:val="21"/>
                <w:highlight w:val="none"/>
              </w:rPr>
            </w:pPr>
          </w:p>
        </w:tc>
      </w:tr>
    </w:tbl>
    <w:p w14:paraId="071592E9">
      <w:pPr>
        <w:spacing w:before="31" w:line="232" w:lineRule="auto"/>
        <w:ind w:left="528"/>
        <w:rPr>
          <w:rFonts w:ascii="宋体" w:hAnsi="宋体" w:eastAsia="宋体" w:cs="宋体"/>
          <w:color w:val="auto"/>
          <w:sz w:val="20"/>
          <w:szCs w:val="20"/>
          <w:highlight w:val="none"/>
        </w:rPr>
      </w:pPr>
      <w:r>
        <w:rPr>
          <w:rFonts w:ascii="宋体" w:hAnsi="宋体" w:eastAsia="宋体" w:cs="宋体"/>
          <w:color w:val="auto"/>
          <w:sz w:val="20"/>
          <w:szCs w:val="20"/>
          <w:highlight w:val="none"/>
        </w:rPr>
        <w:t>注：</w:t>
      </w:r>
    </w:p>
    <w:p w14:paraId="702B91A4">
      <w:pPr>
        <w:spacing w:before="90" w:line="300" w:lineRule="auto"/>
        <w:ind w:left="530" w:right="532" w:firstLine="43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1.管理关系：是指不具有出资持股关系的其他单位之间存在的管理与被管理关系，如一些</w:t>
      </w:r>
      <w:r>
        <w:rPr>
          <w:rFonts w:ascii="宋体" w:hAnsi="宋体" w:eastAsia="宋体" w:cs="宋体"/>
          <w:color w:val="auto"/>
          <w:spacing w:val="4"/>
          <w:sz w:val="20"/>
          <w:szCs w:val="20"/>
          <w:highlight w:val="none"/>
        </w:rPr>
        <w:t xml:space="preserve"> </w:t>
      </w:r>
      <w:r>
        <w:rPr>
          <w:rFonts w:ascii="宋体" w:hAnsi="宋体" w:eastAsia="宋体" w:cs="宋体"/>
          <w:color w:val="auto"/>
          <w:spacing w:val="8"/>
          <w:sz w:val="20"/>
          <w:szCs w:val="20"/>
          <w:highlight w:val="none"/>
        </w:rPr>
        <w:t>上下级关系的事业单位和团体组织。</w:t>
      </w:r>
    </w:p>
    <w:p w14:paraId="5B4D830B">
      <w:pPr>
        <w:spacing w:before="30" w:line="300" w:lineRule="auto"/>
        <w:ind w:left="952" w:right="2595" w:hanging="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2.本表所指的管理关系仅限于直接管理关系，不包括间接的管理关系。</w:t>
      </w:r>
      <w:r>
        <w:rPr>
          <w:rFonts w:ascii="宋体" w:hAnsi="宋体" w:eastAsia="宋体" w:cs="宋体"/>
          <w:color w:val="auto"/>
          <w:spacing w:val="10"/>
          <w:sz w:val="20"/>
          <w:szCs w:val="20"/>
          <w:highlight w:val="none"/>
        </w:rPr>
        <w:t xml:space="preserve"> </w:t>
      </w:r>
      <w:r>
        <w:rPr>
          <w:rFonts w:ascii="宋体" w:hAnsi="宋体" w:eastAsia="宋体" w:cs="宋体"/>
          <w:color w:val="auto"/>
          <w:spacing w:val="8"/>
          <w:sz w:val="20"/>
          <w:szCs w:val="20"/>
          <w:highlight w:val="none"/>
        </w:rPr>
        <w:t>3.供应商不存在直接管理关系的，则填“无</w:t>
      </w:r>
      <w:r>
        <w:rPr>
          <w:rFonts w:ascii="宋体" w:hAnsi="宋体" w:eastAsia="宋体" w:cs="宋体"/>
          <w:color w:val="auto"/>
          <w:spacing w:val="-61"/>
          <w:sz w:val="20"/>
          <w:szCs w:val="20"/>
          <w:highlight w:val="none"/>
        </w:rPr>
        <w:t xml:space="preserve"> </w:t>
      </w:r>
      <w:r>
        <w:rPr>
          <w:rFonts w:ascii="宋体" w:hAnsi="宋体" w:eastAsia="宋体" w:cs="宋体"/>
          <w:color w:val="auto"/>
          <w:spacing w:val="8"/>
          <w:sz w:val="20"/>
          <w:szCs w:val="20"/>
          <w:highlight w:val="none"/>
        </w:rPr>
        <w:t>”。</w:t>
      </w:r>
    </w:p>
    <w:p w14:paraId="30463977">
      <w:pPr>
        <w:pStyle w:val="2"/>
        <w:spacing w:line="249" w:lineRule="auto"/>
        <w:rPr>
          <w:color w:val="auto"/>
          <w:highlight w:val="none"/>
        </w:rPr>
      </w:pPr>
    </w:p>
    <w:p w14:paraId="13CE0BB3">
      <w:pPr>
        <w:pStyle w:val="2"/>
        <w:spacing w:line="249" w:lineRule="auto"/>
        <w:rPr>
          <w:color w:val="auto"/>
          <w:highlight w:val="none"/>
        </w:rPr>
      </w:pPr>
    </w:p>
    <w:p w14:paraId="0EFECCEF">
      <w:pPr>
        <w:pStyle w:val="2"/>
        <w:spacing w:line="249" w:lineRule="auto"/>
        <w:rPr>
          <w:color w:val="auto"/>
          <w:highlight w:val="none"/>
        </w:rPr>
      </w:pPr>
    </w:p>
    <w:p w14:paraId="37AC2F0A">
      <w:pPr>
        <w:pStyle w:val="2"/>
        <w:spacing w:line="250" w:lineRule="auto"/>
        <w:rPr>
          <w:color w:val="auto"/>
          <w:highlight w:val="none"/>
        </w:rPr>
      </w:pPr>
    </w:p>
    <w:p w14:paraId="59883795">
      <w:pPr>
        <w:pStyle w:val="2"/>
        <w:spacing w:line="250" w:lineRule="auto"/>
        <w:rPr>
          <w:color w:val="auto"/>
          <w:highlight w:val="none"/>
        </w:rPr>
      </w:pPr>
    </w:p>
    <w:p w14:paraId="09CEDF27">
      <w:pPr>
        <w:pStyle w:val="2"/>
        <w:spacing w:line="250" w:lineRule="auto"/>
        <w:rPr>
          <w:color w:val="auto"/>
          <w:highlight w:val="none"/>
        </w:rPr>
      </w:pPr>
    </w:p>
    <w:p w14:paraId="0C5F40CF">
      <w:pPr>
        <w:pStyle w:val="2"/>
        <w:spacing w:line="250" w:lineRule="auto"/>
        <w:rPr>
          <w:color w:val="auto"/>
          <w:highlight w:val="none"/>
        </w:rPr>
      </w:pPr>
    </w:p>
    <w:p w14:paraId="6FE43C3B">
      <w:pPr>
        <w:pStyle w:val="2"/>
        <w:spacing w:line="250" w:lineRule="auto"/>
        <w:rPr>
          <w:color w:val="auto"/>
          <w:highlight w:val="none"/>
        </w:rPr>
      </w:pPr>
    </w:p>
    <w:p w14:paraId="0748A38D">
      <w:pPr>
        <w:spacing w:before="65" w:line="228" w:lineRule="auto"/>
        <w:ind w:left="2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法定代表人或者委托代理人签字：</w:t>
      </w:r>
      <w:r>
        <w:rPr>
          <w:rFonts w:ascii="宋体" w:hAnsi="宋体" w:eastAsia="宋体" w:cs="宋体"/>
          <w:color w:val="auto"/>
          <w:sz w:val="20"/>
          <w:szCs w:val="20"/>
          <w:highlight w:val="none"/>
          <w:u w:val="single" w:color="auto"/>
        </w:rPr>
        <w:t xml:space="preserve">                </w:t>
      </w:r>
    </w:p>
    <w:p w14:paraId="1CE49604">
      <w:pPr>
        <w:spacing w:before="91" w:line="227" w:lineRule="auto"/>
        <w:ind w:left="346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供应商（盖公章</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u w:val="single" w:color="auto"/>
        </w:rPr>
        <w:t xml:space="preserve">                 </w:t>
      </w:r>
    </w:p>
    <w:p w14:paraId="7FAB8827">
      <w:pPr>
        <w:spacing w:before="94" w:line="228" w:lineRule="auto"/>
        <w:ind w:left="6068"/>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年</w:t>
      </w:r>
      <w:r>
        <w:rPr>
          <w:rFonts w:ascii="宋体" w:hAnsi="宋体" w:eastAsia="宋体" w:cs="宋体"/>
          <w:color w:val="auto"/>
          <w:spacing w:val="9"/>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16"/>
          <w:sz w:val="20"/>
          <w:szCs w:val="20"/>
          <w:highlight w:val="none"/>
        </w:rPr>
        <w:t xml:space="preserve">    </w:t>
      </w:r>
      <w:r>
        <w:rPr>
          <w:rFonts w:ascii="宋体" w:hAnsi="宋体" w:eastAsia="宋体" w:cs="宋体"/>
          <w:color w:val="auto"/>
          <w:spacing w:val="-2"/>
          <w:sz w:val="20"/>
          <w:szCs w:val="20"/>
          <w:highlight w:val="none"/>
        </w:rPr>
        <w:t>日</w:t>
      </w:r>
    </w:p>
    <w:p w14:paraId="2D6241AF">
      <w:pPr>
        <w:spacing w:line="228" w:lineRule="auto"/>
        <w:rPr>
          <w:rFonts w:ascii="宋体" w:hAnsi="宋体" w:eastAsia="宋体" w:cs="宋体"/>
          <w:color w:val="auto"/>
          <w:sz w:val="20"/>
          <w:szCs w:val="20"/>
          <w:highlight w:val="none"/>
        </w:rPr>
        <w:sectPr>
          <w:footerReference r:id="rId24" w:type="default"/>
          <w:pgSz w:w="11910" w:h="16840"/>
          <w:pgMar w:top="1357" w:right="1108" w:bottom="1019" w:left="1140" w:header="0" w:footer="857" w:gutter="0"/>
          <w:pgNumType w:fmt="decimal"/>
          <w:cols w:space="720" w:num="1"/>
        </w:sectPr>
      </w:pPr>
    </w:p>
    <w:p w14:paraId="575FF0E6">
      <w:pPr>
        <w:spacing w:before="63" w:line="225" w:lineRule="auto"/>
        <w:ind w:left="3676"/>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竞标声明</w:t>
      </w:r>
    </w:p>
    <w:p w14:paraId="40073D78">
      <w:pPr>
        <w:pStyle w:val="2"/>
        <w:spacing w:line="396" w:lineRule="auto"/>
        <w:rPr>
          <w:color w:val="auto"/>
          <w:highlight w:val="none"/>
        </w:rPr>
      </w:pPr>
    </w:p>
    <w:p w14:paraId="25ED5DB2">
      <w:pPr>
        <w:spacing w:before="65" w:line="227" w:lineRule="auto"/>
        <w:ind w:left="1"/>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致</w:t>
      </w:r>
      <w:r>
        <w:rPr>
          <w:rFonts w:ascii="宋体" w:hAnsi="宋体" w:eastAsia="宋体" w:cs="宋体"/>
          <w:color w:val="auto"/>
          <w:spacing w:val="-9"/>
          <w:sz w:val="20"/>
          <w:szCs w:val="20"/>
          <w:highlight w:val="none"/>
        </w:rPr>
        <w:t>：</w:t>
      </w:r>
      <w:r>
        <w:rPr>
          <w:rFonts w:ascii="宋体" w:hAnsi="宋体" w:eastAsia="宋体" w:cs="宋体"/>
          <w:color w:val="auto"/>
          <w:spacing w:val="-9"/>
          <w:sz w:val="20"/>
          <w:szCs w:val="20"/>
          <w:highlight w:val="none"/>
          <w:u w:val="single" w:color="auto"/>
        </w:rPr>
        <w:t>（</w:t>
      </w:r>
      <w:r>
        <w:rPr>
          <w:rFonts w:ascii="宋体" w:hAnsi="宋体" w:eastAsia="宋体" w:cs="宋体"/>
          <w:color w:val="auto"/>
          <w:spacing w:val="17"/>
          <w:sz w:val="20"/>
          <w:szCs w:val="20"/>
          <w:highlight w:val="none"/>
          <w:u w:val="single" w:color="auto"/>
        </w:rPr>
        <w:t>采购人名称</w:t>
      </w:r>
      <w:r>
        <w:rPr>
          <w:rFonts w:ascii="宋体" w:hAnsi="宋体" w:eastAsia="宋体" w:cs="宋体"/>
          <w:color w:val="auto"/>
          <w:spacing w:val="-9"/>
          <w:sz w:val="20"/>
          <w:szCs w:val="20"/>
          <w:highlight w:val="none"/>
          <w:u w:val="single" w:color="auto"/>
        </w:rPr>
        <w:t>）</w:t>
      </w:r>
      <w:r>
        <w:rPr>
          <w:rFonts w:ascii="宋体" w:hAnsi="宋体" w:eastAsia="宋体" w:cs="宋体"/>
          <w:color w:val="auto"/>
          <w:spacing w:val="-9"/>
          <w:sz w:val="20"/>
          <w:szCs w:val="20"/>
          <w:highlight w:val="none"/>
        </w:rPr>
        <w:t>：</w:t>
      </w:r>
    </w:p>
    <w:p w14:paraId="2229E108">
      <w:pPr>
        <w:tabs>
          <w:tab w:val="left" w:pos="530"/>
        </w:tabs>
        <w:spacing w:before="94" w:line="227" w:lineRule="auto"/>
        <w:ind w:left="412"/>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5"/>
          <w:sz w:val="20"/>
          <w:szCs w:val="20"/>
          <w:highlight w:val="none"/>
          <w:u w:val="single" w:color="auto"/>
        </w:rPr>
        <w:t>（供应商名称）</w:t>
      </w:r>
      <w:r>
        <w:rPr>
          <w:rFonts w:ascii="宋体" w:hAnsi="宋体" w:eastAsia="宋体" w:cs="宋体"/>
          <w:color w:val="auto"/>
          <w:spacing w:val="5"/>
          <w:sz w:val="20"/>
          <w:szCs w:val="20"/>
          <w:highlight w:val="none"/>
        </w:rPr>
        <w:t>系中华人民共和国合法供应商，经营地址</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w:t>
      </w:r>
    </w:p>
    <w:p w14:paraId="47A7EE19">
      <w:pPr>
        <w:spacing w:before="95" w:line="297" w:lineRule="auto"/>
        <w:ind w:left="1" w:right="70" w:firstLine="421"/>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我方愿意参加贵方组织的</w:t>
      </w:r>
      <w:r>
        <w:rPr>
          <w:rFonts w:ascii="宋体" w:hAnsi="宋体" w:eastAsia="宋体" w:cs="宋体"/>
          <w:color w:val="auto"/>
          <w:spacing w:val="10"/>
          <w:sz w:val="20"/>
          <w:szCs w:val="20"/>
          <w:highlight w:val="none"/>
          <w:u w:val="single" w:color="auto"/>
        </w:rPr>
        <w:t>（项目名称）</w:t>
      </w:r>
      <w:r>
        <w:rPr>
          <w:rFonts w:ascii="宋体" w:hAnsi="宋体" w:eastAsia="宋体" w:cs="宋体"/>
          <w:color w:val="auto"/>
          <w:spacing w:val="10"/>
          <w:sz w:val="20"/>
          <w:szCs w:val="20"/>
          <w:highlight w:val="none"/>
        </w:rPr>
        <w:t>项目的竞标，为便于贵方公正、择优地确定</w:t>
      </w:r>
      <w:r>
        <w:rPr>
          <w:rFonts w:ascii="宋体" w:hAnsi="宋体" w:eastAsia="宋体" w:cs="宋体"/>
          <w:color w:val="auto"/>
          <w:spacing w:val="9"/>
          <w:sz w:val="20"/>
          <w:szCs w:val="20"/>
          <w:highlight w:val="none"/>
        </w:rPr>
        <w:t>成交供应商及其竞标产品和服务，我方就本次竞标有关事项郑重声明如下：</w:t>
      </w:r>
    </w:p>
    <w:p w14:paraId="42436360">
      <w:pPr>
        <w:spacing w:before="34" w:line="228" w:lineRule="auto"/>
        <w:ind w:left="43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1.我方向贵方提交的所有响应文件、资料都是准确的和真实的。</w:t>
      </w:r>
    </w:p>
    <w:p w14:paraId="6285D602">
      <w:pPr>
        <w:spacing w:before="93" w:line="305" w:lineRule="auto"/>
        <w:ind w:left="1" w:right="68" w:firstLine="422"/>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2.我方不是采购人的附属机构；不是为本次采购项目提供整体设</w:t>
      </w:r>
      <w:r>
        <w:rPr>
          <w:rFonts w:ascii="宋体" w:hAnsi="宋体" w:eastAsia="宋体" w:cs="宋体"/>
          <w:color w:val="auto"/>
          <w:spacing w:val="9"/>
          <w:sz w:val="20"/>
          <w:szCs w:val="20"/>
          <w:highlight w:val="none"/>
        </w:rPr>
        <w:t>计、规范编制或者项目管</w:t>
      </w:r>
      <w:r>
        <w:rPr>
          <w:rFonts w:ascii="宋体" w:hAnsi="宋体" w:eastAsia="宋体" w:cs="宋体"/>
          <w:color w:val="auto"/>
          <w:spacing w:val="10"/>
          <w:sz w:val="20"/>
          <w:szCs w:val="20"/>
          <w:highlight w:val="none"/>
        </w:rPr>
        <w:t>理、监理、检测等服务的供应商；在获知本项目采购信息后，与采购人聘请的为此项目提供咨</w:t>
      </w:r>
      <w:r>
        <w:rPr>
          <w:rFonts w:ascii="宋体" w:hAnsi="宋体" w:eastAsia="宋体" w:cs="宋体"/>
          <w:color w:val="auto"/>
          <w:spacing w:val="8"/>
          <w:sz w:val="20"/>
          <w:szCs w:val="20"/>
          <w:highlight w:val="none"/>
        </w:rPr>
        <w:t>询服务的公司及其附属机构没有任何联系。</w:t>
      </w:r>
    </w:p>
    <w:p w14:paraId="6643590B">
      <w:pPr>
        <w:spacing w:before="32" w:line="227" w:lineRule="auto"/>
        <w:ind w:left="42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3.在此，我方宣布同意如下：</w:t>
      </w:r>
    </w:p>
    <w:p w14:paraId="0493B102">
      <w:pPr>
        <w:spacing w:before="95" w:line="228"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（1）将按磋商文件的约定履行合同责任和义务；</w:t>
      </w:r>
    </w:p>
    <w:p w14:paraId="0D536FF9">
      <w:pPr>
        <w:spacing w:before="92" w:line="226"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（2）已详细审查全部磋商文件，包括澄清或者更正公告（如有</w:t>
      </w:r>
      <w:r>
        <w:rPr>
          <w:rFonts w:ascii="宋体" w:hAnsi="宋体" w:eastAsia="宋体" w:cs="宋体"/>
          <w:color w:val="auto"/>
          <w:sz w:val="20"/>
          <w:szCs w:val="20"/>
          <w:highlight w:val="none"/>
        </w:rPr>
        <w:t>）；</w:t>
      </w:r>
    </w:p>
    <w:p w14:paraId="0A21644A">
      <w:pPr>
        <w:spacing w:before="95" w:line="227"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（3）同意提供按照贵方可能要求的与磋商有关的一切</w:t>
      </w:r>
      <w:r>
        <w:rPr>
          <w:rFonts w:ascii="宋体" w:hAnsi="宋体" w:eastAsia="宋体" w:cs="宋体"/>
          <w:color w:val="auto"/>
          <w:spacing w:val="8"/>
          <w:sz w:val="20"/>
          <w:szCs w:val="20"/>
          <w:highlight w:val="none"/>
        </w:rPr>
        <w:t>数据或者资料；</w:t>
      </w:r>
    </w:p>
    <w:p w14:paraId="7097637B">
      <w:pPr>
        <w:spacing w:before="95" w:line="228"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（4）响应磋商文件规定的竞标有效期。</w:t>
      </w:r>
    </w:p>
    <w:p w14:paraId="59030755">
      <w:pPr>
        <w:spacing w:before="94" w:line="227"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4.我方承诺符合《中华人民共和国政府采购法》第二十二条规定：</w:t>
      </w:r>
    </w:p>
    <w:p w14:paraId="3942AC6B">
      <w:pPr>
        <w:spacing w:before="95" w:line="228" w:lineRule="auto"/>
        <w:ind w:left="43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（1）具有独立承担民事责任的能力；</w:t>
      </w:r>
    </w:p>
    <w:p w14:paraId="6FBE6E55">
      <w:pPr>
        <w:spacing w:before="94" w:line="227"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（2）具有良好的商业信誉和健全的财务会计制度；</w:t>
      </w:r>
    </w:p>
    <w:p w14:paraId="1A90E1D7">
      <w:pPr>
        <w:spacing w:before="94" w:line="228"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（3）具有履行合同所必需的设备和专业技术能力；</w:t>
      </w:r>
    </w:p>
    <w:p w14:paraId="7411E2A2">
      <w:pPr>
        <w:spacing w:before="92" w:line="227"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（4）有依法缴纳税收和社会保障资金的良好记录；</w:t>
      </w:r>
    </w:p>
    <w:p w14:paraId="1BB4078E">
      <w:pPr>
        <w:spacing w:before="95" w:line="227" w:lineRule="auto"/>
        <w:ind w:left="43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（5）参加政府采购活动前三年内，在经营活动中没有</w:t>
      </w:r>
      <w:r>
        <w:rPr>
          <w:rFonts w:ascii="宋体" w:hAnsi="宋体" w:eastAsia="宋体" w:cs="宋体"/>
          <w:color w:val="auto"/>
          <w:spacing w:val="8"/>
          <w:sz w:val="20"/>
          <w:szCs w:val="20"/>
          <w:highlight w:val="none"/>
        </w:rPr>
        <w:t>重大违法记录；</w:t>
      </w:r>
    </w:p>
    <w:p w14:paraId="07D1D1B9">
      <w:pPr>
        <w:spacing w:before="95" w:line="228" w:lineRule="auto"/>
        <w:ind w:left="43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（6）法律、行政法规规定的其他条件。</w:t>
      </w:r>
    </w:p>
    <w:p w14:paraId="40D516F9">
      <w:pPr>
        <w:spacing w:before="94" w:line="308" w:lineRule="auto"/>
        <w:ind w:firstLine="425"/>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5.我方在此声明，我方在参加本项目的政府采购活动前三年</w:t>
      </w:r>
      <w:r>
        <w:rPr>
          <w:rFonts w:ascii="宋体" w:hAnsi="宋体" w:eastAsia="宋体" w:cs="宋体"/>
          <w:color w:val="auto"/>
          <w:spacing w:val="9"/>
          <w:sz w:val="20"/>
          <w:szCs w:val="20"/>
          <w:highlight w:val="none"/>
        </w:rPr>
        <w:t>内，在经营活动中没有重大违</w:t>
      </w:r>
      <w:r>
        <w:rPr>
          <w:rFonts w:ascii="宋体" w:hAnsi="宋体" w:eastAsia="宋体" w:cs="宋体"/>
          <w:color w:val="auto"/>
          <w:spacing w:val="10"/>
          <w:sz w:val="20"/>
          <w:szCs w:val="20"/>
          <w:highlight w:val="none"/>
        </w:rPr>
        <w:t>法记录（重大违法记录是指供应商因违法经营受到刑事处罚或者责令停产停业、吊销许可证或</w:t>
      </w:r>
      <w:r>
        <w:rPr>
          <w:rFonts w:ascii="宋体" w:hAnsi="宋体" w:eastAsia="宋体" w:cs="宋体"/>
          <w:color w:val="auto"/>
          <w:spacing w:val="7"/>
          <w:sz w:val="20"/>
          <w:szCs w:val="20"/>
          <w:highlight w:val="none"/>
        </w:rPr>
        <w:t>者执照、较大数额罚款等行政处罚</w:t>
      </w:r>
      <w:r>
        <w:rPr>
          <w:rFonts w:ascii="宋体" w:hAnsi="宋体" w:eastAsia="宋体" w:cs="宋体"/>
          <w:color w:val="auto"/>
          <w:sz w:val="20"/>
          <w:szCs w:val="20"/>
          <w:highlight w:val="none"/>
        </w:rPr>
        <w:t>），</w:t>
      </w:r>
      <w:r>
        <w:rPr>
          <w:rFonts w:ascii="宋体" w:hAnsi="宋体" w:eastAsia="宋体" w:cs="宋体"/>
          <w:color w:val="auto"/>
          <w:spacing w:val="7"/>
          <w:sz w:val="20"/>
          <w:szCs w:val="20"/>
          <w:highlight w:val="none"/>
        </w:rPr>
        <w:t>未被列入失信被执行人、重大税收违法案件当事人名单、</w:t>
      </w:r>
      <w:r>
        <w:rPr>
          <w:rFonts w:ascii="宋体" w:hAnsi="宋体" w:eastAsia="宋体" w:cs="宋体"/>
          <w:color w:val="auto"/>
          <w:spacing w:val="10"/>
          <w:sz w:val="20"/>
          <w:szCs w:val="20"/>
          <w:highlight w:val="none"/>
        </w:rPr>
        <w:t>政府采购严重违法失信行为记录名单，完全符合《中华人民共和国政府采购法》第二十二条规</w:t>
      </w:r>
      <w:r>
        <w:rPr>
          <w:rFonts w:ascii="宋体" w:hAnsi="宋体" w:eastAsia="宋体" w:cs="宋体"/>
          <w:color w:val="auto"/>
          <w:spacing w:val="9"/>
          <w:sz w:val="20"/>
          <w:szCs w:val="20"/>
          <w:highlight w:val="none"/>
        </w:rPr>
        <w:t>定的供应商资格条件，我方对此声明负全部法律责任。</w:t>
      </w:r>
    </w:p>
    <w:p w14:paraId="5AA4E986">
      <w:pPr>
        <w:spacing w:before="32" w:line="305" w:lineRule="auto"/>
        <w:ind w:right="17" w:firstLine="423"/>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6.根据《中华人民共和国政府采购法实施条例》第五十条要求对政府采购合同进行公告，</w:t>
      </w:r>
      <w:r>
        <w:rPr>
          <w:rFonts w:ascii="宋体" w:hAnsi="宋体" w:eastAsia="宋体" w:cs="宋体"/>
          <w:color w:val="auto"/>
          <w:spacing w:val="6"/>
          <w:sz w:val="20"/>
          <w:szCs w:val="20"/>
          <w:highlight w:val="none"/>
        </w:rPr>
        <w:t>但政府采购合同中涉及国家秘密、商业秘密的内容除外。我方就对本次响应文件进行注明如下：</w:t>
      </w:r>
      <w:r>
        <w:rPr>
          <w:rFonts w:ascii="宋体" w:hAnsi="宋体" w:eastAsia="宋体" w:cs="宋体"/>
          <w:color w:val="auto"/>
          <w:spacing w:val="8"/>
          <w:sz w:val="20"/>
          <w:szCs w:val="20"/>
          <w:highlight w:val="none"/>
        </w:rPr>
        <w:t>（两项内容中必须选择一项）</w:t>
      </w:r>
    </w:p>
    <w:p w14:paraId="06231FEE">
      <w:pPr>
        <w:spacing w:before="32" w:line="227" w:lineRule="auto"/>
        <w:ind w:left="442"/>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□我方本次响应文件内容中未涉及商业秘密；</w:t>
      </w:r>
    </w:p>
    <w:p w14:paraId="7DD66683">
      <w:pPr>
        <w:spacing w:before="93" w:line="227" w:lineRule="auto"/>
        <w:ind w:left="44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□我方本次响应文件涉及商业秘密的内容有：</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8"/>
          <w:sz w:val="20"/>
          <w:szCs w:val="20"/>
          <w:highlight w:val="none"/>
        </w:rPr>
        <w:t>；</w:t>
      </w:r>
    </w:p>
    <w:p w14:paraId="6C7DB63A">
      <w:pPr>
        <w:tabs>
          <w:tab w:val="left" w:pos="8184"/>
        </w:tabs>
        <w:spacing w:before="95" w:line="305" w:lineRule="auto"/>
        <w:ind w:left="445" w:right="462" w:hanging="19"/>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7.与本磋商有关的一切正式往来信函请寄：</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75"/>
          <w:sz w:val="20"/>
          <w:szCs w:val="20"/>
          <w:highlight w:val="none"/>
        </w:rPr>
        <w:t xml:space="preserve"> </w:t>
      </w:r>
      <w:r>
        <w:rPr>
          <w:rFonts w:ascii="宋体" w:hAnsi="宋体" w:eastAsia="宋体" w:cs="宋体"/>
          <w:color w:val="auto"/>
          <w:spacing w:val="6"/>
          <w:sz w:val="20"/>
          <w:szCs w:val="20"/>
          <w:highlight w:val="none"/>
        </w:rPr>
        <w:t>邮政编号：</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电话/传真：</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39"/>
          <w:sz w:val="20"/>
          <w:szCs w:val="20"/>
          <w:highlight w:val="none"/>
        </w:rPr>
        <w:t xml:space="preserve"> </w:t>
      </w:r>
      <w:r>
        <w:rPr>
          <w:rFonts w:ascii="宋体" w:hAnsi="宋体" w:eastAsia="宋体" w:cs="宋体"/>
          <w:color w:val="auto"/>
          <w:spacing w:val="3"/>
          <w:sz w:val="20"/>
          <w:szCs w:val="20"/>
          <w:highlight w:val="none"/>
        </w:rPr>
        <w:t>电子函件：</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开户银行：</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帐号：</w:t>
      </w:r>
      <w:r>
        <w:rPr>
          <w:rFonts w:ascii="宋体" w:hAnsi="宋体" w:eastAsia="宋体" w:cs="宋体"/>
          <w:color w:val="auto"/>
          <w:spacing w:val="4"/>
          <w:sz w:val="20"/>
          <w:szCs w:val="20"/>
          <w:highlight w:val="none"/>
          <w:u w:val="single" w:color="auto"/>
        </w:rPr>
        <w:t xml:space="preserve">                                </w:t>
      </w:r>
    </w:p>
    <w:p w14:paraId="39ED8034">
      <w:pPr>
        <w:spacing w:before="31" w:line="300" w:lineRule="auto"/>
        <w:ind w:left="14" w:right="68" w:firstLine="408"/>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8.以上事项如有虚假或者隐瞒，我方愿意承担一切后果，并不再寻</w:t>
      </w:r>
      <w:r>
        <w:rPr>
          <w:rFonts w:ascii="宋体" w:hAnsi="宋体" w:eastAsia="宋体" w:cs="宋体"/>
          <w:color w:val="auto"/>
          <w:spacing w:val="9"/>
          <w:sz w:val="20"/>
          <w:szCs w:val="20"/>
          <w:highlight w:val="none"/>
        </w:rPr>
        <w:t>求任何旨在减轻或者免</w:t>
      </w:r>
      <w:r>
        <w:rPr>
          <w:rFonts w:ascii="宋体" w:hAnsi="宋体" w:eastAsia="宋体" w:cs="宋体"/>
          <w:color w:val="auto"/>
          <w:spacing w:val="6"/>
          <w:sz w:val="20"/>
          <w:szCs w:val="20"/>
          <w:highlight w:val="none"/>
        </w:rPr>
        <w:t>除法律责任的辩解。</w:t>
      </w:r>
    </w:p>
    <w:p w14:paraId="22BD73BD">
      <w:pPr>
        <w:spacing w:before="31" w:line="228" w:lineRule="auto"/>
        <w:ind w:left="45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特此承诺。</w:t>
      </w:r>
    </w:p>
    <w:p w14:paraId="68B9D0D8">
      <w:pPr>
        <w:spacing w:before="91" w:line="300" w:lineRule="auto"/>
        <w:ind w:left="3781" w:right="6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法定代表人（签字</w:t>
      </w:r>
      <w:r>
        <w:rPr>
          <w:rFonts w:ascii="宋体" w:hAnsi="宋体" w:eastAsia="宋体" w:cs="宋体"/>
          <w:color w:val="auto"/>
          <w:spacing w:val="12"/>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5"/>
          <w:sz w:val="20"/>
          <w:szCs w:val="20"/>
          <w:highlight w:val="none"/>
        </w:rPr>
        <w:t xml:space="preserve"> </w:t>
      </w:r>
      <w:r>
        <w:rPr>
          <w:rFonts w:ascii="宋体" w:hAnsi="宋体" w:eastAsia="宋体" w:cs="宋体"/>
          <w:color w:val="auto"/>
          <w:spacing w:val="8"/>
          <w:sz w:val="20"/>
          <w:szCs w:val="20"/>
          <w:highlight w:val="none"/>
        </w:rPr>
        <w:t>供应商（盖公章</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u w:val="single" w:color="auto"/>
        </w:rPr>
        <w:t xml:space="preserve">                              </w:t>
      </w:r>
    </w:p>
    <w:p w14:paraId="76F10F60">
      <w:pPr>
        <w:spacing w:before="32" w:line="228" w:lineRule="auto"/>
        <w:ind w:left="612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年</w:t>
      </w:r>
      <w:r>
        <w:rPr>
          <w:rFonts w:ascii="宋体" w:hAnsi="宋体" w:eastAsia="宋体" w:cs="宋体"/>
          <w:color w:val="auto"/>
          <w:spacing w:val="8"/>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17"/>
          <w:sz w:val="20"/>
          <w:szCs w:val="20"/>
          <w:highlight w:val="none"/>
        </w:rPr>
        <w:t xml:space="preserve">    </w:t>
      </w:r>
      <w:r>
        <w:rPr>
          <w:rFonts w:ascii="宋体" w:hAnsi="宋体" w:eastAsia="宋体" w:cs="宋体"/>
          <w:color w:val="auto"/>
          <w:spacing w:val="-2"/>
          <w:sz w:val="20"/>
          <w:szCs w:val="20"/>
          <w:highlight w:val="none"/>
        </w:rPr>
        <w:t>日</w:t>
      </w:r>
    </w:p>
    <w:p w14:paraId="2D7BDA32">
      <w:pPr>
        <w:spacing w:line="228" w:lineRule="auto"/>
        <w:rPr>
          <w:rFonts w:ascii="宋体" w:hAnsi="宋体" w:eastAsia="宋体" w:cs="宋体"/>
          <w:color w:val="auto"/>
          <w:sz w:val="20"/>
          <w:szCs w:val="20"/>
          <w:highlight w:val="none"/>
        </w:rPr>
        <w:sectPr>
          <w:footerReference r:id="rId25" w:type="default"/>
          <w:pgSz w:w="11910" w:h="16840"/>
          <w:pgMar w:top="1357" w:right="1559" w:bottom="1019" w:left="1667" w:header="0" w:footer="857" w:gutter="0"/>
          <w:pgNumType w:fmt="decimal"/>
          <w:cols w:space="720" w:num="1"/>
        </w:sectPr>
      </w:pPr>
    </w:p>
    <w:p w14:paraId="5BD8AB40">
      <w:pPr>
        <w:spacing w:before="63" w:line="224" w:lineRule="auto"/>
        <w:ind w:left="256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建设工程项目管理承诺书</w:t>
      </w:r>
    </w:p>
    <w:p w14:paraId="6C2D7AA9">
      <w:pPr>
        <w:pStyle w:val="2"/>
        <w:spacing w:line="397" w:lineRule="auto"/>
        <w:rPr>
          <w:color w:val="auto"/>
          <w:highlight w:val="none"/>
        </w:rPr>
      </w:pPr>
    </w:p>
    <w:p w14:paraId="5D5DA527">
      <w:pPr>
        <w:spacing w:before="65" w:line="228" w:lineRule="auto"/>
        <w:ind w:left="1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致</w:t>
      </w:r>
      <w:r>
        <w:rPr>
          <w:rFonts w:ascii="宋体" w:hAnsi="宋体" w:eastAsia="宋体" w:cs="宋体"/>
          <w:color w:val="auto"/>
          <w:spacing w:val="-98"/>
          <w:sz w:val="20"/>
          <w:szCs w:val="20"/>
          <w:highlight w:val="none"/>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（招标人名称</w:t>
      </w:r>
      <w:r>
        <w:rPr>
          <w:rFonts w:ascii="宋体" w:hAnsi="宋体" w:eastAsia="宋体" w:cs="宋体"/>
          <w:color w:val="auto"/>
          <w:sz w:val="20"/>
          <w:szCs w:val="20"/>
          <w:highlight w:val="none"/>
        </w:rPr>
        <w:t>）：</w:t>
      </w:r>
    </w:p>
    <w:p w14:paraId="006B3F6B">
      <w:pPr>
        <w:spacing w:before="93" w:line="300" w:lineRule="auto"/>
        <w:ind w:left="2" w:right="87" w:firstLine="45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作为参与</w:t>
      </w:r>
      <w:r>
        <w:rPr>
          <w:rFonts w:ascii="宋体" w:hAnsi="宋体" w:eastAsia="宋体" w:cs="宋体"/>
          <w:color w:val="auto"/>
          <w:spacing w:val="-90"/>
          <w:sz w:val="20"/>
          <w:szCs w:val="20"/>
          <w:highlight w:val="none"/>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（工程名称）项目的投标方，根据国家、</w:t>
      </w:r>
      <w:r>
        <w:rPr>
          <w:rFonts w:ascii="宋体" w:hAnsi="宋体" w:eastAsia="宋体" w:cs="宋体"/>
          <w:color w:val="auto"/>
          <w:spacing w:val="-54"/>
          <w:sz w:val="20"/>
          <w:szCs w:val="20"/>
          <w:highlight w:val="none"/>
        </w:rPr>
        <w:t xml:space="preserve"> </w:t>
      </w:r>
      <w:r>
        <w:rPr>
          <w:rFonts w:ascii="宋体" w:hAnsi="宋体" w:eastAsia="宋体" w:cs="宋体"/>
          <w:color w:val="auto"/>
          <w:spacing w:val="6"/>
          <w:sz w:val="20"/>
          <w:szCs w:val="20"/>
          <w:highlight w:val="none"/>
        </w:rPr>
        <w:t>自治区相关</w:t>
      </w:r>
      <w:r>
        <w:rPr>
          <w:rFonts w:ascii="宋体" w:hAnsi="宋体" w:eastAsia="宋体" w:cs="宋体"/>
          <w:color w:val="auto"/>
          <w:spacing w:val="8"/>
          <w:sz w:val="20"/>
          <w:szCs w:val="20"/>
          <w:highlight w:val="none"/>
        </w:rPr>
        <w:t>文件规定，我方在此向招标人承诺：</w:t>
      </w:r>
    </w:p>
    <w:p w14:paraId="7D12CD2A">
      <w:pPr>
        <w:spacing w:before="28" w:line="309" w:lineRule="auto"/>
        <w:ind w:right="87" w:firstLine="472"/>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1、一旦中标，我方保证按照政府相关部门的规定，在发出中标通知书之日起</w:t>
      </w:r>
      <w:r>
        <w:rPr>
          <w:rFonts w:ascii="宋体" w:hAnsi="宋体" w:eastAsia="宋体" w:cs="宋体"/>
          <w:color w:val="auto"/>
          <w:spacing w:val="-16"/>
          <w:sz w:val="20"/>
          <w:szCs w:val="20"/>
          <w:highlight w:val="none"/>
        </w:rPr>
        <w:t xml:space="preserve"> </w:t>
      </w:r>
      <w:r>
        <w:rPr>
          <w:rFonts w:ascii="宋体" w:hAnsi="宋体" w:eastAsia="宋体" w:cs="宋体"/>
          <w:color w:val="auto"/>
          <w:spacing w:val="8"/>
          <w:sz w:val="20"/>
          <w:szCs w:val="20"/>
          <w:highlight w:val="none"/>
        </w:rPr>
        <w:t>7</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个工作日</w:t>
      </w:r>
      <w:r>
        <w:rPr>
          <w:rFonts w:ascii="宋体" w:hAnsi="宋体" w:eastAsia="宋体" w:cs="宋体"/>
          <w:color w:val="auto"/>
          <w:spacing w:val="10"/>
          <w:sz w:val="20"/>
          <w:szCs w:val="20"/>
          <w:highlight w:val="none"/>
        </w:rPr>
        <w:t>内足额将农民工工资保障金转入农民工工资保障金专用账户。一旦我方</w:t>
      </w:r>
      <w:r>
        <w:rPr>
          <w:rFonts w:ascii="宋体" w:hAnsi="宋体" w:eastAsia="宋体" w:cs="宋体"/>
          <w:color w:val="auto"/>
          <w:spacing w:val="9"/>
          <w:sz w:val="20"/>
          <w:szCs w:val="20"/>
          <w:highlight w:val="none"/>
        </w:rPr>
        <w:t>所承包的该项目中出现拖欠农民工工资情况，</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由劳动保障、住房城乡建设行政主管部门按照</w:t>
      </w:r>
      <w:r>
        <w:rPr>
          <w:rFonts w:ascii="宋体" w:hAnsi="宋体" w:eastAsia="宋体" w:cs="宋体"/>
          <w:color w:val="auto"/>
          <w:spacing w:val="8"/>
          <w:sz w:val="20"/>
          <w:szCs w:val="20"/>
          <w:highlight w:val="none"/>
        </w:rPr>
        <w:t>《关于进一步完善建筑行业农民工工资保证金制度的通知》（桂劳社发〔2009〕50</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号）从我方农民工工资保障金中先予</w:t>
      </w:r>
      <w:r>
        <w:rPr>
          <w:rFonts w:ascii="宋体" w:hAnsi="宋体" w:eastAsia="宋体" w:cs="宋体"/>
          <w:color w:val="auto"/>
          <w:spacing w:val="3"/>
          <w:sz w:val="20"/>
          <w:szCs w:val="20"/>
          <w:highlight w:val="none"/>
        </w:rPr>
        <w:t>划支。</w:t>
      </w:r>
    </w:p>
    <w:p w14:paraId="19C78B79">
      <w:pPr>
        <w:spacing w:before="29" w:line="307" w:lineRule="auto"/>
        <w:ind w:right="87" w:firstLine="459"/>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2、一旦中标，我方保证在施工过程中，严格</w:t>
      </w:r>
      <w:r>
        <w:rPr>
          <w:rFonts w:ascii="宋体" w:hAnsi="宋体" w:eastAsia="宋体" w:cs="宋体"/>
          <w:color w:val="auto"/>
          <w:spacing w:val="9"/>
          <w:sz w:val="20"/>
          <w:szCs w:val="20"/>
          <w:highlight w:val="none"/>
        </w:rPr>
        <w:t>执行《广西壮族自治区建设工程安全文明施</w:t>
      </w:r>
      <w:r>
        <w:rPr>
          <w:rFonts w:ascii="宋体" w:hAnsi="宋体" w:eastAsia="宋体" w:cs="宋体"/>
          <w:color w:val="auto"/>
          <w:spacing w:val="8"/>
          <w:sz w:val="20"/>
          <w:szCs w:val="20"/>
          <w:highlight w:val="none"/>
        </w:rPr>
        <w:t>工费使用管理细则》（桂建质【2015】16</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号）的有关规定，确保建设工程各项安全防护、文明施工措施落实到位。如我方在该项目的承包中出现未按桂建质【2015】16</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号文附件一规定执行</w:t>
      </w:r>
      <w:r>
        <w:rPr>
          <w:rFonts w:ascii="宋体" w:hAnsi="宋体" w:eastAsia="宋体" w:cs="宋体"/>
          <w:color w:val="auto"/>
          <w:spacing w:val="9"/>
          <w:sz w:val="20"/>
          <w:szCs w:val="20"/>
          <w:highlight w:val="none"/>
        </w:rPr>
        <w:t>的情形，我方愿意按照相关规定接受建设单位及有关主管部门的处罚。</w:t>
      </w:r>
    </w:p>
    <w:p w14:paraId="024C99AA">
      <w:pPr>
        <w:spacing w:before="32" w:line="305" w:lineRule="auto"/>
        <w:ind w:left="8" w:right="32" w:firstLine="452"/>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3、一旦中标，我方保证在施工过程中，严格执行散装水泥和预拌混凝土管</w:t>
      </w:r>
      <w:r>
        <w:rPr>
          <w:rFonts w:ascii="宋体" w:hAnsi="宋体" w:eastAsia="宋体" w:cs="宋体"/>
          <w:color w:val="auto"/>
          <w:spacing w:val="7"/>
          <w:sz w:val="20"/>
          <w:szCs w:val="20"/>
          <w:highlight w:val="none"/>
        </w:rPr>
        <w:t>理的有关规定，</w:t>
      </w:r>
      <w:r>
        <w:rPr>
          <w:rFonts w:ascii="宋体" w:hAnsi="宋体" w:eastAsia="宋体" w:cs="宋体"/>
          <w:color w:val="auto"/>
          <w:spacing w:val="10"/>
          <w:sz w:val="20"/>
          <w:szCs w:val="20"/>
          <w:highlight w:val="none"/>
        </w:rPr>
        <w:t>确保建设工程按规定使用散装水泥和预拌混凝土。如我方在该项目的</w:t>
      </w:r>
      <w:r>
        <w:rPr>
          <w:rFonts w:ascii="宋体" w:hAnsi="宋体" w:eastAsia="宋体" w:cs="宋体"/>
          <w:color w:val="auto"/>
          <w:spacing w:val="9"/>
          <w:sz w:val="20"/>
          <w:szCs w:val="20"/>
          <w:highlight w:val="none"/>
        </w:rPr>
        <w:t>承包中出现未按规定执行</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的情形，我方愿意按照相关规定接受建设单位及有关主管部门的处罚。</w:t>
      </w:r>
    </w:p>
    <w:p w14:paraId="06A011E0">
      <w:pPr>
        <w:spacing w:before="30" w:line="304" w:lineRule="auto"/>
        <w:ind w:right="87" w:firstLine="455"/>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4、一旦中标，我方保证在施工过程中，严格执行《</w:t>
      </w:r>
      <w:r>
        <w:rPr>
          <w:rFonts w:ascii="宋体" w:hAnsi="宋体" w:eastAsia="宋体" w:cs="宋体"/>
          <w:color w:val="auto"/>
          <w:spacing w:val="9"/>
          <w:sz w:val="20"/>
          <w:szCs w:val="20"/>
          <w:highlight w:val="none"/>
        </w:rPr>
        <w:t>关于禁止使用不符合规范要求的竹脚</w:t>
      </w:r>
      <w:r>
        <w:rPr>
          <w:rFonts w:ascii="宋体" w:hAnsi="宋体" w:eastAsia="宋体" w:cs="宋体"/>
          <w:color w:val="auto"/>
          <w:spacing w:val="8"/>
          <w:sz w:val="20"/>
          <w:szCs w:val="20"/>
          <w:highlight w:val="none"/>
        </w:rPr>
        <w:t>手架的通知》（桂建管字〔2003〕40</w:t>
      </w:r>
      <w:r>
        <w:rPr>
          <w:rFonts w:ascii="宋体" w:hAnsi="宋体" w:eastAsia="宋体" w:cs="宋体"/>
          <w:color w:val="auto"/>
          <w:spacing w:val="-33"/>
          <w:sz w:val="20"/>
          <w:szCs w:val="20"/>
          <w:highlight w:val="none"/>
        </w:rPr>
        <w:t xml:space="preserve"> </w:t>
      </w:r>
      <w:r>
        <w:rPr>
          <w:rFonts w:ascii="宋体" w:hAnsi="宋体" w:eastAsia="宋体" w:cs="宋体"/>
          <w:color w:val="auto"/>
          <w:spacing w:val="8"/>
          <w:sz w:val="20"/>
          <w:szCs w:val="20"/>
          <w:highlight w:val="none"/>
        </w:rPr>
        <w:t>号）的有关规定，不使用竹脚手架。如我方在该项目的承</w:t>
      </w:r>
      <w:r>
        <w:rPr>
          <w:rFonts w:ascii="宋体" w:hAnsi="宋体" w:eastAsia="宋体" w:cs="宋体"/>
          <w:color w:val="auto"/>
          <w:spacing w:val="10"/>
          <w:sz w:val="20"/>
          <w:szCs w:val="20"/>
          <w:highlight w:val="none"/>
        </w:rPr>
        <w:t>包中出现未按规定执行的情形，我方愿意按</w:t>
      </w:r>
      <w:r>
        <w:rPr>
          <w:rFonts w:ascii="宋体" w:hAnsi="宋体" w:eastAsia="宋体" w:cs="宋体"/>
          <w:color w:val="auto"/>
          <w:spacing w:val="9"/>
          <w:sz w:val="20"/>
          <w:szCs w:val="20"/>
          <w:highlight w:val="none"/>
        </w:rPr>
        <w:t>照相关规定接受建设单位及有关主管部门的处罚。</w:t>
      </w:r>
    </w:p>
    <w:p w14:paraId="151E85DF">
      <w:pPr>
        <w:pStyle w:val="2"/>
        <w:spacing w:line="322" w:lineRule="auto"/>
        <w:rPr>
          <w:color w:val="auto"/>
          <w:highlight w:val="none"/>
        </w:rPr>
      </w:pPr>
    </w:p>
    <w:p w14:paraId="5D7133E3">
      <w:pPr>
        <w:pStyle w:val="2"/>
        <w:spacing w:line="323" w:lineRule="auto"/>
        <w:rPr>
          <w:color w:val="auto"/>
          <w:highlight w:val="none"/>
        </w:rPr>
      </w:pPr>
    </w:p>
    <w:p w14:paraId="1022F5FB">
      <w:pPr>
        <w:spacing w:before="66" w:line="227" w:lineRule="auto"/>
        <w:ind w:right="2"/>
        <w:jc w:val="right"/>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投标人</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11"/>
          <w:sz w:val="20"/>
          <w:szCs w:val="20"/>
          <w:highlight w:val="none"/>
          <w:u w:val="single" w:color="auto"/>
        </w:rPr>
        <w:t>盖单位章）</w:t>
      </w:r>
    </w:p>
    <w:p w14:paraId="5C858ABB">
      <w:pPr>
        <w:pStyle w:val="2"/>
        <w:spacing w:line="366" w:lineRule="auto"/>
        <w:rPr>
          <w:color w:val="auto"/>
          <w:highlight w:val="none"/>
        </w:rPr>
      </w:pPr>
    </w:p>
    <w:p w14:paraId="0EBC0CCA">
      <w:pPr>
        <w:spacing w:before="65" w:line="227" w:lineRule="auto"/>
        <w:jc w:val="right"/>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法定代表人或授权代理人</w:t>
      </w:r>
      <w:r>
        <w:rPr>
          <w:rFonts w:ascii="宋体" w:hAnsi="宋体" w:eastAsia="宋体" w:cs="宋体"/>
          <w:color w:val="auto"/>
          <w:spacing w:val="-52"/>
          <w:w w:val="97"/>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2"/>
          <w:w w:val="97"/>
          <w:sz w:val="20"/>
          <w:szCs w:val="20"/>
          <w:highlight w:val="none"/>
          <w:u w:val="single" w:color="auto"/>
        </w:rPr>
        <w:t>（</w:t>
      </w:r>
      <w:r>
        <w:rPr>
          <w:rFonts w:ascii="宋体" w:hAnsi="宋体" w:eastAsia="宋体" w:cs="宋体"/>
          <w:color w:val="auto"/>
          <w:spacing w:val="10"/>
          <w:sz w:val="20"/>
          <w:szCs w:val="20"/>
          <w:highlight w:val="none"/>
          <w:u w:val="single" w:color="auto"/>
        </w:rPr>
        <w:t>签字或盖章）</w:t>
      </w:r>
    </w:p>
    <w:p w14:paraId="0B1A9952">
      <w:pPr>
        <w:pStyle w:val="2"/>
        <w:spacing w:line="368" w:lineRule="auto"/>
        <w:rPr>
          <w:color w:val="auto"/>
          <w:highlight w:val="none"/>
        </w:rPr>
      </w:pPr>
    </w:p>
    <w:p w14:paraId="51913B47">
      <w:pPr>
        <w:spacing w:before="65" w:line="228" w:lineRule="auto"/>
        <w:ind w:left="456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日期：</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3"/>
          <w:sz w:val="20"/>
          <w:szCs w:val="20"/>
          <w:highlight w:val="none"/>
        </w:rPr>
        <w:t>年</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79"/>
          <w:sz w:val="20"/>
          <w:szCs w:val="20"/>
          <w:highlight w:val="none"/>
        </w:rPr>
        <w:t xml:space="preserve"> </w:t>
      </w:r>
      <w:r>
        <w:rPr>
          <w:rFonts w:ascii="宋体" w:hAnsi="宋体" w:eastAsia="宋体" w:cs="宋体"/>
          <w:color w:val="auto"/>
          <w:spacing w:val="-3"/>
          <w:sz w:val="20"/>
          <w:szCs w:val="20"/>
          <w:highlight w:val="none"/>
        </w:rPr>
        <w:t>月</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6"/>
          <w:sz w:val="20"/>
          <w:szCs w:val="20"/>
          <w:highlight w:val="none"/>
        </w:rPr>
        <w:t xml:space="preserve"> </w:t>
      </w:r>
      <w:r>
        <w:rPr>
          <w:rFonts w:ascii="宋体" w:hAnsi="宋体" w:eastAsia="宋体" w:cs="宋体"/>
          <w:color w:val="auto"/>
          <w:spacing w:val="-3"/>
          <w:sz w:val="20"/>
          <w:szCs w:val="20"/>
          <w:highlight w:val="none"/>
        </w:rPr>
        <w:t>日</w:t>
      </w:r>
    </w:p>
    <w:p w14:paraId="0E6942D4">
      <w:pPr>
        <w:spacing w:line="228" w:lineRule="auto"/>
        <w:rPr>
          <w:rFonts w:ascii="宋体" w:hAnsi="宋体" w:eastAsia="宋体" w:cs="宋体"/>
          <w:color w:val="auto"/>
          <w:sz w:val="20"/>
          <w:szCs w:val="20"/>
          <w:highlight w:val="none"/>
        </w:rPr>
        <w:sectPr>
          <w:footerReference r:id="rId26" w:type="default"/>
          <w:pgSz w:w="11910" w:h="16840"/>
          <w:pgMar w:top="1357" w:right="1543" w:bottom="1019" w:left="1658" w:header="0" w:footer="857" w:gutter="0"/>
          <w:pgNumType w:fmt="decimal"/>
          <w:cols w:space="720" w:num="1"/>
        </w:sectPr>
      </w:pPr>
    </w:p>
    <w:p w14:paraId="7F4DC7A6">
      <w:pPr>
        <w:spacing w:before="56" w:line="220" w:lineRule="auto"/>
        <w:ind w:left="1589"/>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广西壮族自治区建筑工程安全文明施工措施项目清单内容</w:t>
      </w:r>
    </w:p>
    <w:p w14:paraId="0C804474">
      <w:pPr>
        <w:spacing w:before="113" w:line="219" w:lineRule="auto"/>
        <w:ind w:left="293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（桂建质【2015】16</w:t>
      </w:r>
      <w:r>
        <w:rPr>
          <w:rFonts w:ascii="宋体" w:hAnsi="宋体" w:eastAsia="宋体" w:cs="宋体"/>
          <w:color w:val="auto"/>
          <w:spacing w:val="-45"/>
          <w:sz w:val="24"/>
          <w:szCs w:val="24"/>
          <w:highlight w:val="none"/>
        </w:rPr>
        <w:t xml:space="preserve"> </w:t>
      </w:r>
      <w:r>
        <w:rPr>
          <w:rFonts w:ascii="宋体" w:hAnsi="宋体" w:eastAsia="宋体" w:cs="宋体"/>
          <w:color w:val="auto"/>
          <w:spacing w:val="-2"/>
          <w:sz w:val="24"/>
          <w:szCs w:val="24"/>
          <w:highlight w:val="none"/>
        </w:rPr>
        <w:t>号文附件一）</w:t>
      </w:r>
    </w:p>
    <w:p w14:paraId="0F088FD4">
      <w:pPr>
        <w:spacing w:before="105" w:line="219" w:lineRule="auto"/>
        <w:ind w:left="3906"/>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广西壮族自治区</w:t>
      </w:r>
    </w:p>
    <w:p w14:paraId="5560833D">
      <w:pPr>
        <w:spacing w:before="104" w:line="219" w:lineRule="auto"/>
        <w:ind w:left="2786"/>
        <w:rPr>
          <w:rFonts w:ascii="宋体" w:hAnsi="宋体" w:eastAsia="宋体" w:cs="宋体"/>
          <w:color w:val="auto"/>
          <w:sz w:val="24"/>
          <w:szCs w:val="24"/>
          <w:highlight w:val="none"/>
        </w:rPr>
      </w:pPr>
      <w:r>
        <w:rPr>
          <w:rFonts w:ascii="宋体" w:hAnsi="宋体" w:eastAsia="宋体" w:cs="宋体"/>
          <w:b/>
          <w:bCs/>
          <w:color w:val="auto"/>
          <w:spacing w:val="-24"/>
          <w:sz w:val="24"/>
          <w:szCs w:val="24"/>
          <w:highlight w:val="none"/>
        </w:rPr>
        <w:t>建设工程安全文明施工措施项目清单内容</w:t>
      </w:r>
    </w:p>
    <w:p w14:paraId="1EBD542E">
      <w:pPr>
        <w:spacing w:line="69" w:lineRule="exact"/>
        <w:rPr>
          <w:color w:val="auto"/>
          <w:highlight w:val="none"/>
        </w:rPr>
      </w:pPr>
    </w:p>
    <w:tbl>
      <w:tblPr>
        <w:tblStyle w:val="14"/>
        <w:tblW w:w="94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6642"/>
      </w:tblGrid>
      <w:tr w14:paraId="434A2F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750" w:type="dxa"/>
            <w:tcBorders>
              <w:top w:val="single" w:color="000000" w:sz="10" w:space="0"/>
              <w:left w:val="single" w:color="000000" w:sz="10" w:space="0"/>
            </w:tcBorders>
            <w:vAlign w:val="top"/>
          </w:tcPr>
          <w:p w14:paraId="5EEFEB79">
            <w:pPr>
              <w:pStyle w:val="15"/>
              <w:spacing w:before="100" w:line="228" w:lineRule="auto"/>
              <w:ind w:left="155"/>
              <w:rPr>
                <w:color w:val="auto"/>
                <w:highlight w:val="none"/>
              </w:rPr>
            </w:pPr>
            <w:r>
              <w:rPr>
                <w:b/>
                <w:bCs/>
                <w:color w:val="auto"/>
                <w:spacing w:val="3"/>
                <w:highlight w:val="none"/>
              </w:rPr>
              <w:t>类别</w:t>
            </w:r>
          </w:p>
        </w:tc>
        <w:tc>
          <w:tcPr>
            <w:tcW w:w="2064" w:type="dxa"/>
            <w:gridSpan w:val="2"/>
            <w:tcBorders>
              <w:top w:val="single" w:color="000000" w:sz="10" w:space="0"/>
            </w:tcBorders>
            <w:vAlign w:val="top"/>
          </w:tcPr>
          <w:p w14:paraId="3BD97A21">
            <w:pPr>
              <w:pStyle w:val="15"/>
              <w:spacing w:before="101" w:line="228" w:lineRule="auto"/>
              <w:ind w:left="611"/>
              <w:rPr>
                <w:color w:val="auto"/>
                <w:highlight w:val="none"/>
              </w:rPr>
            </w:pPr>
            <w:r>
              <w:rPr>
                <w:b/>
                <w:bCs/>
                <w:color w:val="auto"/>
                <w:spacing w:val="5"/>
                <w:highlight w:val="none"/>
              </w:rPr>
              <w:t>项目名称</w:t>
            </w:r>
          </w:p>
        </w:tc>
        <w:tc>
          <w:tcPr>
            <w:tcW w:w="6642" w:type="dxa"/>
            <w:tcBorders>
              <w:top w:val="single" w:color="000000" w:sz="10" w:space="0"/>
              <w:right w:val="single" w:color="000000" w:sz="10" w:space="0"/>
            </w:tcBorders>
            <w:vAlign w:val="top"/>
          </w:tcPr>
          <w:p w14:paraId="1487CF27">
            <w:pPr>
              <w:pStyle w:val="15"/>
              <w:spacing w:before="100" w:line="228" w:lineRule="auto"/>
              <w:ind w:left="2587"/>
              <w:rPr>
                <w:color w:val="auto"/>
                <w:highlight w:val="none"/>
              </w:rPr>
            </w:pPr>
            <w:r>
              <w:rPr>
                <w:b/>
                <w:bCs/>
                <w:color w:val="auto"/>
                <w:spacing w:val="7"/>
                <w:highlight w:val="none"/>
              </w:rPr>
              <w:t>主要内容和要求</w:t>
            </w:r>
          </w:p>
        </w:tc>
      </w:tr>
      <w:tr w14:paraId="4D9AA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50" w:type="dxa"/>
            <w:vMerge w:val="restart"/>
            <w:tcBorders>
              <w:left w:val="single" w:color="000000" w:sz="10" w:space="0"/>
              <w:bottom w:val="nil"/>
            </w:tcBorders>
            <w:vAlign w:val="top"/>
          </w:tcPr>
          <w:p w14:paraId="510C75DF">
            <w:pPr>
              <w:spacing w:line="246" w:lineRule="auto"/>
              <w:rPr>
                <w:rFonts w:ascii="Arial"/>
                <w:color w:val="auto"/>
                <w:sz w:val="21"/>
                <w:highlight w:val="none"/>
              </w:rPr>
            </w:pPr>
          </w:p>
          <w:p w14:paraId="56482EB1">
            <w:pPr>
              <w:spacing w:line="246" w:lineRule="auto"/>
              <w:rPr>
                <w:rFonts w:ascii="Arial"/>
                <w:color w:val="auto"/>
                <w:sz w:val="21"/>
                <w:highlight w:val="none"/>
              </w:rPr>
            </w:pPr>
          </w:p>
          <w:p w14:paraId="48709540">
            <w:pPr>
              <w:spacing w:line="246" w:lineRule="auto"/>
              <w:rPr>
                <w:rFonts w:ascii="Arial"/>
                <w:color w:val="auto"/>
                <w:sz w:val="21"/>
                <w:highlight w:val="none"/>
              </w:rPr>
            </w:pPr>
          </w:p>
          <w:p w14:paraId="108A2173">
            <w:pPr>
              <w:spacing w:line="246" w:lineRule="auto"/>
              <w:rPr>
                <w:rFonts w:ascii="Arial"/>
                <w:color w:val="auto"/>
                <w:sz w:val="21"/>
                <w:highlight w:val="none"/>
              </w:rPr>
            </w:pPr>
          </w:p>
          <w:p w14:paraId="1F5258B2">
            <w:pPr>
              <w:spacing w:line="246" w:lineRule="auto"/>
              <w:rPr>
                <w:rFonts w:ascii="Arial"/>
                <w:color w:val="auto"/>
                <w:sz w:val="21"/>
                <w:highlight w:val="none"/>
              </w:rPr>
            </w:pPr>
          </w:p>
          <w:p w14:paraId="1254A57F">
            <w:pPr>
              <w:spacing w:line="246" w:lineRule="auto"/>
              <w:rPr>
                <w:rFonts w:ascii="Arial"/>
                <w:color w:val="auto"/>
                <w:sz w:val="21"/>
                <w:highlight w:val="none"/>
              </w:rPr>
            </w:pPr>
          </w:p>
          <w:p w14:paraId="59A28255">
            <w:pPr>
              <w:spacing w:line="246" w:lineRule="auto"/>
              <w:rPr>
                <w:rFonts w:ascii="Arial"/>
                <w:color w:val="auto"/>
                <w:sz w:val="21"/>
                <w:highlight w:val="none"/>
              </w:rPr>
            </w:pPr>
          </w:p>
          <w:p w14:paraId="161841DC">
            <w:pPr>
              <w:spacing w:line="246" w:lineRule="auto"/>
              <w:rPr>
                <w:rFonts w:ascii="Arial"/>
                <w:color w:val="auto"/>
                <w:sz w:val="21"/>
                <w:highlight w:val="none"/>
              </w:rPr>
            </w:pPr>
          </w:p>
          <w:p w14:paraId="5EE50B15">
            <w:pPr>
              <w:spacing w:line="246" w:lineRule="auto"/>
              <w:rPr>
                <w:rFonts w:ascii="Arial"/>
                <w:color w:val="auto"/>
                <w:sz w:val="21"/>
                <w:highlight w:val="none"/>
              </w:rPr>
            </w:pPr>
          </w:p>
          <w:p w14:paraId="4D1567E3">
            <w:pPr>
              <w:spacing w:line="246" w:lineRule="auto"/>
              <w:rPr>
                <w:rFonts w:ascii="Arial"/>
                <w:color w:val="auto"/>
                <w:sz w:val="21"/>
                <w:highlight w:val="none"/>
              </w:rPr>
            </w:pPr>
          </w:p>
          <w:p w14:paraId="07AFB021">
            <w:pPr>
              <w:spacing w:line="246" w:lineRule="auto"/>
              <w:rPr>
                <w:rFonts w:ascii="Arial"/>
                <w:color w:val="auto"/>
                <w:sz w:val="21"/>
                <w:highlight w:val="none"/>
              </w:rPr>
            </w:pPr>
          </w:p>
          <w:p w14:paraId="4ADC625E">
            <w:pPr>
              <w:pStyle w:val="15"/>
              <w:spacing w:before="65" w:line="228" w:lineRule="auto"/>
              <w:ind w:left="159"/>
              <w:rPr>
                <w:color w:val="auto"/>
                <w:highlight w:val="none"/>
              </w:rPr>
            </w:pPr>
            <w:r>
              <w:rPr>
                <w:color w:val="auto"/>
                <w:spacing w:val="3"/>
                <w:highlight w:val="none"/>
              </w:rPr>
              <w:t>文明</w:t>
            </w:r>
          </w:p>
          <w:p w14:paraId="6804B304">
            <w:pPr>
              <w:pStyle w:val="15"/>
              <w:spacing w:before="93" w:line="231" w:lineRule="auto"/>
              <w:ind w:left="156"/>
              <w:rPr>
                <w:color w:val="auto"/>
                <w:highlight w:val="none"/>
              </w:rPr>
            </w:pPr>
            <w:r>
              <w:rPr>
                <w:color w:val="auto"/>
                <w:spacing w:val="5"/>
                <w:highlight w:val="none"/>
              </w:rPr>
              <w:t>施工</w:t>
            </w:r>
          </w:p>
          <w:p w14:paraId="15EA1162">
            <w:pPr>
              <w:pStyle w:val="15"/>
              <w:spacing w:before="90" w:line="230" w:lineRule="auto"/>
              <w:ind w:left="264"/>
              <w:rPr>
                <w:color w:val="auto"/>
                <w:highlight w:val="none"/>
              </w:rPr>
            </w:pPr>
            <w:r>
              <w:rPr>
                <w:color w:val="auto"/>
                <w:highlight w:val="none"/>
              </w:rPr>
              <w:t>与</w:t>
            </w:r>
          </w:p>
          <w:p w14:paraId="74742D50">
            <w:pPr>
              <w:pStyle w:val="15"/>
              <w:spacing w:before="92" w:line="228" w:lineRule="auto"/>
              <w:ind w:left="157"/>
              <w:rPr>
                <w:color w:val="auto"/>
                <w:highlight w:val="none"/>
              </w:rPr>
            </w:pPr>
            <w:r>
              <w:rPr>
                <w:color w:val="auto"/>
                <w:spacing w:val="4"/>
                <w:highlight w:val="none"/>
              </w:rPr>
              <w:t>环境</w:t>
            </w:r>
          </w:p>
          <w:p w14:paraId="55E6EBBE">
            <w:pPr>
              <w:pStyle w:val="15"/>
              <w:spacing w:before="91" w:line="228" w:lineRule="auto"/>
              <w:ind w:left="158"/>
              <w:rPr>
                <w:color w:val="auto"/>
                <w:highlight w:val="none"/>
              </w:rPr>
            </w:pPr>
            <w:r>
              <w:rPr>
                <w:color w:val="auto"/>
                <w:spacing w:val="4"/>
                <w:highlight w:val="none"/>
              </w:rPr>
              <w:t>保护</w:t>
            </w:r>
          </w:p>
        </w:tc>
        <w:tc>
          <w:tcPr>
            <w:tcW w:w="2064" w:type="dxa"/>
            <w:gridSpan w:val="2"/>
            <w:vAlign w:val="top"/>
          </w:tcPr>
          <w:p w14:paraId="665E7006">
            <w:pPr>
              <w:pStyle w:val="15"/>
              <w:spacing w:before="30" w:line="297" w:lineRule="auto"/>
              <w:ind w:left="716" w:right="619" w:hanging="102"/>
              <w:rPr>
                <w:color w:val="auto"/>
                <w:highlight w:val="none"/>
              </w:rPr>
            </w:pPr>
            <w:r>
              <w:rPr>
                <w:color w:val="auto"/>
                <w:spacing w:val="6"/>
                <w:highlight w:val="none"/>
              </w:rPr>
              <w:t>安全警示</w:t>
            </w:r>
            <w:r>
              <w:rPr>
                <w:color w:val="auto"/>
                <w:highlight w:val="none"/>
              </w:rPr>
              <w:t xml:space="preserve"> </w:t>
            </w:r>
            <w:r>
              <w:rPr>
                <w:color w:val="auto"/>
                <w:spacing w:val="6"/>
                <w:highlight w:val="none"/>
              </w:rPr>
              <w:t>标志牌</w:t>
            </w:r>
          </w:p>
        </w:tc>
        <w:tc>
          <w:tcPr>
            <w:tcW w:w="6642" w:type="dxa"/>
            <w:tcBorders>
              <w:right w:val="single" w:color="000000" w:sz="10" w:space="0"/>
            </w:tcBorders>
            <w:vAlign w:val="top"/>
          </w:tcPr>
          <w:p w14:paraId="0358657F">
            <w:pPr>
              <w:pStyle w:val="15"/>
              <w:spacing w:before="30" w:line="297" w:lineRule="auto"/>
              <w:ind w:left="108" w:right="99" w:hanging="1"/>
              <w:rPr>
                <w:color w:val="auto"/>
                <w:highlight w:val="none"/>
              </w:rPr>
            </w:pPr>
            <w:r>
              <w:rPr>
                <w:color w:val="auto"/>
                <w:spacing w:val="7"/>
                <w:highlight w:val="none"/>
              </w:rPr>
              <w:t>在易发伤亡事故（或危险）处设置明显的、符合国家标准要求的安全警</w:t>
            </w:r>
            <w:r>
              <w:rPr>
                <w:color w:val="auto"/>
                <w:spacing w:val="2"/>
                <w:highlight w:val="none"/>
              </w:rPr>
              <w:t xml:space="preserve"> </w:t>
            </w:r>
            <w:r>
              <w:rPr>
                <w:color w:val="auto"/>
                <w:spacing w:val="5"/>
                <w:highlight w:val="none"/>
              </w:rPr>
              <w:t>示标志牌。</w:t>
            </w:r>
          </w:p>
        </w:tc>
      </w:tr>
      <w:tr w14:paraId="108A6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50" w:type="dxa"/>
            <w:vMerge w:val="continue"/>
            <w:tcBorders>
              <w:top w:val="nil"/>
              <w:left w:val="single" w:color="000000" w:sz="10" w:space="0"/>
              <w:bottom w:val="nil"/>
            </w:tcBorders>
            <w:vAlign w:val="top"/>
          </w:tcPr>
          <w:p w14:paraId="7DFD7675">
            <w:pPr>
              <w:rPr>
                <w:rFonts w:ascii="Arial"/>
                <w:color w:val="auto"/>
                <w:sz w:val="21"/>
                <w:highlight w:val="none"/>
              </w:rPr>
            </w:pPr>
          </w:p>
        </w:tc>
        <w:tc>
          <w:tcPr>
            <w:tcW w:w="2064" w:type="dxa"/>
            <w:gridSpan w:val="2"/>
            <w:vAlign w:val="top"/>
          </w:tcPr>
          <w:p w14:paraId="1440AE96">
            <w:pPr>
              <w:pStyle w:val="15"/>
              <w:spacing w:before="201" w:line="228" w:lineRule="auto"/>
              <w:ind w:left="612"/>
              <w:rPr>
                <w:color w:val="auto"/>
                <w:highlight w:val="none"/>
              </w:rPr>
            </w:pPr>
            <w:r>
              <w:rPr>
                <w:color w:val="auto"/>
                <w:spacing w:val="6"/>
                <w:highlight w:val="none"/>
              </w:rPr>
              <w:t>现场围挡</w:t>
            </w:r>
          </w:p>
        </w:tc>
        <w:tc>
          <w:tcPr>
            <w:tcW w:w="6642" w:type="dxa"/>
            <w:tcBorders>
              <w:right w:val="single" w:color="000000" w:sz="10" w:space="0"/>
            </w:tcBorders>
            <w:vAlign w:val="top"/>
          </w:tcPr>
          <w:p w14:paraId="5CDA35D8">
            <w:pPr>
              <w:pStyle w:val="15"/>
              <w:spacing w:before="33" w:line="227" w:lineRule="auto"/>
              <w:ind w:left="124"/>
              <w:rPr>
                <w:color w:val="auto"/>
                <w:highlight w:val="none"/>
              </w:rPr>
            </w:pPr>
            <w:r>
              <w:rPr>
                <w:color w:val="auto"/>
                <w:spacing w:val="5"/>
                <w:highlight w:val="none"/>
              </w:rPr>
              <w:t>1. 现场采用封闭围挡，高度不小于</w:t>
            </w:r>
            <w:r>
              <w:rPr>
                <w:color w:val="auto"/>
                <w:spacing w:val="-7"/>
                <w:highlight w:val="none"/>
              </w:rPr>
              <w:t xml:space="preserve"> </w:t>
            </w:r>
            <w:r>
              <w:rPr>
                <w:color w:val="auto"/>
                <w:spacing w:val="5"/>
                <w:highlight w:val="none"/>
              </w:rPr>
              <w:t>1.8m。</w:t>
            </w:r>
          </w:p>
          <w:p w14:paraId="28CE4B34">
            <w:pPr>
              <w:pStyle w:val="15"/>
              <w:spacing w:before="94" w:line="227" w:lineRule="auto"/>
              <w:ind w:left="111"/>
              <w:rPr>
                <w:color w:val="auto"/>
                <w:highlight w:val="none"/>
              </w:rPr>
            </w:pPr>
            <w:r>
              <w:rPr>
                <w:color w:val="auto"/>
                <w:spacing w:val="7"/>
                <w:highlight w:val="none"/>
              </w:rPr>
              <w:t>2.</w:t>
            </w:r>
            <w:r>
              <w:rPr>
                <w:color w:val="auto"/>
                <w:spacing w:val="40"/>
                <w:highlight w:val="none"/>
              </w:rPr>
              <w:t xml:space="preserve"> </w:t>
            </w:r>
            <w:r>
              <w:rPr>
                <w:color w:val="auto"/>
                <w:spacing w:val="7"/>
                <w:highlight w:val="none"/>
              </w:rPr>
              <w:t>围挡材料可用彩色、定型钢板，砌块等墙体。</w:t>
            </w:r>
          </w:p>
        </w:tc>
      </w:tr>
      <w:tr w14:paraId="6C5194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750" w:type="dxa"/>
            <w:vMerge w:val="continue"/>
            <w:tcBorders>
              <w:top w:val="nil"/>
              <w:left w:val="single" w:color="000000" w:sz="10" w:space="0"/>
              <w:bottom w:val="nil"/>
            </w:tcBorders>
            <w:vAlign w:val="top"/>
          </w:tcPr>
          <w:p w14:paraId="37882400">
            <w:pPr>
              <w:rPr>
                <w:rFonts w:ascii="Arial"/>
                <w:color w:val="auto"/>
                <w:sz w:val="21"/>
                <w:highlight w:val="none"/>
              </w:rPr>
            </w:pPr>
          </w:p>
        </w:tc>
        <w:tc>
          <w:tcPr>
            <w:tcW w:w="2064" w:type="dxa"/>
            <w:gridSpan w:val="2"/>
            <w:vAlign w:val="top"/>
          </w:tcPr>
          <w:p w14:paraId="13ECEED3">
            <w:pPr>
              <w:spacing w:line="308" w:lineRule="auto"/>
              <w:rPr>
                <w:rFonts w:ascii="Arial"/>
                <w:color w:val="auto"/>
                <w:sz w:val="21"/>
                <w:highlight w:val="none"/>
              </w:rPr>
            </w:pPr>
          </w:p>
          <w:p w14:paraId="5BB2FFDF">
            <w:pPr>
              <w:pStyle w:val="15"/>
              <w:spacing w:before="65" w:line="228" w:lineRule="auto"/>
              <w:ind w:left="609"/>
              <w:rPr>
                <w:color w:val="auto"/>
                <w:highlight w:val="none"/>
              </w:rPr>
            </w:pPr>
            <w:r>
              <w:rPr>
                <w:color w:val="auto"/>
                <w:spacing w:val="7"/>
                <w:highlight w:val="none"/>
              </w:rPr>
              <w:t>七牌二图</w:t>
            </w:r>
          </w:p>
        </w:tc>
        <w:tc>
          <w:tcPr>
            <w:tcW w:w="6642" w:type="dxa"/>
            <w:tcBorders>
              <w:right w:val="single" w:color="000000" w:sz="10" w:space="0"/>
            </w:tcBorders>
            <w:vAlign w:val="top"/>
          </w:tcPr>
          <w:p w14:paraId="48327069">
            <w:pPr>
              <w:pStyle w:val="15"/>
              <w:spacing w:before="35" w:line="301" w:lineRule="auto"/>
              <w:ind w:left="107" w:right="96"/>
              <w:jc w:val="both"/>
              <w:rPr>
                <w:color w:val="auto"/>
                <w:highlight w:val="none"/>
              </w:rPr>
            </w:pPr>
            <w:r>
              <w:rPr>
                <w:color w:val="auto"/>
                <w:spacing w:val="7"/>
                <w:highlight w:val="none"/>
              </w:rPr>
              <w:t>在进门处悬挂工程概况、现场出入制度、管理人员名单及监督电话、安</w:t>
            </w:r>
            <w:r>
              <w:rPr>
                <w:color w:val="auto"/>
                <w:spacing w:val="4"/>
                <w:highlight w:val="none"/>
              </w:rPr>
              <w:t xml:space="preserve"> </w:t>
            </w:r>
            <w:r>
              <w:rPr>
                <w:color w:val="auto"/>
                <w:spacing w:val="7"/>
                <w:highlight w:val="none"/>
              </w:rPr>
              <w:t>全生产规定、文明施工、消防保卫、节能公示等七牌以及施工现场总平</w:t>
            </w:r>
            <w:r>
              <w:rPr>
                <w:color w:val="auto"/>
                <w:spacing w:val="3"/>
                <w:highlight w:val="none"/>
              </w:rPr>
              <w:t xml:space="preserve"> </w:t>
            </w:r>
            <w:r>
              <w:rPr>
                <w:color w:val="auto"/>
                <w:spacing w:val="7"/>
                <w:highlight w:val="none"/>
              </w:rPr>
              <w:t>面图、工程效果图。</w:t>
            </w:r>
          </w:p>
        </w:tc>
      </w:tr>
      <w:tr w14:paraId="12D44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750" w:type="dxa"/>
            <w:vMerge w:val="continue"/>
            <w:tcBorders>
              <w:top w:val="nil"/>
              <w:left w:val="single" w:color="000000" w:sz="10" w:space="0"/>
              <w:bottom w:val="nil"/>
            </w:tcBorders>
            <w:vAlign w:val="top"/>
          </w:tcPr>
          <w:p w14:paraId="7B73C96C">
            <w:pPr>
              <w:rPr>
                <w:rFonts w:ascii="Arial"/>
                <w:color w:val="auto"/>
                <w:sz w:val="21"/>
                <w:highlight w:val="none"/>
              </w:rPr>
            </w:pPr>
          </w:p>
        </w:tc>
        <w:tc>
          <w:tcPr>
            <w:tcW w:w="2064" w:type="dxa"/>
            <w:gridSpan w:val="2"/>
            <w:vAlign w:val="top"/>
          </w:tcPr>
          <w:p w14:paraId="066BE0DF">
            <w:pPr>
              <w:pStyle w:val="15"/>
              <w:spacing w:before="122" w:line="228" w:lineRule="auto"/>
              <w:ind w:left="613"/>
              <w:rPr>
                <w:color w:val="auto"/>
                <w:highlight w:val="none"/>
              </w:rPr>
            </w:pPr>
            <w:r>
              <w:rPr>
                <w:color w:val="auto"/>
                <w:spacing w:val="6"/>
                <w:highlight w:val="none"/>
              </w:rPr>
              <w:t>企业标志</w:t>
            </w:r>
          </w:p>
        </w:tc>
        <w:tc>
          <w:tcPr>
            <w:tcW w:w="6642" w:type="dxa"/>
            <w:tcBorders>
              <w:right w:val="single" w:color="000000" w:sz="10" w:space="0"/>
            </w:tcBorders>
            <w:vAlign w:val="top"/>
          </w:tcPr>
          <w:p w14:paraId="4449B900">
            <w:pPr>
              <w:pStyle w:val="15"/>
              <w:spacing w:before="121" w:line="227" w:lineRule="auto"/>
              <w:ind w:left="110"/>
              <w:rPr>
                <w:color w:val="auto"/>
                <w:highlight w:val="none"/>
              </w:rPr>
            </w:pPr>
            <w:r>
              <w:rPr>
                <w:color w:val="auto"/>
                <w:spacing w:val="8"/>
                <w:highlight w:val="none"/>
              </w:rPr>
              <w:t>现场出入的大门应设有本企业标志或企业标识。</w:t>
            </w:r>
          </w:p>
        </w:tc>
      </w:tr>
      <w:tr w14:paraId="735AD5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50" w:type="dxa"/>
            <w:vMerge w:val="continue"/>
            <w:tcBorders>
              <w:top w:val="nil"/>
              <w:left w:val="single" w:color="000000" w:sz="10" w:space="0"/>
              <w:bottom w:val="nil"/>
            </w:tcBorders>
            <w:vAlign w:val="top"/>
          </w:tcPr>
          <w:p w14:paraId="45900349">
            <w:pPr>
              <w:rPr>
                <w:rFonts w:ascii="Arial"/>
                <w:color w:val="auto"/>
                <w:sz w:val="21"/>
                <w:highlight w:val="none"/>
              </w:rPr>
            </w:pPr>
          </w:p>
        </w:tc>
        <w:tc>
          <w:tcPr>
            <w:tcW w:w="2064" w:type="dxa"/>
            <w:gridSpan w:val="2"/>
            <w:vAlign w:val="top"/>
          </w:tcPr>
          <w:p w14:paraId="1B2368E8">
            <w:pPr>
              <w:rPr>
                <w:rFonts w:ascii="Arial"/>
                <w:color w:val="auto"/>
                <w:sz w:val="21"/>
                <w:highlight w:val="none"/>
              </w:rPr>
            </w:pPr>
          </w:p>
          <w:p w14:paraId="2A7680EA">
            <w:pPr>
              <w:rPr>
                <w:rFonts w:ascii="Arial"/>
                <w:color w:val="auto"/>
                <w:sz w:val="21"/>
                <w:highlight w:val="none"/>
              </w:rPr>
            </w:pPr>
          </w:p>
          <w:p w14:paraId="2EDE36C4">
            <w:pPr>
              <w:pStyle w:val="15"/>
              <w:spacing w:before="65" w:line="227" w:lineRule="auto"/>
              <w:ind w:left="609"/>
              <w:rPr>
                <w:color w:val="auto"/>
                <w:highlight w:val="none"/>
              </w:rPr>
            </w:pPr>
            <w:r>
              <w:rPr>
                <w:color w:val="auto"/>
                <w:spacing w:val="7"/>
                <w:highlight w:val="none"/>
              </w:rPr>
              <w:t>场容场貌</w:t>
            </w:r>
          </w:p>
        </w:tc>
        <w:tc>
          <w:tcPr>
            <w:tcW w:w="6642" w:type="dxa"/>
            <w:tcBorders>
              <w:right w:val="single" w:color="000000" w:sz="10" w:space="0"/>
            </w:tcBorders>
            <w:vAlign w:val="top"/>
          </w:tcPr>
          <w:p w14:paraId="45063640">
            <w:pPr>
              <w:pStyle w:val="15"/>
              <w:spacing w:before="39" w:line="228" w:lineRule="auto"/>
              <w:ind w:left="124"/>
              <w:rPr>
                <w:color w:val="auto"/>
                <w:highlight w:val="none"/>
              </w:rPr>
            </w:pPr>
            <w:r>
              <w:rPr>
                <w:color w:val="auto"/>
                <w:spacing w:val="2"/>
                <w:highlight w:val="none"/>
              </w:rPr>
              <w:t>1.</w:t>
            </w:r>
            <w:r>
              <w:rPr>
                <w:color w:val="auto"/>
                <w:spacing w:val="15"/>
                <w:highlight w:val="none"/>
              </w:rPr>
              <w:t xml:space="preserve"> </w:t>
            </w:r>
            <w:r>
              <w:rPr>
                <w:color w:val="auto"/>
                <w:spacing w:val="2"/>
                <w:highlight w:val="none"/>
              </w:rPr>
              <w:t>道路畅通。</w:t>
            </w:r>
          </w:p>
          <w:p w14:paraId="51DC4FC8">
            <w:pPr>
              <w:pStyle w:val="15"/>
              <w:spacing w:before="91" w:line="228" w:lineRule="auto"/>
              <w:ind w:left="111"/>
              <w:rPr>
                <w:color w:val="auto"/>
                <w:highlight w:val="none"/>
              </w:rPr>
            </w:pPr>
            <w:r>
              <w:rPr>
                <w:color w:val="auto"/>
                <w:spacing w:val="6"/>
                <w:highlight w:val="none"/>
              </w:rPr>
              <w:t>2. 排水设施齐全畅通。</w:t>
            </w:r>
          </w:p>
          <w:p w14:paraId="7018F6BC">
            <w:pPr>
              <w:pStyle w:val="15"/>
              <w:spacing w:before="93" w:line="271" w:lineRule="auto"/>
              <w:ind w:left="109" w:right="96" w:firstLine="3"/>
              <w:rPr>
                <w:color w:val="auto"/>
                <w:highlight w:val="none"/>
              </w:rPr>
            </w:pPr>
            <w:r>
              <w:rPr>
                <w:color w:val="auto"/>
                <w:spacing w:val="10"/>
                <w:highlight w:val="none"/>
              </w:rPr>
              <w:t>3. 工地地面硬化处理（办公区、生活区、现场道路、材料堆</w:t>
            </w:r>
            <w:r>
              <w:rPr>
                <w:color w:val="auto"/>
                <w:spacing w:val="9"/>
                <w:highlight w:val="none"/>
              </w:rPr>
              <w:t>放、混凝</w:t>
            </w:r>
            <w:r>
              <w:rPr>
                <w:color w:val="auto"/>
                <w:highlight w:val="none"/>
              </w:rPr>
              <w:t xml:space="preserve"> </w:t>
            </w:r>
            <w:r>
              <w:rPr>
                <w:color w:val="auto"/>
                <w:spacing w:val="9"/>
                <w:highlight w:val="none"/>
              </w:rPr>
              <w:t>土搅拌、砂浆搅拌、钢筋加工等场地和外脚</w:t>
            </w:r>
            <w:r>
              <w:rPr>
                <w:color w:val="auto"/>
                <w:spacing w:val="8"/>
                <w:highlight w:val="none"/>
              </w:rPr>
              <w:t>手架基础等）。</w:t>
            </w:r>
          </w:p>
        </w:tc>
      </w:tr>
      <w:tr w14:paraId="7A4FC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750" w:type="dxa"/>
            <w:vMerge w:val="continue"/>
            <w:tcBorders>
              <w:top w:val="nil"/>
              <w:left w:val="single" w:color="000000" w:sz="10" w:space="0"/>
              <w:bottom w:val="nil"/>
            </w:tcBorders>
            <w:vAlign w:val="top"/>
          </w:tcPr>
          <w:p w14:paraId="27C87B2B">
            <w:pPr>
              <w:rPr>
                <w:rFonts w:ascii="Arial"/>
                <w:color w:val="auto"/>
                <w:sz w:val="21"/>
                <w:highlight w:val="none"/>
              </w:rPr>
            </w:pPr>
          </w:p>
        </w:tc>
        <w:tc>
          <w:tcPr>
            <w:tcW w:w="2064" w:type="dxa"/>
            <w:gridSpan w:val="2"/>
            <w:vAlign w:val="top"/>
          </w:tcPr>
          <w:p w14:paraId="6C20C2F0">
            <w:pPr>
              <w:spacing w:line="312" w:lineRule="auto"/>
              <w:rPr>
                <w:rFonts w:ascii="Arial"/>
                <w:color w:val="auto"/>
                <w:sz w:val="21"/>
                <w:highlight w:val="none"/>
              </w:rPr>
            </w:pPr>
          </w:p>
          <w:p w14:paraId="43A4FA21">
            <w:pPr>
              <w:pStyle w:val="15"/>
              <w:spacing w:before="65" w:line="227" w:lineRule="auto"/>
              <w:ind w:left="610"/>
              <w:rPr>
                <w:color w:val="auto"/>
                <w:highlight w:val="none"/>
              </w:rPr>
            </w:pPr>
            <w:r>
              <w:rPr>
                <w:color w:val="auto"/>
                <w:spacing w:val="7"/>
                <w:highlight w:val="none"/>
              </w:rPr>
              <w:t>材料堆放</w:t>
            </w:r>
          </w:p>
        </w:tc>
        <w:tc>
          <w:tcPr>
            <w:tcW w:w="6642" w:type="dxa"/>
            <w:tcBorders>
              <w:right w:val="single" w:color="000000" w:sz="10" w:space="0"/>
            </w:tcBorders>
            <w:vAlign w:val="top"/>
          </w:tcPr>
          <w:p w14:paraId="3CB3B834">
            <w:pPr>
              <w:pStyle w:val="15"/>
              <w:spacing w:before="41" w:line="225" w:lineRule="auto"/>
              <w:ind w:left="124"/>
              <w:rPr>
                <w:color w:val="auto"/>
                <w:highlight w:val="none"/>
              </w:rPr>
            </w:pPr>
            <w:r>
              <w:rPr>
                <w:color w:val="auto"/>
                <w:spacing w:val="8"/>
                <w:highlight w:val="none"/>
              </w:rPr>
              <w:t>1. 材料、构件、料具等堆放时，应有名称、品种、规格等标牌。</w:t>
            </w:r>
          </w:p>
          <w:p w14:paraId="3C648BF6">
            <w:pPr>
              <w:pStyle w:val="15"/>
              <w:spacing w:before="94" w:line="225" w:lineRule="auto"/>
              <w:ind w:left="111"/>
              <w:rPr>
                <w:color w:val="auto"/>
                <w:highlight w:val="none"/>
              </w:rPr>
            </w:pPr>
            <w:r>
              <w:rPr>
                <w:color w:val="auto"/>
                <w:spacing w:val="9"/>
                <w:highlight w:val="none"/>
              </w:rPr>
              <w:t>2. 水泥和其它易飞扬细颗粒建筑材料应封闭存放或采取</w:t>
            </w:r>
            <w:r>
              <w:rPr>
                <w:color w:val="auto"/>
                <w:spacing w:val="8"/>
                <w:highlight w:val="none"/>
              </w:rPr>
              <w:t>覆盖等措施。</w:t>
            </w:r>
          </w:p>
          <w:p w14:paraId="1BD9A7DD">
            <w:pPr>
              <w:pStyle w:val="15"/>
              <w:spacing w:before="96" w:line="226" w:lineRule="auto"/>
              <w:ind w:left="112"/>
              <w:rPr>
                <w:color w:val="auto"/>
                <w:highlight w:val="none"/>
              </w:rPr>
            </w:pPr>
            <w:r>
              <w:rPr>
                <w:color w:val="auto"/>
                <w:spacing w:val="8"/>
                <w:highlight w:val="none"/>
              </w:rPr>
              <w:t>3. 易燃、易爆和有毒有害物品分类存放。</w:t>
            </w:r>
          </w:p>
        </w:tc>
      </w:tr>
      <w:tr w14:paraId="6A795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0410443F">
            <w:pPr>
              <w:rPr>
                <w:rFonts w:ascii="Arial"/>
                <w:color w:val="auto"/>
                <w:sz w:val="21"/>
                <w:highlight w:val="none"/>
              </w:rPr>
            </w:pPr>
          </w:p>
        </w:tc>
        <w:tc>
          <w:tcPr>
            <w:tcW w:w="2064" w:type="dxa"/>
            <w:gridSpan w:val="2"/>
            <w:vAlign w:val="top"/>
          </w:tcPr>
          <w:p w14:paraId="67EB2790">
            <w:pPr>
              <w:pStyle w:val="15"/>
              <w:spacing w:before="122" w:line="228" w:lineRule="auto"/>
              <w:ind w:left="612"/>
              <w:rPr>
                <w:color w:val="auto"/>
                <w:highlight w:val="none"/>
              </w:rPr>
            </w:pPr>
            <w:r>
              <w:rPr>
                <w:color w:val="auto"/>
                <w:spacing w:val="6"/>
                <w:highlight w:val="none"/>
              </w:rPr>
              <w:t>现场防火</w:t>
            </w:r>
          </w:p>
        </w:tc>
        <w:tc>
          <w:tcPr>
            <w:tcW w:w="6642" w:type="dxa"/>
            <w:tcBorders>
              <w:right w:val="single" w:color="000000" w:sz="10" w:space="0"/>
            </w:tcBorders>
            <w:vAlign w:val="top"/>
          </w:tcPr>
          <w:p w14:paraId="5D276EED">
            <w:pPr>
              <w:pStyle w:val="15"/>
              <w:spacing w:before="122" w:line="227" w:lineRule="auto"/>
              <w:ind w:left="112"/>
              <w:rPr>
                <w:color w:val="auto"/>
                <w:highlight w:val="none"/>
              </w:rPr>
            </w:pPr>
            <w:r>
              <w:rPr>
                <w:color w:val="auto"/>
                <w:spacing w:val="8"/>
                <w:highlight w:val="none"/>
              </w:rPr>
              <w:t>消防器材配置合理，符合消防要求。</w:t>
            </w:r>
          </w:p>
        </w:tc>
      </w:tr>
      <w:tr w14:paraId="48AFC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50" w:type="dxa"/>
            <w:vMerge w:val="continue"/>
            <w:tcBorders>
              <w:top w:val="nil"/>
              <w:left w:val="single" w:color="000000" w:sz="10" w:space="0"/>
              <w:bottom w:val="nil"/>
            </w:tcBorders>
            <w:vAlign w:val="top"/>
          </w:tcPr>
          <w:p w14:paraId="121C20DF">
            <w:pPr>
              <w:rPr>
                <w:rFonts w:ascii="Arial"/>
                <w:color w:val="auto"/>
                <w:sz w:val="21"/>
                <w:highlight w:val="none"/>
              </w:rPr>
            </w:pPr>
          </w:p>
        </w:tc>
        <w:tc>
          <w:tcPr>
            <w:tcW w:w="2064" w:type="dxa"/>
            <w:gridSpan w:val="2"/>
            <w:vAlign w:val="top"/>
          </w:tcPr>
          <w:p w14:paraId="3BED16FD">
            <w:pPr>
              <w:pStyle w:val="15"/>
              <w:spacing w:before="214" w:line="228" w:lineRule="auto"/>
              <w:ind w:left="612"/>
              <w:rPr>
                <w:color w:val="auto"/>
                <w:highlight w:val="none"/>
              </w:rPr>
            </w:pPr>
            <w:r>
              <w:rPr>
                <w:color w:val="auto"/>
                <w:spacing w:val="6"/>
                <w:highlight w:val="none"/>
              </w:rPr>
              <w:t>垃圾清运</w:t>
            </w:r>
          </w:p>
        </w:tc>
        <w:tc>
          <w:tcPr>
            <w:tcW w:w="6642" w:type="dxa"/>
            <w:tcBorders>
              <w:right w:val="single" w:color="000000" w:sz="10" w:space="0"/>
            </w:tcBorders>
            <w:vAlign w:val="top"/>
          </w:tcPr>
          <w:p w14:paraId="0E0F1F82">
            <w:pPr>
              <w:pStyle w:val="15"/>
              <w:spacing w:before="43" w:line="227" w:lineRule="auto"/>
              <w:ind w:left="124"/>
              <w:rPr>
                <w:color w:val="auto"/>
                <w:highlight w:val="none"/>
              </w:rPr>
            </w:pPr>
            <w:r>
              <w:rPr>
                <w:color w:val="auto"/>
                <w:spacing w:val="8"/>
                <w:highlight w:val="none"/>
              </w:rPr>
              <w:t>1. 施工现场应设置密闭式垃圾站，施工垃圾、生活垃圾应分类存放。</w:t>
            </w:r>
          </w:p>
          <w:p w14:paraId="5E110B54">
            <w:pPr>
              <w:pStyle w:val="15"/>
              <w:spacing w:before="94" w:line="227" w:lineRule="auto"/>
              <w:ind w:left="111"/>
              <w:rPr>
                <w:color w:val="auto"/>
                <w:highlight w:val="none"/>
              </w:rPr>
            </w:pPr>
            <w:r>
              <w:rPr>
                <w:color w:val="auto"/>
                <w:spacing w:val="8"/>
                <w:highlight w:val="none"/>
              </w:rPr>
              <w:t>2. 施工垃圾必须采用相应容器或管道运输。</w:t>
            </w:r>
          </w:p>
        </w:tc>
      </w:tr>
      <w:tr w14:paraId="69F6D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50" w:type="dxa"/>
            <w:vMerge w:val="continue"/>
            <w:tcBorders>
              <w:top w:val="nil"/>
              <w:left w:val="single" w:color="000000" w:sz="10" w:space="0"/>
            </w:tcBorders>
            <w:vAlign w:val="top"/>
          </w:tcPr>
          <w:p w14:paraId="6B4095EA">
            <w:pPr>
              <w:rPr>
                <w:rFonts w:ascii="Arial"/>
                <w:color w:val="auto"/>
                <w:sz w:val="21"/>
                <w:highlight w:val="none"/>
              </w:rPr>
            </w:pPr>
          </w:p>
        </w:tc>
        <w:tc>
          <w:tcPr>
            <w:tcW w:w="2064" w:type="dxa"/>
            <w:gridSpan w:val="2"/>
            <w:vAlign w:val="top"/>
          </w:tcPr>
          <w:p w14:paraId="65C8AE76">
            <w:pPr>
              <w:pStyle w:val="15"/>
              <w:spacing w:before="45" w:line="290" w:lineRule="auto"/>
              <w:ind w:left="124" w:right="110" w:hanging="17"/>
              <w:rPr>
                <w:color w:val="auto"/>
                <w:highlight w:val="none"/>
              </w:rPr>
            </w:pPr>
            <w:r>
              <w:rPr>
                <w:color w:val="auto"/>
                <w:spacing w:val="4"/>
                <w:highlight w:val="none"/>
              </w:rPr>
              <w:t xml:space="preserve">宣传栏、环保及不扰 </w:t>
            </w:r>
            <w:r>
              <w:rPr>
                <w:color w:val="auto"/>
                <w:highlight w:val="none"/>
              </w:rPr>
              <w:t>民措施</w:t>
            </w:r>
          </w:p>
        </w:tc>
        <w:tc>
          <w:tcPr>
            <w:tcW w:w="6642" w:type="dxa"/>
            <w:tcBorders>
              <w:right w:val="single" w:color="000000" w:sz="10" w:space="0"/>
            </w:tcBorders>
            <w:vAlign w:val="top"/>
          </w:tcPr>
          <w:p w14:paraId="2B89C061">
            <w:pPr>
              <w:pStyle w:val="15"/>
              <w:spacing w:before="45" w:line="290" w:lineRule="auto"/>
              <w:ind w:left="109" w:right="96" w:firstLine="2"/>
              <w:rPr>
                <w:color w:val="auto"/>
                <w:highlight w:val="none"/>
              </w:rPr>
            </w:pPr>
            <w:r>
              <w:rPr>
                <w:color w:val="auto"/>
                <w:spacing w:val="7"/>
                <w:highlight w:val="none"/>
              </w:rPr>
              <w:t>宣传栏、安全宣传标语等，洗车（防止污染市区道路）、粉尘、噪声控</w:t>
            </w:r>
            <w:r>
              <w:rPr>
                <w:color w:val="auto"/>
                <w:highlight w:val="none"/>
              </w:rPr>
              <w:t xml:space="preserve"> </w:t>
            </w:r>
            <w:r>
              <w:rPr>
                <w:color w:val="auto"/>
                <w:spacing w:val="8"/>
                <w:highlight w:val="none"/>
              </w:rPr>
              <w:t>制和排污（污水、废气）措施等。</w:t>
            </w:r>
          </w:p>
        </w:tc>
      </w:tr>
      <w:tr w14:paraId="57AF40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750" w:type="dxa"/>
            <w:vMerge w:val="restart"/>
            <w:tcBorders>
              <w:left w:val="single" w:color="000000" w:sz="10" w:space="0"/>
              <w:bottom w:val="nil"/>
            </w:tcBorders>
            <w:vAlign w:val="top"/>
          </w:tcPr>
          <w:p w14:paraId="40CCE352">
            <w:pPr>
              <w:spacing w:line="264" w:lineRule="auto"/>
              <w:rPr>
                <w:rFonts w:ascii="Arial"/>
                <w:color w:val="auto"/>
                <w:sz w:val="21"/>
                <w:highlight w:val="none"/>
              </w:rPr>
            </w:pPr>
          </w:p>
          <w:p w14:paraId="4053C9CF">
            <w:pPr>
              <w:spacing w:line="264" w:lineRule="auto"/>
              <w:rPr>
                <w:rFonts w:ascii="Arial"/>
                <w:color w:val="auto"/>
                <w:sz w:val="21"/>
                <w:highlight w:val="none"/>
              </w:rPr>
            </w:pPr>
          </w:p>
          <w:p w14:paraId="3F99AC4F">
            <w:pPr>
              <w:spacing w:line="264" w:lineRule="auto"/>
              <w:rPr>
                <w:rFonts w:ascii="Arial"/>
                <w:color w:val="auto"/>
                <w:sz w:val="21"/>
                <w:highlight w:val="none"/>
              </w:rPr>
            </w:pPr>
          </w:p>
          <w:p w14:paraId="53D2AE93">
            <w:pPr>
              <w:spacing w:line="265" w:lineRule="auto"/>
              <w:rPr>
                <w:rFonts w:ascii="Arial"/>
                <w:color w:val="auto"/>
                <w:sz w:val="21"/>
                <w:highlight w:val="none"/>
              </w:rPr>
            </w:pPr>
          </w:p>
          <w:p w14:paraId="003B8FC3">
            <w:pPr>
              <w:spacing w:line="265" w:lineRule="auto"/>
              <w:rPr>
                <w:rFonts w:ascii="Arial"/>
                <w:color w:val="auto"/>
                <w:sz w:val="21"/>
                <w:highlight w:val="none"/>
              </w:rPr>
            </w:pPr>
          </w:p>
          <w:p w14:paraId="5749A411">
            <w:pPr>
              <w:spacing w:line="265" w:lineRule="auto"/>
              <w:rPr>
                <w:rFonts w:ascii="Arial"/>
                <w:color w:val="auto"/>
                <w:sz w:val="21"/>
                <w:highlight w:val="none"/>
              </w:rPr>
            </w:pPr>
          </w:p>
          <w:p w14:paraId="389C5AF0">
            <w:pPr>
              <w:spacing w:line="265" w:lineRule="auto"/>
              <w:rPr>
                <w:rFonts w:ascii="Arial"/>
                <w:color w:val="auto"/>
                <w:sz w:val="21"/>
                <w:highlight w:val="none"/>
              </w:rPr>
            </w:pPr>
          </w:p>
          <w:p w14:paraId="2322C14C">
            <w:pPr>
              <w:pStyle w:val="15"/>
              <w:spacing w:before="65" w:line="301" w:lineRule="auto"/>
              <w:ind w:left="160" w:right="167" w:firstLine="8"/>
              <w:rPr>
                <w:color w:val="auto"/>
                <w:highlight w:val="none"/>
              </w:rPr>
            </w:pPr>
            <w:r>
              <w:rPr>
                <w:color w:val="auto"/>
                <w:spacing w:val="-1"/>
                <w:highlight w:val="none"/>
              </w:rPr>
              <w:t>临时</w:t>
            </w:r>
            <w:r>
              <w:rPr>
                <w:color w:val="auto"/>
                <w:highlight w:val="none"/>
              </w:rPr>
              <w:t xml:space="preserve"> </w:t>
            </w:r>
            <w:r>
              <w:rPr>
                <w:color w:val="auto"/>
                <w:spacing w:val="3"/>
                <w:highlight w:val="none"/>
              </w:rPr>
              <w:t>设施</w:t>
            </w:r>
          </w:p>
        </w:tc>
        <w:tc>
          <w:tcPr>
            <w:tcW w:w="2064" w:type="dxa"/>
            <w:gridSpan w:val="2"/>
            <w:vAlign w:val="top"/>
          </w:tcPr>
          <w:p w14:paraId="2211BF38">
            <w:pPr>
              <w:pStyle w:val="15"/>
              <w:spacing w:before="218" w:line="298" w:lineRule="auto"/>
              <w:ind w:left="612" w:right="619"/>
              <w:rPr>
                <w:color w:val="auto"/>
                <w:highlight w:val="none"/>
              </w:rPr>
            </w:pPr>
            <w:r>
              <w:rPr>
                <w:color w:val="auto"/>
                <w:spacing w:val="6"/>
                <w:highlight w:val="none"/>
              </w:rPr>
              <w:t>现场办公</w:t>
            </w:r>
            <w:r>
              <w:rPr>
                <w:color w:val="auto"/>
                <w:spacing w:val="2"/>
                <w:highlight w:val="none"/>
              </w:rPr>
              <w:t xml:space="preserve"> </w:t>
            </w:r>
            <w:r>
              <w:rPr>
                <w:color w:val="auto"/>
                <w:spacing w:val="6"/>
                <w:highlight w:val="none"/>
              </w:rPr>
              <w:t>生活设施</w:t>
            </w:r>
          </w:p>
        </w:tc>
        <w:tc>
          <w:tcPr>
            <w:tcW w:w="6642" w:type="dxa"/>
            <w:tcBorders>
              <w:right w:val="single" w:color="000000" w:sz="10" w:space="0"/>
            </w:tcBorders>
            <w:vAlign w:val="top"/>
          </w:tcPr>
          <w:p w14:paraId="0257B2D8">
            <w:pPr>
              <w:pStyle w:val="15"/>
              <w:spacing w:before="47" w:line="228" w:lineRule="auto"/>
              <w:ind w:left="124"/>
              <w:rPr>
                <w:color w:val="auto"/>
                <w:highlight w:val="none"/>
              </w:rPr>
            </w:pPr>
            <w:r>
              <w:rPr>
                <w:color w:val="auto"/>
                <w:spacing w:val="8"/>
                <w:highlight w:val="none"/>
              </w:rPr>
              <w:t>1. 施工现场办公、生活区与作业区分开设置，保持安全距离。</w:t>
            </w:r>
          </w:p>
          <w:p w14:paraId="138EA4A2">
            <w:pPr>
              <w:pStyle w:val="15"/>
              <w:spacing w:before="92" w:line="271" w:lineRule="auto"/>
              <w:ind w:left="109" w:right="96" w:firstLine="1"/>
              <w:rPr>
                <w:color w:val="auto"/>
                <w:highlight w:val="none"/>
              </w:rPr>
            </w:pPr>
            <w:r>
              <w:rPr>
                <w:color w:val="auto"/>
                <w:spacing w:val="10"/>
                <w:highlight w:val="none"/>
              </w:rPr>
              <w:t>2. 工地办公室、现场宿舍、食堂、厕所、饮水、沐浴、休息场</w:t>
            </w:r>
            <w:r>
              <w:rPr>
                <w:color w:val="auto"/>
                <w:spacing w:val="9"/>
                <w:highlight w:val="none"/>
              </w:rPr>
              <w:t>所等符</w:t>
            </w:r>
            <w:r>
              <w:rPr>
                <w:color w:val="auto"/>
                <w:highlight w:val="none"/>
              </w:rPr>
              <w:t xml:space="preserve"> </w:t>
            </w:r>
            <w:r>
              <w:rPr>
                <w:color w:val="auto"/>
                <w:spacing w:val="8"/>
                <w:highlight w:val="none"/>
              </w:rPr>
              <w:t>合卫生、消防安全要求。</w:t>
            </w:r>
          </w:p>
        </w:tc>
      </w:tr>
      <w:tr w14:paraId="4FA259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750" w:type="dxa"/>
            <w:vMerge w:val="continue"/>
            <w:tcBorders>
              <w:top w:val="nil"/>
              <w:left w:val="single" w:color="000000" w:sz="10" w:space="0"/>
              <w:bottom w:val="nil"/>
            </w:tcBorders>
            <w:vAlign w:val="top"/>
          </w:tcPr>
          <w:p w14:paraId="0D46B02D">
            <w:pPr>
              <w:rPr>
                <w:rFonts w:ascii="Arial"/>
                <w:color w:val="auto"/>
                <w:sz w:val="21"/>
                <w:highlight w:val="none"/>
              </w:rPr>
            </w:pPr>
          </w:p>
        </w:tc>
        <w:tc>
          <w:tcPr>
            <w:tcW w:w="523" w:type="dxa"/>
            <w:vMerge w:val="restart"/>
            <w:tcBorders>
              <w:bottom w:val="nil"/>
            </w:tcBorders>
            <w:textDirection w:val="tbRlV"/>
            <w:vAlign w:val="top"/>
          </w:tcPr>
          <w:p w14:paraId="58859AC0">
            <w:pPr>
              <w:pStyle w:val="15"/>
              <w:spacing w:before="165" w:line="216" w:lineRule="auto"/>
              <w:ind w:left="394"/>
              <w:rPr>
                <w:color w:val="auto"/>
                <w:highlight w:val="none"/>
              </w:rPr>
            </w:pPr>
            <w:r>
              <w:rPr>
                <w:color w:val="auto"/>
                <w:spacing w:val="8"/>
                <w:highlight w:val="none"/>
              </w:rPr>
              <w:t>施</w:t>
            </w:r>
            <w:r>
              <w:rPr>
                <w:color w:val="auto"/>
                <w:spacing w:val="37"/>
                <w:highlight w:val="none"/>
              </w:rPr>
              <w:t xml:space="preserve"> </w:t>
            </w:r>
            <w:r>
              <w:rPr>
                <w:color w:val="auto"/>
                <w:spacing w:val="8"/>
                <w:highlight w:val="none"/>
              </w:rPr>
              <w:t>工</w:t>
            </w:r>
            <w:r>
              <w:rPr>
                <w:color w:val="auto"/>
                <w:spacing w:val="32"/>
                <w:highlight w:val="none"/>
              </w:rPr>
              <w:t xml:space="preserve"> </w:t>
            </w:r>
            <w:r>
              <w:rPr>
                <w:color w:val="auto"/>
                <w:spacing w:val="8"/>
                <w:highlight w:val="none"/>
              </w:rPr>
              <w:t>现</w:t>
            </w:r>
            <w:r>
              <w:rPr>
                <w:color w:val="auto"/>
                <w:spacing w:val="32"/>
                <w:highlight w:val="none"/>
              </w:rPr>
              <w:t xml:space="preserve"> </w:t>
            </w:r>
            <w:r>
              <w:rPr>
                <w:color w:val="auto"/>
                <w:spacing w:val="8"/>
                <w:highlight w:val="none"/>
              </w:rPr>
              <w:t>场</w:t>
            </w:r>
            <w:r>
              <w:rPr>
                <w:color w:val="auto"/>
                <w:spacing w:val="32"/>
                <w:highlight w:val="none"/>
              </w:rPr>
              <w:t xml:space="preserve"> </w:t>
            </w:r>
            <w:r>
              <w:rPr>
                <w:color w:val="auto"/>
                <w:spacing w:val="8"/>
                <w:highlight w:val="none"/>
              </w:rPr>
              <w:t>临</w:t>
            </w:r>
            <w:r>
              <w:rPr>
                <w:color w:val="auto"/>
                <w:spacing w:val="32"/>
                <w:highlight w:val="none"/>
              </w:rPr>
              <w:t xml:space="preserve"> </w:t>
            </w:r>
            <w:r>
              <w:rPr>
                <w:color w:val="auto"/>
                <w:spacing w:val="8"/>
                <w:highlight w:val="none"/>
              </w:rPr>
              <w:t>时</w:t>
            </w:r>
            <w:r>
              <w:rPr>
                <w:color w:val="auto"/>
                <w:spacing w:val="29"/>
                <w:highlight w:val="none"/>
              </w:rPr>
              <w:t xml:space="preserve"> </w:t>
            </w:r>
            <w:r>
              <w:rPr>
                <w:color w:val="auto"/>
                <w:spacing w:val="8"/>
                <w:highlight w:val="none"/>
              </w:rPr>
              <w:t>用</w:t>
            </w:r>
            <w:r>
              <w:rPr>
                <w:color w:val="auto"/>
                <w:spacing w:val="32"/>
                <w:highlight w:val="none"/>
              </w:rPr>
              <w:t xml:space="preserve"> </w:t>
            </w:r>
            <w:r>
              <w:rPr>
                <w:color w:val="auto"/>
                <w:spacing w:val="8"/>
                <w:highlight w:val="none"/>
              </w:rPr>
              <w:t>电</w:t>
            </w:r>
          </w:p>
        </w:tc>
        <w:tc>
          <w:tcPr>
            <w:tcW w:w="1541" w:type="dxa"/>
            <w:vAlign w:val="top"/>
          </w:tcPr>
          <w:p w14:paraId="54D64747">
            <w:pPr>
              <w:spacing w:line="245" w:lineRule="auto"/>
              <w:rPr>
                <w:rFonts w:ascii="Arial"/>
                <w:color w:val="auto"/>
                <w:sz w:val="21"/>
                <w:highlight w:val="none"/>
              </w:rPr>
            </w:pPr>
          </w:p>
          <w:p w14:paraId="3D65603B">
            <w:pPr>
              <w:spacing w:line="246" w:lineRule="auto"/>
              <w:rPr>
                <w:rFonts w:ascii="Arial"/>
                <w:color w:val="auto"/>
                <w:sz w:val="21"/>
                <w:highlight w:val="none"/>
              </w:rPr>
            </w:pPr>
          </w:p>
          <w:p w14:paraId="566B0FFB">
            <w:pPr>
              <w:pStyle w:val="15"/>
              <w:spacing w:before="65" w:line="228" w:lineRule="auto"/>
              <w:ind w:left="348"/>
              <w:rPr>
                <w:color w:val="auto"/>
                <w:highlight w:val="none"/>
              </w:rPr>
            </w:pPr>
            <w:r>
              <w:rPr>
                <w:color w:val="auto"/>
                <w:spacing w:val="7"/>
                <w:highlight w:val="none"/>
              </w:rPr>
              <w:t>配电线路</w:t>
            </w:r>
          </w:p>
        </w:tc>
        <w:tc>
          <w:tcPr>
            <w:tcW w:w="6642" w:type="dxa"/>
            <w:tcBorders>
              <w:right w:val="single" w:color="000000" w:sz="10" w:space="0"/>
            </w:tcBorders>
            <w:vAlign w:val="top"/>
          </w:tcPr>
          <w:p w14:paraId="6BB23BD4">
            <w:pPr>
              <w:pStyle w:val="15"/>
              <w:spacing w:before="50" w:line="228" w:lineRule="auto"/>
              <w:ind w:left="124"/>
              <w:rPr>
                <w:color w:val="auto"/>
                <w:highlight w:val="none"/>
              </w:rPr>
            </w:pPr>
            <w:r>
              <w:rPr>
                <w:color w:val="auto"/>
                <w:spacing w:val="7"/>
                <w:highlight w:val="none"/>
              </w:rPr>
              <w:t>1. 按照</w:t>
            </w:r>
            <w:r>
              <w:rPr>
                <w:color w:val="auto"/>
                <w:spacing w:val="-27"/>
                <w:highlight w:val="none"/>
              </w:rPr>
              <w:t xml:space="preserve"> </w:t>
            </w:r>
            <w:r>
              <w:rPr>
                <w:color w:val="auto"/>
                <w:highlight w:val="none"/>
              </w:rPr>
              <w:t>TN</w:t>
            </w:r>
            <w:r>
              <w:rPr>
                <w:color w:val="auto"/>
                <w:spacing w:val="7"/>
                <w:highlight w:val="none"/>
              </w:rPr>
              <w:t>-S</w:t>
            </w:r>
            <w:r>
              <w:rPr>
                <w:color w:val="auto"/>
                <w:spacing w:val="-36"/>
                <w:highlight w:val="none"/>
              </w:rPr>
              <w:t xml:space="preserve"> </w:t>
            </w:r>
            <w:r>
              <w:rPr>
                <w:color w:val="auto"/>
                <w:spacing w:val="7"/>
                <w:highlight w:val="none"/>
              </w:rPr>
              <w:t>系统要求配备五芯电缆、四芯电缆和三芯电缆。</w:t>
            </w:r>
          </w:p>
          <w:p w14:paraId="4BC206F9">
            <w:pPr>
              <w:pStyle w:val="15"/>
              <w:spacing w:before="92" w:line="271" w:lineRule="auto"/>
              <w:ind w:left="108" w:right="96" w:firstLine="2"/>
              <w:rPr>
                <w:color w:val="auto"/>
                <w:highlight w:val="none"/>
              </w:rPr>
            </w:pPr>
            <w:r>
              <w:rPr>
                <w:color w:val="auto"/>
                <w:spacing w:val="10"/>
                <w:highlight w:val="none"/>
              </w:rPr>
              <w:t>2. 按要求架设临时用电线路的电杆、横担、瓷夹、瓷瓶等，或</w:t>
            </w:r>
            <w:r>
              <w:rPr>
                <w:color w:val="auto"/>
                <w:spacing w:val="9"/>
                <w:highlight w:val="none"/>
              </w:rPr>
              <w:t>电缆埋</w:t>
            </w:r>
            <w:r>
              <w:rPr>
                <w:color w:val="auto"/>
                <w:highlight w:val="none"/>
              </w:rPr>
              <w:t xml:space="preserve"> </w:t>
            </w:r>
            <w:r>
              <w:rPr>
                <w:color w:val="auto"/>
                <w:spacing w:val="5"/>
                <w:highlight w:val="none"/>
              </w:rPr>
              <w:t>地的地沟。</w:t>
            </w:r>
          </w:p>
          <w:p w14:paraId="3414E0B0">
            <w:pPr>
              <w:pStyle w:val="15"/>
              <w:spacing w:before="93" w:line="228" w:lineRule="auto"/>
              <w:ind w:right="2"/>
              <w:jc w:val="right"/>
              <w:rPr>
                <w:color w:val="auto"/>
                <w:highlight w:val="none"/>
              </w:rPr>
            </w:pPr>
            <w:r>
              <w:rPr>
                <w:color w:val="auto"/>
                <w:spacing w:val="6"/>
                <w:highlight w:val="none"/>
              </w:rPr>
              <w:t>3. 对靠近施工现场的外电线路，设置木质、塑料等绝缘体的防护设施。</w:t>
            </w:r>
          </w:p>
        </w:tc>
      </w:tr>
      <w:tr w14:paraId="3A809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5" w:hRule="atLeast"/>
        </w:trPr>
        <w:tc>
          <w:tcPr>
            <w:tcW w:w="750" w:type="dxa"/>
            <w:vMerge w:val="continue"/>
            <w:tcBorders>
              <w:top w:val="nil"/>
              <w:left w:val="single" w:color="000000" w:sz="10" w:space="0"/>
              <w:bottom w:val="single" w:color="000000" w:sz="10" w:space="0"/>
            </w:tcBorders>
            <w:vAlign w:val="top"/>
          </w:tcPr>
          <w:p w14:paraId="21D6F09B">
            <w:pPr>
              <w:rPr>
                <w:rFonts w:ascii="Arial"/>
                <w:color w:val="auto"/>
                <w:sz w:val="21"/>
                <w:highlight w:val="none"/>
              </w:rPr>
            </w:pPr>
          </w:p>
        </w:tc>
        <w:tc>
          <w:tcPr>
            <w:tcW w:w="523" w:type="dxa"/>
            <w:vMerge w:val="continue"/>
            <w:tcBorders>
              <w:top w:val="nil"/>
              <w:bottom w:val="single" w:color="000000" w:sz="10" w:space="0"/>
            </w:tcBorders>
            <w:textDirection w:val="tbRlV"/>
            <w:vAlign w:val="top"/>
          </w:tcPr>
          <w:p w14:paraId="5B2F8900">
            <w:pPr>
              <w:rPr>
                <w:rFonts w:ascii="Arial"/>
                <w:color w:val="auto"/>
                <w:sz w:val="21"/>
                <w:highlight w:val="none"/>
              </w:rPr>
            </w:pPr>
          </w:p>
        </w:tc>
        <w:tc>
          <w:tcPr>
            <w:tcW w:w="1541" w:type="dxa"/>
            <w:tcBorders>
              <w:bottom w:val="single" w:color="000000" w:sz="10" w:space="0"/>
            </w:tcBorders>
            <w:vAlign w:val="top"/>
          </w:tcPr>
          <w:p w14:paraId="56ABC6B7">
            <w:pPr>
              <w:spacing w:line="331" w:lineRule="auto"/>
              <w:rPr>
                <w:rFonts w:ascii="Arial"/>
                <w:color w:val="auto"/>
                <w:sz w:val="21"/>
                <w:highlight w:val="none"/>
              </w:rPr>
            </w:pPr>
          </w:p>
          <w:p w14:paraId="3A1788D7">
            <w:pPr>
              <w:spacing w:line="332" w:lineRule="auto"/>
              <w:rPr>
                <w:rFonts w:ascii="Arial"/>
                <w:color w:val="auto"/>
                <w:sz w:val="21"/>
                <w:highlight w:val="none"/>
              </w:rPr>
            </w:pPr>
          </w:p>
          <w:p w14:paraId="6178A9F7">
            <w:pPr>
              <w:pStyle w:val="15"/>
              <w:spacing w:before="65" w:line="300" w:lineRule="auto"/>
              <w:ind w:left="454" w:right="460"/>
              <w:rPr>
                <w:color w:val="auto"/>
                <w:highlight w:val="none"/>
              </w:rPr>
            </w:pPr>
            <w:r>
              <w:rPr>
                <w:color w:val="auto"/>
                <w:spacing w:val="6"/>
                <w:highlight w:val="none"/>
              </w:rPr>
              <w:t>配电箱</w:t>
            </w:r>
            <w:r>
              <w:rPr>
                <w:color w:val="auto"/>
                <w:spacing w:val="1"/>
                <w:highlight w:val="none"/>
              </w:rPr>
              <w:t xml:space="preserve"> </w:t>
            </w:r>
            <w:r>
              <w:rPr>
                <w:color w:val="auto"/>
                <w:spacing w:val="6"/>
                <w:highlight w:val="none"/>
              </w:rPr>
              <w:t>开关箱</w:t>
            </w:r>
          </w:p>
        </w:tc>
        <w:tc>
          <w:tcPr>
            <w:tcW w:w="6642" w:type="dxa"/>
            <w:tcBorders>
              <w:bottom w:val="single" w:color="000000" w:sz="10" w:space="0"/>
              <w:right w:val="single" w:color="000000" w:sz="10" w:space="0"/>
            </w:tcBorders>
            <w:vAlign w:val="top"/>
          </w:tcPr>
          <w:p w14:paraId="40711592">
            <w:pPr>
              <w:pStyle w:val="15"/>
              <w:spacing w:before="51" w:line="285" w:lineRule="auto"/>
              <w:ind w:left="109" w:right="99" w:firstLine="14"/>
              <w:rPr>
                <w:color w:val="auto"/>
                <w:highlight w:val="none"/>
              </w:rPr>
            </w:pPr>
            <w:r>
              <w:rPr>
                <w:color w:val="auto"/>
                <w:spacing w:val="9"/>
                <w:highlight w:val="none"/>
              </w:rPr>
              <w:t>1. 按三级配电要求，配备总配电箱、分配电箱、开关箱三类（铁</w:t>
            </w:r>
            <w:r>
              <w:rPr>
                <w:color w:val="auto"/>
                <w:spacing w:val="8"/>
                <w:highlight w:val="none"/>
              </w:rPr>
              <w:t>质）</w:t>
            </w:r>
            <w:r>
              <w:rPr>
                <w:color w:val="auto"/>
                <w:highlight w:val="none"/>
              </w:rPr>
              <w:t xml:space="preserve"> </w:t>
            </w:r>
            <w:r>
              <w:rPr>
                <w:color w:val="auto"/>
                <w:spacing w:val="6"/>
                <w:highlight w:val="none"/>
              </w:rPr>
              <w:t>标准电箱，开关箱应符合“一机、一箱、一闸、一漏</w:t>
            </w:r>
            <w:r>
              <w:rPr>
                <w:color w:val="auto"/>
                <w:spacing w:val="-69"/>
                <w:highlight w:val="none"/>
              </w:rPr>
              <w:t xml:space="preserve"> </w:t>
            </w:r>
            <w:r>
              <w:rPr>
                <w:color w:val="auto"/>
                <w:spacing w:val="6"/>
                <w:highlight w:val="none"/>
              </w:rPr>
              <w:t>”，三类电箱中的</w:t>
            </w:r>
            <w:r>
              <w:rPr>
                <w:color w:val="auto"/>
                <w:highlight w:val="none"/>
              </w:rPr>
              <w:t xml:space="preserve"> </w:t>
            </w:r>
            <w:r>
              <w:rPr>
                <w:color w:val="auto"/>
                <w:spacing w:val="7"/>
                <w:highlight w:val="none"/>
              </w:rPr>
              <w:t>各类电器应是合格品。</w:t>
            </w:r>
          </w:p>
          <w:p w14:paraId="22ABAA8F">
            <w:pPr>
              <w:pStyle w:val="15"/>
              <w:spacing w:before="95" w:line="271" w:lineRule="auto"/>
              <w:ind w:left="111" w:right="96"/>
              <w:rPr>
                <w:color w:val="auto"/>
                <w:highlight w:val="none"/>
              </w:rPr>
            </w:pPr>
            <w:r>
              <w:rPr>
                <w:color w:val="auto"/>
                <w:spacing w:val="10"/>
                <w:highlight w:val="none"/>
              </w:rPr>
              <w:t>2. 按两级保护的要求，选取符合容量要求和质量合格的总配电</w:t>
            </w:r>
            <w:r>
              <w:rPr>
                <w:color w:val="auto"/>
                <w:spacing w:val="9"/>
                <w:highlight w:val="none"/>
              </w:rPr>
              <w:t>箱和开</w:t>
            </w:r>
            <w:r>
              <w:rPr>
                <w:color w:val="auto"/>
                <w:highlight w:val="none"/>
              </w:rPr>
              <w:t xml:space="preserve"> </w:t>
            </w:r>
            <w:r>
              <w:rPr>
                <w:color w:val="auto"/>
                <w:spacing w:val="7"/>
                <w:highlight w:val="none"/>
              </w:rPr>
              <w:t>关箱中的漏电保护器。</w:t>
            </w:r>
          </w:p>
          <w:p w14:paraId="1A53D339">
            <w:pPr>
              <w:pStyle w:val="15"/>
              <w:spacing w:before="93" w:line="227" w:lineRule="auto"/>
              <w:ind w:left="112"/>
              <w:rPr>
                <w:color w:val="auto"/>
                <w:highlight w:val="none"/>
              </w:rPr>
            </w:pPr>
            <w:r>
              <w:rPr>
                <w:color w:val="auto"/>
                <w:spacing w:val="9"/>
                <w:highlight w:val="none"/>
              </w:rPr>
              <w:t>3. 对大型、落地式分配电箱、开关箱设置防</w:t>
            </w:r>
            <w:r>
              <w:rPr>
                <w:color w:val="auto"/>
                <w:spacing w:val="8"/>
                <w:highlight w:val="none"/>
              </w:rPr>
              <w:t>护棚和通透式围挡。</w:t>
            </w:r>
          </w:p>
        </w:tc>
      </w:tr>
    </w:tbl>
    <w:p w14:paraId="698CF40C">
      <w:pPr>
        <w:pStyle w:val="2"/>
        <w:rPr>
          <w:color w:val="auto"/>
          <w:highlight w:val="none"/>
        </w:rPr>
      </w:pPr>
    </w:p>
    <w:p w14:paraId="02577C27">
      <w:pPr>
        <w:rPr>
          <w:color w:val="auto"/>
          <w:highlight w:val="none"/>
        </w:rPr>
        <w:sectPr>
          <w:footerReference r:id="rId27" w:type="default"/>
          <w:pgSz w:w="11910" w:h="16840"/>
          <w:pgMar w:top="1357" w:right="1198" w:bottom="1019" w:left="1229" w:header="0" w:footer="857" w:gutter="0"/>
          <w:pgNumType w:fmt="decimal"/>
          <w:cols w:space="720" w:num="1"/>
        </w:sectPr>
      </w:pPr>
    </w:p>
    <w:tbl>
      <w:tblPr>
        <w:tblStyle w:val="14"/>
        <w:tblW w:w="94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523"/>
        <w:gridCol w:w="1541"/>
        <w:gridCol w:w="6642"/>
      </w:tblGrid>
      <w:tr w14:paraId="7B7EB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750" w:type="dxa"/>
            <w:vMerge w:val="restart"/>
            <w:tcBorders>
              <w:top w:val="single" w:color="000000" w:sz="10" w:space="0"/>
              <w:left w:val="single" w:color="000000" w:sz="10" w:space="0"/>
              <w:bottom w:val="nil"/>
            </w:tcBorders>
            <w:vAlign w:val="top"/>
          </w:tcPr>
          <w:p w14:paraId="0D4381C5">
            <w:pPr>
              <w:rPr>
                <w:rFonts w:ascii="Arial"/>
                <w:color w:val="auto"/>
                <w:sz w:val="21"/>
                <w:highlight w:val="none"/>
              </w:rPr>
            </w:pPr>
          </w:p>
        </w:tc>
        <w:tc>
          <w:tcPr>
            <w:tcW w:w="523" w:type="dxa"/>
            <w:vMerge w:val="restart"/>
            <w:tcBorders>
              <w:top w:val="single" w:color="000000" w:sz="10" w:space="0"/>
              <w:bottom w:val="nil"/>
            </w:tcBorders>
            <w:vAlign w:val="top"/>
          </w:tcPr>
          <w:p w14:paraId="66A111A1">
            <w:pPr>
              <w:rPr>
                <w:rFonts w:ascii="Arial"/>
                <w:color w:val="auto"/>
                <w:sz w:val="21"/>
                <w:highlight w:val="none"/>
              </w:rPr>
            </w:pPr>
          </w:p>
        </w:tc>
        <w:tc>
          <w:tcPr>
            <w:tcW w:w="1541" w:type="dxa"/>
            <w:tcBorders>
              <w:top w:val="single" w:color="000000" w:sz="10" w:space="0"/>
            </w:tcBorders>
            <w:vAlign w:val="top"/>
          </w:tcPr>
          <w:p w14:paraId="794AA4F3">
            <w:pPr>
              <w:pStyle w:val="15"/>
              <w:spacing w:before="152" w:line="228" w:lineRule="auto"/>
              <w:ind w:left="348"/>
              <w:rPr>
                <w:color w:val="auto"/>
                <w:highlight w:val="none"/>
              </w:rPr>
            </w:pPr>
            <w:r>
              <w:rPr>
                <w:color w:val="auto"/>
                <w:spacing w:val="7"/>
                <w:highlight w:val="none"/>
              </w:rPr>
              <w:t>接地装置</w:t>
            </w:r>
          </w:p>
        </w:tc>
        <w:tc>
          <w:tcPr>
            <w:tcW w:w="6642" w:type="dxa"/>
            <w:tcBorders>
              <w:top w:val="single" w:color="000000" w:sz="10" w:space="0"/>
              <w:right w:val="single" w:color="000000" w:sz="10" w:space="0"/>
            </w:tcBorders>
            <w:vAlign w:val="top"/>
          </w:tcPr>
          <w:p w14:paraId="558B1BDE">
            <w:pPr>
              <w:pStyle w:val="15"/>
              <w:spacing w:before="152" w:line="228" w:lineRule="auto"/>
              <w:ind w:left="107"/>
              <w:rPr>
                <w:color w:val="auto"/>
                <w:highlight w:val="none"/>
              </w:rPr>
            </w:pPr>
            <w:r>
              <w:rPr>
                <w:color w:val="auto"/>
                <w:spacing w:val="9"/>
                <w:highlight w:val="none"/>
              </w:rPr>
              <w:t>施工现场应设置不少于三处的重复接地装置。</w:t>
            </w:r>
          </w:p>
        </w:tc>
      </w:tr>
      <w:tr w14:paraId="74318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trPr>
        <w:tc>
          <w:tcPr>
            <w:tcW w:w="750" w:type="dxa"/>
            <w:vMerge w:val="continue"/>
            <w:tcBorders>
              <w:top w:val="nil"/>
              <w:left w:val="single" w:color="000000" w:sz="10" w:space="0"/>
            </w:tcBorders>
            <w:vAlign w:val="top"/>
          </w:tcPr>
          <w:p w14:paraId="223225D5">
            <w:pPr>
              <w:rPr>
                <w:rFonts w:ascii="Arial"/>
                <w:color w:val="auto"/>
                <w:sz w:val="21"/>
                <w:highlight w:val="none"/>
              </w:rPr>
            </w:pPr>
          </w:p>
        </w:tc>
        <w:tc>
          <w:tcPr>
            <w:tcW w:w="523" w:type="dxa"/>
            <w:vMerge w:val="continue"/>
            <w:tcBorders>
              <w:top w:val="nil"/>
            </w:tcBorders>
            <w:vAlign w:val="top"/>
          </w:tcPr>
          <w:p w14:paraId="04975E38">
            <w:pPr>
              <w:rPr>
                <w:rFonts w:ascii="Arial"/>
                <w:color w:val="auto"/>
                <w:sz w:val="21"/>
                <w:highlight w:val="none"/>
              </w:rPr>
            </w:pPr>
          </w:p>
        </w:tc>
        <w:tc>
          <w:tcPr>
            <w:tcW w:w="1541" w:type="dxa"/>
            <w:vAlign w:val="top"/>
          </w:tcPr>
          <w:p w14:paraId="65800FE4">
            <w:pPr>
              <w:pStyle w:val="15"/>
              <w:spacing w:before="149" w:line="303" w:lineRule="auto"/>
              <w:ind w:left="660" w:right="146" w:hanging="519"/>
              <w:rPr>
                <w:color w:val="auto"/>
                <w:highlight w:val="none"/>
              </w:rPr>
            </w:pPr>
            <w:r>
              <w:rPr>
                <w:color w:val="auto"/>
                <w:spacing w:val="7"/>
                <w:highlight w:val="none"/>
              </w:rPr>
              <w:t>现场变配电装</w:t>
            </w:r>
            <w:r>
              <w:rPr>
                <w:color w:val="auto"/>
                <w:spacing w:val="4"/>
                <w:highlight w:val="none"/>
              </w:rPr>
              <w:t xml:space="preserve"> </w:t>
            </w:r>
            <w:r>
              <w:rPr>
                <w:color w:val="auto"/>
                <w:spacing w:val="2"/>
                <w:highlight w:val="none"/>
              </w:rPr>
              <w:t>置</w:t>
            </w:r>
          </w:p>
        </w:tc>
        <w:tc>
          <w:tcPr>
            <w:tcW w:w="6642" w:type="dxa"/>
            <w:tcBorders>
              <w:right w:val="single" w:color="000000" w:sz="10" w:space="0"/>
            </w:tcBorders>
            <w:vAlign w:val="top"/>
          </w:tcPr>
          <w:p w14:paraId="6CCAB70E">
            <w:pPr>
              <w:spacing w:line="253" w:lineRule="auto"/>
              <w:rPr>
                <w:rFonts w:ascii="Arial"/>
                <w:color w:val="auto"/>
                <w:sz w:val="21"/>
                <w:highlight w:val="none"/>
              </w:rPr>
            </w:pPr>
          </w:p>
          <w:p w14:paraId="0D26ACCF">
            <w:pPr>
              <w:pStyle w:val="15"/>
              <w:spacing w:before="65" w:line="227" w:lineRule="auto"/>
              <w:ind w:left="114"/>
              <w:rPr>
                <w:color w:val="auto"/>
                <w:highlight w:val="none"/>
              </w:rPr>
            </w:pPr>
            <w:r>
              <w:rPr>
                <w:color w:val="auto"/>
                <w:spacing w:val="8"/>
                <w:highlight w:val="none"/>
              </w:rPr>
              <w:t>总配电房建筑材料必须达到消防防火要求，室内做硬</w:t>
            </w:r>
            <w:r>
              <w:rPr>
                <w:color w:val="auto"/>
                <w:spacing w:val="7"/>
                <w:highlight w:val="none"/>
              </w:rPr>
              <w:t>地坪、</w:t>
            </w:r>
            <w:r>
              <w:rPr>
                <w:color w:val="auto"/>
                <w:spacing w:val="-60"/>
                <w:highlight w:val="none"/>
              </w:rPr>
              <w:t xml:space="preserve"> </w:t>
            </w:r>
            <w:r>
              <w:rPr>
                <w:color w:val="auto"/>
                <w:spacing w:val="7"/>
                <w:highlight w:val="none"/>
              </w:rPr>
              <w:t>电缆沟。</w:t>
            </w:r>
          </w:p>
        </w:tc>
      </w:tr>
      <w:tr w14:paraId="5B5BB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750" w:type="dxa"/>
            <w:tcBorders>
              <w:left w:val="single" w:color="000000" w:sz="10" w:space="0"/>
            </w:tcBorders>
            <w:vAlign w:val="top"/>
          </w:tcPr>
          <w:p w14:paraId="40A3CDEB">
            <w:pPr>
              <w:pStyle w:val="15"/>
              <w:spacing w:before="168" w:line="228" w:lineRule="auto"/>
              <w:ind w:left="155"/>
              <w:rPr>
                <w:color w:val="auto"/>
                <w:highlight w:val="none"/>
              </w:rPr>
            </w:pPr>
            <w:r>
              <w:rPr>
                <w:b/>
                <w:bCs/>
                <w:color w:val="auto"/>
                <w:spacing w:val="3"/>
                <w:highlight w:val="none"/>
              </w:rPr>
              <w:t>类别</w:t>
            </w:r>
          </w:p>
        </w:tc>
        <w:tc>
          <w:tcPr>
            <w:tcW w:w="2064" w:type="dxa"/>
            <w:gridSpan w:val="2"/>
            <w:vAlign w:val="top"/>
          </w:tcPr>
          <w:p w14:paraId="4814F381">
            <w:pPr>
              <w:pStyle w:val="15"/>
              <w:spacing w:before="169" w:line="228" w:lineRule="auto"/>
              <w:ind w:left="611"/>
              <w:rPr>
                <w:color w:val="auto"/>
                <w:highlight w:val="none"/>
              </w:rPr>
            </w:pPr>
            <w:r>
              <w:rPr>
                <w:b/>
                <w:bCs/>
                <w:color w:val="auto"/>
                <w:spacing w:val="5"/>
                <w:highlight w:val="none"/>
              </w:rPr>
              <w:t>项目名称</w:t>
            </w:r>
          </w:p>
        </w:tc>
        <w:tc>
          <w:tcPr>
            <w:tcW w:w="6642" w:type="dxa"/>
            <w:tcBorders>
              <w:right w:val="single" w:color="000000" w:sz="10" w:space="0"/>
            </w:tcBorders>
            <w:vAlign w:val="top"/>
          </w:tcPr>
          <w:p w14:paraId="72481D3E">
            <w:pPr>
              <w:pStyle w:val="15"/>
              <w:spacing w:before="168" w:line="228" w:lineRule="auto"/>
              <w:ind w:left="2587"/>
              <w:rPr>
                <w:color w:val="auto"/>
                <w:highlight w:val="none"/>
              </w:rPr>
            </w:pPr>
            <w:r>
              <w:rPr>
                <w:b/>
                <w:bCs/>
                <w:color w:val="auto"/>
                <w:spacing w:val="7"/>
                <w:highlight w:val="none"/>
              </w:rPr>
              <w:t>主要内容和要求</w:t>
            </w:r>
          </w:p>
        </w:tc>
      </w:tr>
      <w:tr w14:paraId="0D1EA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50" w:type="dxa"/>
            <w:vMerge w:val="restart"/>
            <w:tcBorders>
              <w:left w:val="single" w:color="000000" w:sz="10" w:space="0"/>
              <w:bottom w:val="nil"/>
            </w:tcBorders>
            <w:vAlign w:val="top"/>
          </w:tcPr>
          <w:p w14:paraId="6E4603A2">
            <w:pPr>
              <w:spacing w:line="254" w:lineRule="auto"/>
              <w:rPr>
                <w:rFonts w:ascii="Arial"/>
                <w:color w:val="auto"/>
                <w:sz w:val="21"/>
                <w:highlight w:val="none"/>
              </w:rPr>
            </w:pPr>
          </w:p>
          <w:p w14:paraId="0EB34374">
            <w:pPr>
              <w:spacing w:line="255" w:lineRule="auto"/>
              <w:rPr>
                <w:rFonts w:ascii="Arial"/>
                <w:color w:val="auto"/>
                <w:sz w:val="21"/>
                <w:highlight w:val="none"/>
              </w:rPr>
            </w:pPr>
          </w:p>
          <w:p w14:paraId="42951AC6">
            <w:pPr>
              <w:spacing w:line="255" w:lineRule="auto"/>
              <w:rPr>
                <w:rFonts w:ascii="Arial"/>
                <w:color w:val="auto"/>
                <w:sz w:val="21"/>
                <w:highlight w:val="none"/>
              </w:rPr>
            </w:pPr>
          </w:p>
          <w:p w14:paraId="4CEF6A62">
            <w:pPr>
              <w:spacing w:line="255" w:lineRule="auto"/>
              <w:rPr>
                <w:rFonts w:ascii="Arial"/>
                <w:color w:val="auto"/>
                <w:sz w:val="21"/>
                <w:highlight w:val="none"/>
              </w:rPr>
            </w:pPr>
          </w:p>
          <w:p w14:paraId="4D5872B1">
            <w:pPr>
              <w:spacing w:line="255" w:lineRule="auto"/>
              <w:rPr>
                <w:rFonts w:ascii="Arial"/>
                <w:color w:val="auto"/>
                <w:sz w:val="21"/>
                <w:highlight w:val="none"/>
              </w:rPr>
            </w:pPr>
          </w:p>
          <w:p w14:paraId="1351C3E0">
            <w:pPr>
              <w:spacing w:line="255" w:lineRule="auto"/>
              <w:rPr>
                <w:rFonts w:ascii="Arial"/>
                <w:color w:val="auto"/>
                <w:sz w:val="21"/>
                <w:highlight w:val="none"/>
              </w:rPr>
            </w:pPr>
          </w:p>
          <w:p w14:paraId="1FA3D0DB">
            <w:pPr>
              <w:spacing w:line="255" w:lineRule="auto"/>
              <w:rPr>
                <w:rFonts w:ascii="Arial"/>
                <w:color w:val="auto"/>
                <w:sz w:val="21"/>
                <w:highlight w:val="none"/>
              </w:rPr>
            </w:pPr>
          </w:p>
          <w:p w14:paraId="2713097B">
            <w:pPr>
              <w:spacing w:line="255" w:lineRule="auto"/>
              <w:rPr>
                <w:rFonts w:ascii="Arial"/>
                <w:color w:val="auto"/>
                <w:sz w:val="21"/>
                <w:highlight w:val="none"/>
              </w:rPr>
            </w:pPr>
          </w:p>
          <w:p w14:paraId="7EE99977">
            <w:pPr>
              <w:spacing w:line="255" w:lineRule="auto"/>
              <w:rPr>
                <w:rFonts w:ascii="Arial"/>
                <w:color w:val="auto"/>
                <w:sz w:val="21"/>
                <w:highlight w:val="none"/>
              </w:rPr>
            </w:pPr>
          </w:p>
          <w:p w14:paraId="3C0749D6">
            <w:pPr>
              <w:spacing w:line="255" w:lineRule="auto"/>
              <w:rPr>
                <w:rFonts w:ascii="Arial"/>
                <w:color w:val="auto"/>
                <w:sz w:val="21"/>
                <w:highlight w:val="none"/>
              </w:rPr>
            </w:pPr>
          </w:p>
          <w:p w14:paraId="5AC2445D">
            <w:pPr>
              <w:pStyle w:val="15"/>
              <w:spacing w:before="65" w:line="299" w:lineRule="auto"/>
              <w:ind w:left="156" w:right="167" w:firstLine="5"/>
              <w:rPr>
                <w:color w:val="auto"/>
                <w:highlight w:val="none"/>
              </w:rPr>
            </w:pPr>
            <w:r>
              <w:rPr>
                <w:color w:val="auto"/>
                <w:spacing w:val="2"/>
                <w:highlight w:val="none"/>
              </w:rPr>
              <w:t>安全</w:t>
            </w:r>
            <w:r>
              <w:rPr>
                <w:color w:val="auto"/>
                <w:highlight w:val="none"/>
              </w:rPr>
              <w:t xml:space="preserve"> </w:t>
            </w:r>
            <w:r>
              <w:rPr>
                <w:color w:val="auto"/>
                <w:spacing w:val="5"/>
                <w:highlight w:val="none"/>
              </w:rPr>
              <w:t>施工</w:t>
            </w:r>
          </w:p>
        </w:tc>
        <w:tc>
          <w:tcPr>
            <w:tcW w:w="523" w:type="dxa"/>
            <w:vMerge w:val="restart"/>
            <w:tcBorders>
              <w:bottom w:val="nil"/>
            </w:tcBorders>
            <w:textDirection w:val="tbRlV"/>
            <w:vAlign w:val="top"/>
          </w:tcPr>
          <w:p w14:paraId="23D84368">
            <w:pPr>
              <w:pStyle w:val="15"/>
              <w:spacing w:before="165" w:line="216" w:lineRule="auto"/>
              <w:ind w:left="1602"/>
              <w:rPr>
                <w:color w:val="auto"/>
                <w:highlight w:val="none"/>
              </w:rPr>
            </w:pPr>
            <w:r>
              <w:rPr>
                <w:color w:val="auto"/>
                <w:spacing w:val="8"/>
                <w:highlight w:val="none"/>
              </w:rPr>
              <w:t>高</w:t>
            </w:r>
            <w:r>
              <w:rPr>
                <w:color w:val="auto"/>
                <w:spacing w:val="35"/>
                <w:highlight w:val="none"/>
              </w:rPr>
              <w:t xml:space="preserve"> </w:t>
            </w:r>
            <w:r>
              <w:rPr>
                <w:color w:val="auto"/>
                <w:spacing w:val="8"/>
                <w:highlight w:val="none"/>
              </w:rPr>
              <w:t>处</w:t>
            </w:r>
            <w:r>
              <w:rPr>
                <w:color w:val="auto"/>
                <w:spacing w:val="30"/>
                <w:highlight w:val="none"/>
              </w:rPr>
              <w:t xml:space="preserve"> </w:t>
            </w:r>
            <w:r>
              <w:rPr>
                <w:color w:val="auto"/>
                <w:spacing w:val="8"/>
                <w:highlight w:val="none"/>
              </w:rPr>
              <w:t>作</w:t>
            </w:r>
            <w:r>
              <w:rPr>
                <w:color w:val="auto"/>
                <w:spacing w:val="32"/>
                <w:highlight w:val="none"/>
              </w:rPr>
              <w:t xml:space="preserve"> </w:t>
            </w:r>
            <w:r>
              <w:rPr>
                <w:color w:val="auto"/>
                <w:spacing w:val="8"/>
                <w:highlight w:val="none"/>
              </w:rPr>
              <w:t>业</w:t>
            </w:r>
            <w:r>
              <w:rPr>
                <w:color w:val="auto"/>
                <w:spacing w:val="32"/>
                <w:highlight w:val="none"/>
              </w:rPr>
              <w:t xml:space="preserve"> </w:t>
            </w:r>
            <w:r>
              <w:rPr>
                <w:color w:val="auto"/>
                <w:spacing w:val="8"/>
                <w:highlight w:val="none"/>
              </w:rPr>
              <w:t>防</w:t>
            </w:r>
            <w:r>
              <w:rPr>
                <w:color w:val="auto"/>
                <w:spacing w:val="32"/>
                <w:highlight w:val="none"/>
              </w:rPr>
              <w:t xml:space="preserve"> </w:t>
            </w:r>
            <w:r>
              <w:rPr>
                <w:color w:val="auto"/>
                <w:spacing w:val="8"/>
                <w:highlight w:val="none"/>
              </w:rPr>
              <w:t>护</w:t>
            </w:r>
          </w:p>
        </w:tc>
        <w:tc>
          <w:tcPr>
            <w:tcW w:w="1541" w:type="dxa"/>
            <w:vAlign w:val="top"/>
          </w:tcPr>
          <w:p w14:paraId="0FEC71AB">
            <w:pPr>
              <w:pStyle w:val="15"/>
              <w:spacing w:before="35" w:line="295" w:lineRule="auto"/>
              <w:ind w:left="121" w:right="145" w:hanging="16"/>
              <w:rPr>
                <w:color w:val="auto"/>
                <w:highlight w:val="none"/>
              </w:rPr>
            </w:pPr>
            <w:r>
              <w:rPr>
                <w:color w:val="auto"/>
                <w:spacing w:val="14"/>
                <w:highlight w:val="none"/>
              </w:rPr>
              <w:t>楼层、屋面、</w:t>
            </w:r>
            <w:r>
              <w:rPr>
                <w:color w:val="auto"/>
                <w:highlight w:val="none"/>
              </w:rPr>
              <w:t xml:space="preserve"> </w:t>
            </w:r>
            <w:r>
              <w:rPr>
                <w:color w:val="auto"/>
                <w:spacing w:val="5"/>
                <w:highlight w:val="none"/>
              </w:rPr>
              <w:t>阳台等临边</w:t>
            </w:r>
          </w:p>
        </w:tc>
        <w:tc>
          <w:tcPr>
            <w:tcW w:w="6642" w:type="dxa"/>
            <w:tcBorders>
              <w:right w:val="single" w:color="000000" w:sz="10" w:space="0"/>
            </w:tcBorders>
            <w:vAlign w:val="top"/>
          </w:tcPr>
          <w:p w14:paraId="221549EE">
            <w:pPr>
              <w:pStyle w:val="15"/>
              <w:spacing w:before="205" w:line="227" w:lineRule="auto"/>
              <w:ind w:left="112"/>
              <w:rPr>
                <w:color w:val="auto"/>
                <w:highlight w:val="none"/>
              </w:rPr>
            </w:pPr>
            <w:r>
              <w:rPr>
                <w:color w:val="auto"/>
                <w:spacing w:val="8"/>
                <w:highlight w:val="none"/>
              </w:rPr>
              <w:t>设两道防护栏杆和</w:t>
            </w:r>
            <w:r>
              <w:rPr>
                <w:color w:val="auto"/>
                <w:spacing w:val="-22"/>
                <w:highlight w:val="none"/>
              </w:rPr>
              <w:t xml:space="preserve"> </w:t>
            </w:r>
            <w:r>
              <w:rPr>
                <w:color w:val="auto"/>
                <w:spacing w:val="8"/>
                <w:highlight w:val="none"/>
              </w:rPr>
              <w:t>18</w:t>
            </w:r>
            <w:r>
              <w:rPr>
                <w:color w:val="auto"/>
                <w:highlight w:val="none"/>
              </w:rPr>
              <w:t>cm</w:t>
            </w:r>
            <w:r>
              <w:rPr>
                <w:color w:val="auto"/>
                <w:spacing w:val="-34"/>
                <w:highlight w:val="none"/>
              </w:rPr>
              <w:t xml:space="preserve"> </w:t>
            </w:r>
            <w:r>
              <w:rPr>
                <w:color w:val="auto"/>
                <w:spacing w:val="8"/>
                <w:highlight w:val="none"/>
              </w:rPr>
              <w:t>高的踢脚板，用密目式安全</w:t>
            </w:r>
            <w:r>
              <w:rPr>
                <w:color w:val="auto"/>
                <w:spacing w:val="7"/>
                <w:highlight w:val="none"/>
              </w:rPr>
              <w:t>立网全封闭。</w:t>
            </w:r>
          </w:p>
        </w:tc>
      </w:tr>
      <w:tr w14:paraId="1F674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50" w:type="dxa"/>
            <w:vMerge w:val="continue"/>
            <w:tcBorders>
              <w:top w:val="nil"/>
              <w:left w:val="single" w:color="000000" w:sz="10" w:space="0"/>
              <w:bottom w:val="nil"/>
            </w:tcBorders>
            <w:vAlign w:val="top"/>
          </w:tcPr>
          <w:p w14:paraId="09AC5CC7">
            <w:pPr>
              <w:rPr>
                <w:rFonts w:ascii="Arial"/>
                <w:color w:val="auto"/>
                <w:sz w:val="21"/>
                <w:highlight w:val="none"/>
              </w:rPr>
            </w:pPr>
          </w:p>
        </w:tc>
        <w:tc>
          <w:tcPr>
            <w:tcW w:w="523" w:type="dxa"/>
            <w:vMerge w:val="continue"/>
            <w:tcBorders>
              <w:top w:val="nil"/>
              <w:bottom w:val="nil"/>
            </w:tcBorders>
            <w:textDirection w:val="tbRlV"/>
            <w:vAlign w:val="top"/>
          </w:tcPr>
          <w:p w14:paraId="64D33542">
            <w:pPr>
              <w:rPr>
                <w:rFonts w:ascii="Arial"/>
                <w:color w:val="auto"/>
                <w:sz w:val="21"/>
                <w:highlight w:val="none"/>
              </w:rPr>
            </w:pPr>
          </w:p>
        </w:tc>
        <w:tc>
          <w:tcPr>
            <w:tcW w:w="1541" w:type="dxa"/>
            <w:vAlign w:val="top"/>
          </w:tcPr>
          <w:p w14:paraId="099FD9E1">
            <w:pPr>
              <w:pStyle w:val="15"/>
              <w:spacing w:before="204" w:line="234" w:lineRule="auto"/>
              <w:ind w:left="106"/>
              <w:rPr>
                <w:color w:val="auto"/>
                <w:highlight w:val="none"/>
              </w:rPr>
            </w:pPr>
            <w:r>
              <w:rPr>
                <w:color w:val="auto"/>
                <w:spacing w:val="6"/>
                <w:highlight w:val="none"/>
              </w:rPr>
              <w:t>通道口</w:t>
            </w:r>
          </w:p>
        </w:tc>
        <w:tc>
          <w:tcPr>
            <w:tcW w:w="6642" w:type="dxa"/>
            <w:tcBorders>
              <w:right w:val="single" w:color="000000" w:sz="10" w:space="0"/>
            </w:tcBorders>
            <w:vAlign w:val="top"/>
          </w:tcPr>
          <w:p w14:paraId="2591AB32">
            <w:pPr>
              <w:pStyle w:val="15"/>
              <w:spacing w:before="37" w:line="294" w:lineRule="auto"/>
              <w:ind w:left="109" w:right="131" w:firstLine="2"/>
              <w:rPr>
                <w:color w:val="auto"/>
                <w:highlight w:val="none"/>
              </w:rPr>
            </w:pPr>
            <w:r>
              <w:rPr>
                <w:color w:val="auto"/>
                <w:spacing w:val="7"/>
                <w:highlight w:val="none"/>
              </w:rPr>
              <w:t>设防护棚，防护棚应为不小于</w:t>
            </w:r>
            <w:r>
              <w:rPr>
                <w:color w:val="auto"/>
                <w:spacing w:val="-32"/>
                <w:highlight w:val="none"/>
              </w:rPr>
              <w:t xml:space="preserve"> </w:t>
            </w:r>
            <w:r>
              <w:rPr>
                <w:color w:val="auto"/>
                <w:spacing w:val="7"/>
                <w:highlight w:val="none"/>
              </w:rPr>
              <w:t>5</w:t>
            </w:r>
            <w:r>
              <w:rPr>
                <w:color w:val="auto"/>
                <w:highlight w:val="none"/>
              </w:rPr>
              <w:t>cm</w:t>
            </w:r>
            <w:r>
              <w:rPr>
                <w:color w:val="auto"/>
                <w:spacing w:val="-33"/>
                <w:highlight w:val="none"/>
              </w:rPr>
              <w:t xml:space="preserve"> </w:t>
            </w:r>
            <w:r>
              <w:rPr>
                <w:color w:val="auto"/>
                <w:spacing w:val="7"/>
                <w:highlight w:val="none"/>
              </w:rPr>
              <w:t>厚的木板或两道相距</w:t>
            </w:r>
            <w:r>
              <w:rPr>
                <w:color w:val="auto"/>
                <w:spacing w:val="-35"/>
                <w:highlight w:val="none"/>
              </w:rPr>
              <w:t xml:space="preserve"> </w:t>
            </w:r>
            <w:r>
              <w:rPr>
                <w:color w:val="auto"/>
                <w:spacing w:val="7"/>
                <w:highlight w:val="none"/>
              </w:rPr>
              <w:t>50</w:t>
            </w:r>
            <w:r>
              <w:rPr>
                <w:color w:val="auto"/>
                <w:highlight w:val="none"/>
              </w:rPr>
              <w:t>cm</w:t>
            </w:r>
            <w:r>
              <w:rPr>
                <w:color w:val="auto"/>
                <w:spacing w:val="-21"/>
                <w:highlight w:val="none"/>
              </w:rPr>
              <w:t xml:space="preserve"> </w:t>
            </w:r>
            <w:r>
              <w:rPr>
                <w:color w:val="auto"/>
                <w:spacing w:val="7"/>
                <w:highlight w:val="none"/>
              </w:rPr>
              <w:t>的竹笆。</w:t>
            </w:r>
            <w:r>
              <w:rPr>
                <w:color w:val="auto"/>
                <w:highlight w:val="none"/>
              </w:rPr>
              <w:t xml:space="preserve"> </w:t>
            </w:r>
            <w:r>
              <w:rPr>
                <w:color w:val="auto"/>
                <w:spacing w:val="8"/>
                <w:highlight w:val="none"/>
              </w:rPr>
              <w:t>两侧应沿栏杆架用密目式安全网封闭。</w:t>
            </w:r>
          </w:p>
        </w:tc>
      </w:tr>
      <w:tr w14:paraId="01332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750" w:type="dxa"/>
            <w:vMerge w:val="continue"/>
            <w:tcBorders>
              <w:top w:val="nil"/>
              <w:left w:val="single" w:color="000000" w:sz="10" w:space="0"/>
              <w:bottom w:val="nil"/>
            </w:tcBorders>
            <w:vAlign w:val="top"/>
          </w:tcPr>
          <w:p w14:paraId="782854EE">
            <w:pPr>
              <w:rPr>
                <w:rFonts w:ascii="Arial"/>
                <w:color w:val="auto"/>
                <w:sz w:val="21"/>
                <w:highlight w:val="none"/>
              </w:rPr>
            </w:pPr>
          </w:p>
        </w:tc>
        <w:tc>
          <w:tcPr>
            <w:tcW w:w="523" w:type="dxa"/>
            <w:vMerge w:val="continue"/>
            <w:tcBorders>
              <w:top w:val="nil"/>
              <w:bottom w:val="nil"/>
            </w:tcBorders>
            <w:textDirection w:val="tbRlV"/>
            <w:vAlign w:val="top"/>
          </w:tcPr>
          <w:p w14:paraId="62C8019D">
            <w:pPr>
              <w:rPr>
                <w:rFonts w:ascii="Arial"/>
                <w:color w:val="auto"/>
                <w:sz w:val="21"/>
                <w:highlight w:val="none"/>
              </w:rPr>
            </w:pPr>
          </w:p>
        </w:tc>
        <w:tc>
          <w:tcPr>
            <w:tcW w:w="1541" w:type="dxa"/>
            <w:vAlign w:val="top"/>
          </w:tcPr>
          <w:p w14:paraId="460F52E1">
            <w:pPr>
              <w:pStyle w:val="15"/>
              <w:spacing w:before="206" w:line="228" w:lineRule="auto"/>
              <w:ind w:left="108"/>
              <w:rPr>
                <w:color w:val="auto"/>
                <w:highlight w:val="none"/>
              </w:rPr>
            </w:pPr>
            <w:r>
              <w:rPr>
                <w:color w:val="auto"/>
                <w:spacing w:val="6"/>
                <w:highlight w:val="none"/>
              </w:rPr>
              <w:t>预留洞口</w:t>
            </w:r>
          </w:p>
        </w:tc>
        <w:tc>
          <w:tcPr>
            <w:tcW w:w="6642" w:type="dxa"/>
            <w:tcBorders>
              <w:right w:val="single" w:color="000000" w:sz="10" w:space="0"/>
            </w:tcBorders>
            <w:vAlign w:val="top"/>
          </w:tcPr>
          <w:p w14:paraId="1F9EFAE3">
            <w:pPr>
              <w:pStyle w:val="15"/>
              <w:spacing w:before="37" w:line="294" w:lineRule="auto"/>
              <w:ind w:left="121" w:right="99" w:hanging="11"/>
              <w:rPr>
                <w:color w:val="auto"/>
                <w:highlight w:val="none"/>
              </w:rPr>
            </w:pPr>
            <w:r>
              <w:rPr>
                <w:color w:val="auto"/>
                <w:spacing w:val="9"/>
                <w:highlight w:val="none"/>
              </w:rPr>
              <w:t>用硬质材料全封闭，短边超过</w:t>
            </w:r>
            <w:r>
              <w:rPr>
                <w:color w:val="auto"/>
                <w:spacing w:val="-22"/>
                <w:highlight w:val="none"/>
              </w:rPr>
              <w:t xml:space="preserve"> </w:t>
            </w:r>
            <w:r>
              <w:rPr>
                <w:color w:val="auto"/>
                <w:spacing w:val="9"/>
                <w:highlight w:val="none"/>
              </w:rPr>
              <w:t>1.5m</w:t>
            </w:r>
            <w:r>
              <w:rPr>
                <w:color w:val="auto"/>
                <w:spacing w:val="-39"/>
                <w:highlight w:val="none"/>
              </w:rPr>
              <w:t xml:space="preserve"> </w:t>
            </w:r>
            <w:r>
              <w:rPr>
                <w:color w:val="auto"/>
                <w:spacing w:val="9"/>
                <w:highlight w:val="none"/>
              </w:rPr>
              <w:t>长的洞口</w:t>
            </w:r>
            <w:r>
              <w:rPr>
                <w:color w:val="auto"/>
                <w:spacing w:val="8"/>
                <w:highlight w:val="none"/>
              </w:rPr>
              <w:t>，除封闭外四周还应设有</w:t>
            </w:r>
            <w:r>
              <w:rPr>
                <w:color w:val="auto"/>
                <w:highlight w:val="none"/>
              </w:rPr>
              <w:t xml:space="preserve"> </w:t>
            </w:r>
            <w:r>
              <w:rPr>
                <w:color w:val="auto"/>
                <w:spacing w:val="3"/>
                <w:highlight w:val="none"/>
              </w:rPr>
              <w:t>防护栏杆。</w:t>
            </w:r>
          </w:p>
        </w:tc>
      </w:tr>
      <w:tr w14:paraId="65FF7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50" w:type="dxa"/>
            <w:vMerge w:val="continue"/>
            <w:tcBorders>
              <w:top w:val="nil"/>
              <w:left w:val="single" w:color="000000" w:sz="10" w:space="0"/>
              <w:bottom w:val="nil"/>
            </w:tcBorders>
            <w:vAlign w:val="top"/>
          </w:tcPr>
          <w:p w14:paraId="3498B1A0">
            <w:pPr>
              <w:rPr>
                <w:rFonts w:ascii="Arial"/>
                <w:color w:val="auto"/>
                <w:sz w:val="21"/>
                <w:highlight w:val="none"/>
              </w:rPr>
            </w:pPr>
          </w:p>
        </w:tc>
        <w:tc>
          <w:tcPr>
            <w:tcW w:w="523" w:type="dxa"/>
            <w:vMerge w:val="continue"/>
            <w:tcBorders>
              <w:top w:val="nil"/>
              <w:bottom w:val="nil"/>
            </w:tcBorders>
            <w:textDirection w:val="tbRlV"/>
            <w:vAlign w:val="top"/>
          </w:tcPr>
          <w:p w14:paraId="2CB47187">
            <w:pPr>
              <w:rPr>
                <w:rFonts w:ascii="Arial"/>
                <w:color w:val="auto"/>
                <w:sz w:val="21"/>
                <w:highlight w:val="none"/>
              </w:rPr>
            </w:pPr>
          </w:p>
        </w:tc>
        <w:tc>
          <w:tcPr>
            <w:tcW w:w="1541" w:type="dxa"/>
            <w:vAlign w:val="top"/>
          </w:tcPr>
          <w:p w14:paraId="70704E0C">
            <w:pPr>
              <w:pStyle w:val="15"/>
              <w:spacing w:before="208" w:line="228" w:lineRule="auto"/>
              <w:ind w:left="131"/>
              <w:rPr>
                <w:color w:val="auto"/>
                <w:highlight w:val="none"/>
              </w:rPr>
            </w:pPr>
            <w:r>
              <w:rPr>
                <w:color w:val="auto"/>
                <w:spacing w:val="1"/>
                <w:highlight w:val="none"/>
              </w:rPr>
              <w:t>电梯井口</w:t>
            </w:r>
          </w:p>
        </w:tc>
        <w:tc>
          <w:tcPr>
            <w:tcW w:w="6642" w:type="dxa"/>
            <w:tcBorders>
              <w:right w:val="single" w:color="000000" w:sz="10" w:space="0"/>
            </w:tcBorders>
            <w:vAlign w:val="top"/>
          </w:tcPr>
          <w:p w14:paraId="2D0E127B">
            <w:pPr>
              <w:pStyle w:val="15"/>
              <w:spacing w:before="39" w:line="293" w:lineRule="auto"/>
              <w:ind w:left="107" w:right="96" w:firstLine="5"/>
              <w:rPr>
                <w:color w:val="auto"/>
                <w:highlight w:val="none"/>
              </w:rPr>
            </w:pPr>
            <w:r>
              <w:rPr>
                <w:color w:val="auto"/>
                <w:spacing w:val="7"/>
                <w:highlight w:val="none"/>
              </w:rPr>
              <w:t>设置定型化、工具化的防护门，在电梯井内每隔</w:t>
            </w:r>
            <w:r>
              <w:rPr>
                <w:color w:val="auto"/>
                <w:spacing w:val="-34"/>
                <w:highlight w:val="none"/>
              </w:rPr>
              <w:t xml:space="preserve"> </w:t>
            </w:r>
            <w:r>
              <w:rPr>
                <w:color w:val="auto"/>
                <w:spacing w:val="6"/>
                <w:highlight w:val="none"/>
              </w:rPr>
              <w:t>2</w:t>
            </w:r>
            <w:r>
              <w:rPr>
                <w:color w:val="auto"/>
                <w:spacing w:val="-41"/>
                <w:highlight w:val="none"/>
              </w:rPr>
              <w:t xml:space="preserve"> </w:t>
            </w:r>
            <w:r>
              <w:rPr>
                <w:color w:val="auto"/>
                <w:spacing w:val="6"/>
                <w:highlight w:val="none"/>
              </w:rPr>
              <w:t>层（不大于</w:t>
            </w:r>
            <w:r>
              <w:rPr>
                <w:color w:val="auto"/>
                <w:spacing w:val="-21"/>
                <w:highlight w:val="none"/>
              </w:rPr>
              <w:t xml:space="preserve"> </w:t>
            </w:r>
            <w:r>
              <w:rPr>
                <w:color w:val="auto"/>
                <w:spacing w:val="6"/>
                <w:highlight w:val="none"/>
              </w:rPr>
              <w:t>10m）设</w:t>
            </w:r>
            <w:r>
              <w:rPr>
                <w:color w:val="auto"/>
                <w:highlight w:val="none"/>
              </w:rPr>
              <w:t xml:space="preserve"> </w:t>
            </w:r>
            <w:r>
              <w:rPr>
                <w:color w:val="auto"/>
                <w:spacing w:val="7"/>
                <w:highlight w:val="none"/>
              </w:rPr>
              <w:t>置一道水平防护。</w:t>
            </w:r>
          </w:p>
        </w:tc>
      </w:tr>
      <w:tr w14:paraId="025DC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750" w:type="dxa"/>
            <w:vMerge w:val="continue"/>
            <w:tcBorders>
              <w:top w:val="nil"/>
              <w:left w:val="single" w:color="000000" w:sz="10" w:space="0"/>
              <w:bottom w:val="nil"/>
            </w:tcBorders>
            <w:vAlign w:val="top"/>
          </w:tcPr>
          <w:p w14:paraId="5FB86259">
            <w:pPr>
              <w:rPr>
                <w:rFonts w:ascii="Arial"/>
                <w:color w:val="auto"/>
                <w:sz w:val="21"/>
                <w:highlight w:val="none"/>
              </w:rPr>
            </w:pPr>
          </w:p>
        </w:tc>
        <w:tc>
          <w:tcPr>
            <w:tcW w:w="523" w:type="dxa"/>
            <w:vMerge w:val="continue"/>
            <w:tcBorders>
              <w:top w:val="nil"/>
              <w:bottom w:val="nil"/>
            </w:tcBorders>
            <w:textDirection w:val="tbRlV"/>
            <w:vAlign w:val="top"/>
          </w:tcPr>
          <w:p w14:paraId="49A077F4">
            <w:pPr>
              <w:rPr>
                <w:rFonts w:ascii="Arial"/>
                <w:color w:val="auto"/>
                <w:sz w:val="21"/>
                <w:highlight w:val="none"/>
              </w:rPr>
            </w:pPr>
          </w:p>
        </w:tc>
        <w:tc>
          <w:tcPr>
            <w:tcW w:w="1541" w:type="dxa"/>
            <w:vAlign w:val="top"/>
          </w:tcPr>
          <w:p w14:paraId="56DACBC9">
            <w:pPr>
              <w:pStyle w:val="15"/>
              <w:spacing w:before="41" w:line="225" w:lineRule="auto"/>
              <w:ind w:left="105"/>
              <w:rPr>
                <w:color w:val="auto"/>
                <w:highlight w:val="none"/>
              </w:rPr>
            </w:pPr>
            <w:r>
              <w:rPr>
                <w:color w:val="auto"/>
                <w:spacing w:val="7"/>
                <w:highlight w:val="none"/>
              </w:rPr>
              <w:t>楼梯边</w:t>
            </w:r>
          </w:p>
        </w:tc>
        <w:tc>
          <w:tcPr>
            <w:tcW w:w="6642" w:type="dxa"/>
            <w:tcBorders>
              <w:right w:val="single" w:color="000000" w:sz="10" w:space="0"/>
            </w:tcBorders>
            <w:vAlign w:val="top"/>
          </w:tcPr>
          <w:p w14:paraId="29512DDF">
            <w:pPr>
              <w:pStyle w:val="15"/>
              <w:spacing w:before="42" w:line="225" w:lineRule="auto"/>
              <w:ind w:left="112"/>
              <w:rPr>
                <w:color w:val="auto"/>
                <w:highlight w:val="none"/>
              </w:rPr>
            </w:pPr>
            <w:r>
              <w:rPr>
                <w:color w:val="auto"/>
                <w:spacing w:val="6"/>
                <w:highlight w:val="none"/>
              </w:rPr>
              <w:t>设</w:t>
            </w:r>
            <w:r>
              <w:rPr>
                <w:color w:val="auto"/>
                <w:spacing w:val="-12"/>
                <w:highlight w:val="none"/>
              </w:rPr>
              <w:t xml:space="preserve"> </w:t>
            </w:r>
            <w:r>
              <w:rPr>
                <w:color w:val="auto"/>
                <w:spacing w:val="6"/>
                <w:highlight w:val="none"/>
              </w:rPr>
              <w:t>1.2m</w:t>
            </w:r>
            <w:r>
              <w:rPr>
                <w:color w:val="auto"/>
                <w:spacing w:val="-32"/>
                <w:highlight w:val="none"/>
              </w:rPr>
              <w:t xml:space="preserve"> </w:t>
            </w:r>
            <w:r>
              <w:rPr>
                <w:color w:val="auto"/>
                <w:spacing w:val="6"/>
                <w:highlight w:val="none"/>
              </w:rPr>
              <w:t>高的定型化、工具化的防护栏，18</w:t>
            </w:r>
            <w:r>
              <w:rPr>
                <w:color w:val="auto"/>
                <w:highlight w:val="none"/>
              </w:rPr>
              <w:t>cm</w:t>
            </w:r>
            <w:r>
              <w:rPr>
                <w:color w:val="auto"/>
                <w:spacing w:val="-35"/>
                <w:highlight w:val="none"/>
              </w:rPr>
              <w:t xml:space="preserve"> </w:t>
            </w:r>
            <w:r>
              <w:rPr>
                <w:color w:val="auto"/>
                <w:spacing w:val="6"/>
                <w:highlight w:val="none"/>
              </w:rPr>
              <w:t>高的踢脚板。</w:t>
            </w:r>
          </w:p>
        </w:tc>
      </w:tr>
      <w:tr w14:paraId="25ECF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50" w:type="dxa"/>
            <w:vMerge w:val="continue"/>
            <w:tcBorders>
              <w:top w:val="nil"/>
              <w:left w:val="single" w:color="000000" w:sz="10" w:space="0"/>
              <w:bottom w:val="nil"/>
            </w:tcBorders>
            <w:vAlign w:val="top"/>
          </w:tcPr>
          <w:p w14:paraId="609E00EE">
            <w:pPr>
              <w:rPr>
                <w:rFonts w:ascii="Arial"/>
                <w:color w:val="auto"/>
                <w:sz w:val="21"/>
                <w:highlight w:val="none"/>
              </w:rPr>
            </w:pPr>
          </w:p>
        </w:tc>
        <w:tc>
          <w:tcPr>
            <w:tcW w:w="523" w:type="dxa"/>
            <w:vMerge w:val="continue"/>
            <w:tcBorders>
              <w:top w:val="nil"/>
              <w:bottom w:val="nil"/>
            </w:tcBorders>
            <w:textDirection w:val="tbRlV"/>
            <w:vAlign w:val="top"/>
          </w:tcPr>
          <w:p w14:paraId="541DDF10">
            <w:pPr>
              <w:rPr>
                <w:rFonts w:ascii="Arial"/>
                <w:color w:val="auto"/>
                <w:sz w:val="21"/>
                <w:highlight w:val="none"/>
              </w:rPr>
            </w:pPr>
          </w:p>
        </w:tc>
        <w:tc>
          <w:tcPr>
            <w:tcW w:w="1541" w:type="dxa"/>
            <w:vAlign w:val="top"/>
          </w:tcPr>
          <w:p w14:paraId="1081433B">
            <w:pPr>
              <w:pStyle w:val="15"/>
              <w:spacing w:before="41" w:line="292" w:lineRule="auto"/>
              <w:ind w:left="107" w:right="110"/>
              <w:rPr>
                <w:color w:val="auto"/>
                <w:highlight w:val="none"/>
              </w:rPr>
            </w:pPr>
            <w:r>
              <w:rPr>
                <w:color w:val="auto"/>
                <w:spacing w:val="19"/>
                <w:highlight w:val="none"/>
              </w:rPr>
              <w:t>垂直方向交叉</w:t>
            </w:r>
            <w:r>
              <w:rPr>
                <w:color w:val="auto"/>
                <w:spacing w:val="3"/>
                <w:highlight w:val="none"/>
              </w:rPr>
              <w:t xml:space="preserve"> </w:t>
            </w:r>
            <w:r>
              <w:rPr>
                <w:color w:val="auto"/>
                <w:spacing w:val="4"/>
                <w:highlight w:val="none"/>
              </w:rPr>
              <w:t>作业</w:t>
            </w:r>
          </w:p>
        </w:tc>
        <w:tc>
          <w:tcPr>
            <w:tcW w:w="6642" w:type="dxa"/>
            <w:tcBorders>
              <w:right w:val="single" w:color="000000" w:sz="10" w:space="0"/>
            </w:tcBorders>
            <w:vAlign w:val="top"/>
          </w:tcPr>
          <w:p w14:paraId="50226FCC">
            <w:pPr>
              <w:pStyle w:val="15"/>
              <w:spacing w:before="211" w:line="225" w:lineRule="auto"/>
              <w:ind w:left="112"/>
              <w:rPr>
                <w:color w:val="auto"/>
                <w:highlight w:val="none"/>
              </w:rPr>
            </w:pPr>
            <w:r>
              <w:rPr>
                <w:color w:val="auto"/>
                <w:spacing w:val="8"/>
                <w:highlight w:val="none"/>
              </w:rPr>
              <w:t>设置防护隔离棚或其它设施。</w:t>
            </w:r>
          </w:p>
        </w:tc>
      </w:tr>
      <w:tr w14:paraId="28373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50" w:type="dxa"/>
            <w:vMerge w:val="continue"/>
            <w:tcBorders>
              <w:top w:val="nil"/>
              <w:left w:val="single" w:color="000000" w:sz="10" w:space="0"/>
              <w:bottom w:val="nil"/>
            </w:tcBorders>
            <w:vAlign w:val="top"/>
          </w:tcPr>
          <w:p w14:paraId="3A8D0980">
            <w:pPr>
              <w:rPr>
                <w:rFonts w:ascii="Arial"/>
                <w:color w:val="auto"/>
                <w:sz w:val="21"/>
                <w:highlight w:val="none"/>
              </w:rPr>
            </w:pPr>
          </w:p>
        </w:tc>
        <w:tc>
          <w:tcPr>
            <w:tcW w:w="523" w:type="dxa"/>
            <w:vMerge w:val="continue"/>
            <w:tcBorders>
              <w:top w:val="nil"/>
              <w:bottom w:val="nil"/>
            </w:tcBorders>
            <w:textDirection w:val="tbRlV"/>
            <w:vAlign w:val="top"/>
          </w:tcPr>
          <w:p w14:paraId="00C80991">
            <w:pPr>
              <w:rPr>
                <w:rFonts w:ascii="Arial"/>
                <w:color w:val="auto"/>
                <w:sz w:val="21"/>
                <w:highlight w:val="none"/>
              </w:rPr>
            </w:pPr>
          </w:p>
        </w:tc>
        <w:tc>
          <w:tcPr>
            <w:tcW w:w="1541" w:type="dxa"/>
            <w:vAlign w:val="top"/>
          </w:tcPr>
          <w:p w14:paraId="222283E3">
            <w:pPr>
              <w:pStyle w:val="15"/>
              <w:spacing w:before="212" w:line="228" w:lineRule="auto"/>
              <w:ind w:left="112"/>
              <w:rPr>
                <w:color w:val="auto"/>
                <w:highlight w:val="none"/>
              </w:rPr>
            </w:pPr>
            <w:r>
              <w:rPr>
                <w:color w:val="auto"/>
                <w:spacing w:val="5"/>
                <w:highlight w:val="none"/>
              </w:rPr>
              <w:t>高处作业</w:t>
            </w:r>
          </w:p>
        </w:tc>
        <w:tc>
          <w:tcPr>
            <w:tcW w:w="6642" w:type="dxa"/>
            <w:tcBorders>
              <w:right w:val="single" w:color="000000" w:sz="10" w:space="0"/>
            </w:tcBorders>
            <w:vAlign w:val="top"/>
          </w:tcPr>
          <w:p w14:paraId="0D4BB610">
            <w:pPr>
              <w:pStyle w:val="15"/>
              <w:spacing w:before="43" w:line="291" w:lineRule="auto"/>
              <w:ind w:left="112" w:right="99" w:hanging="3"/>
              <w:rPr>
                <w:color w:val="auto"/>
                <w:highlight w:val="none"/>
              </w:rPr>
            </w:pPr>
            <w:r>
              <w:rPr>
                <w:color w:val="auto"/>
                <w:spacing w:val="7"/>
                <w:highlight w:val="none"/>
              </w:rPr>
              <w:t>有悬挂安全带的悬索或其它设施，有操作平台，有上下的梯子或其它形</w:t>
            </w:r>
            <w:r>
              <w:rPr>
                <w:color w:val="auto"/>
                <w:highlight w:val="none"/>
              </w:rPr>
              <w:t xml:space="preserve"> </w:t>
            </w:r>
            <w:r>
              <w:rPr>
                <w:color w:val="auto"/>
                <w:spacing w:val="5"/>
                <w:highlight w:val="none"/>
              </w:rPr>
              <w:t>式的通道。</w:t>
            </w:r>
          </w:p>
        </w:tc>
      </w:tr>
      <w:tr w14:paraId="310CA5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50" w:type="dxa"/>
            <w:vMerge w:val="continue"/>
            <w:tcBorders>
              <w:top w:val="nil"/>
              <w:left w:val="single" w:color="000000" w:sz="10" w:space="0"/>
              <w:bottom w:val="nil"/>
            </w:tcBorders>
            <w:vAlign w:val="top"/>
          </w:tcPr>
          <w:p w14:paraId="07FC1205">
            <w:pPr>
              <w:rPr>
                <w:rFonts w:ascii="Arial"/>
                <w:color w:val="auto"/>
                <w:sz w:val="21"/>
                <w:highlight w:val="none"/>
              </w:rPr>
            </w:pPr>
          </w:p>
        </w:tc>
        <w:tc>
          <w:tcPr>
            <w:tcW w:w="523" w:type="dxa"/>
            <w:vMerge w:val="continue"/>
            <w:tcBorders>
              <w:top w:val="nil"/>
            </w:tcBorders>
            <w:textDirection w:val="tbRlV"/>
            <w:vAlign w:val="top"/>
          </w:tcPr>
          <w:p w14:paraId="2B9D40DB">
            <w:pPr>
              <w:rPr>
                <w:rFonts w:ascii="Arial"/>
                <w:color w:val="auto"/>
                <w:sz w:val="21"/>
                <w:highlight w:val="none"/>
              </w:rPr>
            </w:pPr>
          </w:p>
        </w:tc>
        <w:tc>
          <w:tcPr>
            <w:tcW w:w="1541" w:type="dxa"/>
            <w:vAlign w:val="top"/>
          </w:tcPr>
          <w:p w14:paraId="1C7E81C6">
            <w:pPr>
              <w:pStyle w:val="15"/>
              <w:spacing w:before="45" w:line="290" w:lineRule="auto"/>
              <w:ind w:left="122" w:right="110" w:hanging="16"/>
              <w:rPr>
                <w:color w:val="auto"/>
                <w:highlight w:val="none"/>
              </w:rPr>
            </w:pPr>
            <w:r>
              <w:rPr>
                <w:color w:val="auto"/>
                <w:spacing w:val="19"/>
                <w:highlight w:val="none"/>
              </w:rPr>
              <w:t>基坑、物料平</w:t>
            </w:r>
            <w:r>
              <w:rPr>
                <w:color w:val="auto"/>
                <w:spacing w:val="4"/>
                <w:highlight w:val="none"/>
              </w:rPr>
              <w:t xml:space="preserve"> </w:t>
            </w:r>
            <w:r>
              <w:rPr>
                <w:color w:val="auto"/>
                <w:highlight w:val="none"/>
              </w:rPr>
              <w:t>台</w:t>
            </w:r>
          </w:p>
        </w:tc>
        <w:tc>
          <w:tcPr>
            <w:tcW w:w="6642" w:type="dxa"/>
            <w:tcBorders>
              <w:right w:val="single" w:color="000000" w:sz="10" w:space="0"/>
            </w:tcBorders>
            <w:vAlign w:val="top"/>
          </w:tcPr>
          <w:p w14:paraId="439EC35E">
            <w:pPr>
              <w:pStyle w:val="15"/>
              <w:spacing w:before="214" w:line="227" w:lineRule="auto"/>
              <w:ind w:left="112"/>
              <w:rPr>
                <w:color w:val="auto"/>
                <w:highlight w:val="none"/>
              </w:rPr>
            </w:pPr>
            <w:r>
              <w:rPr>
                <w:color w:val="auto"/>
                <w:spacing w:val="7"/>
                <w:highlight w:val="none"/>
              </w:rPr>
              <w:t>设</w:t>
            </w:r>
            <w:r>
              <w:rPr>
                <w:color w:val="auto"/>
                <w:spacing w:val="-16"/>
                <w:highlight w:val="none"/>
              </w:rPr>
              <w:t xml:space="preserve"> </w:t>
            </w:r>
            <w:r>
              <w:rPr>
                <w:color w:val="auto"/>
                <w:spacing w:val="7"/>
                <w:highlight w:val="none"/>
              </w:rPr>
              <w:t>1.2m</w:t>
            </w:r>
            <w:r>
              <w:rPr>
                <w:color w:val="auto"/>
                <w:spacing w:val="-33"/>
                <w:highlight w:val="none"/>
              </w:rPr>
              <w:t xml:space="preserve"> </w:t>
            </w:r>
            <w:r>
              <w:rPr>
                <w:color w:val="auto"/>
                <w:spacing w:val="7"/>
                <w:highlight w:val="none"/>
              </w:rPr>
              <w:t>高标准化的防护栏，用密目式安全立网封闭，悬挂标识。</w:t>
            </w:r>
          </w:p>
        </w:tc>
      </w:tr>
      <w:tr w14:paraId="722249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50" w:type="dxa"/>
            <w:vMerge w:val="continue"/>
            <w:tcBorders>
              <w:top w:val="nil"/>
              <w:left w:val="single" w:color="000000" w:sz="10" w:space="0"/>
            </w:tcBorders>
            <w:vAlign w:val="top"/>
          </w:tcPr>
          <w:p w14:paraId="3162D355">
            <w:pPr>
              <w:rPr>
                <w:rFonts w:ascii="Arial"/>
                <w:color w:val="auto"/>
                <w:sz w:val="21"/>
                <w:highlight w:val="none"/>
              </w:rPr>
            </w:pPr>
          </w:p>
        </w:tc>
        <w:tc>
          <w:tcPr>
            <w:tcW w:w="2064" w:type="dxa"/>
            <w:gridSpan w:val="2"/>
            <w:vAlign w:val="top"/>
          </w:tcPr>
          <w:p w14:paraId="4606A572">
            <w:pPr>
              <w:pStyle w:val="15"/>
              <w:spacing w:before="216" w:line="228" w:lineRule="auto"/>
              <w:ind w:left="405"/>
              <w:rPr>
                <w:color w:val="auto"/>
                <w:highlight w:val="none"/>
              </w:rPr>
            </w:pPr>
            <w:r>
              <w:rPr>
                <w:color w:val="auto"/>
                <w:spacing w:val="7"/>
                <w:highlight w:val="none"/>
              </w:rPr>
              <w:t>安全防护用品</w:t>
            </w:r>
          </w:p>
        </w:tc>
        <w:tc>
          <w:tcPr>
            <w:tcW w:w="6642" w:type="dxa"/>
            <w:tcBorders>
              <w:right w:val="single" w:color="000000" w:sz="10" w:space="0"/>
            </w:tcBorders>
            <w:vAlign w:val="top"/>
          </w:tcPr>
          <w:p w14:paraId="43374B83">
            <w:pPr>
              <w:pStyle w:val="15"/>
              <w:spacing w:before="47" w:line="289" w:lineRule="auto"/>
              <w:ind w:left="110" w:right="52" w:firstLine="2"/>
              <w:rPr>
                <w:color w:val="auto"/>
                <w:highlight w:val="none"/>
              </w:rPr>
            </w:pPr>
            <w:r>
              <w:rPr>
                <w:color w:val="auto"/>
                <w:spacing w:val="8"/>
                <w:highlight w:val="none"/>
              </w:rPr>
              <w:t>安全帽、安全带、特种作业人员（电工、焊工、架子工等）防护服装、</w:t>
            </w:r>
            <w:r>
              <w:rPr>
                <w:color w:val="auto"/>
                <w:spacing w:val="12"/>
                <w:highlight w:val="none"/>
              </w:rPr>
              <w:t xml:space="preserve"> </w:t>
            </w:r>
            <w:r>
              <w:rPr>
                <w:color w:val="auto"/>
                <w:spacing w:val="4"/>
                <w:highlight w:val="none"/>
              </w:rPr>
              <w:t>用品等。</w:t>
            </w:r>
          </w:p>
        </w:tc>
      </w:tr>
      <w:tr w14:paraId="1CCAD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50" w:type="dxa"/>
            <w:vMerge w:val="restart"/>
            <w:tcBorders>
              <w:left w:val="single" w:color="000000" w:sz="10" w:space="0"/>
              <w:bottom w:val="nil"/>
            </w:tcBorders>
            <w:vAlign w:val="top"/>
          </w:tcPr>
          <w:p w14:paraId="42F1A7D4">
            <w:pPr>
              <w:rPr>
                <w:rFonts w:ascii="Arial"/>
                <w:color w:val="auto"/>
                <w:sz w:val="21"/>
                <w:highlight w:val="none"/>
              </w:rPr>
            </w:pPr>
          </w:p>
          <w:p w14:paraId="0309E5D2">
            <w:pPr>
              <w:rPr>
                <w:rFonts w:ascii="Arial"/>
                <w:color w:val="auto"/>
                <w:sz w:val="21"/>
                <w:highlight w:val="none"/>
              </w:rPr>
            </w:pPr>
          </w:p>
          <w:p w14:paraId="259A579B">
            <w:pPr>
              <w:rPr>
                <w:rFonts w:ascii="Arial"/>
                <w:color w:val="auto"/>
                <w:sz w:val="21"/>
                <w:highlight w:val="none"/>
              </w:rPr>
            </w:pPr>
          </w:p>
          <w:p w14:paraId="12CD5087">
            <w:pPr>
              <w:rPr>
                <w:rFonts w:ascii="Arial"/>
                <w:color w:val="auto"/>
                <w:sz w:val="21"/>
                <w:highlight w:val="none"/>
              </w:rPr>
            </w:pPr>
          </w:p>
          <w:p w14:paraId="39724C43">
            <w:pPr>
              <w:rPr>
                <w:rFonts w:ascii="Arial"/>
                <w:color w:val="auto"/>
                <w:sz w:val="21"/>
                <w:highlight w:val="none"/>
              </w:rPr>
            </w:pPr>
          </w:p>
          <w:p w14:paraId="182B8E28">
            <w:pPr>
              <w:rPr>
                <w:rFonts w:ascii="Arial"/>
                <w:color w:val="auto"/>
                <w:sz w:val="21"/>
                <w:highlight w:val="none"/>
              </w:rPr>
            </w:pPr>
          </w:p>
          <w:p w14:paraId="36BEAE7A">
            <w:pPr>
              <w:rPr>
                <w:rFonts w:ascii="Arial"/>
                <w:color w:val="auto"/>
                <w:sz w:val="21"/>
                <w:highlight w:val="none"/>
              </w:rPr>
            </w:pPr>
          </w:p>
          <w:p w14:paraId="5BD445C5">
            <w:pPr>
              <w:pStyle w:val="15"/>
              <w:spacing w:before="65" w:line="225" w:lineRule="auto"/>
              <w:ind w:left="158"/>
              <w:rPr>
                <w:color w:val="auto"/>
                <w:highlight w:val="none"/>
              </w:rPr>
            </w:pPr>
            <w:r>
              <w:rPr>
                <w:color w:val="auto"/>
                <w:spacing w:val="4"/>
                <w:highlight w:val="none"/>
              </w:rPr>
              <w:t>其它</w:t>
            </w:r>
          </w:p>
        </w:tc>
        <w:tc>
          <w:tcPr>
            <w:tcW w:w="523" w:type="dxa"/>
            <w:vMerge w:val="restart"/>
            <w:tcBorders>
              <w:bottom w:val="nil"/>
            </w:tcBorders>
            <w:textDirection w:val="tbRlV"/>
            <w:vAlign w:val="top"/>
          </w:tcPr>
          <w:p w14:paraId="2ECB8652">
            <w:pPr>
              <w:pStyle w:val="15"/>
              <w:spacing w:before="164" w:line="216" w:lineRule="auto"/>
              <w:ind w:left="49"/>
              <w:rPr>
                <w:color w:val="auto"/>
                <w:highlight w:val="none"/>
              </w:rPr>
            </w:pPr>
            <w:r>
              <w:rPr>
                <w:color w:val="auto"/>
                <w:spacing w:val="8"/>
                <w:highlight w:val="none"/>
              </w:rPr>
              <w:t>机</w:t>
            </w:r>
            <w:r>
              <w:rPr>
                <w:color w:val="auto"/>
                <w:spacing w:val="35"/>
                <w:highlight w:val="none"/>
              </w:rPr>
              <w:t xml:space="preserve"> </w:t>
            </w:r>
            <w:r>
              <w:rPr>
                <w:color w:val="auto"/>
                <w:spacing w:val="8"/>
                <w:highlight w:val="none"/>
              </w:rPr>
              <w:t>械</w:t>
            </w:r>
            <w:r>
              <w:rPr>
                <w:color w:val="auto"/>
                <w:spacing w:val="30"/>
                <w:highlight w:val="none"/>
              </w:rPr>
              <w:t xml:space="preserve"> </w:t>
            </w:r>
            <w:r>
              <w:rPr>
                <w:color w:val="auto"/>
                <w:spacing w:val="8"/>
                <w:highlight w:val="none"/>
              </w:rPr>
              <w:t>设</w:t>
            </w:r>
            <w:r>
              <w:rPr>
                <w:color w:val="auto"/>
                <w:spacing w:val="34"/>
                <w:highlight w:val="none"/>
              </w:rPr>
              <w:t xml:space="preserve"> </w:t>
            </w:r>
            <w:r>
              <w:rPr>
                <w:color w:val="auto"/>
                <w:spacing w:val="8"/>
                <w:highlight w:val="none"/>
              </w:rPr>
              <w:t>备</w:t>
            </w:r>
            <w:r>
              <w:rPr>
                <w:color w:val="auto"/>
                <w:spacing w:val="30"/>
                <w:highlight w:val="none"/>
              </w:rPr>
              <w:t xml:space="preserve"> </w:t>
            </w:r>
            <w:r>
              <w:rPr>
                <w:color w:val="auto"/>
                <w:spacing w:val="8"/>
                <w:highlight w:val="none"/>
              </w:rPr>
              <w:t>防</w:t>
            </w:r>
            <w:r>
              <w:rPr>
                <w:color w:val="auto"/>
                <w:spacing w:val="32"/>
                <w:highlight w:val="none"/>
              </w:rPr>
              <w:t xml:space="preserve"> </w:t>
            </w:r>
            <w:r>
              <w:rPr>
                <w:color w:val="auto"/>
                <w:spacing w:val="8"/>
                <w:highlight w:val="none"/>
              </w:rPr>
              <w:t>护</w:t>
            </w:r>
          </w:p>
        </w:tc>
        <w:tc>
          <w:tcPr>
            <w:tcW w:w="1541" w:type="dxa"/>
            <w:vAlign w:val="top"/>
          </w:tcPr>
          <w:p w14:paraId="776DD2C3">
            <w:pPr>
              <w:pStyle w:val="15"/>
              <w:spacing w:before="207" w:line="227" w:lineRule="auto"/>
              <w:ind w:left="262"/>
              <w:rPr>
                <w:color w:val="auto"/>
                <w:highlight w:val="none"/>
              </w:rPr>
            </w:pPr>
            <w:r>
              <w:rPr>
                <w:color w:val="auto"/>
                <w:spacing w:val="4"/>
                <w:highlight w:val="none"/>
              </w:rPr>
              <w:t>中小型机械</w:t>
            </w:r>
          </w:p>
        </w:tc>
        <w:tc>
          <w:tcPr>
            <w:tcW w:w="6642" w:type="dxa"/>
            <w:tcBorders>
              <w:right w:val="single" w:color="000000" w:sz="10" w:space="0"/>
            </w:tcBorders>
            <w:vAlign w:val="top"/>
          </w:tcPr>
          <w:p w14:paraId="05C07771">
            <w:pPr>
              <w:pStyle w:val="15"/>
              <w:spacing w:before="207" w:line="228" w:lineRule="auto"/>
              <w:ind w:left="112"/>
              <w:rPr>
                <w:color w:val="auto"/>
                <w:highlight w:val="none"/>
              </w:rPr>
            </w:pPr>
            <w:r>
              <w:rPr>
                <w:color w:val="auto"/>
                <w:spacing w:val="8"/>
                <w:highlight w:val="none"/>
              </w:rPr>
              <w:t>设防护棚（同通道口防护并有防雨措施）。</w:t>
            </w:r>
          </w:p>
        </w:tc>
      </w:tr>
      <w:tr w14:paraId="07F99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0" w:hRule="atLeast"/>
        </w:trPr>
        <w:tc>
          <w:tcPr>
            <w:tcW w:w="750" w:type="dxa"/>
            <w:vMerge w:val="continue"/>
            <w:tcBorders>
              <w:top w:val="nil"/>
              <w:left w:val="single" w:color="000000" w:sz="10" w:space="0"/>
              <w:bottom w:val="nil"/>
            </w:tcBorders>
            <w:vAlign w:val="top"/>
          </w:tcPr>
          <w:p w14:paraId="4EB54D4F">
            <w:pPr>
              <w:rPr>
                <w:rFonts w:ascii="Arial"/>
                <w:color w:val="auto"/>
                <w:sz w:val="21"/>
                <w:highlight w:val="none"/>
              </w:rPr>
            </w:pPr>
          </w:p>
        </w:tc>
        <w:tc>
          <w:tcPr>
            <w:tcW w:w="523" w:type="dxa"/>
            <w:vMerge w:val="continue"/>
            <w:tcBorders>
              <w:top w:val="nil"/>
            </w:tcBorders>
            <w:textDirection w:val="tbRlV"/>
            <w:vAlign w:val="top"/>
          </w:tcPr>
          <w:p w14:paraId="084F3450">
            <w:pPr>
              <w:rPr>
                <w:rFonts w:ascii="Arial"/>
                <w:color w:val="auto"/>
                <w:sz w:val="21"/>
                <w:highlight w:val="none"/>
              </w:rPr>
            </w:pPr>
          </w:p>
        </w:tc>
        <w:tc>
          <w:tcPr>
            <w:tcW w:w="1541" w:type="dxa"/>
            <w:vAlign w:val="top"/>
          </w:tcPr>
          <w:p w14:paraId="3825B17E">
            <w:pPr>
              <w:spacing w:line="249" w:lineRule="auto"/>
              <w:rPr>
                <w:rFonts w:ascii="Arial"/>
                <w:color w:val="auto"/>
                <w:sz w:val="21"/>
                <w:highlight w:val="none"/>
              </w:rPr>
            </w:pPr>
          </w:p>
          <w:p w14:paraId="306068F5">
            <w:pPr>
              <w:spacing w:line="250" w:lineRule="auto"/>
              <w:rPr>
                <w:rFonts w:ascii="Arial"/>
                <w:color w:val="auto"/>
                <w:sz w:val="21"/>
                <w:highlight w:val="none"/>
              </w:rPr>
            </w:pPr>
          </w:p>
          <w:p w14:paraId="589EE37C">
            <w:pPr>
              <w:pStyle w:val="15"/>
              <w:spacing w:before="65" w:line="228" w:lineRule="auto"/>
              <w:ind w:left="140"/>
              <w:rPr>
                <w:color w:val="auto"/>
                <w:highlight w:val="none"/>
              </w:rPr>
            </w:pPr>
            <w:r>
              <w:rPr>
                <w:color w:val="auto"/>
                <w:spacing w:val="8"/>
                <w:highlight w:val="none"/>
              </w:rPr>
              <w:t>垂直运输设备</w:t>
            </w:r>
          </w:p>
        </w:tc>
        <w:tc>
          <w:tcPr>
            <w:tcW w:w="6642" w:type="dxa"/>
            <w:tcBorders>
              <w:right w:val="single" w:color="000000" w:sz="10" w:space="0"/>
            </w:tcBorders>
            <w:vAlign w:val="top"/>
          </w:tcPr>
          <w:p w14:paraId="10A00132">
            <w:pPr>
              <w:pStyle w:val="15"/>
              <w:spacing w:before="227" w:line="228" w:lineRule="auto"/>
              <w:ind w:left="124"/>
              <w:rPr>
                <w:color w:val="auto"/>
                <w:highlight w:val="none"/>
              </w:rPr>
            </w:pPr>
            <w:r>
              <w:rPr>
                <w:color w:val="auto"/>
                <w:spacing w:val="5"/>
                <w:highlight w:val="none"/>
              </w:rPr>
              <w:t>1. 垂直运输设备检测、检验、</w:t>
            </w:r>
            <w:r>
              <w:rPr>
                <w:color w:val="auto"/>
                <w:spacing w:val="-31"/>
                <w:highlight w:val="none"/>
              </w:rPr>
              <w:t xml:space="preserve"> </w:t>
            </w:r>
            <w:r>
              <w:rPr>
                <w:color w:val="auto"/>
                <w:spacing w:val="5"/>
                <w:highlight w:val="none"/>
              </w:rPr>
              <w:t>日常维护、保养等。</w:t>
            </w:r>
          </w:p>
          <w:p w14:paraId="007D46FA">
            <w:pPr>
              <w:pStyle w:val="15"/>
              <w:spacing w:before="94" w:line="270" w:lineRule="auto"/>
              <w:ind w:left="107" w:right="96" w:firstLine="3"/>
              <w:rPr>
                <w:color w:val="auto"/>
                <w:highlight w:val="none"/>
              </w:rPr>
            </w:pPr>
            <w:r>
              <w:rPr>
                <w:color w:val="auto"/>
                <w:spacing w:val="10"/>
                <w:highlight w:val="none"/>
              </w:rPr>
              <w:t>2. 物料提升机、施工电梯等物料平台搭设、外侧用密目式安全</w:t>
            </w:r>
            <w:r>
              <w:rPr>
                <w:color w:val="auto"/>
                <w:spacing w:val="9"/>
                <w:highlight w:val="none"/>
              </w:rPr>
              <w:t>立网全</w:t>
            </w:r>
            <w:r>
              <w:rPr>
                <w:color w:val="auto"/>
                <w:highlight w:val="none"/>
              </w:rPr>
              <w:t xml:space="preserve"> </w:t>
            </w:r>
            <w:r>
              <w:rPr>
                <w:color w:val="auto"/>
                <w:spacing w:val="9"/>
                <w:highlight w:val="none"/>
              </w:rPr>
              <w:t>封闭，有安全通道、安全防护门、防护棚等。</w:t>
            </w:r>
          </w:p>
        </w:tc>
      </w:tr>
      <w:tr w14:paraId="7F5CFE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2E82F48B">
            <w:pPr>
              <w:rPr>
                <w:rFonts w:ascii="Arial"/>
                <w:color w:val="auto"/>
                <w:sz w:val="21"/>
                <w:highlight w:val="none"/>
              </w:rPr>
            </w:pPr>
          </w:p>
        </w:tc>
        <w:tc>
          <w:tcPr>
            <w:tcW w:w="2064" w:type="dxa"/>
            <w:gridSpan w:val="2"/>
            <w:vAlign w:val="top"/>
          </w:tcPr>
          <w:p w14:paraId="06097AF2">
            <w:pPr>
              <w:pStyle w:val="15"/>
              <w:spacing w:before="131" w:line="226" w:lineRule="auto"/>
              <w:ind w:left="402"/>
              <w:rPr>
                <w:color w:val="auto"/>
                <w:highlight w:val="none"/>
              </w:rPr>
            </w:pPr>
            <w:r>
              <w:rPr>
                <w:color w:val="auto"/>
                <w:spacing w:val="8"/>
                <w:highlight w:val="none"/>
              </w:rPr>
              <w:t>专家论证审查</w:t>
            </w:r>
          </w:p>
        </w:tc>
        <w:tc>
          <w:tcPr>
            <w:tcW w:w="6642" w:type="dxa"/>
            <w:tcBorders>
              <w:right w:val="single" w:color="000000" w:sz="10" w:space="0"/>
            </w:tcBorders>
            <w:vAlign w:val="top"/>
          </w:tcPr>
          <w:p w14:paraId="645922AB">
            <w:pPr>
              <w:pStyle w:val="15"/>
              <w:spacing w:before="131" w:line="226" w:lineRule="auto"/>
              <w:ind w:left="107"/>
              <w:rPr>
                <w:color w:val="auto"/>
                <w:highlight w:val="none"/>
              </w:rPr>
            </w:pPr>
            <w:r>
              <w:rPr>
                <w:color w:val="auto"/>
                <w:spacing w:val="9"/>
                <w:highlight w:val="none"/>
              </w:rPr>
              <w:t>超过一定规模的危险性较大分部分项工程专家论证审查。</w:t>
            </w:r>
          </w:p>
        </w:tc>
      </w:tr>
      <w:tr w14:paraId="4B2EF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750" w:type="dxa"/>
            <w:vMerge w:val="continue"/>
            <w:tcBorders>
              <w:top w:val="nil"/>
              <w:left w:val="single" w:color="000000" w:sz="10" w:space="0"/>
              <w:bottom w:val="nil"/>
            </w:tcBorders>
            <w:vAlign w:val="top"/>
          </w:tcPr>
          <w:p w14:paraId="7704E173">
            <w:pPr>
              <w:rPr>
                <w:rFonts w:ascii="Arial"/>
                <w:color w:val="auto"/>
                <w:sz w:val="21"/>
                <w:highlight w:val="none"/>
              </w:rPr>
            </w:pPr>
          </w:p>
        </w:tc>
        <w:tc>
          <w:tcPr>
            <w:tcW w:w="2064" w:type="dxa"/>
            <w:gridSpan w:val="2"/>
            <w:vAlign w:val="top"/>
          </w:tcPr>
          <w:p w14:paraId="54E18890">
            <w:pPr>
              <w:pStyle w:val="15"/>
              <w:spacing w:before="133" w:line="228" w:lineRule="auto"/>
              <w:ind w:left="401"/>
              <w:rPr>
                <w:color w:val="auto"/>
                <w:highlight w:val="none"/>
              </w:rPr>
            </w:pPr>
            <w:r>
              <w:rPr>
                <w:color w:val="auto"/>
                <w:spacing w:val="8"/>
                <w:highlight w:val="none"/>
              </w:rPr>
              <w:t>应急救援预案</w:t>
            </w:r>
          </w:p>
        </w:tc>
        <w:tc>
          <w:tcPr>
            <w:tcW w:w="6642" w:type="dxa"/>
            <w:tcBorders>
              <w:right w:val="single" w:color="000000" w:sz="10" w:space="0"/>
            </w:tcBorders>
            <w:vAlign w:val="top"/>
          </w:tcPr>
          <w:p w14:paraId="71F0FBB6">
            <w:pPr>
              <w:pStyle w:val="15"/>
              <w:spacing w:before="133" w:line="225" w:lineRule="auto"/>
              <w:ind w:left="110"/>
              <w:rPr>
                <w:color w:val="auto"/>
                <w:highlight w:val="none"/>
              </w:rPr>
            </w:pPr>
            <w:r>
              <w:rPr>
                <w:color w:val="auto"/>
                <w:spacing w:val="7"/>
                <w:highlight w:val="none"/>
              </w:rPr>
              <w:t>救援器材准备及演练等。</w:t>
            </w:r>
          </w:p>
        </w:tc>
      </w:tr>
      <w:tr w14:paraId="5E70D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50" w:type="dxa"/>
            <w:vMerge w:val="continue"/>
            <w:tcBorders>
              <w:top w:val="nil"/>
              <w:left w:val="single" w:color="000000" w:sz="10" w:space="0"/>
              <w:bottom w:val="single" w:color="000000" w:sz="10" w:space="0"/>
            </w:tcBorders>
            <w:vAlign w:val="top"/>
          </w:tcPr>
          <w:p w14:paraId="7F87ACD4">
            <w:pPr>
              <w:rPr>
                <w:rFonts w:ascii="Arial"/>
                <w:color w:val="auto"/>
                <w:sz w:val="21"/>
                <w:highlight w:val="none"/>
              </w:rPr>
            </w:pPr>
          </w:p>
        </w:tc>
        <w:tc>
          <w:tcPr>
            <w:tcW w:w="2064" w:type="dxa"/>
            <w:gridSpan w:val="2"/>
            <w:tcBorders>
              <w:bottom w:val="single" w:color="000000" w:sz="10" w:space="0"/>
            </w:tcBorders>
            <w:vAlign w:val="top"/>
          </w:tcPr>
          <w:p w14:paraId="3BF30651">
            <w:pPr>
              <w:pStyle w:val="15"/>
              <w:spacing w:before="224" w:line="228" w:lineRule="auto"/>
              <w:ind w:left="299"/>
              <w:rPr>
                <w:color w:val="auto"/>
                <w:highlight w:val="none"/>
              </w:rPr>
            </w:pPr>
            <w:r>
              <w:rPr>
                <w:color w:val="auto"/>
                <w:spacing w:val="8"/>
                <w:highlight w:val="none"/>
              </w:rPr>
              <w:t>非正常情况施工</w:t>
            </w:r>
          </w:p>
        </w:tc>
        <w:tc>
          <w:tcPr>
            <w:tcW w:w="6642" w:type="dxa"/>
            <w:tcBorders>
              <w:bottom w:val="single" w:color="000000" w:sz="10" w:space="0"/>
              <w:right w:val="single" w:color="000000" w:sz="10" w:space="0"/>
            </w:tcBorders>
            <w:vAlign w:val="top"/>
          </w:tcPr>
          <w:p w14:paraId="3E7A780F">
            <w:pPr>
              <w:pStyle w:val="15"/>
              <w:spacing w:before="54" w:line="297" w:lineRule="auto"/>
              <w:ind w:left="110" w:right="96" w:hanging="1"/>
              <w:rPr>
                <w:color w:val="auto"/>
                <w:highlight w:val="none"/>
              </w:rPr>
            </w:pPr>
            <w:r>
              <w:rPr>
                <w:color w:val="auto"/>
                <w:spacing w:val="7"/>
                <w:highlight w:val="none"/>
              </w:rPr>
              <w:t>其它特殊情况下的防护费用，如：城市主干道、人流密集、河边等处施</w:t>
            </w:r>
            <w:r>
              <w:rPr>
                <w:color w:val="auto"/>
                <w:spacing w:val="2"/>
                <w:highlight w:val="none"/>
              </w:rPr>
              <w:t xml:space="preserve"> </w:t>
            </w:r>
            <w:r>
              <w:rPr>
                <w:color w:val="auto"/>
                <w:spacing w:val="8"/>
                <w:highlight w:val="none"/>
              </w:rPr>
              <w:t>工及文物、古建筑、古树保护等。</w:t>
            </w:r>
          </w:p>
        </w:tc>
      </w:tr>
    </w:tbl>
    <w:p w14:paraId="5C93FE5E">
      <w:pPr>
        <w:pStyle w:val="2"/>
        <w:rPr>
          <w:color w:val="auto"/>
          <w:highlight w:val="none"/>
        </w:rPr>
      </w:pPr>
    </w:p>
    <w:p w14:paraId="77A12E5D">
      <w:pPr>
        <w:rPr>
          <w:color w:val="auto"/>
          <w:highlight w:val="none"/>
        </w:rPr>
        <w:sectPr>
          <w:footerReference r:id="rId28" w:type="default"/>
          <w:pgSz w:w="11910" w:h="16840"/>
          <w:pgMar w:top="1371" w:right="1198" w:bottom="1019" w:left="1229" w:header="0" w:footer="857" w:gutter="0"/>
          <w:pgNumType w:fmt="decimal"/>
          <w:cols w:space="720" w:num="1"/>
        </w:sectPr>
      </w:pPr>
    </w:p>
    <w:p w14:paraId="4DB8B0FD">
      <w:pPr>
        <w:spacing w:before="63" w:line="225" w:lineRule="auto"/>
        <w:outlineLvl w:val="1"/>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二、商务文件格式</w:t>
      </w:r>
    </w:p>
    <w:p w14:paraId="506FDFD5">
      <w:pPr>
        <w:spacing w:before="260" w:line="225" w:lineRule="auto"/>
        <w:ind w:left="18"/>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1.商务文件封面格式</w:t>
      </w:r>
    </w:p>
    <w:p w14:paraId="0580CDEE">
      <w:pPr>
        <w:spacing w:before="242" w:line="227" w:lineRule="auto"/>
        <w:ind w:left="62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正本/副本</w:t>
      </w:r>
    </w:p>
    <w:p w14:paraId="6FB4F652">
      <w:pPr>
        <w:pStyle w:val="2"/>
        <w:spacing w:line="271" w:lineRule="auto"/>
        <w:rPr>
          <w:color w:val="auto"/>
          <w:highlight w:val="none"/>
        </w:rPr>
      </w:pPr>
    </w:p>
    <w:p w14:paraId="64BEE54B">
      <w:pPr>
        <w:pStyle w:val="2"/>
        <w:spacing w:line="271" w:lineRule="auto"/>
        <w:rPr>
          <w:color w:val="auto"/>
          <w:highlight w:val="none"/>
        </w:rPr>
      </w:pPr>
    </w:p>
    <w:p w14:paraId="07E5FBF5">
      <w:pPr>
        <w:pStyle w:val="2"/>
        <w:spacing w:line="271" w:lineRule="auto"/>
        <w:rPr>
          <w:color w:val="auto"/>
          <w:highlight w:val="none"/>
        </w:rPr>
      </w:pPr>
    </w:p>
    <w:p w14:paraId="77021C18">
      <w:pPr>
        <w:pStyle w:val="2"/>
        <w:spacing w:line="271" w:lineRule="auto"/>
        <w:rPr>
          <w:color w:val="auto"/>
          <w:highlight w:val="none"/>
        </w:rPr>
      </w:pPr>
    </w:p>
    <w:p w14:paraId="6E176C4B">
      <w:pPr>
        <w:pStyle w:val="2"/>
        <w:spacing w:line="271" w:lineRule="auto"/>
        <w:rPr>
          <w:color w:val="auto"/>
          <w:highlight w:val="none"/>
        </w:rPr>
      </w:pPr>
    </w:p>
    <w:p w14:paraId="2414B07A">
      <w:pPr>
        <w:pStyle w:val="2"/>
        <w:spacing w:line="272" w:lineRule="auto"/>
        <w:rPr>
          <w:color w:val="auto"/>
          <w:highlight w:val="none"/>
        </w:rPr>
      </w:pPr>
    </w:p>
    <w:p w14:paraId="590AEB3F">
      <w:pPr>
        <w:spacing w:before="140" w:line="223" w:lineRule="auto"/>
        <w:ind w:left="1899"/>
        <w:rPr>
          <w:rFonts w:ascii="宋体" w:hAnsi="宋体" w:eastAsia="宋体" w:cs="宋体"/>
          <w:color w:val="auto"/>
          <w:sz w:val="43"/>
          <w:szCs w:val="43"/>
          <w:highlight w:val="none"/>
        </w:rPr>
      </w:pPr>
      <w:r>
        <w:rPr>
          <w:rFonts w:ascii="宋体" w:hAnsi="宋体" w:eastAsia="宋体" w:cs="宋体"/>
          <w:color w:val="auto"/>
          <w:spacing w:val="-11"/>
          <w:sz w:val="43"/>
          <w:szCs w:val="43"/>
          <w:highlight w:val="none"/>
        </w:rPr>
        <w:t>商</w:t>
      </w:r>
      <w:r>
        <w:rPr>
          <w:rFonts w:ascii="宋体" w:hAnsi="宋体" w:eastAsia="宋体" w:cs="宋体"/>
          <w:color w:val="auto"/>
          <w:spacing w:val="16"/>
          <w:sz w:val="43"/>
          <w:szCs w:val="43"/>
          <w:highlight w:val="none"/>
        </w:rPr>
        <w:t xml:space="preserve">  </w:t>
      </w:r>
      <w:r>
        <w:rPr>
          <w:rFonts w:ascii="宋体" w:hAnsi="宋体" w:eastAsia="宋体" w:cs="宋体"/>
          <w:color w:val="auto"/>
          <w:spacing w:val="-11"/>
          <w:sz w:val="43"/>
          <w:szCs w:val="43"/>
          <w:highlight w:val="none"/>
        </w:rPr>
        <w:t>务</w:t>
      </w:r>
      <w:r>
        <w:rPr>
          <w:rFonts w:ascii="宋体" w:hAnsi="宋体" w:eastAsia="宋体" w:cs="宋体"/>
          <w:color w:val="auto"/>
          <w:spacing w:val="15"/>
          <w:sz w:val="43"/>
          <w:szCs w:val="43"/>
          <w:highlight w:val="none"/>
        </w:rPr>
        <w:t xml:space="preserve">  </w:t>
      </w:r>
      <w:r>
        <w:rPr>
          <w:rFonts w:ascii="宋体" w:hAnsi="宋体" w:eastAsia="宋体" w:cs="宋体"/>
          <w:color w:val="auto"/>
          <w:spacing w:val="-11"/>
          <w:sz w:val="43"/>
          <w:szCs w:val="43"/>
          <w:highlight w:val="none"/>
        </w:rPr>
        <w:t>文</w:t>
      </w:r>
      <w:r>
        <w:rPr>
          <w:rFonts w:ascii="宋体" w:hAnsi="宋体" w:eastAsia="宋体" w:cs="宋体"/>
          <w:color w:val="auto"/>
          <w:spacing w:val="13"/>
          <w:sz w:val="43"/>
          <w:szCs w:val="43"/>
          <w:highlight w:val="none"/>
        </w:rPr>
        <w:t xml:space="preserve">  </w:t>
      </w:r>
      <w:r>
        <w:rPr>
          <w:rFonts w:ascii="宋体" w:hAnsi="宋体" w:eastAsia="宋体" w:cs="宋体"/>
          <w:color w:val="auto"/>
          <w:spacing w:val="-11"/>
          <w:sz w:val="43"/>
          <w:szCs w:val="43"/>
          <w:highlight w:val="none"/>
        </w:rPr>
        <w:t>件</w:t>
      </w:r>
    </w:p>
    <w:p w14:paraId="3F9D7261">
      <w:pPr>
        <w:pStyle w:val="2"/>
        <w:spacing w:line="247" w:lineRule="auto"/>
        <w:rPr>
          <w:color w:val="auto"/>
          <w:highlight w:val="none"/>
        </w:rPr>
      </w:pPr>
    </w:p>
    <w:p w14:paraId="6A7231E5">
      <w:pPr>
        <w:pStyle w:val="2"/>
        <w:spacing w:line="247" w:lineRule="auto"/>
        <w:rPr>
          <w:color w:val="auto"/>
          <w:highlight w:val="none"/>
        </w:rPr>
      </w:pPr>
    </w:p>
    <w:p w14:paraId="2382EAEB">
      <w:pPr>
        <w:pStyle w:val="2"/>
        <w:spacing w:line="247" w:lineRule="auto"/>
        <w:rPr>
          <w:color w:val="auto"/>
          <w:highlight w:val="none"/>
        </w:rPr>
      </w:pPr>
    </w:p>
    <w:p w14:paraId="38AF0F2B">
      <w:pPr>
        <w:pStyle w:val="2"/>
        <w:spacing w:line="248" w:lineRule="auto"/>
        <w:rPr>
          <w:color w:val="auto"/>
          <w:highlight w:val="none"/>
        </w:rPr>
      </w:pPr>
    </w:p>
    <w:p w14:paraId="6139A902">
      <w:pPr>
        <w:pStyle w:val="2"/>
        <w:spacing w:line="248" w:lineRule="auto"/>
        <w:rPr>
          <w:color w:val="auto"/>
          <w:highlight w:val="none"/>
        </w:rPr>
      </w:pPr>
    </w:p>
    <w:p w14:paraId="19280D14">
      <w:pPr>
        <w:pStyle w:val="2"/>
        <w:spacing w:line="248" w:lineRule="auto"/>
        <w:rPr>
          <w:color w:val="auto"/>
          <w:highlight w:val="none"/>
        </w:rPr>
      </w:pPr>
    </w:p>
    <w:p w14:paraId="646923CF">
      <w:pPr>
        <w:pStyle w:val="2"/>
        <w:spacing w:line="248" w:lineRule="auto"/>
        <w:rPr>
          <w:color w:val="auto"/>
          <w:highlight w:val="none"/>
        </w:rPr>
      </w:pPr>
    </w:p>
    <w:p w14:paraId="04542993">
      <w:pPr>
        <w:pStyle w:val="2"/>
        <w:spacing w:line="248" w:lineRule="auto"/>
        <w:rPr>
          <w:color w:val="auto"/>
          <w:highlight w:val="none"/>
        </w:rPr>
      </w:pPr>
    </w:p>
    <w:p w14:paraId="10666297">
      <w:pPr>
        <w:pStyle w:val="2"/>
        <w:spacing w:line="248" w:lineRule="auto"/>
        <w:rPr>
          <w:color w:val="auto"/>
          <w:highlight w:val="none"/>
        </w:rPr>
      </w:pPr>
    </w:p>
    <w:p w14:paraId="25BF46DD">
      <w:pPr>
        <w:pStyle w:val="2"/>
        <w:spacing w:line="248" w:lineRule="auto"/>
        <w:rPr>
          <w:color w:val="auto"/>
          <w:highlight w:val="none"/>
        </w:rPr>
      </w:pPr>
    </w:p>
    <w:p w14:paraId="1F899E38">
      <w:pPr>
        <w:pStyle w:val="2"/>
        <w:spacing w:line="248" w:lineRule="auto"/>
        <w:rPr>
          <w:color w:val="auto"/>
          <w:highlight w:val="none"/>
        </w:rPr>
      </w:pPr>
    </w:p>
    <w:p w14:paraId="1F54941C">
      <w:pPr>
        <w:spacing w:before="101" w:line="225" w:lineRule="auto"/>
        <w:ind w:left="64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项目名称：</w:t>
      </w:r>
    </w:p>
    <w:p w14:paraId="419425FD">
      <w:pPr>
        <w:pStyle w:val="2"/>
        <w:spacing w:line="264" w:lineRule="auto"/>
        <w:rPr>
          <w:color w:val="auto"/>
          <w:highlight w:val="none"/>
        </w:rPr>
      </w:pPr>
    </w:p>
    <w:p w14:paraId="0D1D0DCC">
      <w:pPr>
        <w:pStyle w:val="2"/>
        <w:spacing w:line="264" w:lineRule="auto"/>
        <w:rPr>
          <w:color w:val="auto"/>
          <w:highlight w:val="none"/>
        </w:rPr>
      </w:pPr>
    </w:p>
    <w:p w14:paraId="75BE7882">
      <w:pPr>
        <w:pStyle w:val="2"/>
        <w:spacing w:line="264" w:lineRule="auto"/>
        <w:rPr>
          <w:color w:val="auto"/>
          <w:highlight w:val="none"/>
        </w:rPr>
      </w:pPr>
    </w:p>
    <w:p w14:paraId="135CF97A">
      <w:pPr>
        <w:spacing w:before="100" w:line="225" w:lineRule="auto"/>
        <w:ind w:left="64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41B8CAD7">
      <w:pPr>
        <w:pStyle w:val="2"/>
        <w:spacing w:line="264" w:lineRule="auto"/>
        <w:rPr>
          <w:color w:val="auto"/>
          <w:highlight w:val="none"/>
        </w:rPr>
      </w:pPr>
    </w:p>
    <w:p w14:paraId="0D87DF39">
      <w:pPr>
        <w:pStyle w:val="2"/>
        <w:spacing w:line="265" w:lineRule="auto"/>
        <w:rPr>
          <w:color w:val="auto"/>
          <w:highlight w:val="none"/>
        </w:rPr>
      </w:pPr>
    </w:p>
    <w:p w14:paraId="73CA9810">
      <w:pPr>
        <w:pStyle w:val="2"/>
        <w:spacing w:line="265" w:lineRule="auto"/>
        <w:rPr>
          <w:color w:val="auto"/>
          <w:highlight w:val="none"/>
        </w:rPr>
      </w:pPr>
    </w:p>
    <w:p w14:paraId="23772F8D">
      <w:pPr>
        <w:spacing w:before="102" w:line="225" w:lineRule="auto"/>
        <w:jc w:val="right"/>
        <w:rPr>
          <w:rFonts w:ascii="宋体" w:hAnsi="宋体" w:eastAsia="宋体" w:cs="宋体"/>
          <w:color w:val="auto"/>
          <w:sz w:val="31"/>
          <w:szCs w:val="31"/>
          <w:highlight w:val="none"/>
        </w:rPr>
      </w:pPr>
      <w:r>
        <w:rPr>
          <w:rFonts w:ascii="宋体" w:hAnsi="宋体" w:eastAsia="宋体" w:cs="宋体"/>
          <w:color w:val="auto"/>
          <w:spacing w:val="2"/>
          <w:sz w:val="31"/>
          <w:szCs w:val="31"/>
          <w:highlight w:val="none"/>
        </w:rPr>
        <w:t>所竞分标（如有则填写，无分标时填写“无</w:t>
      </w:r>
      <w:r>
        <w:rPr>
          <w:rFonts w:ascii="宋体" w:hAnsi="宋体" w:eastAsia="宋体" w:cs="宋体"/>
          <w:color w:val="auto"/>
          <w:spacing w:val="-109"/>
          <w:sz w:val="31"/>
          <w:szCs w:val="31"/>
          <w:highlight w:val="none"/>
        </w:rPr>
        <w:t xml:space="preserve"> </w:t>
      </w:r>
      <w:r>
        <w:rPr>
          <w:rFonts w:ascii="宋体" w:hAnsi="宋体" w:eastAsia="宋体" w:cs="宋体"/>
          <w:color w:val="auto"/>
          <w:spacing w:val="2"/>
          <w:sz w:val="31"/>
          <w:szCs w:val="31"/>
          <w:highlight w:val="none"/>
        </w:rPr>
        <w:t>”或者</w:t>
      </w:r>
      <w:r>
        <w:rPr>
          <w:rFonts w:ascii="宋体" w:hAnsi="宋体" w:eastAsia="宋体" w:cs="宋体"/>
          <w:color w:val="auto"/>
          <w:spacing w:val="1"/>
          <w:sz w:val="31"/>
          <w:szCs w:val="31"/>
          <w:highlight w:val="none"/>
        </w:rPr>
        <w:t>留空</w:t>
      </w:r>
      <w:r>
        <w:rPr>
          <w:rFonts w:ascii="宋体" w:hAnsi="宋体" w:eastAsia="宋体" w:cs="宋体"/>
          <w:color w:val="auto"/>
          <w:spacing w:val="-53"/>
          <w:sz w:val="31"/>
          <w:szCs w:val="31"/>
          <w:highlight w:val="none"/>
        </w:rPr>
        <w:t>）：</w:t>
      </w:r>
    </w:p>
    <w:p w14:paraId="644DA179">
      <w:pPr>
        <w:pStyle w:val="2"/>
        <w:spacing w:line="241" w:lineRule="auto"/>
        <w:rPr>
          <w:color w:val="auto"/>
          <w:highlight w:val="none"/>
        </w:rPr>
      </w:pPr>
    </w:p>
    <w:p w14:paraId="59BA847A">
      <w:pPr>
        <w:pStyle w:val="2"/>
        <w:spacing w:line="242" w:lineRule="auto"/>
        <w:rPr>
          <w:color w:val="auto"/>
          <w:highlight w:val="none"/>
        </w:rPr>
      </w:pPr>
    </w:p>
    <w:p w14:paraId="051DB9FC">
      <w:pPr>
        <w:pStyle w:val="2"/>
        <w:spacing w:line="242" w:lineRule="auto"/>
        <w:rPr>
          <w:color w:val="auto"/>
          <w:highlight w:val="none"/>
        </w:rPr>
      </w:pPr>
    </w:p>
    <w:p w14:paraId="1487F816">
      <w:pPr>
        <w:spacing w:before="101" w:line="224" w:lineRule="auto"/>
        <w:ind w:left="635"/>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供应商名称：</w:t>
      </w:r>
    </w:p>
    <w:p w14:paraId="6DF42D66">
      <w:pPr>
        <w:pStyle w:val="2"/>
        <w:spacing w:line="265" w:lineRule="auto"/>
        <w:rPr>
          <w:color w:val="auto"/>
          <w:highlight w:val="none"/>
        </w:rPr>
      </w:pPr>
    </w:p>
    <w:p w14:paraId="2E3A0349">
      <w:pPr>
        <w:pStyle w:val="2"/>
        <w:spacing w:line="265" w:lineRule="auto"/>
        <w:rPr>
          <w:color w:val="auto"/>
          <w:highlight w:val="none"/>
        </w:rPr>
      </w:pPr>
    </w:p>
    <w:p w14:paraId="52865F77">
      <w:pPr>
        <w:pStyle w:val="2"/>
        <w:spacing w:line="265" w:lineRule="auto"/>
        <w:rPr>
          <w:color w:val="auto"/>
          <w:highlight w:val="none"/>
        </w:rPr>
      </w:pPr>
    </w:p>
    <w:p w14:paraId="4130DFC0">
      <w:pPr>
        <w:pStyle w:val="2"/>
        <w:spacing w:line="265" w:lineRule="auto"/>
        <w:rPr>
          <w:color w:val="auto"/>
          <w:highlight w:val="none"/>
        </w:rPr>
      </w:pPr>
    </w:p>
    <w:p w14:paraId="12988383">
      <w:pPr>
        <w:pStyle w:val="2"/>
        <w:spacing w:line="265" w:lineRule="auto"/>
        <w:rPr>
          <w:color w:val="auto"/>
          <w:highlight w:val="none"/>
        </w:rPr>
      </w:pPr>
    </w:p>
    <w:p w14:paraId="61F1FC4E">
      <w:pPr>
        <w:pStyle w:val="2"/>
        <w:spacing w:line="265" w:lineRule="auto"/>
        <w:rPr>
          <w:color w:val="auto"/>
          <w:highlight w:val="none"/>
        </w:rPr>
      </w:pPr>
    </w:p>
    <w:p w14:paraId="37D39D40">
      <w:pPr>
        <w:pStyle w:val="2"/>
        <w:spacing w:line="266" w:lineRule="auto"/>
        <w:rPr>
          <w:color w:val="auto"/>
          <w:highlight w:val="none"/>
        </w:rPr>
      </w:pPr>
    </w:p>
    <w:p w14:paraId="2ED6AF87">
      <w:pPr>
        <w:spacing w:before="101" w:line="225" w:lineRule="auto"/>
        <w:ind w:left="3185"/>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0"/>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59715192">
      <w:pPr>
        <w:spacing w:line="225" w:lineRule="auto"/>
        <w:rPr>
          <w:rFonts w:ascii="宋体" w:hAnsi="宋体" w:eastAsia="宋体" w:cs="宋体"/>
          <w:color w:val="auto"/>
          <w:sz w:val="31"/>
          <w:szCs w:val="31"/>
          <w:highlight w:val="none"/>
        </w:rPr>
        <w:sectPr>
          <w:footerReference r:id="rId29" w:type="default"/>
          <w:pgSz w:w="11910" w:h="16840"/>
          <w:pgMar w:top="1357" w:right="1548" w:bottom="1019" w:left="1678" w:header="0" w:footer="857" w:gutter="0"/>
          <w:pgNumType w:fmt="decimal"/>
          <w:cols w:space="720" w:num="1"/>
        </w:sectPr>
      </w:pPr>
    </w:p>
    <w:p w14:paraId="2506FA5D">
      <w:pPr>
        <w:spacing w:before="63" w:line="225" w:lineRule="auto"/>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2.商务文件目录</w:t>
      </w:r>
    </w:p>
    <w:p w14:paraId="01856866">
      <w:pPr>
        <w:spacing w:before="192" w:line="294" w:lineRule="auto"/>
        <w:ind w:firstLine="636"/>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根据磋商文件规定及供应商提供的材料自行编写目录（部</w:t>
      </w:r>
      <w:r>
        <w:rPr>
          <w:rFonts w:ascii="宋体" w:hAnsi="宋体" w:eastAsia="宋体" w:cs="宋体"/>
          <w:color w:val="auto"/>
          <w:spacing w:val="4"/>
          <w:sz w:val="31"/>
          <w:szCs w:val="31"/>
          <w:highlight w:val="none"/>
        </w:rPr>
        <w:t>分格式后附）。</w:t>
      </w:r>
    </w:p>
    <w:p w14:paraId="2B5DB838">
      <w:pPr>
        <w:spacing w:line="294" w:lineRule="auto"/>
        <w:rPr>
          <w:rFonts w:ascii="宋体" w:hAnsi="宋体" w:eastAsia="宋体" w:cs="宋体"/>
          <w:color w:val="auto"/>
          <w:sz w:val="31"/>
          <w:szCs w:val="31"/>
          <w:highlight w:val="none"/>
        </w:rPr>
        <w:sectPr>
          <w:footerReference r:id="rId30" w:type="default"/>
          <w:pgSz w:w="11910" w:h="16840"/>
          <w:pgMar w:top="1427" w:right="1630" w:bottom="1019" w:left="1677" w:header="0" w:footer="857" w:gutter="0"/>
          <w:pgNumType w:fmt="decimal"/>
          <w:cols w:space="720" w:num="1"/>
        </w:sectPr>
      </w:pPr>
    </w:p>
    <w:p w14:paraId="2F0CC88D">
      <w:pPr>
        <w:spacing w:before="63" w:line="225" w:lineRule="auto"/>
        <w:ind w:left="2550"/>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无串通竞标行为的承诺函</w:t>
      </w:r>
    </w:p>
    <w:p w14:paraId="69034ACE">
      <w:pPr>
        <w:pStyle w:val="2"/>
        <w:spacing w:line="395" w:lineRule="auto"/>
        <w:rPr>
          <w:color w:val="auto"/>
          <w:highlight w:val="none"/>
        </w:rPr>
      </w:pPr>
    </w:p>
    <w:p w14:paraId="5086F00C">
      <w:pPr>
        <w:spacing w:before="65" w:line="228" w:lineRule="auto"/>
        <w:ind w:left="422"/>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一、我方承诺无下列相互串通竞标的情形：</w:t>
      </w:r>
    </w:p>
    <w:p w14:paraId="18741014">
      <w:pPr>
        <w:spacing w:before="93" w:line="300" w:lineRule="auto"/>
        <w:ind w:left="421" w:right="3475" w:firstLine="1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1.不同供应商的响应文件由同一单位或者个人编制；</w:t>
      </w:r>
      <w:r>
        <w:rPr>
          <w:rFonts w:ascii="宋体" w:hAnsi="宋体" w:eastAsia="宋体" w:cs="宋体"/>
          <w:color w:val="auto"/>
          <w:spacing w:val="7"/>
          <w:sz w:val="20"/>
          <w:szCs w:val="20"/>
          <w:highlight w:val="none"/>
        </w:rPr>
        <w:t>2.不同供应商委托同一单位或者个人办理</w:t>
      </w:r>
      <w:r>
        <w:rPr>
          <w:rFonts w:ascii="宋体" w:hAnsi="宋体" w:eastAsia="宋体" w:cs="宋体"/>
          <w:color w:val="auto"/>
          <w:spacing w:val="6"/>
          <w:sz w:val="20"/>
          <w:szCs w:val="20"/>
          <w:highlight w:val="none"/>
        </w:rPr>
        <w:t>竞标事宜；</w:t>
      </w:r>
    </w:p>
    <w:p w14:paraId="322CBF07">
      <w:pPr>
        <w:spacing w:before="30" w:line="227" w:lineRule="auto"/>
        <w:ind w:left="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3.不同供应商的响应文件载明的项目管理员为同一个人；</w:t>
      </w:r>
    </w:p>
    <w:p w14:paraId="24D523B9">
      <w:pPr>
        <w:spacing w:before="94" w:line="300" w:lineRule="auto"/>
        <w:ind w:left="423" w:right="2726" w:hanging="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4.不同供应商的响应文件异常一致或者竞标报价呈规律性差异；</w:t>
      </w:r>
      <w:r>
        <w:rPr>
          <w:rFonts w:ascii="宋体" w:hAnsi="宋体" w:eastAsia="宋体" w:cs="宋体"/>
          <w:color w:val="auto"/>
          <w:spacing w:val="8"/>
          <w:sz w:val="20"/>
          <w:szCs w:val="20"/>
          <w:highlight w:val="none"/>
        </w:rPr>
        <w:t>5.不同供应商的响应文件相互混装；</w:t>
      </w:r>
    </w:p>
    <w:p w14:paraId="2265D672">
      <w:pPr>
        <w:spacing w:before="32" w:line="227" w:lineRule="auto"/>
        <w:ind w:left="4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6.不同供应商的磋商保证金从同一单位或者个人</w:t>
      </w:r>
      <w:r>
        <w:rPr>
          <w:rFonts w:ascii="宋体" w:hAnsi="宋体" w:eastAsia="宋体" w:cs="宋体"/>
          <w:color w:val="auto"/>
          <w:spacing w:val="8"/>
          <w:sz w:val="20"/>
          <w:szCs w:val="20"/>
          <w:highlight w:val="none"/>
        </w:rPr>
        <w:t>账户转出。</w:t>
      </w:r>
    </w:p>
    <w:p w14:paraId="6607BEE5">
      <w:pPr>
        <w:spacing w:before="94" w:line="228" w:lineRule="auto"/>
        <w:ind w:left="422"/>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二、我方承诺无下列恶意串通的情形：</w:t>
      </w:r>
    </w:p>
    <w:p w14:paraId="72BC9E17">
      <w:pPr>
        <w:spacing w:before="94" w:line="300" w:lineRule="auto"/>
        <w:ind w:left="9" w:right="50" w:firstLine="424"/>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1.供应商直接或者间接从采购人或者采购代理机构处获得其他供应商的相关信息并修改其</w:t>
      </w:r>
      <w:r>
        <w:rPr>
          <w:rFonts w:ascii="宋体" w:hAnsi="宋体" w:eastAsia="宋体" w:cs="宋体"/>
          <w:color w:val="auto"/>
          <w:spacing w:val="3"/>
          <w:sz w:val="20"/>
          <w:szCs w:val="20"/>
          <w:highlight w:val="none"/>
        </w:rPr>
        <w:t>响应文件；</w:t>
      </w:r>
    </w:p>
    <w:p w14:paraId="14B201D5">
      <w:pPr>
        <w:spacing w:before="30" w:line="299" w:lineRule="auto"/>
        <w:ind w:left="422" w:right="2004" w:hanging="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2.供应商按照采购人或者采购代理机构的授意撤换、修改响应文件；</w:t>
      </w:r>
      <w:r>
        <w:rPr>
          <w:rFonts w:ascii="宋体" w:hAnsi="宋体" w:eastAsia="宋体" w:cs="宋体"/>
          <w:color w:val="auto"/>
          <w:spacing w:val="-1"/>
          <w:sz w:val="20"/>
          <w:szCs w:val="20"/>
          <w:highlight w:val="none"/>
        </w:rPr>
        <w:t>3.供应商之间协商报价、技术方案等响应文件的实质</w:t>
      </w:r>
      <w:r>
        <w:rPr>
          <w:rFonts w:ascii="宋体" w:hAnsi="宋体" w:eastAsia="宋体" w:cs="宋体"/>
          <w:color w:val="auto"/>
          <w:spacing w:val="-2"/>
          <w:sz w:val="20"/>
          <w:szCs w:val="20"/>
          <w:highlight w:val="none"/>
        </w:rPr>
        <w:t>性内容；</w:t>
      </w:r>
    </w:p>
    <w:p w14:paraId="3C6A096E">
      <w:pPr>
        <w:spacing w:before="33" w:line="299" w:lineRule="auto"/>
        <w:ind w:left="423" w:hanging="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4.属于同一集团、协会、商会等组织成员的供应商按照该组织要求协同参加政府采</w:t>
      </w:r>
      <w:r>
        <w:rPr>
          <w:rFonts w:ascii="宋体" w:hAnsi="宋体" w:eastAsia="宋体" w:cs="宋体"/>
          <w:color w:val="auto"/>
          <w:spacing w:val="5"/>
          <w:sz w:val="20"/>
          <w:szCs w:val="20"/>
          <w:highlight w:val="none"/>
        </w:rPr>
        <w:t>购活动；</w:t>
      </w:r>
      <w:r>
        <w:rPr>
          <w:rFonts w:ascii="宋体" w:hAnsi="宋体" w:eastAsia="宋体" w:cs="宋体"/>
          <w:color w:val="auto"/>
          <w:spacing w:val="10"/>
          <w:sz w:val="20"/>
          <w:szCs w:val="20"/>
          <w:highlight w:val="none"/>
        </w:rPr>
        <w:t>5.供应商之间事先约定一致抬高或者压低竞标报价，或者在</w:t>
      </w:r>
      <w:r>
        <w:rPr>
          <w:rFonts w:ascii="宋体" w:hAnsi="宋体" w:eastAsia="宋体" w:cs="宋体"/>
          <w:color w:val="auto"/>
          <w:spacing w:val="9"/>
          <w:sz w:val="20"/>
          <w:szCs w:val="20"/>
          <w:highlight w:val="none"/>
        </w:rPr>
        <w:t>竞争性磋商项目中事先约定轮</w:t>
      </w:r>
    </w:p>
    <w:p w14:paraId="6C92F7C8">
      <w:pPr>
        <w:spacing w:before="33" w:line="300" w:lineRule="auto"/>
        <w:ind w:left="420" w:right="746" w:hanging="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流以高价位或者低价位成交，或者事先约定由某一特定供应商成交，然后再参加竞标；</w:t>
      </w:r>
      <w:r>
        <w:rPr>
          <w:rFonts w:ascii="宋体" w:hAnsi="宋体" w:eastAsia="宋体" w:cs="宋体"/>
          <w:color w:val="auto"/>
          <w:spacing w:val="9"/>
          <w:sz w:val="20"/>
          <w:szCs w:val="20"/>
          <w:highlight w:val="none"/>
        </w:rPr>
        <w:t>6.供应商之间商定部分供应商放弃参加政府采购活动或者放弃成</w:t>
      </w:r>
      <w:r>
        <w:rPr>
          <w:rFonts w:ascii="宋体" w:hAnsi="宋体" w:eastAsia="宋体" w:cs="宋体"/>
          <w:color w:val="auto"/>
          <w:spacing w:val="8"/>
          <w:sz w:val="20"/>
          <w:szCs w:val="20"/>
          <w:highlight w:val="none"/>
        </w:rPr>
        <w:t>交；</w:t>
      </w:r>
    </w:p>
    <w:p w14:paraId="23E800E2">
      <w:pPr>
        <w:spacing w:before="33" w:line="297" w:lineRule="auto"/>
        <w:ind w:right="40" w:firstLine="42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7.供应商与采购人或者采购代理机构之间、供应商相互之间，为谋求特</w:t>
      </w:r>
      <w:r>
        <w:rPr>
          <w:rFonts w:ascii="宋体" w:hAnsi="宋体" w:eastAsia="宋体" w:cs="宋体"/>
          <w:color w:val="auto"/>
          <w:spacing w:val="4"/>
          <w:sz w:val="20"/>
          <w:szCs w:val="20"/>
          <w:highlight w:val="none"/>
        </w:rPr>
        <w:t>定供应商成交或者排</w:t>
      </w:r>
      <w:r>
        <w:rPr>
          <w:rFonts w:ascii="宋体" w:hAnsi="宋体" w:eastAsia="宋体" w:cs="宋体"/>
          <w:color w:val="auto"/>
          <w:spacing w:val="-2"/>
          <w:sz w:val="20"/>
          <w:szCs w:val="20"/>
          <w:highlight w:val="none"/>
        </w:rPr>
        <w:t>斥其他供应商的其他串通行为。</w:t>
      </w:r>
    </w:p>
    <w:p w14:paraId="6E9860CC">
      <w:pPr>
        <w:pStyle w:val="2"/>
        <w:spacing w:line="308" w:lineRule="auto"/>
        <w:rPr>
          <w:color w:val="auto"/>
          <w:highlight w:val="none"/>
        </w:rPr>
      </w:pPr>
    </w:p>
    <w:p w14:paraId="1116F1C7">
      <w:pPr>
        <w:spacing w:before="66" w:line="300" w:lineRule="auto"/>
        <w:ind w:left="6" w:right="54" w:firstLine="436"/>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以上情形一经核查属实，我方愿意承担一切后果，并不再寻求任何旨在减轻或者免除法律</w:t>
      </w:r>
      <w:r>
        <w:rPr>
          <w:rFonts w:ascii="宋体" w:hAnsi="宋体" w:eastAsia="宋体" w:cs="宋体"/>
          <w:b/>
          <w:bCs/>
          <w:color w:val="auto"/>
          <w:spacing w:val="3"/>
          <w:sz w:val="20"/>
          <w:szCs w:val="20"/>
          <w:highlight w:val="none"/>
        </w:rPr>
        <w:t>责任的辩解。</w:t>
      </w:r>
    </w:p>
    <w:p w14:paraId="5D74C099">
      <w:pPr>
        <w:pStyle w:val="2"/>
        <w:spacing w:line="303" w:lineRule="auto"/>
        <w:rPr>
          <w:color w:val="auto"/>
          <w:highlight w:val="none"/>
        </w:rPr>
      </w:pPr>
    </w:p>
    <w:p w14:paraId="30358DB1">
      <w:pPr>
        <w:spacing w:before="65" w:line="227" w:lineRule="auto"/>
        <w:ind w:left="315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供应商（盖公章</w:t>
      </w:r>
      <w:r>
        <w:rPr>
          <w:rFonts w:ascii="宋体" w:hAnsi="宋体" w:eastAsia="宋体" w:cs="宋体"/>
          <w:color w:val="auto"/>
          <w:spacing w:val="1"/>
          <w:sz w:val="20"/>
          <w:szCs w:val="20"/>
          <w:highlight w:val="none"/>
        </w:rPr>
        <w:t>）：</w:t>
      </w:r>
    </w:p>
    <w:p w14:paraId="1452145F">
      <w:pPr>
        <w:spacing w:before="97" w:line="228" w:lineRule="auto"/>
        <w:ind w:left="5306"/>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年</w:t>
      </w:r>
      <w:r>
        <w:rPr>
          <w:rFonts w:ascii="宋体" w:hAnsi="宋体" w:eastAsia="宋体" w:cs="宋体"/>
          <w:color w:val="auto"/>
          <w:spacing w:val="10"/>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20"/>
          <w:sz w:val="20"/>
          <w:szCs w:val="20"/>
          <w:highlight w:val="none"/>
        </w:rPr>
        <w:t xml:space="preserve">   </w:t>
      </w:r>
      <w:r>
        <w:rPr>
          <w:rFonts w:ascii="宋体" w:hAnsi="宋体" w:eastAsia="宋体" w:cs="宋体"/>
          <w:color w:val="auto"/>
          <w:spacing w:val="-2"/>
          <w:sz w:val="20"/>
          <w:szCs w:val="20"/>
          <w:highlight w:val="none"/>
        </w:rPr>
        <w:t>日</w:t>
      </w:r>
    </w:p>
    <w:p w14:paraId="3FC9EA1F">
      <w:pPr>
        <w:spacing w:line="228" w:lineRule="auto"/>
        <w:rPr>
          <w:rFonts w:ascii="宋体" w:hAnsi="宋体" w:eastAsia="宋体" w:cs="宋体"/>
          <w:color w:val="auto"/>
          <w:sz w:val="20"/>
          <w:szCs w:val="20"/>
          <w:highlight w:val="none"/>
        </w:rPr>
        <w:sectPr>
          <w:footerReference r:id="rId31" w:type="default"/>
          <w:pgSz w:w="11910" w:h="16840"/>
          <w:pgMar w:top="1357" w:right="1578" w:bottom="1019" w:left="1669" w:header="0" w:footer="857" w:gutter="0"/>
          <w:pgNumType w:fmt="decimal"/>
          <w:cols w:space="720" w:num="1"/>
        </w:sectPr>
      </w:pPr>
    </w:p>
    <w:p w14:paraId="7B1A2712">
      <w:pPr>
        <w:spacing w:before="63" w:line="224" w:lineRule="auto"/>
        <w:ind w:left="2979"/>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法定代表人身份证明书</w:t>
      </w:r>
    </w:p>
    <w:p w14:paraId="30F2E063">
      <w:pPr>
        <w:pStyle w:val="2"/>
        <w:spacing w:line="257" w:lineRule="auto"/>
        <w:rPr>
          <w:color w:val="auto"/>
          <w:highlight w:val="none"/>
        </w:rPr>
      </w:pPr>
    </w:p>
    <w:p w14:paraId="0D9B8F12">
      <w:pPr>
        <w:pStyle w:val="2"/>
        <w:spacing w:line="258" w:lineRule="auto"/>
        <w:rPr>
          <w:color w:val="auto"/>
          <w:highlight w:val="none"/>
        </w:rPr>
      </w:pPr>
    </w:p>
    <w:p w14:paraId="6AD0BA1A">
      <w:pPr>
        <w:spacing w:before="65" w:line="305" w:lineRule="auto"/>
        <w:ind w:left="540" w:right="92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供应商名称：</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地</w:t>
      </w:r>
      <w:r>
        <w:rPr>
          <w:rFonts w:ascii="宋体" w:hAnsi="宋体" w:eastAsia="宋体" w:cs="宋体"/>
          <w:color w:val="auto"/>
          <w:spacing w:val="7"/>
          <w:sz w:val="20"/>
          <w:szCs w:val="20"/>
          <w:highlight w:val="none"/>
        </w:rPr>
        <w:t xml:space="preserve">    </w:t>
      </w:r>
      <w:r>
        <w:rPr>
          <w:rFonts w:ascii="宋体" w:hAnsi="宋体" w:eastAsia="宋体" w:cs="宋体"/>
          <w:color w:val="auto"/>
          <w:spacing w:val="-5"/>
          <w:sz w:val="20"/>
          <w:szCs w:val="20"/>
          <w:highlight w:val="none"/>
        </w:rPr>
        <w:t>址</w:t>
      </w:r>
      <w:r>
        <w:rPr>
          <w:rFonts w:ascii="宋体" w:hAnsi="宋体" w:eastAsia="宋体" w:cs="宋体"/>
          <w:color w:val="auto"/>
          <w:spacing w:val="-71"/>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color="auto"/>
        </w:rPr>
        <w:t xml:space="preserve">                                                           </w:t>
      </w:r>
    </w:p>
    <w:p w14:paraId="32CE86C3">
      <w:pPr>
        <w:spacing w:before="21" w:line="228" w:lineRule="auto"/>
        <w:ind w:left="54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姓</w:t>
      </w:r>
      <w:r>
        <w:rPr>
          <w:rFonts w:ascii="宋体" w:hAnsi="宋体" w:eastAsia="宋体" w:cs="宋体"/>
          <w:color w:val="auto"/>
          <w:spacing w:val="8"/>
          <w:sz w:val="20"/>
          <w:szCs w:val="20"/>
          <w:highlight w:val="none"/>
        </w:rPr>
        <w:t xml:space="preserve">    </w:t>
      </w:r>
      <w:r>
        <w:rPr>
          <w:rFonts w:ascii="宋体" w:hAnsi="宋体" w:eastAsia="宋体" w:cs="宋体"/>
          <w:color w:val="auto"/>
          <w:spacing w:val="-6"/>
          <w:sz w:val="20"/>
          <w:szCs w:val="20"/>
          <w:highlight w:val="none"/>
        </w:rPr>
        <w:t>名</w:t>
      </w:r>
      <w:r>
        <w:rPr>
          <w:rFonts w:ascii="宋体" w:hAnsi="宋体" w:eastAsia="宋体" w:cs="宋体"/>
          <w:color w:val="auto"/>
          <w:spacing w:val="-73"/>
          <w:sz w:val="20"/>
          <w:szCs w:val="20"/>
          <w:highlight w:val="none"/>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6"/>
          <w:sz w:val="20"/>
          <w:szCs w:val="20"/>
          <w:highlight w:val="none"/>
        </w:rPr>
        <w:t>性</w:t>
      </w:r>
      <w:r>
        <w:rPr>
          <w:rFonts w:ascii="宋体" w:hAnsi="宋体" w:eastAsia="宋体" w:cs="宋体"/>
          <w:color w:val="auto"/>
          <w:spacing w:val="7"/>
          <w:sz w:val="20"/>
          <w:szCs w:val="20"/>
          <w:highlight w:val="none"/>
        </w:rPr>
        <w:t xml:space="preserve">     </w:t>
      </w:r>
      <w:r>
        <w:rPr>
          <w:rFonts w:ascii="宋体" w:hAnsi="宋体" w:eastAsia="宋体" w:cs="宋体"/>
          <w:color w:val="auto"/>
          <w:spacing w:val="-6"/>
          <w:sz w:val="20"/>
          <w:szCs w:val="20"/>
          <w:highlight w:val="none"/>
        </w:rPr>
        <w:t>别</w:t>
      </w:r>
      <w:r>
        <w:rPr>
          <w:rFonts w:ascii="宋体" w:hAnsi="宋体" w:eastAsia="宋体" w:cs="宋体"/>
          <w:color w:val="auto"/>
          <w:spacing w:val="-73"/>
          <w:sz w:val="20"/>
          <w:szCs w:val="20"/>
          <w:highlight w:val="none"/>
        </w:rPr>
        <w:t xml:space="preserve"> </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u w:val="single" w:color="auto"/>
        </w:rPr>
        <w:t xml:space="preserve">                 </w:t>
      </w:r>
    </w:p>
    <w:p w14:paraId="1433C841">
      <w:pPr>
        <w:spacing w:before="91" w:line="228" w:lineRule="auto"/>
        <w:ind w:left="54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年</w:t>
      </w:r>
      <w:r>
        <w:rPr>
          <w:rFonts w:ascii="宋体" w:hAnsi="宋体" w:eastAsia="宋体" w:cs="宋体"/>
          <w:color w:val="auto"/>
          <w:spacing w:val="12"/>
          <w:sz w:val="20"/>
          <w:szCs w:val="20"/>
          <w:highlight w:val="none"/>
        </w:rPr>
        <w:t xml:space="preserve">    </w:t>
      </w:r>
      <w:r>
        <w:rPr>
          <w:rFonts w:ascii="宋体" w:hAnsi="宋体" w:eastAsia="宋体" w:cs="宋体"/>
          <w:color w:val="auto"/>
          <w:spacing w:val="-3"/>
          <w:sz w:val="20"/>
          <w:szCs w:val="20"/>
          <w:highlight w:val="none"/>
        </w:rPr>
        <w:t>龄</w:t>
      </w:r>
      <w:r>
        <w:rPr>
          <w:rFonts w:ascii="宋体" w:hAnsi="宋体" w:eastAsia="宋体" w:cs="宋体"/>
          <w:color w:val="auto"/>
          <w:spacing w:val="-74"/>
          <w:sz w:val="20"/>
          <w:szCs w:val="2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3"/>
          <w:sz w:val="20"/>
          <w:szCs w:val="20"/>
          <w:highlight w:val="none"/>
        </w:rPr>
        <w:t>职</w:t>
      </w:r>
      <w:r>
        <w:rPr>
          <w:rFonts w:ascii="宋体" w:hAnsi="宋体" w:eastAsia="宋体" w:cs="宋体"/>
          <w:color w:val="auto"/>
          <w:spacing w:val="7"/>
          <w:sz w:val="20"/>
          <w:szCs w:val="20"/>
          <w:highlight w:val="none"/>
        </w:rPr>
        <w:t xml:space="preserve">     </w:t>
      </w:r>
      <w:r>
        <w:rPr>
          <w:rFonts w:ascii="宋体" w:hAnsi="宋体" w:eastAsia="宋体" w:cs="宋体"/>
          <w:color w:val="auto"/>
          <w:spacing w:val="-3"/>
          <w:sz w:val="20"/>
          <w:szCs w:val="20"/>
          <w:highlight w:val="none"/>
        </w:rPr>
        <w:t>务</w:t>
      </w:r>
      <w:r>
        <w:rPr>
          <w:rFonts w:ascii="宋体" w:hAnsi="宋体" w:eastAsia="宋体" w:cs="宋体"/>
          <w:color w:val="auto"/>
          <w:spacing w:val="-74"/>
          <w:sz w:val="20"/>
          <w:szCs w:val="2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u w:val="single" w:color="auto"/>
        </w:rPr>
        <w:t xml:space="preserve">                 </w:t>
      </w:r>
    </w:p>
    <w:p w14:paraId="5E0707E8">
      <w:pPr>
        <w:spacing w:before="93" w:line="300" w:lineRule="auto"/>
        <w:ind w:left="424" w:right="2609" w:firstLine="1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身份证号码：</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2"/>
          <w:sz w:val="20"/>
          <w:szCs w:val="20"/>
          <w:highlight w:val="none"/>
        </w:rPr>
        <w:t xml:space="preserve"> </w:t>
      </w:r>
      <w:r>
        <w:rPr>
          <w:rFonts w:ascii="宋体" w:hAnsi="宋体" w:eastAsia="宋体" w:cs="宋体"/>
          <w:color w:val="auto"/>
          <w:spacing w:val="8"/>
          <w:sz w:val="20"/>
          <w:szCs w:val="20"/>
          <w:highlight w:val="none"/>
        </w:rPr>
        <w:t>系</w:t>
      </w:r>
      <w:r>
        <w:rPr>
          <w:rFonts w:ascii="宋体" w:hAnsi="宋体" w:eastAsia="宋体" w:cs="宋体"/>
          <w:color w:val="auto"/>
          <w:spacing w:val="8"/>
          <w:sz w:val="20"/>
          <w:szCs w:val="20"/>
          <w:highlight w:val="none"/>
          <w:u w:val="single" w:color="auto"/>
        </w:rPr>
        <w:t>（供应商名称）</w:t>
      </w:r>
      <w:r>
        <w:rPr>
          <w:rFonts w:ascii="宋体" w:hAnsi="宋体" w:eastAsia="宋体" w:cs="宋体"/>
          <w:color w:val="auto"/>
          <w:spacing w:val="8"/>
          <w:sz w:val="20"/>
          <w:szCs w:val="20"/>
          <w:highlight w:val="none"/>
        </w:rPr>
        <w:t>的法定代表人。</w:t>
      </w:r>
    </w:p>
    <w:p w14:paraId="6D3354B8">
      <w:pPr>
        <w:spacing w:before="32" w:line="228" w:lineRule="auto"/>
        <w:ind w:left="54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特此证明。</w:t>
      </w:r>
    </w:p>
    <w:p w14:paraId="5657B88F">
      <w:pPr>
        <w:pStyle w:val="2"/>
        <w:spacing w:line="260" w:lineRule="auto"/>
        <w:rPr>
          <w:color w:val="auto"/>
          <w:highlight w:val="none"/>
        </w:rPr>
      </w:pPr>
    </w:p>
    <w:p w14:paraId="1926158A">
      <w:pPr>
        <w:pStyle w:val="2"/>
        <w:spacing w:line="260" w:lineRule="auto"/>
        <w:rPr>
          <w:color w:val="auto"/>
          <w:highlight w:val="none"/>
        </w:rPr>
      </w:pPr>
    </w:p>
    <w:p w14:paraId="5DF5219B">
      <w:pPr>
        <w:pStyle w:val="2"/>
        <w:spacing w:line="261" w:lineRule="auto"/>
        <w:rPr>
          <w:color w:val="auto"/>
          <w:highlight w:val="none"/>
        </w:rPr>
      </w:pPr>
    </w:p>
    <w:p w14:paraId="6E915FCE">
      <w:pPr>
        <w:pStyle w:val="2"/>
        <w:spacing w:line="261" w:lineRule="auto"/>
        <w:rPr>
          <w:color w:val="auto"/>
          <w:highlight w:val="none"/>
        </w:rPr>
      </w:pPr>
    </w:p>
    <w:p w14:paraId="11F77A10">
      <w:pPr>
        <w:spacing w:before="66" w:line="227" w:lineRule="auto"/>
        <w:ind w:left="55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附件：法定代表人有效身份证正反面复印件</w:t>
      </w:r>
    </w:p>
    <w:p w14:paraId="1EBD2096">
      <w:pPr>
        <w:pStyle w:val="2"/>
        <w:spacing w:line="368" w:lineRule="auto"/>
        <w:rPr>
          <w:color w:val="auto"/>
          <w:highlight w:val="none"/>
        </w:rPr>
      </w:pPr>
    </w:p>
    <w:p w14:paraId="2D49B111">
      <w:pPr>
        <w:tabs>
          <w:tab w:val="left" w:pos="4086"/>
        </w:tabs>
        <w:spacing w:before="65" w:line="300" w:lineRule="auto"/>
        <w:ind w:left="3563" w:right="1509" w:firstLine="7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供应商（盖公章</w:t>
      </w:r>
      <w:r>
        <w:rPr>
          <w:rFonts w:ascii="宋体" w:hAnsi="宋体" w:eastAsia="宋体" w:cs="宋体"/>
          <w:color w:val="auto"/>
          <w:spacing w:val="11"/>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
          <w:sz w:val="20"/>
          <w:szCs w:val="20"/>
          <w:highlight w:val="none"/>
        </w:rPr>
        <w:t xml:space="preserve"> </w:t>
      </w:r>
      <w:r>
        <w:rPr>
          <w:rFonts w:ascii="宋体" w:hAnsi="宋体" w:eastAsia="宋体" w:cs="宋体"/>
          <w:color w:val="auto"/>
          <w:sz w:val="20"/>
          <w:szCs w:val="20"/>
          <w:highlight w:val="none"/>
          <w:u w:val="single" w:color="auto"/>
        </w:rPr>
        <w:tab/>
      </w:r>
      <w:r>
        <w:rPr>
          <w:rFonts w:ascii="宋体" w:hAnsi="宋体" w:eastAsia="宋体" w:cs="宋体"/>
          <w:color w:val="auto"/>
          <w:spacing w:val="-90"/>
          <w:sz w:val="20"/>
          <w:szCs w:val="20"/>
          <w:highlight w:val="none"/>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99"/>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5"/>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6"/>
          <w:sz w:val="20"/>
          <w:szCs w:val="20"/>
          <w:highlight w:val="none"/>
        </w:rPr>
        <w:t xml:space="preserve"> </w:t>
      </w:r>
      <w:r>
        <w:rPr>
          <w:rFonts w:ascii="宋体" w:hAnsi="宋体" w:eastAsia="宋体" w:cs="宋体"/>
          <w:color w:val="auto"/>
          <w:spacing w:val="-2"/>
          <w:sz w:val="20"/>
          <w:szCs w:val="20"/>
          <w:highlight w:val="none"/>
        </w:rPr>
        <w:t>日</w:t>
      </w:r>
    </w:p>
    <w:p w14:paraId="2966EF4A">
      <w:pPr>
        <w:pStyle w:val="2"/>
        <w:spacing w:line="322" w:lineRule="auto"/>
        <w:rPr>
          <w:color w:val="auto"/>
          <w:highlight w:val="none"/>
        </w:rPr>
      </w:pPr>
    </w:p>
    <w:p w14:paraId="7A78F20D">
      <w:pPr>
        <w:pStyle w:val="2"/>
        <w:spacing w:line="322" w:lineRule="auto"/>
        <w:rPr>
          <w:color w:val="auto"/>
          <w:highlight w:val="none"/>
        </w:rPr>
      </w:pPr>
    </w:p>
    <w:p w14:paraId="11B7597B">
      <w:pPr>
        <w:spacing w:before="65" w:line="227" w:lineRule="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注：1.</w:t>
      </w:r>
      <w:r>
        <w:rPr>
          <w:rFonts w:ascii="宋体" w:hAnsi="宋体" w:eastAsia="宋体" w:cs="宋体"/>
          <w:color w:val="auto"/>
          <w:spacing w:val="-44"/>
          <w:sz w:val="20"/>
          <w:szCs w:val="20"/>
          <w:highlight w:val="none"/>
        </w:rPr>
        <w:t xml:space="preserve"> </w:t>
      </w:r>
      <w:r>
        <w:rPr>
          <w:rFonts w:ascii="宋体" w:hAnsi="宋体" w:eastAsia="宋体" w:cs="宋体"/>
          <w:color w:val="auto"/>
          <w:spacing w:val="7"/>
          <w:sz w:val="20"/>
          <w:szCs w:val="20"/>
          <w:highlight w:val="none"/>
        </w:rPr>
        <w:t>自然人竞标的无需提供，联合体竞标的只需牵头人出具。</w:t>
      </w:r>
    </w:p>
    <w:p w14:paraId="45917051">
      <w:pPr>
        <w:spacing w:before="91" w:line="305" w:lineRule="auto"/>
        <w:ind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2.供应商为其他组织或者自然人时，本磋商文件规定的法定代表人指负责人或者自然人。</w:t>
      </w:r>
      <w:r>
        <w:rPr>
          <w:rFonts w:ascii="宋体" w:hAnsi="宋体" w:eastAsia="宋体" w:cs="宋体"/>
          <w:color w:val="auto"/>
          <w:spacing w:val="17"/>
          <w:sz w:val="20"/>
          <w:szCs w:val="20"/>
          <w:highlight w:val="none"/>
        </w:rPr>
        <w:t xml:space="preserve"> </w:t>
      </w:r>
      <w:r>
        <w:rPr>
          <w:rFonts w:ascii="宋体" w:hAnsi="宋体" w:eastAsia="宋体" w:cs="宋体"/>
          <w:color w:val="auto"/>
          <w:spacing w:val="10"/>
          <w:sz w:val="20"/>
          <w:szCs w:val="20"/>
          <w:highlight w:val="none"/>
        </w:rPr>
        <w:t>本磋商文件所称负责人是指参加竞标的其他组织营业执照上的负责</w:t>
      </w:r>
      <w:r>
        <w:rPr>
          <w:rFonts w:ascii="宋体" w:hAnsi="宋体" w:eastAsia="宋体" w:cs="宋体"/>
          <w:color w:val="auto"/>
          <w:spacing w:val="9"/>
          <w:sz w:val="20"/>
          <w:szCs w:val="20"/>
          <w:highlight w:val="none"/>
        </w:rPr>
        <w:t>人，本磋商文件所称自然人</w:t>
      </w:r>
      <w:r>
        <w:rPr>
          <w:rFonts w:ascii="宋体" w:hAnsi="宋体" w:eastAsia="宋体" w:cs="宋体"/>
          <w:color w:val="auto"/>
          <w:spacing w:val="8"/>
          <w:sz w:val="20"/>
          <w:szCs w:val="20"/>
          <w:highlight w:val="none"/>
        </w:rPr>
        <w:t>指参与竞标的自然人本人。</w:t>
      </w:r>
    </w:p>
    <w:p w14:paraId="370A1005">
      <w:pPr>
        <w:spacing w:line="305" w:lineRule="auto"/>
        <w:rPr>
          <w:rFonts w:ascii="宋体" w:hAnsi="宋体" w:eastAsia="宋体" w:cs="宋体"/>
          <w:color w:val="auto"/>
          <w:sz w:val="20"/>
          <w:szCs w:val="20"/>
          <w:highlight w:val="none"/>
        </w:rPr>
        <w:sectPr>
          <w:footerReference r:id="rId32" w:type="default"/>
          <w:pgSz w:w="11910" w:h="16840"/>
          <w:pgMar w:top="1357" w:right="1640" w:bottom="1019" w:left="1668" w:header="0" w:footer="857" w:gutter="0"/>
          <w:pgNumType w:fmt="decimal"/>
          <w:cols w:space="720" w:num="1"/>
        </w:sectPr>
      </w:pPr>
    </w:p>
    <w:p w14:paraId="3FBCBE3A">
      <w:pPr>
        <w:spacing w:before="63" w:line="224" w:lineRule="auto"/>
        <w:ind w:left="2708"/>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法定代表人授权委托书</w:t>
      </w:r>
    </w:p>
    <w:p w14:paraId="2B6D6D82">
      <w:pPr>
        <w:spacing w:before="143" w:line="225" w:lineRule="auto"/>
        <w:ind w:left="3203"/>
        <w:rPr>
          <w:rFonts w:ascii="宋体" w:hAnsi="宋体" w:eastAsia="宋体" w:cs="宋体"/>
          <w:color w:val="auto"/>
          <w:sz w:val="31"/>
          <w:szCs w:val="31"/>
          <w:highlight w:val="none"/>
        </w:rPr>
      </w:pPr>
      <w:r>
        <w:rPr>
          <w:rFonts w:ascii="宋体" w:hAnsi="宋体" w:eastAsia="宋体" w:cs="宋体"/>
          <w:b/>
          <w:bCs/>
          <w:color w:val="auto"/>
          <w:spacing w:val="2"/>
          <w:sz w:val="31"/>
          <w:szCs w:val="31"/>
          <w:highlight w:val="none"/>
        </w:rPr>
        <w:t>（如有委托时）</w:t>
      </w:r>
    </w:p>
    <w:p w14:paraId="2E7694AF">
      <w:pPr>
        <w:pStyle w:val="2"/>
        <w:spacing w:line="394" w:lineRule="auto"/>
        <w:rPr>
          <w:color w:val="auto"/>
          <w:highlight w:val="none"/>
        </w:rPr>
      </w:pPr>
    </w:p>
    <w:p w14:paraId="7354FDA9">
      <w:pPr>
        <w:spacing w:before="65" w:line="227" w:lineRule="auto"/>
        <w:rPr>
          <w:rFonts w:ascii="宋体" w:hAnsi="宋体" w:eastAsia="宋体" w:cs="宋体"/>
          <w:color w:val="auto"/>
          <w:sz w:val="20"/>
          <w:szCs w:val="20"/>
          <w:highlight w:val="none"/>
        </w:rPr>
      </w:pPr>
      <w:r>
        <w:rPr>
          <w:rFonts w:ascii="宋体" w:hAnsi="宋体" w:eastAsia="宋体" w:cs="宋体"/>
          <w:color w:val="auto"/>
          <w:spacing w:val="17"/>
          <w:sz w:val="20"/>
          <w:szCs w:val="20"/>
          <w:highlight w:val="none"/>
        </w:rPr>
        <w:t>致</w:t>
      </w:r>
      <w:r>
        <w:rPr>
          <w:rFonts w:ascii="宋体" w:hAnsi="宋体" w:eastAsia="宋体" w:cs="宋体"/>
          <w:color w:val="auto"/>
          <w:spacing w:val="-9"/>
          <w:sz w:val="20"/>
          <w:szCs w:val="20"/>
          <w:highlight w:val="none"/>
        </w:rPr>
        <w:t>：</w:t>
      </w:r>
      <w:r>
        <w:rPr>
          <w:rFonts w:ascii="宋体" w:hAnsi="宋体" w:eastAsia="宋体" w:cs="宋体"/>
          <w:color w:val="auto"/>
          <w:spacing w:val="-9"/>
          <w:sz w:val="20"/>
          <w:szCs w:val="20"/>
          <w:highlight w:val="none"/>
          <w:u w:val="single" w:color="auto"/>
        </w:rPr>
        <w:t>（</w:t>
      </w:r>
      <w:r>
        <w:rPr>
          <w:rFonts w:ascii="宋体" w:hAnsi="宋体" w:eastAsia="宋体" w:cs="宋体"/>
          <w:color w:val="auto"/>
          <w:spacing w:val="17"/>
          <w:sz w:val="20"/>
          <w:szCs w:val="20"/>
          <w:highlight w:val="none"/>
          <w:u w:val="single" w:color="auto"/>
        </w:rPr>
        <w:t>采购人名称</w:t>
      </w:r>
      <w:r>
        <w:rPr>
          <w:rFonts w:ascii="宋体" w:hAnsi="宋体" w:eastAsia="宋体" w:cs="宋体"/>
          <w:color w:val="auto"/>
          <w:spacing w:val="-9"/>
          <w:sz w:val="20"/>
          <w:szCs w:val="20"/>
          <w:highlight w:val="none"/>
          <w:u w:val="single" w:color="auto"/>
        </w:rPr>
        <w:t>）</w:t>
      </w:r>
      <w:r>
        <w:rPr>
          <w:rFonts w:ascii="宋体" w:hAnsi="宋体" w:eastAsia="宋体" w:cs="宋体"/>
          <w:color w:val="auto"/>
          <w:spacing w:val="-9"/>
          <w:sz w:val="20"/>
          <w:szCs w:val="20"/>
          <w:highlight w:val="none"/>
        </w:rPr>
        <w:t>：</w:t>
      </w:r>
    </w:p>
    <w:p w14:paraId="3F67A37B">
      <w:pPr>
        <w:spacing w:before="93" w:line="305" w:lineRule="auto"/>
        <w:ind w:right="68" w:firstLine="422"/>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我</w:t>
      </w:r>
      <w:r>
        <w:rPr>
          <w:rFonts w:ascii="宋体" w:hAnsi="宋体" w:eastAsia="宋体" w:cs="宋体"/>
          <w:color w:val="auto"/>
          <w:spacing w:val="6"/>
          <w:sz w:val="20"/>
          <w:szCs w:val="20"/>
          <w:highlight w:val="none"/>
          <w:u w:val="single" w:color="auto"/>
        </w:rPr>
        <w:t xml:space="preserve">  （姓名）  </w:t>
      </w:r>
      <w:r>
        <w:rPr>
          <w:rFonts w:ascii="宋体" w:hAnsi="宋体" w:eastAsia="宋体" w:cs="宋体"/>
          <w:color w:val="auto"/>
          <w:spacing w:val="-88"/>
          <w:sz w:val="20"/>
          <w:szCs w:val="20"/>
          <w:highlight w:val="none"/>
        </w:rPr>
        <w:t xml:space="preserve"> </w:t>
      </w:r>
      <w:r>
        <w:rPr>
          <w:rFonts w:ascii="宋体" w:hAnsi="宋体" w:eastAsia="宋体" w:cs="宋体"/>
          <w:color w:val="auto"/>
          <w:spacing w:val="6"/>
          <w:sz w:val="20"/>
          <w:szCs w:val="20"/>
          <w:highlight w:val="none"/>
        </w:rPr>
        <w:t>系</w:t>
      </w:r>
      <w:r>
        <w:rPr>
          <w:rFonts w:ascii="宋体" w:hAnsi="宋体" w:eastAsia="宋体" w:cs="宋体"/>
          <w:color w:val="auto"/>
          <w:spacing w:val="6"/>
          <w:sz w:val="20"/>
          <w:szCs w:val="20"/>
          <w:highlight w:val="none"/>
          <w:u w:val="single" w:color="auto"/>
        </w:rPr>
        <w:t xml:space="preserve">  （供应商名称）  </w:t>
      </w:r>
      <w:r>
        <w:rPr>
          <w:rFonts w:ascii="宋体" w:hAnsi="宋体" w:eastAsia="宋体" w:cs="宋体"/>
          <w:color w:val="auto"/>
          <w:spacing w:val="-74"/>
          <w:sz w:val="20"/>
          <w:szCs w:val="20"/>
          <w:highlight w:val="none"/>
        </w:rPr>
        <w:t xml:space="preserve"> </w:t>
      </w:r>
      <w:r>
        <w:rPr>
          <w:rFonts w:ascii="宋体" w:hAnsi="宋体" w:eastAsia="宋体" w:cs="宋体"/>
          <w:color w:val="auto"/>
          <w:spacing w:val="6"/>
          <w:sz w:val="20"/>
          <w:szCs w:val="20"/>
          <w:highlight w:val="none"/>
        </w:rPr>
        <w:t>的</w:t>
      </w:r>
      <w:r>
        <w:rPr>
          <w:rFonts w:ascii="宋体" w:hAnsi="宋体" w:eastAsia="宋体" w:cs="宋体"/>
          <w:color w:val="auto"/>
          <w:spacing w:val="20"/>
          <w:sz w:val="20"/>
          <w:szCs w:val="20"/>
          <w:highlight w:val="none"/>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68"/>
          <w:sz w:val="20"/>
          <w:szCs w:val="20"/>
          <w:highlight w:val="none"/>
        </w:rPr>
        <w:t xml:space="preserve"> </w:t>
      </w:r>
      <w:r>
        <w:rPr>
          <w:rFonts w:ascii="宋体" w:hAnsi="宋体" w:eastAsia="宋体" w:cs="宋体"/>
          <w:color w:val="auto"/>
          <w:spacing w:val="-70"/>
          <w:sz w:val="20"/>
          <w:szCs w:val="20"/>
          <w:highlight w:val="none"/>
          <w:u w:val="single" w:color="auto"/>
        </w:rPr>
        <w:t xml:space="preserve"> </w:t>
      </w:r>
      <w:r>
        <w:rPr>
          <w:rFonts w:ascii="宋体" w:hAnsi="宋体" w:eastAsia="宋体" w:cs="宋体"/>
          <w:color w:val="auto"/>
          <w:spacing w:val="6"/>
          <w:sz w:val="20"/>
          <w:szCs w:val="20"/>
          <w:highlight w:val="none"/>
          <w:u w:val="single" w:color="auto"/>
        </w:rPr>
        <w:t>□法</w:t>
      </w:r>
      <w:r>
        <w:rPr>
          <w:rFonts w:ascii="宋体" w:hAnsi="宋体" w:eastAsia="宋体" w:cs="宋体"/>
          <w:color w:val="auto"/>
          <w:spacing w:val="5"/>
          <w:sz w:val="20"/>
          <w:szCs w:val="20"/>
          <w:highlight w:val="none"/>
          <w:u w:val="single" w:color="auto"/>
        </w:rPr>
        <w:t>定代表人/□负责人/□自然人本人</w:t>
      </w:r>
      <w:r>
        <w:rPr>
          <w:rFonts w:ascii="宋体" w:hAnsi="宋体" w:eastAsia="宋体" w:cs="宋体"/>
          <w:color w:val="auto"/>
          <w:spacing w:val="16"/>
          <w:sz w:val="20"/>
          <w:szCs w:val="20"/>
          <w:highlight w:val="none"/>
        </w:rPr>
        <w:t>），</w:t>
      </w:r>
      <w:r>
        <w:rPr>
          <w:rFonts w:ascii="宋体" w:hAnsi="宋体" w:eastAsia="宋体" w:cs="宋体"/>
          <w:color w:val="auto"/>
          <w:spacing w:val="5"/>
          <w:sz w:val="20"/>
          <w:szCs w:val="20"/>
          <w:highlight w:val="none"/>
        </w:rPr>
        <w:t>现</w:t>
      </w:r>
      <w:r>
        <w:rPr>
          <w:rFonts w:ascii="宋体" w:hAnsi="宋体" w:eastAsia="宋体" w:cs="宋体"/>
          <w:color w:val="auto"/>
          <w:spacing w:val="8"/>
          <w:sz w:val="20"/>
          <w:szCs w:val="20"/>
          <w:highlight w:val="none"/>
        </w:rPr>
        <w:t>授权</w:t>
      </w:r>
      <w:r>
        <w:rPr>
          <w:rFonts w:ascii="宋体" w:hAnsi="宋体" w:eastAsia="宋体" w:cs="宋体"/>
          <w:color w:val="auto"/>
          <w:spacing w:val="8"/>
          <w:sz w:val="20"/>
          <w:szCs w:val="20"/>
          <w:highlight w:val="none"/>
          <w:u w:val="single" w:color="auto"/>
        </w:rPr>
        <w:t xml:space="preserve"> （姓名） </w:t>
      </w:r>
      <w:r>
        <w:rPr>
          <w:rFonts w:ascii="宋体" w:hAnsi="宋体" w:eastAsia="宋体" w:cs="宋体"/>
          <w:color w:val="auto"/>
          <w:spacing w:val="-55"/>
          <w:sz w:val="20"/>
          <w:szCs w:val="20"/>
          <w:highlight w:val="none"/>
        </w:rPr>
        <w:t xml:space="preserve"> </w:t>
      </w:r>
      <w:r>
        <w:rPr>
          <w:rFonts w:ascii="宋体" w:hAnsi="宋体" w:eastAsia="宋体" w:cs="宋体"/>
          <w:color w:val="auto"/>
          <w:spacing w:val="8"/>
          <w:sz w:val="20"/>
          <w:szCs w:val="20"/>
          <w:highlight w:val="none"/>
        </w:rPr>
        <w:t>以我方的名义参加</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5"/>
          <w:sz w:val="20"/>
          <w:szCs w:val="20"/>
          <w:highlight w:val="none"/>
        </w:rPr>
        <w:t xml:space="preserve"> </w:t>
      </w:r>
      <w:r>
        <w:rPr>
          <w:rFonts w:ascii="宋体" w:hAnsi="宋体" w:eastAsia="宋体" w:cs="宋体"/>
          <w:color w:val="auto"/>
          <w:spacing w:val="8"/>
          <w:sz w:val="20"/>
          <w:szCs w:val="20"/>
          <w:highlight w:val="none"/>
        </w:rPr>
        <w:t>项目的竞标活动，并代表我方全权办理针对</w:t>
      </w:r>
      <w:r>
        <w:rPr>
          <w:rFonts w:ascii="宋体" w:hAnsi="宋体" w:eastAsia="宋体" w:cs="宋体"/>
          <w:color w:val="auto"/>
          <w:spacing w:val="9"/>
          <w:sz w:val="20"/>
          <w:szCs w:val="20"/>
          <w:highlight w:val="none"/>
        </w:rPr>
        <w:t>上述项目的所有采购程序和环节的具体事务和签署相关文件。</w:t>
      </w:r>
    </w:p>
    <w:p w14:paraId="2A56909F">
      <w:pPr>
        <w:spacing w:before="29" w:line="228" w:lineRule="auto"/>
        <w:ind w:left="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我方对委托代理人的签字事项负全部责任。</w:t>
      </w:r>
    </w:p>
    <w:p w14:paraId="2586648C">
      <w:pPr>
        <w:spacing w:before="94" w:line="300" w:lineRule="auto"/>
        <w:ind w:left="2" w:right="71" w:firstLine="41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本授权书自签署之日起生效，在撤销授权的书面通知以前，本授权书一直有效。委托</w:t>
      </w:r>
      <w:r>
        <w:rPr>
          <w:rFonts w:ascii="宋体" w:hAnsi="宋体" w:eastAsia="宋体" w:cs="宋体"/>
          <w:color w:val="auto"/>
          <w:spacing w:val="9"/>
          <w:sz w:val="20"/>
          <w:szCs w:val="20"/>
          <w:highlight w:val="none"/>
        </w:rPr>
        <w:t>代理人在授权书有效期内签署的所有文件不因授权的撤销而失效。</w:t>
      </w:r>
    </w:p>
    <w:p w14:paraId="077C2255">
      <w:pPr>
        <w:spacing w:before="32" w:line="228" w:lineRule="auto"/>
        <w:ind w:left="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委托代理人无转委托权，特此委托。</w:t>
      </w:r>
    </w:p>
    <w:p w14:paraId="12787B15">
      <w:pPr>
        <w:spacing w:before="94" w:line="227" w:lineRule="auto"/>
        <w:ind w:left="4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附：法定代表人身份证明书及委托代理人有效身份证正反面复印件</w:t>
      </w:r>
    </w:p>
    <w:p w14:paraId="32D3061C">
      <w:pPr>
        <w:pStyle w:val="2"/>
        <w:spacing w:line="368" w:lineRule="auto"/>
        <w:rPr>
          <w:color w:val="auto"/>
          <w:highlight w:val="none"/>
        </w:rPr>
      </w:pPr>
    </w:p>
    <w:p w14:paraId="27B57B9B">
      <w:pPr>
        <w:spacing w:before="65" w:line="227"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委托代理人（签字</w:t>
      </w:r>
      <w:r>
        <w:rPr>
          <w:rFonts w:ascii="宋体" w:hAnsi="宋体" w:eastAsia="宋体" w:cs="宋体"/>
          <w:color w:val="auto"/>
          <w:spacing w:val="7"/>
          <w:sz w:val="20"/>
          <w:szCs w:val="20"/>
          <w:highlight w:val="none"/>
        </w:rPr>
        <w:t xml:space="preserve">）：         </w:t>
      </w:r>
      <w:r>
        <w:rPr>
          <w:rFonts w:ascii="宋体" w:hAnsi="宋体" w:eastAsia="宋体" w:cs="宋体"/>
          <w:color w:val="auto"/>
          <w:spacing w:val="8"/>
          <w:sz w:val="20"/>
          <w:szCs w:val="20"/>
          <w:highlight w:val="none"/>
        </w:rPr>
        <w:t>法定代表人（签字或盖章</w:t>
      </w:r>
      <w:r>
        <w:rPr>
          <w:rFonts w:ascii="宋体" w:hAnsi="宋体" w:eastAsia="宋体" w:cs="宋体"/>
          <w:color w:val="auto"/>
          <w:spacing w:val="7"/>
          <w:sz w:val="20"/>
          <w:szCs w:val="20"/>
          <w:highlight w:val="none"/>
        </w:rPr>
        <w:t>）：</w:t>
      </w:r>
    </w:p>
    <w:p w14:paraId="51C1353C">
      <w:pPr>
        <w:spacing w:before="92" w:line="228" w:lineRule="auto"/>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委托代理人身份证号码：</w:t>
      </w:r>
    </w:p>
    <w:p w14:paraId="72004175">
      <w:pPr>
        <w:pStyle w:val="2"/>
        <w:spacing w:line="367" w:lineRule="auto"/>
        <w:rPr>
          <w:color w:val="auto"/>
          <w:highlight w:val="none"/>
        </w:rPr>
      </w:pPr>
    </w:p>
    <w:p w14:paraId="18097AB8">
      <w:pPr>
        <w:spacing w:before="66" w:line="227" w:lineRule="auto"/>
        <w:ind w:left="262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供应商（盖公章</w:t>
      </w:r>
      <w:r>
        <w:rPr>
          <w:rFonts w:ascii="宋体" w:hAnsi="宋体" w:eastAsia="宋体" w:cs="宋体"/>
          <w:color w:val="auto"/>
          <w:spacing w:val="1"/>
          <w:sz w:val="20"/>
          <w:szCs w:val="20"/>
          <w:highlight w:val="none"/>
        </w:rPr>
        <w:t>）：</w:t>
      </w:r>
    </w:p>
    <w:p w14:paraId="3F214CE3">
      <w:pPr>
        <w:spacing w:before="95" w:line="228" w:lineRule="auto"/>
        <w:ind w:left="4307"/>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年</w:t>
      </w:r>
      <w:r>
        <w:rPr>
          <w:rFonts w:ascii="宋体" w:hAnsi="宋体" w:eastAsia="宋体" w:cs="宋体"/>
          <w:color w:val="auto"/>
          <w:spacing w:val="8"/>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17"/>
          <w:sz w:val="20"/>
          <w:szCs w:val="20"/>
          <w:highlight w:val="none"/>
        </w:rPr>
        <w:t xml:space="preserve">    </w:t>
      </w:r>
      <w:r>
        <w:rPr>
          <w:rFonts w:ascii="宋体" w:hAnsi="宋体" w:eastAsia="宋体" w:cs="宋体"/>
          <w:color w:val="auto"/>
          <w:spacing w:val="-2"/>
          <w:sz w:val="20"/>
          <w:szCs w:val="20"/>
          <w:highlight w:val="none"/>
        </w:rPr>
        <w:t>日</w:t>
      </w:r>
    </w:p>
    <w:p w14:paraId="0AB049A3">
      <w:pPr>
        <w:pStyle w:val="2"/>
        <w:spacing w:line="365" w:lineRule="auto"/>
        <w:rPr>
          <w:color w:val="auto"/>
          <w:highlight w:val="none"/>
        </w:rPr>
      </w:pPr>
    </w:p>
    <w:p w14:paraId="0ADE4971">
      <w:pPr>
        <w:spacing w:before="65" w:line="302" w:lineRule="auto"/>
        <w:ind w:right="7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注：1. 法定代表人必须在授权委托书上亲笔签字或盖章，委托代理人必须在授权委托书上亲笔签字，</w:t>
      </w:r>
      <w:r>
        <w:rPr>
          <w:rFonts w:ascii="宋体" w:hAnsi="宋体" w:eastAsia="宋体" w:cs="宋体"/>
          <w:b/>
          <w:bCs/>
          <w:color w:val="auto"/>
          <w:spacing w:val="7"/>
          <w:sz w:val="20"/>
          <w:szCs w:val="20"/>
          <w:highlight w:val="none"/>
        </w:rPr>
        <w:t>否则其响应文件按无效响应处理。</w:t>
      </w:r>
    </w:p>
    <w:p w14:paraId="3BBEE349">
      <w:pPr>
        <w:spacing w:before="26" w:line="305" w:lineRule="auto"/>
        <w:ind w:left="1" w:right="80" w:firstLine="42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2.供应商为其他组织或者自然人时，本磋商文件规定的法定代表人指负责人或者自然人。</w:t>
      </w:r>
      <w:r>
        <w:rPr>
          <w:rFonts w:ascii="宋体" w:hAnsi="宋体" w:eastAsia="宋体" w:cs="宋体"/>
          <w:color w:val="auto"/>
          <w:spacing w:val="10"/>
          <w:sz w:val="20"/>
          <w:szCs w:val="20"/>
          <w:highlight w:val="none"/>
        </w:rPr>
        <w:t>本磋商文件所称负责人是指参加竞标的其他组织营业执照上的负责</w:t>
      </w:r>
      <w:r>
        <w:rPr>
          <w:rFonts w:ascii="宋体" w:hAnsi="宋体" w:eastAsia="宋体" w:cs="宋体"/>
          <w:color w:val="auto"/>
          <w:spacing w:val="9"/>
          <w:sz w:val="20"/>
          <w:szCs w:val="20"/>
          <w:highlight w:val="none"/>
        </w:rPr>
        <w:t>人，本磋商文件所称自然人</w:t>
      </w:r>
      <w:r>
        <w:rPr>
          <w:rFonts w:ascii="宋体" w:hAnsi="宋体" w:eastAsia="宋体" w:cs="宋体"/>
          <w:color w:val="auto"/>
          <w:spacing w:val="8"/>
          <w:sz w:val="20"/>
          <w:szCs w:val="20"/>
          <w:highlight w:val="none"/>
        </w:rPr>
        <w:t>指参与竞标的自然人本人。</w:t>
      </w:r>
    </w:p>
    <w:p w14:paraId="7F1CB921">
      <w:pPr>
        <w:spacing w:before="32" w:line="227" w:lineRule="auto"/>
        <w:jc w:val="right"/>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3. 法人、其他组织竞标时“我方</w:t>
      </w:r>
      <w:r>
        <w:rPr>
          <w:rFonts w:ascii="宋体" w:hAnsi="宋体" w:eastAsia="宋体" w:cs="宋体"/>
          <w:color w:val="auto"/>
          <w:spacing w:val="-70"/>
          <w:sz w:val="20"/>
          <w:szCs w:val="20"/>
          <w:highlight w:val="none"/>
        </w:rPr>
        <w:t xml:space="preserve"> </w:t>
      </w:r>
      <w:r>
        <w:rPr>
          <w:rFonts w:ascii="宋体" w:hAnsi="宋体" w:eastAsia="宋体" w:cs="宋体"/>
          <w:color w:val="auto"/>
          <w:spacing w:val="1"/>
          <w:sz w:val="20"/>
          <w:szCs w:val="20"/>
          <w:highlight w:val="none"/>
        </w:rPr>
        <w:t>”是指“我单位</w:t>
      </w:r>
      <w:r>
        <w:rPr>
          <w:rFonts w:ascii="宋体" w:hAnsi="宋体" w:eastAsia="宋体" w:cs="宋体"/>
          <w:color w:val="auto"/>
          <w:spacing w:val="-70"/>
          <w:sz w:val="20"/>
          <w:szCs w:val="20"/>
          <w:highlight w:val="none"/>
        </w:rPr>
        <w:t xml:space="preserve"> </w:t>
      </w:r>
      <w:r>
        <w:rPr>
          <w:rFonts w:ascii="宋体" w:hAnsi="宋体" w:eastAsia="宋体" w:cs="宋体"/>
          <w:color w:val="auto"/>
          <w:spacing w:val="1"/>
          <w:sz w:val="20"/>
          <w:szCs w:val="20"/>
          <w:highlight w:val="none"/>
        </w:rPr>
        <w:t>”，自然人竞标时“我方</w:t>
      </w:r>
      <w:r>
        <w:rPr>
          <w:rFonts w:ascii="宋体" w:hAnsi="宋体" w:eastAsia="宋体" w:cs="宋体"/>
          <w:color w:val="auto"/>
          <w:spacing w:val="-70"/>
          <w:sz w:val="20"/>
          <w:szCs w:val="20"/>
          <w:highlight w:val="none"/>
        </w:rPr>
        <w:t xml:space="preserve"> </w:t>
      </w:r>
      <w:r>
        <w:rPr>
          <w:rFonts w:ascii="宋体" w:hAnsi="宋体" w:eastAsia="宋体" w:cs="宋体"/>
          <w:color w:val="auto"/>
          <w:spacing w:val="1"/>
          <w:sz w:val="20"/>
          <w:szCs w:val="20"/>
          <w:highlight w:val="none"/>
        </w:rPr>
        <w:t>”是</w:t>
      </w:r>
      <w:r>
        <w:rPr>
          <w:rFonts w:ascii="宋体" w:hAnsi="宋体" w:eastAsia="宋体" w:cs="宋体"/>
          <w:color w:val="auto"/>
          <w:sz w:val="20"/>
          <w:szCs w:val="20"/>
          <w:highlight w:val="none"/>
        </w:rPr>
        <w:t>指“本人</w:t>
      </w:r>
      <w:r>
        <w:rPr>
          <w:rFonts w:ascii="宋体" w:hAnsi="宋体" w:eastAsia="宋体" w:cs="宋体"/>
          <w:color w:val="auto"/>
          <w:spacing w:val="-70"/>
          <w:sz w:val="20"/>
          <w:szCs w:val="20"/>
          <w:highlight w:val="none"/>
        </w:rPr>
        <w:t xml:space="preserve"> </w:t>
      </w:r>
      <w:r>
        <w:rPr>
          <w:rFonts w:ascii="宋体" w:hAnsi="宋体" w:eastAsia="宋体" w:cs="宋体"/>
          <w:color w:val="auto"/>
          <w:sz w:val="20"/>
          <w:szCs w:val="20"/>
          <w:highlight w:val="none"/>
        </w:rPr>
        <w:t>”。</w:t>
      </w:r>
    </w:p>
    <w:p w14:paraId="5AC51595">
      <w:pPr>
        <w:spacing w:line="227" w:lineRule="auto"/>
        <w:rPr>
          <w:rFonts w:ascii="宋体" w:hAnsi="宋体" w:eastAsia="宋体" w:cs="宋体"/>
          <w:color w:val="auto"/>
          <w:sz w:val="20"/>
          <w:szCs w:val="20"/>
          <w:highlight w:val="none"/>
        </w:rPr>
        <w:sectPr>
          <w:footerReference r:id="rId33" w:type="default"/>
          <w:pgSz w:w="11910" w:h="16840"/>
          <w:pgMar w:top="1357" w:right="1559" w:bottom="1016" w:left="1668" w:header="0" w:footer="857" w:gutter="0"/>
          <w:pgNumType w:fmt="decimal"/>
          <w:cols w:space="720" w:num="1"/>
        </w:sectPr>
      </w:pPr>
    </w:p>
    <w:p w14:paraId="379E3E22">
      <w:pPr>
        <w:spacing w:before="63" w:line="224" w:lineRule="auto"/>
        <w:ind w:left="3379"/>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竞标人情况介绍</w:t>
      </w:r>
    </w:p>
    <w:p w14:paraId="5031E997">
      <w:pPr>
        <w:spacing w:before="93"/>
        <w:rPr>
          <w:color w:val="auto"/>
          <w:highlight w:val="none"/>
        </w:rPr>
      </w:pPr>
    </w:p>
    <w:tbl>
      <w:tblPr>
        <w:tblStyle w:val="14"/>
        <w:tblW w:w="89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6"/>
        <w:gridCol w:w="1020"/>
        <w:gridCol w:w="1159"/>
        <w:gridCol w:w="311"/>
        <w:gridCol w:w="1245"/>
        <w:gridCol w:w="63"/>
        <w:gridCol w:w="720"/>
        <w:gridCol w:w="1927"/>
      </w:tblGrid>
      <w:tr w14:paraId="5CD02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2A073E6A">
            <w:pPr>
              <w:pStyle w:val="15"/>
              <w:spacing w:before="149" w:line="227" w:lineRule="auto"/>
              <w:ind w:left="296"/>
              <w:rPr>
                <w:color w:val="auto"/>
                <w:highlight w:val="none"/>
              </w:rPr>
            </w:pPr>
            <w:r>
              <w:rPr>
                <w:color w:val="auto"/>
                <w:spacing w:val="7"/>
                <w:highlight w:val="none"/>
              </w:rPr>
              <w:t>供应商名称</w:t>
            </w:r>
          </w:p>
        </w:tc>
        <w:tc>
          <w:tcPr>
            <w:tcW w:w="7341" w:type="dxa"/>
            <w:gridSpan w:val="8"/>
            <w:vAlign w:val="top"/>
          </w:tcPr>
          <w:p w14:paraId="60365DE5">
            <w:pPr>
              <w:rPr>
                <w:rFonts w:ascii="Arial"/>
                <w:color w:val="auto"/>
                <w:sz w:val="21"/>
                <w:highlight w:val="none"/>
              </w:rPr>
            </w:pPr>
          </w:p>
        </w:tc>
      </w:tr>
      <w:tr w14:paraId="78384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4BAE238F">
            <w:pPr>
              <w:pStyle w:val="15"/>
              <w:spacing w:before="144" w:line="229" w:lineRule="auto"/>
              <w:ind w:left="400"/>
              <w:rPr>
                <w:color w:val="auto"/>
                <w:highlight w:val="none"/>
              </w:rPr>
            </w:pPr>
            <w:r>
              <w:rPr>
                <w:color w:val="auto"/>
                <w:spacing w:val="7"/>
                <w:highlight w:val="none"/>
              </w:rPr>
              <w:t>注册地址</w:t>
            </w:r>
          </w:p>
        </w:tc>
        <w:tc>
          <w:tcPr>
            <w:tcW w:w="3386" w:type="dxa"/>
            <w:gridSpan w:val="4"/>
            <w:vAlign w:val="top"/>
          </w:tcPr>
          <w:p w14:paraId="76AACE2C">
            <w:pPr>
              <w:rPr>
                <w:rFonts w:ascii="Arial"/>
                <w:color w:val="auto"/>
                <w:sz w:val="21"/>
                <w:highlight w:val="none"/>
              </w:rPr>
            </w:pPr>
          </w:p>
        </w:tc>
        <w:tc>
          <w:tcPr>
            <w:tcW w:w="1245" w:type="dxa"/>
            <w:vAlign w:val="top"/>
          </w:tcPr>
          <w:p w14:paraId="34E709BB">
            <w:pPr>
              <w:pStyle w:val="15"/>
              <w:spacing w:before="143" w:line="228" w:lineRule="auto"/>
              <w:ind w:left="226"/>
              <w:rPr>
                <w:color w:val="auto"/>
                <w:highlight w:val="none"/>
              </w:rPr>
            </w:pPr>
            <w:r>
              <w:rPr>
                <w:color w:val="auto"/>
                <w:spacing w:val="3"/>
                <w:highlight w:val="none"/>
              </w:rPr>
              <w:t>邮政编码</w:t>
            </w:r>
          </w:p>
        </w:tc>
        <w:tc>
          <w:tcPr>
            <w:tcW w:w="2710" w:type="dxa"/>
            <w:gridSpan w:val="3"/>
            <w:vAlign w:val="top"/>
          </w:tcPr>
          <w:p w14:paraId="694EB9ED">
            <w:pPr>
              <w:rPr>
                <w:rFonts w:ascii="Arial"/>
                <w:color w:val="auto"/>
                <w:sz w:val="21"/>
                <w:highlight w:val="none"/>
              </w:rPr>
            </w:pPr>
          </w:p>
        </w:tc>
      </w:tr>
      <w:tr w14:paraId="4F0E7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630" w:type="dxa"/>
            <w:vMerge w:val="restart"/>
            <w:tcBorders>
              <w:bottom w:val="nil"/>
            </w:tcBorders>
            <w:vAlign w:val="top"/>
          </w:tcPr>
          <w:p w14:paraId="56211C11">
            <w:pPr>
              <w:spacing w:line="366" w:lineRule="auto"/>
              <w:rPr>
                <w:rFonts w:ascii="Arial"/>
                <w:color w:val="auto"/>
                <w:sz w:val="21"/>
                <w:highlight w:val="none"/>
              </w:rPr>
            </w:pPr>
          </w:p>
          <w:p w14:paraId="02A274C5">
            <w:pPr>
              <w:pStyle w:val="15"/>
              <w:spacing w:before="65" w:line="229" w:lineRule="auto"/>
              <w:ind w:left="400"/>
              <w:rPr>
                <w:color w:val="auto"/>
                <w:highlight w:val="none"/>
              </w:rPr>
            </w:pPr>
            <w:r>
              <w:rPr>
                <w:color w:val="auto"/>
                <w:spacing w:val="7"/>
                <w:highlight w:val="none"/>
              </w:rPr>
              <w:t>联系方式</w:t>
            </w:r>
          </w:p>
        </w:tc>
        <w:tc>
          <w:tcPr>
            <w:tcW w:w="896" w:type="dxa"/>
            <w:vAlign w:val="top"/>
          </w:tcPr>
          <w:p w14:paraId="3759E2E1">
            <w:pPr>
              <w:pStyle w:val="15"/>
              <w:spacing w:before="145" w:line="230" w:lineRule="auto"/>
              <w:ind w:left="136"/>
              <w:rPr>
                <w:color w:val="auto"/>
                <w:highlight w:val="none"/>
              </w:rPr>
            </w:pPr>
            <w:r>
              <w:rPr>
                <w:color w:val="auto"/>
                <w:spacing w:val="6"/>
                <w:highlight w:val="none"/>
              </w:rPr>
              <w:t>联系人</w:t>
            </w:r>
          </w:p>
        </w:tc>
        <w:tc>
          <w:tcPr>
            <w:tcW w:w="2490" w:type="dxa"/>
            <w:gridSpan w:val="3"/>
            <w:vAlign w:val="top"/>
          </w:tcPr>
          <w:p w14:paraId="4BF4AC87">
            <w:pPr>
              <w:rPr>
                <w:rFonts w:ascii="Arial"/>
                <w:color w:val="auto"/>
                <w:sz w:val="21"/>
                <w:highlight w:val="none"/>
              </w:rPr>
            </w:pPr>
          </w:p>
        </w:tc>
        <w:tc>
          <w:tcPr>
            <w:tcW w:w="1245" w:type="dxa"/>
            <w:vAlign w:val="top"/>
          </w:tcPr>
          <w:p w14:paraId="61686E5D">
            <w:pPr>
              <w:pStyle w:val="15"/>
              <w:spacing w:before="145" w:line="230" w:lineRule="auto"/>
              <w:ind w:left="338"/>
              <w:rPr>
                <w:color w:val="auto"/>
                <w:highlight w:val="none"/>
              </w:rPr>
            </w:pPr>
            <w:r>
              <w:rPr>
                <w:color w:val="auto"/>
                <w:spacing w:val="-12"/>
                <w:highlight w:val="none"/>
              </w:rPr>
              <w:t>电</w:t>
            </w:r>
            <w:r>
              <w:rPr>
                <w:color w:val="auto"/>
                <w:spacing w:val="9"/>
                <w:highlight w:val="none"/>
              </w:rPr>
              <w:t xml:space="preserve">  </w:t>
            </w:r>
            <w:r>
              <w:rPr>
                <w:color w:val="auto"/>
                <w:spacing w:val="-12"/>
                <w:highlight w:val="none"/>
              </w:rPr>
              <w:t>话</w:t>
            </w:r>
          </w:p>
        </w:tc>
        <w:tc>
          <w:tcPr>
            <w:tcW w:w="2710" w:type="dxa"/>
            <w:gridSpan w:val="3"/>
            <w:vAlign w:val="top"/>
          </w:tcPr>
          <w:p w14:paraId="269C82BE">
            <w:pPr>
              <w:rPr>
                <w:rFonts w:ascii="Arial"/>
                <w:color w:val="auto"/>
                <w:sz w:val="21"/>
                <w:highlight w:val="none"/>
              </w:rPr>
            </w:pPr>
          </w:p>
        </w:tc>
      </w:tr>
      <w:tr w14:paraId="37C48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Merge w:val="continue"/>
            <w:tcBorders>
              <w:top w:val="nil"/>
            </w:tcBorders>
            <w:vAlign w:val="top"/>
          </w:tcPr>
          <w:p w14:paraId="41FF2722">
            <w:pPr>
              <w:rPr>
                <w:rFonts w:ascii="Arial"/>
                <w:color w:val="auto"/>
                <w:sz w:val="21"/>
                <w:highlight w:val="none"/>
              </w:rPr>
            </w:pPr>
          </w:p>
        </w:tc>
        <w:tc>
          <w:tcPr>
            <w:tcW w:w="896" w:type="dxa"/>
            <w:vAlign w:val="top"/>
          </w:tcPr>
          <w:p w14:paraId="3A33A434">
            <w:pPr>
              <w:pStyle w:val="15"/>
              <w:spacing w:before="145" w:line="227" w:lineRule="auto"/>
              <w:ind w:left="134"/>
              <w:rPr>
                <w:color w:val="auto"/>
                <w:highlight w:val="none"/>
              </w:rPr>
            </w:pPr>
            <w:r>
              <w:rPr>
                <w:color w:val="auto"/>
                <w:spacing w:val="1"/>
                <w:highlight w:val="none"/>
              </w:rPr>
              <w:t>传</w:t>
            </w:r>
            <w:r>
              <w:rPr>
                <w:color w:val="auto"/>
                <w:spacing w:val="10"/>
                <w:highlight w:val="none"/>
              </w:rPr>
              <w:t xml:space="preserve">  </w:t>
            </w:r>
            <w:r>
              <w:rPr>
                <w:color w:val="auto"/>
                <w:spacing w:val="1"/>
                <w:highlight w:val="none"/>
              </w:rPr>
              <w:t>真</w:t>
            </w:r>
          </w:p>
        </w:tc>
        <w:tc>
          <w:tcPr>
            <w:tcW w:w="2490" w:type="dxa"/>
            <w:gridSpan w:val="3"/>
            <w:vAlign w:val="top"/>
          </w:tcPr>
          <w:p w14:paraId="1A92DC37">
            <w:pPr>
              <w:rPr>
                <w:rFonts w:ascii="Arial"/>
                <w:color w:val="auto"/>
                <w:sz w:val="21"/>
                <w:highlight w:val="none"/>
              </w:rPr>
            </w:pPr>
          </w:p>
        </w:tc>
        <w:tc>
          <w:tcPr>
            <w:tcW w:w="1245" w:type="dxa"/>
            <w:vAlign w:val="top"/>
          </w:tcPr>
          <w:p w14:paraId="29823813">
            <w:pPr>
              <w:pStyle w:val="15"/>
              <w:spacing w:before="145" w:line="233" w:lineRule="auto"/>
              <w:ind w:left="330"/>
              <w:rPr>
                <w:color w:val="auto"/>
                <w:highlight w:val="none"/>
              </w:rPr>
            </w:pPr>
            <w:r>
              <w:rPr>
                <w:color w:val="auto"/>
                <w:spacing w:val="-8"/>
                <w:highlight w:val="none"/>
              </w:rPr>
              <w:t>网</w:t>
            </w:r>
            <w:r>
              <w:rPr>
                <w:color w:val="auto"/>
                <w:spacing w:val="9"/>
                <w:highlight w:val="none"/>
              </w:rPr>
              <w:t xml:space="preserve">  </w:t>
            </w:r>
            <w:r>
              <w:rPr>
                <w:color w:val="auto"/>
                <w:spacing w:val="-8"/>
                <w:highlight w:val="none"/>
              </w:rPr>
              <w:t>址</w:t>
            </w:r>
          </w:p>
        </w:tc>
        <w:tc>
          <w:tcPr>
            <w:tcW w:w="2710" w:type="dxa"/>
            <w:gridSpan w:val="3"/>
            <w:vAlign w:val="top"/>
          </w:tcPr>
          <w:p w14:paraId="302FEE86">
            <w:pPr>
              <w:rPr>
                <w:rFonts w:ascii="Arial"/>
                <w:color w:val="auto"/>
                <w:sz w:val="21"/>
                <w:highlight w:val="none"/>
              </w:rPr>
            </w:pPr>
          </w:p>
        </w:tc>
      </w:tr>
      <w:tr w14:paraId="17649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630" w:type="dxa"/>
            <w:vAlign w:val="top"/>
          </w:tcPr>
          <w:p w14:paraId="35C5070F">
            <w:pPr>
              <w:pStyle w:val="15"/>
              <w:spacing w:before="33" w:line="296" w:lineRule="auto"/>
              <w:ind w:left="610" w:right="184" w:hanging="414"/>
              <w:rPr>
                <w:color w:val="auto"/>
                <w:highlight w:val="none"/>
              </w:rPr>
            </w:pPr>
            <w:r>
              <w:rPr>
                <w:color w:val="auto"/>
                <w:spacing w:val="7"/>
                <w:highlight w:val="none"/>
              </w:rPr>
              <w:t>统一社会信用</w:t>
            </w:r>
            <w:r>
              <w:rPr>
                <w:color w:val="auto"/>
                <w:spacing w:val="1"/>
                <w:highlight w:val="none"/>
              </w:rPr>
              <w:t xml:space="preserve"> </w:t>
            </w:r>
            <w:r>
              <w:rPr>
                <w:color w:val="auto"/>
                <w:spacing w:val="5"/>
                <w:highlight w:val="none"/>
              </w:rPr>
              <w:t>代码</w:t>
            </w:r>
          </w:p>
        </w:tc>
        <w:tc>
          <w:tcPr>
            <w:tcW w:w="7341" w:type="dxa"/>
            <w:gridSpan w:val="8"/>
            <w:vAlign w:val="top"/>
          </w:tcPr>
          <w:p w14:paraId="3AE32408">
            <w:pPr>
              <w:rPr>
                <w:rFonts w:ascii="Arial"/>
                <w:color w:val="auto"/>
                <w:sz w:val="21"/>
                <w:highlight w:val="none"/>
              </w:rPr>
            </w:pPr>
          </w:p>
        </w:tc>
      </w:tr>
      <w:tr w14:paraId="325D6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3EB75C0E">
            <w:pPr>
              <w:pStyle w:val="15"/>
              <w:spacing w:before="147" w:line="228" w:lineRule="auto"/>
              <w:ind w:left="297"/>
              <w:rPr>
                <w:color w:val="auto"/>
                <w:highlight w:val="none"/>
              </w:rPr>
            </w:pPr>
            <w:r>
              <w:rPr>
                <w:color w:val="auto"/>
                <w:spacing w:val="7"/>
                <w:highlight w:val="none"/>
              </w:rPr>
              <w:t>法定代表人</w:t>
            </w:r>
          </w:p>
        </w:tc>
        <w:tc>
          <w:tcPr>
            <w:tcW w:w="896" w:type="dxa"/>
            <w:vAlign w:val="top"/>
          </w:tcPr>
          <w:p w14:paraId="59538498">
            <w:pPr>
              <w:pStyle w:val="15"/>
              <w:spacing w:before="147" w:line="228" w:lineRule="auto"/>
              <w:ind w:left="241"/>
              <w:rPr>
                <w:color w:val="auto"/>
                <w:highlight w:val="none"/>
              </w:rPr>
            </w:pPr>
            <w:r>
              <w:rPr>
                <w:color w:val="auto"/>
                <w:spacing w:val="4"/>
                <w:highlight w:val="none"/>
              </w:rPr>
              <w:t>姓名</w:t>
            </w:r>
          </w:p>
        </w:tc>
        <w:tc>
          <w:tcPr>
            <w:tcW w:w="1020" w:type="dxa"/>
            <w:vAlign w:val="top"/>
          </w:tcPr>
          <w:p w14:paraId="0686E072">
            <w:pPr>
              <w:rPr>
                <w:rFonts w:ascii="Arial"/>
                <w:color w:val="auto"/>
                <w:sz w:val="21"/>
                <w:highlight w:val="none"/>
              </w:rPr>
            </w:pPr>
          </w:p>
        </w:tc>
        <w:tc>
          <w:tcPr>
            <w:tcW w:w="1159" w:type="dxa"/>
            <w:vAlign w:val="top"/>
          </w:tcPr>
          <w:p w14:paraId="04819456">
            <w:pPr>
              <w:pStyle w:val="15"/>
              <w:spacing w:before="147" w:line="228" w:lineRule="auto"/>
              <w:ind w:left="166"/>
              <w:rPr>
                <w:color w:val="auto"/>
                <w:highlight w:val="none"/>
              </w:rPr>
            </w:pPr>
            <w:r>
              <w:rPr>
                <w:color w:val="auto"/>
                <w:spacing w:val="7"/>
                <w:highlight w:val="none"/>
              </w:rPr>
              <w:t>技术职称</w:t>
            </w:r>
          </w:p>
        </w:tc>
        <w:tc>
          <w:tcPr>
            <w:tcW w:w="1619" w:type="dxa"/>
            <w:gridSpan w:val="3"/>
            <w:vAlign w:val="top"/>
          </w:tcPr>
          <w:p w14:paraId="426E4D3B">
            <w:pPr>
              <w:rPr>
                <w:rFonts w:ascii="Arial"/>
                <w:color w:val="auto"/>
                <w:sz w:val="21"/>
                <w:highlight w:val="none"/>
              </w:rPr>
            </w:pPr>
          </w:p>
        </w:tc>
        <w:tc>
          <w:tcPr>
            <w:tcW w:w="720" w:type="dxa"/>
            <w:vAlign w:val="top"/>
          </w:tcPr>
          <w:p w14:paraId="15C938D3">
            <w:pPr>
              <w:pStyle w:val="15"/>
              <w:spacing w:before="148" w:line="230" w:lineRule="auto"/>
              <w:ind w:left="182"/>
              <w:rPr>
                <w:color w:val="auto"/>
                <w:highlight w:val="none"/>
              </w:rPr>
            </w:pPr>
            <w:r>
              <w:rPr>
                <w:color w:val="auto"/>
                <w:spacing w:val="-8"/>
                <w:highlight w:val="none"/>
              </w:rPr>
              <w:t>电话</w:t>
            </w:r>
          </w:p>
        </w:tc>
        <w:tc>
          <w:tcPr>
            <w:tcW w:w="1927" w:type="dxa"/>
            <w:vAlign w:val="top"/>
          </w:tcPr>
          <w:p w14:paraId="28A4B452">
            <w:pPr>
              <w:rPr>
                <w:rFonts w:ascii="Arial"/>
                <w:color w:val="auto"/>
                <w:sz w:val="21"/>
                <w:highlight w:val="none"/>
              </w:rPr>
            </w:pPr>
          </w:p>
        </w:tc>
      </w:tr>
      <w:tr w14:paraId="08B50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1519ACBA">
            <w:pPr>
              <w:pStyle w:val="15"/>
              <w:spacing w:before="146" w:line="228" w:lineRule="auto"/>
              <w:ind w:left="297"/>
              <w:rPr>
                <w:color w:val="auto"/>
                <w:highlight w:val="none"/>
              </w:rPr>
            </w:pPr>
            <w:r>
              <w:rPr>
                <w:color w:val="auto"/>
                <w:spacing w:val="7"/>
                <w:highlight w:val="none"/>
              </w:rPr>
              <w:t>技术负责人</w:t>
            </w:r>
          </w:p>
        </w:tc>
        <w:tc>
          <w:tcPr>
            <w:tcW w:w="896" w:type="dxa"/>
            <w:vAlign w:val="top"/>
          </w:tcPr>
          <w:p w14:paraId="714E600E">
            <w:pPr>
              <w:pStyle w:val="15"/>
              <w:spacing w:before="146" w:line="228" w:lineRule="auto"/>
              <w:ind w:left="241"/>
              <w:rPr>
                <w:color w:val="auto"/>
                <w:highlight w:val="none"/>
              </w:rPr>
            </w:pPr>
            <w:r>
              <w:rPr>
                <w:color w:val="auto"/>
                <w:spacing w:val="4"/>
                <w:highlight w:val="none"/>
              </w:rPr>
              <w:t>姓名</w:t>
            </w:r>
          </w:p>
        </w:tc>
        <w:tc>
          <w:tcPr>
            <w:tcW w:w="1020" w:type="dxa"/>
            <w:vAlign w:val="top"/>
          </w:tcPr>
          <w:p w14:paraId="7DDC0DF1">
            <w:pPr>
              <w:rPr>
                <w:rFonts w:ascii="Arial"/>
                <w:color w:val="auto"/>
                <w:sz w:val="21"/>
                <w:highlight w:val="none"/>
              </w:rPr>
            </w:pPr>
          </w:p>
        </w:tc>
        <w:tc>
          <w:tcPr>
            <w:tcW w:w="1159" w:type="dxa"/>
            <w:vAlign w:val="top"/>
          </w:tcPr>
          <w:p w14:paraId="2A035900">
            <w:pPr>
              <w:pStyle w:val="15"/>
              <w:spacing w:before="146" w:line="228" w:lineRule="auto"/>
              <w:ind w:left="166"/>
              <w:rPr>
                <w:color w:val="auto"/>
                <w:highlight w:val="none"/>
              </w:rPr>
            </w:pPr>
            <w:r>
              <w:rPr>
                <w:color w:val="auto"/>
                <w:spacing w:val="7"/>
                <w:highlight w:val="none"/>
              </w:rPr>
              <w:t>技术职称</w:t>
            </w:r>
          </w:p>
        </w:tc>
        <w:tc>
          <w:tcPr>
            <w:tcW w:w="1619" w:type="dxa"/>
            <w:gridSpan w:val="3"/>
            <w:vAlign w:val="top"/>
          </w:tcPr>
          <w:p w14:paraId="4E66EBD2">
            <w:pPr>
              <w:rPr>
                <w:rFonts w:ascii="Arial"/>
                <w:color w:val="auto"/>
                <w:sz w:val="21"/>
                <w:highlight w:val="none"/>
              </w:rPr>
            </w:pPr>
          </w:p>
        </w:tc>
        <w:tc>
          <w:tcPr>
            <w:tcW w:w="720" w:type="dxa"/>
            <w:vAlign w:val="top"/>
          </w:tcPr>
          <w:p w14:paraId="63F5E478">
            <w:pPr>
              <w:pStyle w:val="15"/>
              <w:spacing w:before="147" w:line="230" w:lineRule="auto"/>
              <w:ind w:left="182"/>
              <w:rPr>
                <w:color w:val="auto"/>
                <w:highlight w:val="none"/>
              </w:rPr>
            </w:pPr>
            <w:r>
              <w:rPr>
                <w:color w:val="auto"/>
                <w:spacing w:val="-8"/>
                <w:highlight w:val="none"/>
              </w:rPr>
              <w:t>电话</w:t>
            </w:r>
          </w:p>
        </w:tc>
        <w:tc>
          <w:tcPr>
            <w:tcW w:w="1927" w:type="dxa"/>
            <w:vAlign w:val="top"/>
          </w:tcPr>
          <w:p w14:paraId="494A48F4">
            <w:pPr>
              <w:rPr>
                <w:rFonts w:ascii="Arial"/>
                <w:color w:val="auto"/>
                <w:sz w:val="21"/>
                <w:highlight w:val="none"/>
              </w:rPr>
            </w:pPr>
          </w:p>
        </w:tc>
      </w:tr>
      <w:tr w14:paraId="416E1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764E7E68">
            <w:pPr>
              <w:pStyle w:val="15"/>
              <w:spacing w:before="146" w:line="229" w:lineRule="auto"/>
              <w:ind w:left="401"/>
              <w:rPr>
                <w:color w:val="auto"/>
                <w:highlight w:val="none"/>
              </w:rPr>
            </w:pPr>
            <w:r>
              <w:rPr>
                <w:color w:val="auto"/>
                <w:spacing w:val="6"/>
                <w:highlight w:val="none"/>
              </w:rPr>
              <w:t>成立时间</w:t>
            </w:r>
          </w:p>
        </w:tc>
        <w:tc>
          <w:tcPr>
            <w:tcW w:w="1916" w:type="dxa"/>
            <w:gridSpan w:val="2"/>
            <w:vAlign w:val="top"/>
          </w:tcPr>
          <w:p w14:paraId="03CA4753">
            <w:pPr>
              <w:rPr>
                <w:rFonts w:ascii="Arial"/>
                <w:color w:val="auto"/>
                <w:sz w:val="21"/>
                <w:highlight w:val="none"/>
              </w:rPr>
            </w:pPr>
          </w:p>
        </w:tc>
        <w:tc>
          <w:tcPr>
            <w:tcW w:w="5425" w:type="dxa"/>
            <w:gridSpan w:val="6"/>
            <w:vAlign w:val="top"/>
          </w:tcPr>
          <w:p w14:paraId="786FBCF0">
            <w:pPr>
              <w:pStyle w:val="15"/>
              <w:spacing w:before="145" w:line="228" w:lineRule="auto"/>
              <w:ind w:left="2094"/>
              <w:rPr>
                <w:color w:val="auto"/>
                <w:highlight w:val="none"/>
              </w:rPr>
            </w:pPr>
            <w:r>
              <w:rPr>
                <w:color w:val="auto"/>
                <w:spacing w:val="5"/>
                <w:highlight w:val="none"/>
              </w:rPr>
              <w:t>员工总人数：</w:t>
            </w:r>
          </w:p>
        </w:tc>
      </w:tr>
      <w:tr w14:paraId="104F8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D109A95">
            <w:pPr>
              <w:pStyle w:val="15"/>
              <w:spacing w:before="147" w:line="228" w:lineRule="auto"/>
              <w:ind w:left="409"/>
              <w:rPr>
                <w:color w:val="auto"/>
                <w:highlight w:val="none"/>
              </w:rPr>
            </w:pPr>
            <w:r>
              <w:rPr>
                <w:color w:val="auto"/>
                <w:spacing w:val="5"/>
                <w:highlight w:val="none"/>
              </w:rPr>
              <w:t>资质等级</w:t>
            </w:r>
          </w:p>
        </w:tc>
        <w:tc>
          <w:tcPr>
            <w:tcW w:w="1916" w:type="dxa"/>
            <w:gridSpan w:val="2"/>
            <w:vAlign w:val="top"/>
          </w:tcPr>
          <w:p w14:paraId="1063D139">
            <w:pPr>
              <w:rPr>
                <w:rFonts w:ascii="Arial"/>
                <w:color w:val="auto"/>
                <w:sz w:val="21"/>
                <w:highlight w:val="none"/>
              </w:rPr>
            </w:pPr>
          </w:p>
        </w:tc>
        <w:tc>
          <w:tcPr>
            <w:tcW w:w="1159" w:type="dxa"/>
            <w:vMerge w:val="restart"/>
            <w:tcBorders>
              <w:bottom w:val="nil"/>
            </w:tcBorders>
            <w:vAlign w:val="top"/>
          </w:tcPr>
          <w:p w14:paraId="7338A14D">
            <w:pPr>
              <w:spacing w:line="256" w:lineRule="auto"/>
              <w:rPr>
                <w:rFonts w:ascii="Arial"/>
                <w:color w:val="auto"/>
                <w:sz w:val="21"/>
                <w:highlight w:val="none"/>
              </w:rPr>
            </w:pPr>
          </w:p>
          <w:p w14:paraId="5823AE55">
            <w:pPr>
              <w:spacing w:line="257" w:lineRule="auto"/>
              <w:rPr>
                <w:rFonts w:ascii="Arial"/>
                <w:color w:val="auto"/>
                <w:sz w:val="21"/>
                <w:highlight w:val="none"/>
              </w:rPr>
            </w:pPr>
          </w:p>
          <w:p w14:paraId="09762387">
            <w:pPr>
              <w:spacing w:line="257" w:lineRule="auto"/>
              <w:rPr>
                <w:rFonts w:ascii="Arial"/>
                <w:color w:val="auto"/>
                <w:sz w:val="21"/>
                <w:highlight w:val="none"/>
              </w:rPr>
            </w:pPr>
          </w:p>
          <w:p w14:paraId="651C59A1">
            <w:pPr>
              <w:spacing w:line="257" w:lineRule="auto"/>
              <w:rPr>
                <w:rFonts w:ascii="Arial"/>
                <w:color w:val="auto"/>
                <w:sz w:val="21"/>
                <w:highlight w:val="none"/>
              </w:rPr>
            </w:pPr>
          </w:p>
          <w:p w14:paraId="294660B2">
            <w:pPr>
              <w:spacing w:line="257" w:lineRule="auto"/>
              <w:rPr>
                <w:rFonts w:ascii="Arial"/>
                <w:color w:val="auto"/>
                <w:sz w:val="21"/>
                <w:highlight w:val="none"/>
              </w:rPr>
            </w:pPr>
          </w:p>
          <w:p w14:paraId="7CB7BFC9">
            <w:pPr>
              <w:pStyle w:val="15"/>
              <w:spacing w:before="65" w:line="228" w:lineRule="auto"/>
              <w:ind w:left="375"/>
              <w:rPr>
                <w:color w:val="auto"/>
                <w:highlight w:val="none"/>
              </w:rPr>
            </w:pPr>
            <w:r>
              <w:rPr>
                <w:color w:val="auto"/>
                <w:spacing w:val="4"/>
                <w:highlight w:val="none"/>
              </w:rPr>
              <w:t>其中</w:t>
            </w:r>
          </w:p>
        </w:tc>
        <w:tc>
          <w:tcPr>
            <w:tcW w:w="1619" w:type="dxa"/>
            <w:gridSpan w:val="3"/>
            <w:vAlign w:val="top"/>
          </w:tcPr>
          <w:p w14:paraId="531FB76C">
            <w:pPr>
              <w:pStyle w:val="15"/>
              <w:spacing w:before="147" w:line="228" w:lineRule="auto"/>
              <w:ind w:left="294"/>
              <w:rPr>
                <w:color w:val="auto"/>
                <w:highlight w:val="none"/>
              </w:rPr>
            </w:pPr>
            <w:r>
              <w:rPr>
                <w:color w:val="auto"/>
                <w:spacing w:val="7"/>
                <w:highlight w:val="none"/>
              </w:rPr>
              <w:t>项目负责人</w:t>
            </w:r>
          </w:p>
        </w:tc>
        <w:tc>
          <w:tcPr>
            <w:tcW w:w="2647" w:type="dxa"/>
            <w:gridSpan w:val="2"/>
            <w:vAlign w:val="top"/>
          </w:tcPr>
          <w:p w14:paraId="6E448DD2">
            <w:pPr>
              <w:rPr>
                <w:rFonts w:ascii="Arial"/>
                <w:color w:val="auto"/>
                <w:sz w:val="21"/>
                <w:highlight w:val="none"/>
              </w:rPr>
            </w:pPr>
          </w:p>
        </w:tc>
      </w:tr>
      <w:tr w14:paraId="2349D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630" w:type="dxa"/>
            <w:vAlign w:val="top"/>
          </w:tcPr>
          <w:p w14:paraId="7850FF38">
            <w:pPr>
              <w:pStyle w:val="15"/>
              <w:spacing w:before="33" w:line="296" w:lineRule="auto"/>
              <w:ind w:left="610" w:right="184" w:hanging="415"/>
              <w:rPr>
                <w:color w:val="auto"/>
                <w:highlight w:val="none"/>
              </w:rPr>
            </w:pPr>
            <w:r>
              <w:rPr>
                <w:color w:val="auto"/>
                <w:spacing w:val="7"/>
                <w:highlight w:val="none"/>
              </w:rPr>
              <w:t>安全生产许可</w:t>
            </w:r>
            <w:r>
              <w:rPr>
                <w:color w:val="auto"/>
                <w:spacing w:val="2"/>
                <w:highlight w:val="none"/>
              </w:rPr>
              <w:t xml:space="preserve"> </w:t>
            </w:r>
            <w:r>
              <w:rPr>
                <w:color w:val="auto"/>
                <w:spacing w:val="4"/>
                <w:highlight w:val="none"/>
              </w:rPr>
              <w:t>证号</w:t>
            </w:r>
          </w:p>
        </w:tc>
        <w:tc>
          <w:tcPr>
            <w:tcW w:w="1916" w:type="dxa"/>
            <w:gridSpan w:val="2"/>
            <w:vAlign w:val="top"/>
          </w:tcPr>
          <w:p w14:paraId="60B1BF33">
            <w:pPr>
              <w:rPr>
                <w:rFonts w:ascii="Arial"/>
                <w:color w:val="auto"/>
                <w:sz w:val="21"/>
                <w:highlight w:val="none"/>
              </w:rPr>
            </w:pPr>
          </w:p>
        </w:tc>
        <w:tc>
          <w:tcPr>
            <w:tcW w:w="1159" w:type="dxa"/>
            <w:vMerge w:val="continue"/>
            <w:tcBorders>
              <w:top w:val="nil"/>
              <w:bottom w:val="nil"/>
            </w:tcBorders>
            <w:vAlign w:val="top"/>
          </w:tcPr>
          <w:p w14:paraId="43B20A73">
            <w:pPr>
              <w:rPr>
                <w:rFonts w:ascii="Arial"/>
                <w:color w:val="auto"/>
                <w:sz w:val="21"/>
                <w:highlight w:val="none"/>
              </w:rPr>
            </w:pPr>
          </w:p>
        </w:tc>
        <w:tc>
          <w:tcPr>
            <w:tcW w:w="1619" w:type="dxa"/>
            <w:gridSpan w:val="3"/>
            <w:vAlign w:val="top"/>
          </w:tcPr>
          <w:p w14:paraId="4707523C">
            <w:pPr>
              <w:pStyle w:val="15"/>
              <w:spacing w:before="203" w:line="228" w:lineRule="auto"/>
              <w:ind w:left="193"/>
              <w:rPr>
                <w:color w:val="auto"/>
                <w:highlight w:val="none"/>
              </w:rPr>
            </w:pPr>
            <w:r>
              <w:rPr>
                <w:color w:val="auto"/>
                <w:spacing w:val="7"/>
                <w:highlight w:val="none"/>
              </w:rPr>
              <w:t>高级职称人员</w:t>
            </w:r>
          </w:p>
        </w:tc>
        <w:tc>
          <w:tcPr>
            <w:tcW w:w="2647" w:type="dxa"/>
            <w:gridSpan w:val="2"/>
            <w:vAlign w:val="top"/>
          </w:tcPr>
          <w:p w14:paraId="4DDB112E">
            <w:pPr>
              <w:rPr>
                <w:rFonts w:ascii="Arial"/>
                <w:color w:val="auto"/>
                <w:sz w:val="21"/>
                <w:highlight w:val="none"/>
              </w:rPr>
            </w:pPr>
          </w:p>
        </w:tc>
      </w:tr>
      <w:tr w14:paraId="71A982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2EDE8A8F">
            <w:pPr>
              <w:pStyle w:val="15"/>
              <w:spacing w:before="147" w:line="229" w:lineRule="auto"/>
              <w:ind w:left="400"/>
              <w:rPr>
                <w:color w:val="auto"/>
                <w:highlight w:val="none"/>
              </w:rPr>
            </w:pPr>
            <w:r>
              <w:rPr>
                <w:color w:val="auto"/>
                <w:spacing w:val="7"/>
                <w:highlight w:val="none"/>
              </w:rPr>
              <w:t>注册资金</w:t>
            </w:r>
          </w:p>
        </w:tc>
        <w:tc>
          <w:tcPr>
            <w:tcW w:w="1916" w:type="dxa"/>
            <w:gridSpan w:val="2"/>
            <w:vAlign w:val="top"/>
          </w:tcPr>
          <w:p w14:paraId="4D6FC0B2">
            <w:pPr>
              <w:rPr>
                <w:rFonts w:ascii="Arial"/>
                <w:color w:val="auto"/>
                <w:sz w:val="21"/>
                <w:highlight w:val="none"/>
              </w:rPr>
            </w:pPr>
          </w:p>
        </w:tc>
        <w:tc>
          <w:tcPr>
            <w:tcW w:w="1159" w:type="dxa"/>
            <w:vMerge w:val="continue"/>
            <w:tcBorders>
              <w:top w:val="nil"/>
              <w:bottom w:val="nil"/>
            </w:tcBorders>
            <w:vAlign w:val="top"/>
          </w:tcPr>
          <w:p w14:paraId="0C11F5B7">
            <w:pPr>
              <w:rPr>
                <w:rFonts w:ascii="Arial"/>
                <w:color w:val="auto"/>
                <w:sz w:val="21"/>
                <w:highlight w:val="none"/>
              </w:rPr>
            </w:pPr>
          </w:p>
        </w:tc>
        <w:tc>
          <w:tcPr>
            <w:tcW w:w="1619" w:type="dxa"/>
            <w:gridSpan w:val="3"/>
            <w:vAlign w:val="top"/>
          </w:tcPr>
          <w:p w14:paraId="225508D5">
            <w:pPr>
              <w:pStyle w:val="15"/>
              <w:spacing w:before="148" w:line="228" w:lineRule="auto"/>
              <w:ind w:left="207"/>
              <w:rPr>
                <w:color w:val="auto"/>
                <w:highlight w:val="none"/>
              </w:rPr>
            </w:pPr>
            <w:r>
              <w:rPr>
                <w:color w:val="auto"/>
                <w:spacing w:val="4"/>
                <w:highlight w:val="none"/>
              </w:rPr>
              <w:t>中级职称人员</w:t>
            </w:r>
          </w:p>
        </w:tc>
        <w:tc>
          <w:tcPr>
            <w:tcW w:w="2647" w:type="dxa"/>
            <w:gridSpan w:val="2"/>
            <w:vAlign w:val="top"/>
          </w:tcPr>
          <w:p w14:paraId="5CC7F6FE">
            <w:pPr>
              <w:rPr>
                <w:rFonts w:ascii="Arial"/>
                <w:color w:val="auto"/>
                <w:sz w:val="21"/>
                <w:highlight w:val="none"/>
              </w:rPr>
            </w:pPr>
          </w:p>
        </w:tc>
      </w:tr>
      <w:tr w14:paraId="14D81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46F19B17">
            <w:pPr>
              <w:pStyle w:val="15"/>
              <w:spacing w:before="147" w:line="228" w:lineRule="auto"/>
              <w:ind w:left="400"/>
              <w:rPr>
                <w:color w:val="auto"/>
                <w:highlight w:val="none"/>
              </w:rPr>
            </w:pPr>
            <w:r>
              <w:rPr>
                <w:color w:val="auto"/>
                <w:spacing w:val="7"/>
                <w:highlight w:val="none"/>
              </w:rPr>
              <w:t>开户银行</w:t>
            </w:r>
          </w:p>
        </w:tc>
        <w:tc>
          <w:tcPr>
            <w:tcW w:w="1916" w:type="dxa"/>
            <w:gridSpan w:val="2"/>
            <w:vAlign w:val="top"/>
          </w:tcPr>
          <w:p w14:paraId="6D5EFB95">
            <w:pPr>
              <w:rPr>
                <w:rFonts w:ascii="Arial"/>
                <w:color w:val="auto"/>
                <w:sz w:val="21"/>
                <w:highlight w:val="none"/>
              </w:rPr>
            </w:pPr>
          </w:p>
        </w:tc>
        <w:tc>
          <w:tcPr>
            <w:tcW w:w="1159" w:type="dxa"/>
            <w:vMerge w:val="continue"/>
            <w:tcBorders>
              <w:top w:val="nil"/>
              <w:bottom w:val="nil"/>
            </w:tcBorders>
            <w:vAlign w:val="top"/>
          </w:tcPr>
          <w:p w14:paraId="37EEB7F6">
            <w:pPr>
              <w:rPr>
                <w:rFonts w:ascii="Arial"/>
                <w:color w:val="auto"/>
                <w:sz w:val="21"/>
                <w:highlight w:val="none"/>
              </w:rPr>
            </w:pPr>
          </w:p>
        </w:tc>
        <w:tc>
          <w:tcPr>
            <w:tcW w:w="1619" w:type="dxa"/>
            <w:gridSpan w:val="3"/>
            <w:vAlign w:val="top"/>
          </w:tcPr>
          <w:p w14:paraId="5BF001C3">
            <w:pPr>
              <w:pStyle w:val="15"/>
              <w:spacing w:before="146" w:line="229" w:lineRule="auto"/>
              <w:ind w:left="187"/>
              <w:rPr>
                <w:color w:val="auto"/>
                <w:highlight w:val="none"/>
              </w:rPr>
            </w:pPr>
            <w:r>
              <w:rPr>
                <w:color w:val="auto"/>
                <w:spacing w:val="8"/>
                <w:highlight w:val="none"/>
              </w:rPr>
              <w:t>初级职称人员</w:t>
            </w:r>
          </w:p>
        </w:tc>
        <w:tc>
          <w:tcPr>
            <w:tcW w:w="2647" w:type="dxa"/>
            <w:gridSpan w:val="2"/>
            <w:vAlign w:val="top"/>
          </w:tcPr>
          <w:p w14:paraId="5B26CE6C">
            <w:pPr>
              <w:rPr>
                <w:rFonts w:ascii="Arial"/>
                <w:color w:val="auto"/>
                <w:sz w:val="21"/>
                <w:highlight w:val="none"/>
              </w:rPr>
            </w:pPr>
          </w:p>
        </w:tc>
      </w:tr>
      <w:tr w14:paraId="0840F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30" w:type="dxa"/>
            <w:vAlign w:val="top"/>
          </w:tcPr>
          <w:p w14:paraId="6324D582">
            <w:pPr>
              <w:pStyle w:val="15"/>
              <w:spacing w:before="148" w:line="229" w:lineRule="auto"/>
              <w:ind w:left="614"/>
              <w:rPr>
                <w:color w:val="auto"/>
                <w:highlight w:val="none"/>
              </w:rPr>
            </w:pPr>
            <w:r>
              <w:rPr>
                <w:color w:val="auto"/>
                <w:spacing w:val="3"/>
                <w:highlight w:val="none"/>
              </w:rPr>
              <w:t>账号</w:t>
            </w:r>
          </w:p>
        </w:tc>
        <w:tc>
          <w:tcPr>
            <w:tcW w:w="1916" w:type="dxa"/>
            <w:gridSpan w:val="2"/>
            <w:vAlign w:val="top"/>
          </w:tcPr>
          <w:p w14:paraId="51FFBEBA">
            <w:pPr>
              <w:rPr>
                <w:rFonts w:ascii="Arial"/>
                <w:color w:val="auto"/>
                <w:sz w:val="21"/>
                <w:highlight w:val="none"/>
              </w:rPr>
            </w:pPr>
          </w:p>
        </w:tc>
        <w:tc>
          <w:tcPr>
            <w:tcW w:w="1159" w:type="dxa"/>
            <w:vMerge w:val="continue"/>
            <w:tcBorders>
              <w:top w:val="nil"/>
            </w:tcBorders>
            <w:vAlign w:val="top"/>
          </w:tcPr>
          <w:p w14:paraId="104D2238">
            <w:pPr>
              <w:rPr>
                <w:rFonts w:ascii="Arial"/>
                <w:color w:val="auto"/>
                <w:sz w:val="21"/>
                <w:highlight w:val="none"/>
              </w:rPr>
            </w:pPr>
          </w:p>
        </w:tc>
        <w:tc>
          <w:tcPr>
            <w:tcW w:w="1619" w:type="dxa"/>
            <w:gridSpan w:val="3"/>
            <w:vAlign w:val="top"/>
          </w:tcPr>
          <w:p w14:paraId="25A2DF4E">
            <w:pPr>
              <w:pStyle w:val="15"/>
              <w:spacing w:before="148" w:line="229" w:lineRule="auto"/>
              <w:ind w:left="503"/>
              <w:rPr>
                <w:color w:val="auto"/>
                <w:highlight w:val="none"/>
              </w:rPr>
            </w:pPr>
            <w:r>
              <w:rPr>
                <w:color w:val="auto"/>
                <w:highlight w:val="none"/>
              </w:rPr>
              <w:t>技</w:t>
            </w:r>
            <w:r>
              <w:rPr>
                <w:color w:val="auto"/>
                <w:spacing w:val="10"/>
                <w:highlight w:val="none"/>
              </w:rPr>
              <w:t xml:space="preserve">  </w:t>
            </w:r>
            <w:r>
              <w:rPr>
                <w:color w:val="auto"/>
                <w:highlight w:val="none"/>
              </w:rPr>
              <w:t>工</w:t>
            </w:r>
          </w:p>
        </w:tc>
        <w:tc>
          <w:tcPr>
            <w:tcW w:w="2647" w:type="dxa"/>
            <w:gridSpan w:val="2"/>
            <w:vAlign w:val="top"/>
          </w:tcPr>
          <w:p w14:paraId="7E5CF528">
            <w:pPr>
              <w:rPr>
                <w:rFonts w:ascii="Arial"/>
                <w:color w:val="auto"/>
                <w:sz w:val="21"/>
                <w:highlight w:val="none"/>
              </w:rPr>
            </w:pPr>
          </w:p>
        </w:tc>
      </w:tr>
      <w:tr w14:paraId="7C1FDC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1" w:hRule="atLeast"/>
        </w:trPr>
        <w:tc>
          <w:tcPr>
            <w:tcW w:w="1630" w:type="dxa"/>
            <w:vAlign w:val="top"/>
          </w:tcPr>
          <w:p w14:paraId="75397E14">
            <w:pPr>
              <w:spacing w:line="357" w:lineRule="auto"/>
              <w:rPr>
                <w:rFonts w:ascii="Arial"/>
                <w:color w:val="auto"/>
                <w:sz w:val="21"/>
                <w:highlight w:val="none"/>
              </w:rPr>
            </w:pPr>
          </w:p>
          <w:p w14:paraId="408DEE94">
            <w:pPr>
              <w:spacing w:line="357" w:lineRule="auto"/>
              <w:rPr>
                <w:rFonts w:ascii="Arial"/>
                <w:color w:val="auto"/>
                <w:sz w:val="21"/>
                <w:highlight w:val="none"/>
              </w:rPr>
            </w:pPr>
          </w:p>
          <w:p w14:paraId="4FC462A5">
            <w:pPr>
              <w:pStyle w:val="15"/>
              <w:spacing w:before="65" w:line="228" w:lineRule="auto"/>
              <w:ind w:left="401"/>
              <w:rPr>
                <w:color w:val="auto"/>
                <w:highlight w:val="none"/>
              </w:rPr>
            </w:pPr>
            <w:r>
              <w:rPr>
                <w:color w:val="auto"/>
                <w:spacing w:val="6"/>
                <w:highlight w:val="none"/>
              </w:rPr>
              <w:t>经营范围</w:t>
            </w:r>
          </w:p>
        </w:tc>
        <w:tc>
          <w:tcPr>
            <w:tcW w:w="7341" w:type="dxa"/>
            <w:gridSpan w:val="8"/>
            <w:vAlign w:val="top"/>
          </w:tcPr>
          <w:p w14:paraId="72C9428E">
            <w:pPr>
              <w:rPr>
                <w:rFonts w:ascii="Arial"/>
                <w:color w:val="auto"/>
                <w:sz w:val="21"/>
                <w:highlight w:val="none"/>
              </w:rPr>
            </w:pPr>
          </w:p>
        </w:tc>
      </w:tr>
      <w:tr w14:paraId="4A68E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630" w:type="dxa"/>
            <w:vAlign w:val="top"/>
          </w:tcPr>
          <w:p w14:paraId="4D9C2D13">
            <w:pPr>
              <w:pStyle w:val="15"/>
              <w:spacing w:before="149" w:line="229" w:lineRule="auto"/>
              <w:ind w:left="613"/>
              <w:rPr>
                <w:color w:val="auto"/>
                <w:highlight w:val="none"/>
              </w:rPr>
            </w:pPr>
            <w:r>
              <w:rPr>
                <w:color w:val="auto"/>
                <w:spacing w:val="3"/>
                <w:highlight w:val="none"/>
              </w:rPr>
              <w:t>备注</w:t>
            </w:r>
          </w:p>
        </w:tc>
        <w:tc>
          <w:tcPr>
            <w:tcW w:w="7341" w:type="dxa"/>
            <w:gridSpan w:val="8"/>
            <w:vAlign w:val="top"/>
          </w:tcPr>
          <w:p w14:paraId="1BDC5E14">
            <w:pPr>
              <w:rPr>
                <w:rFonts w:ascii="Arial"/>
                <w:color w:val="auto"/>
                <w:sz w:val="21"/>
                <w:highlight w:val="none"/>
              </w:rPr>
            </w:pPr>
          </w:p>
        </w:tc>
      </w:tr>
    </w:tbl>
    <w:p w14:paraId="3CBAC30F">
      <w:pPr>
        <w:pStyle w:val="2"/>
        <w:rPr>
          <w:color w:val="auto"/>
          <w:highlight w:val="none"/>
        </w:rPr>
      </w:pPr>
    </w:p>
    <w:p w14:paraId="1DC6A833">
      <w:pPr>
        <w:rPr>
          <w:color w:val="auto"/>
          <w:highlight w:val="none"/>
        </w:rPr>
        <w:sectPr>
          <w:footerReference r:id="rId34" w:type="default"/>
          <w:pgSz w:w="11910" w:h="16840"/>
          <w:pgMar w:top="1357" w:right="1451" w:bottom="1019" w:left="1482" w:header="0" w:footer="857" w:gutter="0"/>
          <w:pgNumType w:fmt="decimal"/>
          <w:cols w:space="720" w:num="1"/>
        </w:sectPr>
      </w:pPr>
    </w:p>
    <w:p w14:paraId="770D712C">
      <w:pPr>
        <w:spacing w:before="0" w:line="240" w:lineRule="auto"/>
        <w:ind w:left="0" w:right="0" w:firstLine="0"/>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除竞争性磋商文件规定必须提供以外，供应</w:t>
      </w:r>
      <w:r>
        <w:rPr>
          <w:rFonts w:ascii="宋体" w:hAnsi="宋体" w:eastAsia="宋体" w:cs="宋体"/>
          <w:b/>
          <w:bCs/>
          <w:color w:val="auto"/>
          <w:spacing w:val="4"/>
          <w:sz w:val="31"/>
          <w:szCs w:val="31"/>
          <w:highlight w:val="none"/>
        </w:rPr>
        <w:t>商认为</w:t>
      </w:r>
      <w:r>
        <w:rPr>
          <w:rFonts w:hint="eastAsia" w:ascii="宋体" w:hAnsi="宋体" w:eastAsia="宋体" w:cs="宋体"/>
          <w:b/>
          <w:bCs/>
          <w:color w:val="auto"/>
          <w:spacing w:val="4"/>
          <w:sz w:val="31"/>
          <w:szCs w:val="31"/>
          <w:highlight w:val="none"/>
          <w:lang w:eastAsia="zh-CN"/>
        </w:rPr>
        <w:t>商务文件</w:t>
      </w:r>
      <w:r>
        <w:rPr>
          <w:rFonts w:ascii="宋体" w:hAnsi="宋体" w:eastAsia="宋体" w:cs="宋体"/>
          <w:b/>
          <w:bCs/>
          <w:color w:val="auto"/>
          <w:spacing w:val="4"/>
          <w:sz w:val="31"/>
          <w:szCs w:val="31"/>
          <w:highlight w:val="none"/>
        </w:rPr>
        <w:t>需要提供的</w:t>
      </w:r>
      <w:r>
        <w:rPr>
          <w:rFonts w:ascii="宋体" w:hAnsi="宋体" w:eastAsia="宋体" w:cs="宋体"/>
          <w:b/>
          <w:bCs/>
          <w:color w:val="auto"/>
          <w:spacing w:val="5"/>
          <w:sz w:val="31"/>
          <w:szCs w:val="31"/>
          <w:highlight w:val="none"/>
        </w:rPr>
        <w:t>其他证明材料</w:t>
      </w:r>
    </w:p>
    <w:p w14:paraId="7ACE553C">
      <w:pPr>
        <w:pStyle w:val="2"/>
        <w:spacing w:line="250" w:lineRule="auto"/>
        <w:rPr>
          <w:color w:val="auto"/>
          <w:highlight w:val="none"/>
        </w:rPr>
      </w:pPr>
    </w:p>
    <w:p w14:paraId="34ED94F0">
      <w:pPr>
        <w:spacing w:before="91" w:line="220" w:lineRule="auto"/>
        <w:ind w:left="2592"/>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近三年已完成类似工程一览表（如有）</w:t>
      </w:r>
    </w:p>
    <w:p w14:paraId="3DF7221A">
      <w:pPr>
        <w:spacing w:line="78" w:lineRule="exact"/>
        <w:rPr>
          <w:color w:val="auto"/>
          <w:highlight w:val="none"/>
        </w:rPr>
      </w:pPr>
    </w:p>
    <w:tbl>
      <w:tblPr>
        <w:tblStyle w:val="14"/>
        <w:tblW w:w="9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9"/>
        <w:gridCol w:w="1246"/>
        <w:gridCol w:w="1326"/>
        <w:gridCol w:w="1867"/>
        <w:gridCol w:w="1419"/>
        <w:gridCol w:w="1419"/>
        <w:gridCol w:w="1424"/>
      </w:tblGrid>
      <w:tr w14:paraId="281E4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239" w:type="dxa"/>
            <w:vAlign w:val="top"/>
          </w:tcPr>
          <w:p w14:paraId="222E9565">
            <w:pPr>
              <w:pStyle w:val="15"/>
              <w:spacing w:before="39" w:line="221" w:lineRule="auto"/>
              <w:ind w:left="116"/>
              <w:rPr>
                <w:color w:val="auto"/>
                <w:sz w:val="24"/>
                <w:szCs w:val="24"/>
                <w:highlight w:val="none"/>
              </w:rPr>
            </w:pPr>
            <w:r>
              <w:rPr>
                <w:color w:val="auto"/>
                <w:spacing w:val="-5"/>
                <w:sz w:val="24"/>
                <w:szCs w:val="24"/>
                <w:highlight w:val="none"/>
              </w:rPr>
              <w:t>序号</w:t>
            </w:r>
          </w:p>
        </w:tc>
        <w:tc>
          <w:tcPr>
            <w:tcW w:w="1246" w:type="dxa"/>
            <w:vAlign w:val="top"/>
          </w:tcPr>
          <w:p w14:paraId="2C4A436B">
            <w:pPr>
              <w:pStyle w:val="15"/>
              <w:spacing w:before="40" w:line="220" w:lineRule="auto"/>
              <w:ind w:left="114"/>
              <w:rPr>
                <w:color w:val="auto"/>
                <w:sz w:val="24"/>
                <w:szCs w:val="24"/>
                <w:highlight w:val="none"/>
              </w:rPr>
            </w:pPr>
            <w:r>
              <w:rPr>
                <w:color w:val="auto"/>
                <w:spacing w:val="-4"/>
                <w:sz w:val="24"/>
                <w:szCs w:val="24"/>
                <w:highlight w:val="none"/>
              </w:rPr>
              <w:t>建设单位</w:t>
            </w:r>
          </w:p>
        </w:tc>
        <w:tc>
          <w:tcPr>
            <w:tcW w:w="1326" w:type="dxa"/>
            <w:vAlign w:val="top"/>
          </w:tcPr>
          <w:p w14:paraId="57B138BD">
            <w:pPr>
              <w:pStyle w:val="15"/>
              <w:spacing w:before="40" w:line="220" w:lineRule="auto"/>
              <w:ind w:left="117"/>
              <w:rPr>
                <w:color w:val="auto"/>
                <w:sz w:val="24"/>
                <w:szCs w:val="24"/>
                <w:highlight w:val="none"/>
              </w:rPr>
            </w:pPr>
            <w:r>
              <w:rPr>
                <w:color w:val="auto"/>
                <w:spacing w:val="-4"/>
                <w:sz w:val="24"/>
                <w:szCs w:val="24"/>
                <w:highlight w:val="none"/>
              </w:rPr>
              <w:t>项目名称</w:t>
            </w:r>
          </w:p>
        </w:tc>
        <w:tc>
          <w:tcPr>
            <w:tcW w:w="1867" w:type="dxa"/>
            <w:vAlign w:val="top"/>
          </w:tcPr>
          <w:p w14:paraId="79A30065">
            <w:pPr>
              <w:pStyle w:val="15"/>
              <w:spacing w:before="40" w:line="219" w:lineRule="auto"/>
              <w:ind w:left="118"/>
              <w:rPr>
                <w:color w:val="auto"/>
                <w:sz w:val="24"/>
                <w:szCs w:val="24"/>
                <w:highlight w:val="none"/>
              </w:rPr>
            </w:pPr>
            <w:r>
              <w:rPr>
                <w:color w:val="auto"/>
                <w:spacing w:val="-4"/>
                <w:sz w:val="24"/>
                <w:szCs w:val="24"/>
                <w:highlight w:val="none"/>
              </w:rPr>
              <w:t>建设规模</w:t>
            </w:r>
          </w:p>
        </w:tc>
        <w:tc>
          <w:tcPr>
            <w:tcW w:w="1419" w:type="dxa"/>
            <w:vAlign w:val="top"/>
          </w:tcPr>
          <w:p w14:paraId="13F7453F">
            <w:pPr>
              <w:pStyle w:val="15"/>
              <w:spacing w:before="41" w:line="283" w:lineRule="auto"/>
              <w:ind w:left="117" w:right="103" w:hanging="1"/>
              <w:rPr>
                <w:color w:val="auto"/>
                <w:sz w:val="24"/>
                <w:szCs w:val="24"/>
                <w:highlight w:val="none"/>
              </w:rPr>
            </w:pPr>
            <w:r>
              <w:rPr>
                <w:color w:val="auto"/>
                <w:spacing w:val="-2"/>
                <w:sz w:val="24"/>
                <w:szCs w:val="24"/>
                <w:highlight w:val="none"/>
              </w:rPr>
              <w:t>开、竣工日</w:t>
            </w:r>
            <w:r>
              <w:rPr>
                <w:color w:val="auto"/>
                <w:spacing w:val="3"/>
                <w:sz w:val="24"/>
                <w:szCs w:val="24"/>
                <w:highlight w:val="none"/>
              </w:rPr>
              <w:t xml:space="preserve"> </w:t>
            </w:r>
            <w:r>
              <w:rPr>
                <w:color w:val="auto"/>
                <w:sz w:val="24"/>
                <w:szCs w:val="24"/>
                <w:highlight w:val="none"/>
              </w:rPr>
              <w:t>期</w:t>
            </w:r>
          </w:p>
        </w:tc>
        <w:tc>
          <w:tcPr>
            <w:tcW w:w="1419" w:type="dxa"/>
            <w:vAlign w:val="top"/>
          </w:tcPr>
          <w:p w14:paraId="7C761E8D">
            <w:pPr>
              <w:pStyle w:val="15"/>
              <w:spacing w:before="39" w:line="218" w:lineRule="auto"/>
              <w:ind w:left="118"/>
              <w:rPr>
                <w:color w:val="auto"/>
                <w:sz w:val="24"/>
                <w:szCs w:val="24"/>
                <w:highlight w:val="none"/>
              </w:rPr>
            </w:pPr>
            <w:r>
              <w:rPr>
                <w:color w:val="auto"/>
                <w:spacing w:val="-3"/>
                <w:sz w:val="24"/>
                <w:szCs w:val="24"/>
                <w:highlight w:val="none"/>
              </w:rPr>
              <w:t>合同价款</w:t>
            </w:r>
          </w:p>
        </w:tc>
        <w:tc>
          <w:tcPr>
            <w:tcW w:w="1424" w:type="dxa"/>
            <w:vAlign w:val="top"/>
          </w:tcPr>
          <w:p w14:paraId="04556FA6">
            <w:pPr>
              <w:pStyle w:val="15"/>
              <w:spacing w:before="40" w:line="219" w:lineRule="auto"/>
              <w:ind w:left="117"/>
              <w:rPr>
                <w:color w:val="auto"/>
                <w:sz w:val="24"/>
                <w:szCs w:val="24"/>
                <w:highlight w:val="none"/>
              </w:rPr>
            </w:pPr>
            <w:r>
              <w:rPr>
                <w:color w:val="auto"/>
                <w:spacing w:val="-3"/>
                <w:sz w:val="24"/>
                <w:szCs w:val="24"/>
                <w:highlight w:val="none"/>
              </w:rPr>
              <w:t>质量等级</w:t>
            </w:r>
          </w:p>
        </w:tc>
      </w:tr>
      <w:tr w14:paraId="0D22A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239" w:type="dxa"/>
            <w:vAlign w:val="top"/>
          </w:tcPr>
          <w:p w14:paraId="4C4E863B">
            <w:pPr>
              <w:rPr>
                <w:rFonts w:ascii="Arial"/>
                <w:color w:val="auto"/>
                <w:sz w:val="21"/>
                <w:highlight w:val="none"/>
              </w:rPr>
            </w:pPr>
          </w:p>
        </w:tc>
        <w:tc>
          <w:tcPr>
            <w:tcW w:w="1246" w:type="dxa"/>
            <w:vAlign w:val="top"/>
          </w:tcPr>
          <w:p w14:paraId="23C01E01">
            <w:pPr>
              <w:rPr>
                <w:rFonts w:ascii="Arial"/>
                <w:color w:val="auto"/>
                <w:sz w:val="21"/>
                <w:highlight w:val="none"/>
              </w:rPr>
            </w:pPr>
          </w:p>
        </w:tc>
        <w:tc>
          <w:tcPr>
            <w:tcW w:w="1326" w:type="dxa"/>
            <w:vAlign w:val="top"/>
          </w:tcPr>
          <w:p w14:paraId="796D0F04">
            <w:pPr>
              <w:rPr>
                <w:rFonts w:ascii="Arial"/>
                <w:color w:val="auto"/>
                <w:sz w:val="21"/>
                <w:highlight w:val="none"/>
              </w:rPr>
            </w:pPr>
          </w:p>
        </w:tc>
        <w:tc>
          <w:tcPr>
            <w:tcW w:w="1867" w:type="dxa"/>
            <w:vAlign w:val="top"/>
          </w:tcPr>
          <w:p w14:paraId="0EF3F45F">
            <w:pPr>
              <w:rPr>
                <w:rFonts w:ascii="Arial"/>
                <w:color w:val="auto"/>
                <w:sz w:val="21"/>
                <w:highlight w:val="none"/>
              </w:rPr>
            </w:pPr>
          </w:p>
        </w:tc>
        <w:tc>
          <w:tcPr>
            <w:tcW w:w="1419" w:type="dxa"/>
            <w:vAlign w:val="top"/>
          </w:tcPr>
          <w:p w14:paraId="4F7D668E">
            <w:pPr>
              <w:rPr>
                <w:rFonts w:ascii="Arial"/>
                <w:color w:val="auto"/>
                <w:sz w:val="21"/>
                <w:highlight w:val="none"/>
              </w:rPr>
            </w:pPr>
          </w:p>
        </w:tc>
        <w:tc>
          <w:tcPr>
            <w:tcW w:w="1419" w:type="dxa"/>
            <w:vAlign w:val="top"/>
          </w:tcPr>
          <w:p w14:paraId="550BFA7C">
            <w:pPr>
              <w:rPr>
                <w:rFonts w:ascii="Arial"/>
                <w:color w:val="auto"/>
                <w:sz w:val="21"/>
                <w:highlight w:val="none"/>
              </w:rPr>
            </w:pPr>
          </w:p>
        </w:tc>
        <w:tc>
          <w:tcPr>
            <w:tcW w:w="1424" w:type="dxa"/>
            <w:vAlign w:val="top"/>
          </w:tcPr>
          <w:p w14:paraId="2B5E8608">
            <w:pPr>
              <w:rPr>
                <w:rFonts w:ascii="Arial"/>
                <w:color w:val="auto"/>
                <w:sz w:val="21"/>
                <w:highlight w:val="none"/>
              </w:rPr>
            </w:pPr>
          </w:p>
        </w:tc>
      </w:tr>
      <w:tr w14:paraId="7600F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239" w:type="dxa"/>
            <w:vAlign w:val="top"/>
          </w:tcPr>
          <w:p w14:paraId="68623770">
            <w:pPr>
              <w:rPr>
                <w:rFonts w:ascii="Arial"/>
                <w:color w:val="auto"/>
                <w:sz w:val="21"/>
                <w:highlight w:val="none"/>
              </w:rPr>
            </w:pPr>
          </w:p>
        </w:tc>
        <w:tc>
          <w:tcPr>
            <w:tcW w:w="1246" w:type="dxa"/>
            <w:vAlign w:val="top"/>
          </w:tcPr>
          <w:p w14:paraId="38719FF8">
            <w:pPr>
              <w:rPr>
                <w:rFonts w:ascii="Arial"/>
                <w:color w:val="auto"/>
                <w:sz w:val="21"/>
                <w:highlight w:val="none"/>
              </w:rPr>
            </w:pPr>
          </w:p>
        </w:tc>
        <w:tc>
          <w:tcPr>
            <w:tcW w:w="1326" w:type="dxa"/>
            <w:vAlign w:val="top"/>
          </w:tcPr>
          <w:p w14:paraId="11763F47">
            <w:pPr>
              <w:rPr>
                <w:rFonts w:ascii="Arial"/>
                <w:color w:val="auto"/>
                <w:sz w:val="21"/>
                <w:highlight w:val="none"/>
              </w:rPr>
            </w:pPr>
          </w:p>
        </w:tc>
        <w:tc>
          <w:tcPr>
            <w:tcW w:w="1867" w:type="dxa"/>
            <w:vAlign w:val="top"/>
          </w:tcPr>
          <w:p w14:paraId="6A0BCC81">
            <w:pPr>
              <w:rPr>
                <w:rFonts w:ascii="Arial"/>
                <w:color w:val="auto"/>
                <w:sz w:val="21"/>
                <w:highlight w:val="none"/>
              </w:rPr>
            </w:pPr>
          </w:p>
        </w:tc>
        <w:tc>
          <w:tcPr>
            <w:tcW w:w="1419" w:type="dxa"/>
            <w:vAlign w:val="top"/>
          </w:tcPr>
          <w:p w14:paraId="374A7839">
            <w:pPr>
              <w:rPr>
                <w:rFonts w:ascii="Arial"/>
                <w:color w:val="auto"/>
                <w:sz w:val="21"/>
                <w:highlight w:val="none"/>
              </w:rPr>
            </w:pPr>
          </w:p>
        </w:tc>
        <w:tc>
          <w:tcPr>
            <w:tcW w:w="1419" w:type="dxa"/>
            <w:vAlign w:val="top"/>
          </w:tcPr>
          <w:p w14:paraId="137CA9B5">
            <w:pPr>
              <w:rPr>
                <w:rFonts w:ascii="Arial"/>
                <w:color w:val="auto"/>
                <w:sz w:val="21"/>
                <w:highlight w:val="none"/>
              </w:rPr>
            </w:pPr>
          </w:p>
        </w:tc>
        <w:tc>
          <w:tcPr>
            <w:tcW w:w="1424" w:type="dxa"/>
            <w:vAlign w:val="top"/>
          </w:tcPr>
          <w:p w14:paraId="2B435E00">
            <w:pPr>
              <w:rPr>
                <w:rFonts w:ascii="Arial"/>
                <w:color w:val="auto"/>
                <w:sz w:val="21"/>
                <w:highlight w:val="none"/>
              </w:rPr>
            </w:pPr>
          </w:p>
        </w:tc>
      </w:tr>
      <w:tr w14:paraId="0DD0A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239" w:type="dxa"/>
            <w:vAlign w:val="top"/>
          </w:tcPr>
          <w:p w14:paraId="6755B585">
            <w:pPr>
              <w:rPr>
                <w:rFonts w:ascii="Arial"/>
                <w:color w:val="auto"/>
                <w:sz w:val="21"/>
                <w:highlight w:val="none"/>
              </w:rPr>
            </w:pPr>
          </w:p>
        </w:tc>
        <w:tc>
          <w:tcPr>
            <w:tcW w:w="1246" w:type="dxa"/>
            <w:vAlign w:val="top"/>
          </w:tcPr>
          <w:p w14:paraId="7FE3AF07">
            <w:pPr>
              <w:rPr>
                <w:rFonts w:ascii="Arial"/>
                <w:color w:val="auto"/>
                <w:sz w:val="21"/>
                <w:highlight w:val="none"/>
              </w:rPr>
            </w:pPr>
          </w:p>
        </w:tc>
        <w:tc>
          <w:tcPr>
            <w:tcW w:w="1326" w:type="dxa"/>
            <w:vAlign w:val="top"/>
          </w:tcPr>
          <w:p w14:paraId="48823F55">
            <w:pPr>
              <w:rPr>
                <w:rFonts w:ascii="Arial"/>
                <w:color w:val="auto"/>
                <w:sz w:val="21"/>
                <w:highlight w:val="none"/>
              </w:rPr>
            </w:pPr>
          </w:p>
        </w:tc>
        <w:tc>
          <w:tcPr>
            <w:tcW w:w="1867" w:type="dxa"/>
            <w:vAlign w:val="top"/>
          </w:tcPr>
          <w:p w14:paraId="4E62D03C">
            <w:pPr>
              <w:rPr>
                <w:rFonts w:ascii="Arial"/>
                <w:color w:val="auto"/>
                <w:sz w:val="21"/>
                <w:highlight w:val="none"/>
              </w:rPr>
            </w:pPr>
          </w:p>
        </w:tc>
        <w:tc>
          <w:tcPr>
            <w:tcW w:w="1419" w:type="dxa"/>
            <w:vAlign w:val="top"/>
          </w:tcPr>
          <w:p w14:paraId="76D67EE9">
            <w:pPr>
              <w:rPr>
                <w:rFonts w:ascii="Arial"/>
                <w:color w:val="auto"/>
                <w:sz w:val="21"/>
                <w:highlight w:val="none"/>
              </w:rPr>
            </w:pPr>
          </w:p>
        </w:tc>
        <w:tc>
          <w:tcPr>
            <w:tcW w:w="1419" w:type="dxa"/>
            <w:vAlign w:val="top"/>
          </w:tcPr>
          <w:p w14:paraId="38B8FF68">
            <w:pPr>
              <w:rPr>
                <w:rFonts w:ascii="Arial"/>
                <w:color w:val="auto"/>
                <w:sz w:val="21"/>
                <w:highlight w:val="none"/>
              </w:rPr>
            </w:pPr>
          </w:p>
        </w:tc>
        <w:tc>
          <w:tcPr>
            <w:tcW w:w="1424" w:type="dxa"/>
            <w:vAlign w:val="top"/>
          </w:tcPr>
          <w:p w14:paraId="14759C0E">
            <w:pPr>
              <w:rPr>
                <w:rFonts w:ascii="Arial"/>
                <w:color w:val="auto"/>
                <w:sz w:val="21"/>
                <w:highlight w:val="none"/>
              </w:rPr>
            </w:pPr>
          </w:p>
        </w:tc>
      </w:tr>
      <w:tr w14:paraId="7A427A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239" w:type="dxa"/>
            <w:vAlign w:val="top"/>
          </w:tcPr>
          <w:p w14:paraId="77A656B2">
            <w:pPr>
              <w:rPr>
                <w:rFonts w:ascii="Arial"/>
                <w:color w:val="auto"/>
                <w:sz w:val="21"/>
                <w:highlight w:val="none"/>
              </w:rPr>
            </w:pPr>
          </w:p>
        </w:tc>
        <w:tc>
          <w:tcPr>
            <w:tcW w:w="1246" w:type="dxa"/>
            <w:vAlign w:val="top"/>
          </w:tcPr>
          <w:p w14:paraId="1984D925">
            <w:pPr>
              <w:rPr>
                <w:rFonts w:ascii="Arial"/>
                <w:color w:val="auto"/>
                <w:sz w:val="21"/>
                <w:highlight w:val="none"/>
              </w:rPr>
            </w:pPr>
          </w:p>
        </w:tc>
        <w:tc>
          <w:tcPr>
            <w:tcW w:w="1326" w:type="dxa"/>
            <w:vAlign w:val="top"/>
          </w:tcPr>
          <w:p w14:paraId="44D0E3D9">
            <w:pPr>
              <w:rPr>
                <w:rFonts w:ascii="Arial"/>
                <w:color w:val="auto"/>
                <w:sz w:val="21"/>
                <w:highlight w:val="none"/>
              </w:rPr>
            </w:pPr>
          </w:p>
        </w:tc>
        <w:tc>
          <w:tcPr>
            <w:tcW w:w="1867" w:type="dxa"/>
            <w:vAlign w:val="top"/>
          </w:tcPr>
          <w:p w14:paraId="6E6E9D87">
            <w:pPr>
              <w:rPr>
                <w:rFonts w:ascii="Arial"/>
                <w:color w:val="auto"/>
                <w:sz w:val="21"/>
                <w:highlight w:val="none"/>
              </w:rPr>
            </w:pPr>
          </w:p>
        </w:tc>
        <w:tc>
          <w:tcPr>
            <w:tcW w:w="1419" w:type="dxa"/>
            <w:vAlign w:val="top"/>
          </w:tcPr>
          <w:p w14:paraId="46DA5447">
            <w:pPr>
              <w:rPr>
                <w:rFonts w:ascii="Arial"/>
                <w:color w:val="auto"/>
                <w:sz w:val="21"/>
                <w:highlight w:val="none"/>
              </w:rPr>
            </w:pPr>
          </w:p>
        </w:tc>
        <w:tc>
          <w:tcPr>
            <w:tcW w:w="1419" w:type="dxa"/>
            <w:vAlign w:val="top"/>
          </w:tcPr>
          <w:p w14:paraId="406D42D0">
            <w:pPr>
              <w:rPr>
                <w:rFonts w:ascii="Arial"/>
                <w:color w:val="auto"/>
                <w:sz w:val="21"/>
                <w:highlight w:val="none"/>
              </w:rPr>
            </w:pPr>
          </w:p>
        </w:tc>
        <w:tc>
          <w:tcPr>
            <w:tcW w:w="1424" w:type="dxa"/>
            <w:vAlign w:val="top"/>
          </w:tcPr>
          <w:p w14:paraId="67F27B29">
            <w:pPr>
              <w:rPr>
                <w:rFonts w:ascii="Arial"/>
                <w:color w:val="auto"/>
                <w:sz w:val="21"/>
                <w:highlight w:val="none"/>
              </w:rPr>
            </w:pPr>
          </w:p>
        </w:tc>
      </w:tr>
      <w:tr w14:paraId="4B9C0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239" w:type="dxa"/>
            <w:vAlign w:val="top"/>
          </w:tcPr>
          <w:p w14:paraId="2EBBB4DA">
            <w:pPr>
              <w:rPr>
                <w:rFonts w:ascii="Arial"/>
                <w:color w:val="auto"/>
                <w:sz w:val="21"/>
                <w:highlight w:val="none"/>
              </w:rPr>
            </w:pPr>
          </w:p>
        </w:tc>
        <w:tc>
          <w:tcPr>
            <w:tcW w:w="1246" w:type="dxa"/>
            <w:vAlign w:val="top"/>
          </w:tcPr>
          <w:p w14:paraId="4826C7B9">
            <w:pPr>
              <w:rPr>
                <w:rFonts w:ascii="Arial"/>
                <w:color w:val="auto"/>
                <w:sz w:val="21"/>
                <w:highlight w:val="none"/>
              </w:rPr>
            </w:pPr>
          </w:p>
        </w:tc>
        <w:tc>
          <w:tcPr>
            <w:tcW w:w="1326" w:type="dxa"/>
            <w:vAlign w:val="top"/>
          </w:tcPr>
          <w:p w14:paraId="57BA9E8E">
            <w:pPr>
              <w:rPr>
                <w:rFonts w:ascii="Arial"/>
                <w:color w:val="auto"/>
                <w:sz w:val="21"/>
                <w:highlight w:val="none"/>
              </w:rPr>
            </w:pPr>
          </w:p>
        </w:tc>
        <w:tc>
          <w:tcPr>
            <w:tcW w:w="1867" w:type="dxa"/>
            <w:vAlign w:val="top"/>
          </w:tcPr>
          <w:p w14:paraId="35819B73">
            <w:pPr>
              <w:rPr>
                <w:rFonts w:ascii="Arial"/>
                <w:color w:val="auto"/>
                <w:sz w:val="21"/>
                <w:highlight w:val="none"/>
              </w:rPr>
            </w:pPr>
          </w:p>
        </w:tc>
        <w:tc>
          <w:tcPr>
            <w:tcW w:w="1419" w:type="dxa"/>
            <w:vAlign w:val="top"/>
          </w:tcPr>
          <w:p w14:paraId="07B7C828">
            <w:pPr>
              <w:rPr>
                <w:rFonts w:ascii="Arial"/>
                <w:color w:val="auto"/>
                <w:sz w:val="21"/>
                <w:highlight w:val="none"/>
              </w:rPr>
            </w:pPr>
          </w:p>
        </w:tc>
        <w:tc>
          <w:tcPr>
            <w:tcW w:w="1419" w:type="dxa"/>
            <w:vAlign w:val="top"/>
          </w:tcPr>
          <w:p w14:paraId="0A567610">
            <w:pPr>
              <w:rPr>
                <w:rFonts w:ascii="Arial"/>
                <w:color w:val="auto"/>
                <w:sz w:val="21"/>
                <w:highlight w:val="none"/>
              </w:rPr>
            </w:pPr>
          </w:p>
        </w:tc>
        <w:tc>
          <w:tcPr>
            <w:tcW w:w="1424" w:type="dxa"/>
            <w:vAlign w:val="top"/>
          </w:tcPr>
          <w:p w14:paraId="7B7074CC">
            <w:pPr>
              <w:rPr>
                <w:rFonts w:ascii="Arial"/>
                <w:color w:val="auto"/>
                <w:sz w:val="21"/>
                <w:highlight w:val="none"/>
              </w:rPr>
            </w:pPr>
          </w:p>
        </w:tc>
      </w:tr>
      <w:tr w14:paraId="1031D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239" w:type="dxa"/>
            <w:vAlign w:val="top"/>
          </w:tcPr>
          <w:p w14:paraId="464D29AA">
            <w:pPr>
              <w:rPr>
                <w:rFonts w:ascii="Arial"/>
                <w:color w:val="auto"/>
                <w:sz w:val="21"/>
                <w:highlight w:val="none"/>
              </w:rPr>
            </w:pPr>
          </w:p>
        </w:tc>
        <w:tc>
          <w:tcPr>
            <w:tcW w:w="1246" w:type="dxa"/>
            <w:vAlign w:val="top"/>
          </w:tcPr>
          <w:p w14:paraId="0F67B5DE">
            <w:pPr>
              <w:rPr>
                <w:rFonts w:ascii="Arial"/>
                <w:color w:val="auto"/>
                <w:sz w:val="21"/>
                <w:highlight w:val="none"/>
              </w:rPr>
            </w:pPr>
          </w:p>
        </w:tc>
        <w:tc>
          <w:tcPr>
            <w:tcW w:w="1326" w:type="dxa"/>
            <w:vAlign w:val="top"/>
          </w:tcPr>
          <w:p w14:paraId="672AA2BE">
            <w:pPr>
              <w:rPr>
                <w:rFonts w:ascii="Arial"/>
                <w:color w:val="auto"/>
                <w:sz w:val="21"/>
                <w:highlight w:val="none"/>
              </w:rPr>
            </w:pPr>
          </w:p>
        </w:tc>
        <w:tc>
          <w:tcPr>
            <w:tcW w:w="1867" w:type="dxa"/>
            <w:vAlign w:val="top"/>
          </w:tcPr>
          <w:p w14:paraId="70A84965">
            <w:pPr>
              <w:rPr>
                <w:rFonts w:ascii="Arial"/>
                <w:color w:val="auto"/>
                <w:sz w:val="21"/>
                <w:highlight w:val="none"/>
              </w:rPr>
            </w:pPr>
          </w:p>
        </w:tc>
        <w:tc>
          <w:tcPr>
            <w:tcW w:w="1419" w:type="dxa"/>
            <w:vAlign w:val="top"/>
          </w:tcPr>
          <w:p w14:paraId="7BFC4596">
            <w:pPr>
              <w:rPr>
                <w:rFonts w:ascii="Arial"/>
                <w:color w:val="auto"/>
                <w:sz w:val="21"/>
                <w:highlight w:val="none"/>
              </w:rPr>
            </w:pPr>
          </w:p>
        </w:tc>
        <w:tc>
          <w:tcPr>
            <w:tcW w:w="1419" w:type="dxa"/>
            <w:vAlign w:val="top"/>
          </w:tcPr>
          <w:p w14:paraId="339B4AAE">
            <w:pPr>
              <w:rPr>
                <w:rFonts w:ascii="Arial"/>
                <w:color w:val="auto"/>
                <w:sz w:val="21"/>
                <w:highlight w:val="none"/>
              </w:rPr>
            </w:pPr>
          </w:p>
        </w:tc>
        <w:tc>
          <w:tcPr>
            <w:tcW w:w="1424" w:type="dxa"/>
            <w:vAlign w:val="top"/>
          </w:tcPr>
          <w:p w14:paraId="74048BFE">
            <w:pPr>
              <w:rPr>
                <w:rFonts w:ascii="Arial"/>
                <w:color w:val="auto"/>
                <w:sz w:val="21"/>
                <w:highlight w:val="none"/>
              </w:rPr>
            </w:pPr>
          </w:p>
        </w:tc>
      </w:tr>
      <w:tr w14:paraId="27DB7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239" w:type="dxa"/>
            <w:vAlign w:val="top"/>
          </w:tcPr>
          <w:p w14:paraId="0BBF4BFB">
            <w:pPr>
              <w:rPr>
                <w:rFonts w:ascii="Arial"/>
                <w:color w:val="auto"/>
                <w:sz w:val="21"/>
                <w:highlight w:val="none"/>
              </w:rPr>
            </w:pPr>
          </w:p>
        </w:tc>
        <w:tc>
          <w:tcPr>
            <w:tcW w:w="1246" w:type="dxa"/>
            <w:vAlign w:val="top"/>
          </w:tcPr>
          <w:p w14:paraId="212B8A0A">
            <w:pPr>
              <w:rPr>
                <w:rFonts w:ascii="Arial"/>
                <w:color w:val="auto"/>
                <w:sz w:val="21"/>
                <w:highlight w:val="none"/>
              </w:rPr>
            </w:pPr>
          </w:p>
        </w:tc>
        <w:tc>
          <w:tcPr>
            <w:tcW w:w="1326" w:type="dxa"/>
            <w:vAlign w:val="top"/>
          </w:tcPr>
          <w:p w14:paraId="0E77AFFE">
            <w:pPr>
              <w:rPr>
                <w:rFonts w:ascii="Arial"/>
                <w:color w:val="auto"/>
                <w:sz w:val="21"/>
                <w:highlight w:val="none"/>
              </w:rPr>
            </w:pPr>
          </w:p>
        </w:tc>
        <w:tc>
          <w:tcPr>
            <w:tcW w:w="1867" w:type="dxa"/>
            <w:vAlign w:val="top"/>
          </w:tcPr>
          <w:p w14:paraId="7FF459CE">
            <w:pPr>
              <w:rPr>
                <w:rFonts w:ascii="Arial"/>
                <w:color w:val="auto"/>
                <w:sz w:val="21"/>
                <w:highlight w:val="none"/>
              </w:rPr>
            </w:pPr>
          </w:p>
        </w:tc>
        <w:tc>
          <w:tcPr>
            <w:tcW w:w="1419" w:type="dxa"/>
            <w:vAlign w:val="top"/>
          </w:tcPr>
          <w:p w14:paraId="3A60400B">
            <w:pPr>
              <w:rPr>
                <w:rFonts w:ascii="Arial"/>
                <w:color w:val="auto"/>
                <w:sz w:val="21"/>
                <w:highlight w:val="none"/>
              </w:rPr>
            </w:pPr>
          </w:p>
        </w:tc>
        <w:tc>
          <w:tcPr>
            <w:tcW w:w="1419" w:type="dxa"/>
            <w:vAlign w:val="top"/>
          </w:tcPr>
          <w:p w14:paraId="021958AF">
            <w:pPr>
              <w:rPr>
                <w:rFonts w:ascii="Arial"/>
                <w:color w:val="auto"/>
                <w:sz w:val="21"/>
                <w:highlight w:val="none"/>
              </w:rPr>
            </w:pPr>
          </w:p>
        </w:tc>
        <w:tc>
          <w:tcPr>
            <w:tcW w:w="1424" w:type="dxa"/>
            <w:vAlign w:val="top"/>
          </w:tcPr>
          <w:p w14:paraId="6988C326">
            <w:pPr>
              <w:rPr>
                <w:rFonts w:ascii="Arial"/>
                <w:color w:val="auto"/>
                <w:sz w:val="21"/>
                <w:highlight w:val="none"/>
              </w:rPr>
            </w:pPr>
          </w:p>
        </w:tc>
      </w:tr>
      <w:tr w14:paraId="2BF3A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239" w:type="dxa"/>
            <w:vAlign w:val="top"/>
          </w:tcPr>
          <w:p w14:paraId="5B2B3D24">
            <w:pPr>
              <w:rPr>
                <w:rFonts w:ascii="Arial"/>
                <w:color w:val="auto"/>
                <w:sz w:val="21"/>
                <w:highlight w:val="none"/>
              </w:rPr>
            </w:pPr>
          </w:p>
        </w:tc>
        <w:tc>
          <w:tcPr>
            <w:tcW w:w="1246" w:type="dxa"/>
            <w:vAlign w:val="top"/>
          </w:tcPr>
          <w:p w14:paraId="11DD153A">
            <w:pPr>
              <w:rPr>
                <w:rFonts w:ascii="Arial"/>
                <w:color w:val="auto"/>
                <w:sz w:val="21"/>
                <w:highlight w:val="none"/>
              </w:rPr>
            </w:pPr>
          </w:p>
        </w:tc>
        <w:tc>
          <w:tcPr>
            <w:tcW w:w="1326" w:type="dxa"/>
            <w:vAlign w:val="top"/>
          </w:tcPr>
          <w:p w14:paraId="4B7DB0A9">
            <w:pPr>
              <w:rPr>
                <w:rFonts w:ascii="Arial"/>
                <w:color w:val="auto"/>
                <w:sz w:val="21"/>
                <w:highlight w:val="none"/>
              </w:rPr>
            </w:pPr>
          </w:p>
        </w:tc>
        <w:tc>
          <w:tcPr>
            <w:tcW w:w="1867" w:type="dxa"/>
            <w:vAlign w:val="top"/>
          </w:tcPr>
          <w:p w14:paraId="02721C2D">
            <w:pPr>
              <w:rPr>
                <w:rFonts w:ascii="Arial"/>
                <w:color w:val="auto"/>
                <w:sz w:val="21"/>
                <w:highlight w:val="none"/>
              </w:rPr>
            </w:pPr>
          </w:p>
        </w:tc>
        <w:tc>
          <w:tcPr>
            <w:tcW w:w="1419" w:type="dxa"/>
            <w:vAlign w:val="top"/>
          </w:tcPr>
          <w:p w14:paraId="656C2E18">
            <w:pPr>
              <w:rPr>
                <w:rFonts w:ascii="Arial"/>
                <w:color w:val="auto"/>
                <w:sz w:val="21"/>
                <w:highlight w:val="none"/>
              </w:rPr>
            </w:pPr>
          </w:p>
        </w:tc>
        <w:tc>
          <w:tcPr>
            <w:tcW w:w="1419" w:type="dxa"/>
            <w:vAlign w:val="top"/>
          </w:tcPr>
          <w:p w14:paraId="7E705F18">
            <w:pPr>
              <w:rPr>
                <w:rFonts w:ascii="Arial"/>
                <w:color w:val="auto"/>
                <w:sz w:val="21"/>
                <w:highlight w:val="none"/>
              </w:rPr>
            </w:pPr>
          </w:p>
        </w:tc>
        <w:tc>
          <w:tcPr>
            <w:tcW w:w="1424" w:type="dxa"/>
            <w:vAlign w:val="top"/>
          </w:tcPr>
          <w:p w14:paraId="5093B12F">
            <w:pPr>
              <w:rPr>
                <w:rFonts w:ascii="Arial"/>
                <w:color w:val="auto"/>
                <w:sz w:val="21"/>
                <w:highlight w:val="none"/>
              </w:rPr>
            </w:pPr>
          </w:p>
        </w:tc>
      </w:tr>
    </w:tbl>
    <w:p w14:paraId="6B0F6A45">
      <w:pPr>
        <w:spacing w:before="31" w:line="227" w:lineRule="auto"/>
        <w:ind w:left="68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附：中标（成交）通知书或合同协议书或工程竣工验收</w:t>
      </w:r>
      <w:r>
        <w:rPr>
          <w:rFonts w:ascii="宋体" w:hAnsi="宋体" w:eastAsia="宋体" w:cs="宋体"/>
          <w:color w:val="auto"/>
          <w:spacing w:val="8"/>
          <w:sz w:val="20"/>
          <w:szCs w:val="20"/>
          <w:highlight w:val="none"/>
        </w:rPr>
        <w:t>证明</w:t>
      </w:r>
    </w:p>
    <w:p w14:paraId="6FE5964F">
      <w:pPr>
        <w:pStyle w:val="2"/>
        <w:spacing w:line="349" w:lineRule="auto"/>
        <w:rPr>
          <w:color w:val="auto"/>
          <w:highlight w:val="none"/>
        </w:rPr>
      </w:pPr>
    </w:p>
    <w:p w14:paraId="18C6B4B5">
      <w:pPr>
        <w:spacing w:before="91" w:line="224" w:lineRule="auto"/>
        <w:ind w:left="676"/>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或</w:t>
      </w:r>
    </w:p>
    <w:p w14:paraId="69397947">
      <w:pPr>
        <w:spacing w:before="117" w:line="220" w:lineRule="auto"/>
        <w:ind w:left="2453"/>
        <w:rPr>
          <w:rFonts w:ascii="宋体" w:hAnsi="宋体" w:eastAsia="宋体" w:cs="宋体"/>
          <w:color w:val="auto"/>
          <w:sz w:val="28"/>
          <w:szCs w:val="28"/>
          <w:highlight w:val="none"/>
        </w:rPr>
      </w:pPr>
      <w:r>
        <w:rPr>
          <w:rFonts w:ascii="宋体" w:hAnsi="宋体" w:eastAsia="宋体" w:cs="宋体"/>
          <w:b/>
          <w:bCs/>
          <w:color w:val="auto"/>
          <w:spacing w:val="-3"/>
          <w:sz w:val="28"/>
          <w:szCs w:val="28"/>
          <w:highlight w:val="none"/>
        </w:rPr>
        <w:t>近三年以来在建类似工程一览表（如有）</w:t>
      </w:r>
    </w:p>
    <w:p w14:paraId="164E33D7">
      <w:pPr>
        <w:spacing w:before="178"/>
        <w:rPr>
          <w:color w:val="auto"/>
          <w:highlight w:val="none"/>
        </w:rPr>
      </w:pPr>
    </w:p>
    <w:tbl>
      <w:tblPr>
        <w:tblStyle w:val="14"/>
        <w:tblW w:w="9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9"/>
        <w:gridCol w:w="1246"/>
        <w:gridCol w:w="1326"/>
        <w:gridCol w:w="1867"/>
        <w:gridCol w:w="1419"/>
        <w:gridCol w:w="1419"/>
        <w:gridCol w:w="1424"/>
      </w:tblGrid>
      <w:tr w14:paraId="3C537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1239" w:type="dxa"/>
            <w:vAlign w:val="top"/>
          </w:tcPr>
          <w:p w14:paraId="00F558F7">
            <w:pPr>
              <w:pStyle w:val="15"/>
              <w:spacing w:before="40" w:line="221" w:lineRule="auto"/>
              <w:ind w:left="116"/>
              <w:rPr>
                <w:color w:val="auto"/>
                <w:sz w:val="24"/>
                <w:szCs w:val="24"/>
                <w:highlight w:val="none"/>
              </w:rPr>
            </w:pPr>
            <w:r>
              <w:rPr>
                <w:color w:val="auto"/>
                <w:spacing w:val="-5"/>
                <w:sz w:val="24"/>
                <w:szCs w:val="24"/>
                <w:highlight w:val="none"/>
              </w:rPr>
              <w:t>序号</w:t>
            </w:r>
          </w:p>
        </w:tc>
        <w:tc>
          <w:tcPr>
            <w:tcW w:w="1246" w:type="dxa"/>
            <w:vAlign w:val="top"/>
          </w:tcPr>
          <w:p w14:paraId="5AED1D03">
            <w:pPr>
              <w:pStyle w:val="15"/>
              <w:spacing w:before="40" w:line="220" w:lineRule="auto"/>
              <w:ind w:left="114"/>
              <w:rPr>
                <w:color w:val="auto"/>
                <w:sz w:val="24"/>
                <w:szCs w:val="24"/>
                <w:highlight w:val="none"/>
              </w:rPr>
            </w:pPr>
            <w:r>
              <w:rPr>
                <w:color w:val="auto"/>
                <w:spacing w:val="-4"/>
                <w:sz w:val="24"/>
                <w:szCs w:val="24"/>
                <w:highlight w:val="none"/>
              </w:rPr>
              <w:t>建设单位</w:t>
            </w:r>
          </w:p>
        </w:tc>
        <w:tc>
          <w:tcPr>
            <w:tcW w:w="1326" w:type="dxa"/>
            <w:vAlign w:val="top"/>
          </w:tcPr>
          <w:p w14:paraId="71F306DD">
            <w:pPr>
              <w:pStyle w:val="15"/>
              <w:spacing w:before="40" w:line="220" w:lineRule="auto"/>
              <w:ind w:left="117"/>
              <w:rPr>
                <w:color w:val="auto"/>
                <w:sz w:val="24"/>
                <w:szCs w:val="24"/>
                <w:highlight w:val="none"/>
              </w:rPr>
            </w:pPr>
            <w:r>
              <w:rPr>
                <w:color w:val="auto"/>
                <w:spacing w:val="-4"/>
                <w:sz w:val="24"/>
                <w:szCs w:val="24"/>
                <w:highlight w:val="none"/>
              </w:rPr>
              <w:t>项目名称</w:t>
            </w:r>
          </w:p>
        </w:tc>
        <w:tc>
          <w:tcPr>
            <w:tcW w:w="1867" w:type="dxa"/>
            <w:vAlign w:val="top"/>
          </w:tcPr>
          <w:p w14:paraId="5AA175F2">
            <w:pPr>
              <w:pStyle w:val="15"/>
              <w:spacing w:before="41" w:line="219" w:lineRule="auto"/>
              <w:ind w:left="118"/>
              <w:rPr>
                <w:color w:val="auto"/>
                <w:sz w:val="24"/>
                <w:szCs w:val="24"/>
                <w:highlight w:val="none"/>
              </w:rPr>
            </w:pPr>
            <w:r>
              <w:rPr>
                <w:color w:val="auto"/>
                <w:spacing w:val="-4"/>
                <w:sz w:val="24"/>
                <w:szCs w:val="24"/>
                <w:highlight w:val="none"/>
              </w:rPr>
              <w:t>建设规模</w:t>
            </w:r>
          </w:p>
        </w:tc>
        <w:tc>
          <w:tcPr>
            <w:tcW w:w="1419" w:type="dxa"/>
            <w:vAlign w:val="top"/>
          </w:tcPr>
          <w:p w14:paraId="20175C23">
            <w:pPr>
              <w:pStyle w:val="15"/>
              <w:spacing w:before="41" w:line="283" w:lineRule="auto"/>
              <w:ind w:left="117" w:right="103" w:hanging="1"/>
              <w:rPr>
                <w:color w:val="auto"/>
                <w:sz w:val="24"/>
                <w:szCs w:val="24"/>
                <w:highlight w:val="none"/>
              </w:rPr>
            </w:pPr>
            <w:r>
              <w:rPr>
                <w:color w:val="auto"/>
                <w:spacing w:val="-2"/>
                <w:sz w:val="24"/>
                <w:szCs w:val="24"/>
                <w:highlight w:val="none"/>
              </w:rPr>
              <w:t>开、竣工日</w:t>
            </w:r>
            <w:r>
              <w:rPr>
                <w:color w:val="auto"/>
                <w:spacing w:val="3"/>
                <w:sz w:val="24"/>
                <w:szCs w:val="24"/>
                <w:highlight w:val="none"/>
              </w:rPr>
              <w:t xml:space="preserve"> </w:t>
            </w:r>
            <w:r>
              <w:rPr>
                <w:color w:val="auto"/>
                <w:sz w:val="24"/>
                <w:szCs w:val="24"/>
                <w:highlight w:val="none"/>
              </w:rPr>
              <w:t>期</w:t>
            </w:r>
          </w:p>
        </w:tc>
        <w:tc>
          <w:tcPr>
            <w:tcW w:w="1419" w:type="dxa"/>
            <w:vAlign w:val="top"/>
          </w:tcPr>
          <w:p w14:paraId="2E38A066">
            <w:pPr>
              <w:pStyle w:val="15"/>
              <w:spacing w:before="40" w:line="218" w:lineRule="auto"/>
              <w:ind w:left="118"/>
              <w:rPr>
                <w:color w:val="auto"/>
                <w:sz w:val="24"/>
                <w:szCs w:val="24"/>
                <w:highlight w:val="none"/>
              </w:rPr>
            </w:pPr>
            <w:r>
              <w:rPr>
                <w:color w:val="auto"/>
                <w:spacing w:val="-3"/>
                <w:sz w:val="24"/>
                <w:szCs w:val="24"/>
                <w:highlight w:val="none"/>
              </w:rPr>
              <w:t>合同价款</w:t>
            </w:r>
          </w:p>
        </w:tc>
        <w:tc>
          <w:tcPr>
            <w:tcW w:w="1424" w:type="dxa"/>
            <w:vAlign w:val="top"/>
          </w:tcPr>
          <w:p w14:paraId="57B95B2D">
            <w:pPr>
              <w:pStyle w:val="15"/>
              <w:spacing w:before="41" w:line="219" w:lineRule="auto"/>
              <w:ind w:left="117"/>
              <w:rPr>
                <w:color w:val="auto"/>
                <w:sz w:val="24"/>
                <w:szCs w:val="24"/>
                <w:highlight w:val="none"/>
              </w:rPr>
            </w:pPr>
            <w:r>
              <w:rPr>
                <w:color w:val="auto"/>
                <w:spacing w:val="-3"/>
                <w:sz w:val="24"/>
                <w:szCs w:val="24"/>
                <w:highlight w:val="none"/>
              </w:rPr>
              <w:t>质量等级</w:t>
            </w:r>
          </w:p>
        </w:tc>
      </w:tr>
      <w:tr w14:paraId="7C938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239" w:type="dxa"/>
            <w:vAlign w:val="top"/>
          </w:tcPr>
          <w:p w14:paraId="091176F7">
            <w:pPr>
              <w:rPr>
                <w:rFonts w:ascii="Arial"/>
                <w:color w:val="auto"/>
                <w:sz w:val="21"/>
                <w:highlight w:val="none"/>
              </w:rPr>
            </w:pPr>
          </w:p>
        </w:tc>
        <w:tc>
          <w:tcPr>
            <w:tcW w:w="1246" w:type="dxa"/>
            <w:vAlign w:val="top"/>
          </w:tcPr>
          <w:p w14:paraId="1802E132">
            <w:pPr>
              <w:rPr>
                <w:rFonts w:ascii="Arial"/>
                <w:color w:val="auto"/>
                <w:sz w:val="21"/>
                <w:highlight w:val="none"/>
              </w:rPr>
            </w:pPr>
          </w:p>
        </w:tc>
        <w:tc>
          <w:tcPr>
            <w:tcW w:w="1326" w:type="dxa"/>
            <w:vAlign w:val="top"/>
          </w:tcPr>
          <w:p w14:paraId="454FBAC0">
            <w:pPr>
              <w:rPr>
                <w:rFonts w:ascii="Arial"/>
                <w:color w:val="auto"/>
                <w:sz w:val="21"/>
                <w:highlight w:val="none"/>
              </w:rPr>
            </w:pPr>
          </w:p>
        </w:tc>
        <w:tc>
          <w:tcPr>
            <w:tcW w:w="1867" w:type="dxa"/>
            <w:vAlign w:val="top"/>
          </w:tcPr>
          <w:p w14:paraId="0FDCF72E">
            <w:pPr>
              <w:rPr>
                <w:rFonts w:ascii="Arial"/>
                <w:color w:val="auto"/>
                <w:sz w:val="21"/>
                <w:highlight w:val="none"/>
              </w:rPr>
            </w:pPr>
          </w:p>
        </w:tc>
        <w:tc>
          <w:tcPr>
            <w:tcW w:w="1419" w:type="dxa"/>
            <w:vAlign w:val="top"/>
          </w:tcPr>
          <w:p w14:paraId="4A0C0B01">
            <w:pPr>
              <w:rPr>
                <w:rFonts w:ascii="Arial"/>
                <w:color w:val="auto"/>
                <w:sz w:val="21"/>
                <w:highlight w:val="none"/>
              </w:rPr>
            </w:pPr>
          </w:p>
        </w:tc>
        <w:tc>
          <w:tcPr>
            <w:tcW w:w="1419" w:type="dxa"/>
            <w:vAlign w:val="top"/>
          </w:tcPr>
          <w:p w14:paraId="42D864E8">
            <w:pPr>
              <w:rPr>
                <w:rFonts w:ascii="Arial"/>
                <w:color w:val="auto"/>
                <w:sz w:val="21"/>
                <w:highlight w:val="none"/>
              </w:rPr>
            </w:pPr>
          </w:p>
        </w:tc>
        <w:tc>
          <w:tcPr>
            <w:tcW w:w="1424" w:type="dxa"/>
            <w:vAlign w:val="top"/>
          </w:tcPr>
          <w:p w14:paraId="11DAD31A">
            <w:pPr>
              <w:rPr>
                <w:rFonts w:ascii="Arial"/>
                <w:color w:val="auto"/>
                <w:sz w:val="21"/>
                <w:highlight w:val="none"/>
              </w:rPr>
            </w:pPr>
          </w:p>
        </w:tc>
      </w:tr>
      <w:tr w14:paraId="588AA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239" w:type="dxa"/>
            <w:vAlign w:val="top"/>
          </w:tcPr>
          <w:p w14:paraId="2FFEFD2F">
            <w:pPr>
              <w:rPr>
                <w:rFonts w:ascii="Arial"/>
                <w:color w:val="auto"/>
                <w:sz w:val="21"/>
                <w:highlight w:val="none"/>
              </w:rPr>
            </w:pPr>
          </w:p>
        </w:tc>
        <w:tc>
          <w:tcPr>
            <w:tcW w:w="1246" w:type="dxa"/>
            <w:vAlign w:val="top"/>
          </w:tcPr>
          <w:p w14:paraId="5BF49C42">
            <w:pPr>
              <w:rPr>
                <w:rFonts w:ascii="Arial"/>
                <w:color w:val="auto"/>
                <w:sz w:val="21"/>
                <w:highlight w:val="none"/>
              </w:rPr>
            </w:pPr>
          </w:p>
        </w:tc>
        <w:tc>
          <w:tcPr>
            <w:tcW w:w="1326" w:type="dxa"/>
            <w:vAlign w:val="top"/>
          </w:tcPr>
          <w:p w14:paraId="5788C2A7">
            <w:pPr>
              <w:rPr>
                <w:rFonts w:ascii="Arial"/>
                <w:color w:val="auto"/>
                <w:sz w:val="21"/>
                <w:highlight w:val="none"/>
              </w:rPr>
            </w:pPr>
          </w:p>
        </w:tc>
        <w:tc>
          <w:tcPr>
            <w:tcW w:w="1867" w:type="dxa"/>
            <w:vAlign w:val="top"/>
          </w:tcPr>
          <w:p w14:paraId="19194F96">
            <w:pPr>
              <w:rPr>
                <w:rFonts w:ascii="Arial"/>
                <w:color w:val="auto"/>
                <w:sz w:val="21"/>
                <w:highlight w:val="none"/>
              </w:rPr>
            </w:pPr>
          </w:p>
        </w:tc>
        <w:tc>
          <w:tcPr>
            <w:tcW w:w="1419" w:type="dxa"/>
            <w:vAlign w:val="top"/>
          </w:tcPr>
          <w:p w14:paraId="2AD2C857">
            <w:pPr>
              <w:rPr>
                <w:rFonts w:ascii="Arial"/>
                <w:color w:val="auto"/>
                <w:sz w:val="21"/>
                <w:highlight w:val="none"/>
              </w:rPr>
            </w:pPr>
          </w:p>
        </w:tc>
        <w:tc>
          <w:tcPr>
            <w:tcW w:w="1419" w:type="dxa"/>
            <w:vAlign w:val="top"/>
          </w:tcPr>
          <w:p w14:paraId="495DE3DE">
            <w:pPr>
              <w:rPr>
                <w:rFonts w:ascii="Arial"/>
                <w:color w:val="auto"/>
                <w:sz w:val="21"/>
                <w:highlight w:val="none"/>
              </w:rPr>
            </w:pPr>
          </w:p>
        </w:tc>
        <w:tc>
          <w:tcPr>
            <w:tcW w:w="1424" w:type="dxa"/>
            <w:vAlign w:val="top"/>
          </w:tcPr>
          <w:p w14:paraId="14F9604B">
            <w:pPr>
              <w:rPr>
                <w:rFonts w:ascii="Arial"/>
                <w:color w:val="auto"/>
                <w:sz w:val="21"/>
                <w:highlight w:val="none"/>
              </w:rPr>
            </w:pPr>
          </w:p>
        </w:tc>
      </w:tr>
      <w:tr w14:paraId="13DD9C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239" w:type="dxa"/>
            <w:vAlign w:val="top"/>
          </w:tcPr>
          <w:p w14:paraId="49AA8740">
            <w:pPr>
              <w:rPr>
                <w:rFonts w:ascii="Arial"/>
                <w:color w:val="auto"/>
                <w:sz w:val="21"/>
                <w:highlight w:val="none"/>
              </w:rPr>
            </w:pPr>
          </w:p>
        </w:tc>
        <w:tc>
          <w:tcPr>
            <w:tcW w:w="1246" w:type="dxa"/>
            <w:vAlign w:val="top"/>
          </w:tcPr>
          <w:p w14:paraId="56449629">
            <w:pPr>
              <w:rPr>
                <w:rFonts w:ascii="Arial"/>
                <w:color w:val="auto"/>
                <w:sz w:val="21"/>
                <w:highlight w:val="none"/>
              </w:rPr>
            </w:pPr>
          </w:p>
        </w:tc>
        <w:tc>
          <w:tcPr>
            <w:tcW w:w="1326" w:type="dxa"/>
            <w:vAlign w:val="top"/>
          </w:tcPr>
          <w:p w14:paraId="69E60744">
            <w:pPr>
              <w:rPr>
                <w:rFonts w:ascii="Arial"/>
                <w:color w:val="auto"/>
                <w:sz w:val="21"/>
                <w:highlight w:val="none"/>
              </w:rPr>
            </w:pPr>
          </w:p>
        </w:tc>
        <w:tc>
          <w:tcPr>
            <w:tcW w:w="1867" w:type="dxa"/>
            <w:vAlign w:val="top"/>
          </w:tcPr>
          <w:p w14:paraId="1CF90906">
            <w:pPr>
              <w:rPr>
                <w:rFonts w:ascii="Arial"/>
                <w:color w:val="auto"/>
                <w:sz w:val="21"/>
                <w:highlight w:val="none"/>
              </w:rPr>
            </w:pPr>
          </w:p>
        </w:tc>
        <w:tc>
          <w:tcPr>
            <w:tcW w:w="1419" w:type="dxa"/>
            <w:vAlign w:val="top"/>
          </w:tcPr>
          <w:p w14:paraId="6DD7149A">
            <w:pPr>
              <w:rPr>
                <w:rFonts w:ascii="Arial"/>
                <w:color w:val="auto"/>
                <w:sz w:val="21"/>
                <w:highlight w:val="none"/>
              </w:rPr>
            </w:pPr>
          </w:p>
        </w:tc>
        <w:tc>
          <w:tcPr>
            <w:tcW w:w="1419" w:type="dxa"/>
            <w:vAlign w:val="top"/>
          </w:tcPr>
          <w:p w14:paraId="5A57F164">
            <w:pPr>
              <w:rPr>
                <w:rFonts w:ascii="Arial"/>
                <w:color w:val="auto"/>
                <w:sz w:val="21"/>
                <w:highlight w:val="none"/>
              </w:rPr>
            </w:pPr>
          </w:p>
        </w:tc>
        <w:tc>
          <w:tcPr>
            <w:tcW w:w="1424" w:type="dxa"/>
            <w:vAlign w:val="top"/>
          </w:tcPr>
          <w:p w14:paraId="16B0FCBA">
            <w:pPr>
              <w:rPr>
                <w:rFonts w:ascii="Arial"/>
                <w:color w:val="auto"/>
                <w:sz w:val="21"/>
                <w:highlight w:val="none"/>
              </w:rPr>
            </w:pPr>
          </w:p>
        </w:tc>
      </w:tr>
      <w:tr w14:paraId="039E4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239" w:type="dxa"/>
            <w:vAlign w:val="top"/>
          </w:tcPr>
          <w:p w14:paraId="4E6C49A1">
            <w:pPr>
              <w:rPr>
                <w:rFonts w:ascii="Arial"/>
                <w:color w:val="auto"/>
                <w:sz w:val="21"/>
                <w:highlight w:val="none"/>
              </w:rPr>
            </w:pPr>
          </w:p>
        </w:tc>
        <w:tc>
          <w:tcPr>
            <w:tcW w:w="1246" w:type="dxa"/>
            <w:vAlign w:val="top"/>
          </w:tcPr>
          <w:p w14:paraId="2266B748">
            <w:pPr>
              <w:rPr>
                <w:rFonts w:ascii="Arial"/>
                <w:color w:val="auto"/>
                <w:sz w:val="21"/>
                <w:highlight w:val="none"/>
              </w:rPr>
            </w:pPr>
          </w:p>
        </w:tc>
        <w:tc>
          <w:tcPr>
            <w:tcW w:w="1326" w:type="dxa"/>
            <w:vAlign w:val="top"/>
          </w:tcPr>
          <w:p w14:paraId="3FB6E218">
            <w:pPr>
              <w:rPr>
                <w:rFonts w:ascii="Arial"/>
                <w:color w:val="auto"/>
                <w:sz w:val="21"/>
                <w:highlight w:val="none"/>
              </w:rPr>
            </w:pPr>
          </w:p>
        </w:tc>
        <w:tc>
          <w:tcPr>
            <w:tcW w:w="1867" w:type="dxa"/>
            <w:vAlign w:val="top"/>
          </w:tcPr>
          <w:p w14:paraId="498D0849">
            <w:pPr>
              <w:rPr>
                <w:rFonts w:ascii="Arial"/>
                <w:color w:val="auto"/>
                <w:sz w:val="21"/>
                <w:highlight w:val="none"/>
              </w:rPr>
            </w:pPr>
          </w:p>
        </w:tc>
        <w:tc>
          <w:tcPr>
            <w:tcW w:w="1419" w:type="dxa"/>
            <w:vAlign w:val="top"/>
          </w:tcPr>
          <w:p w14:paraId="5C527617">
            <w:pPr>
              <w:rPr>
                <w:rFonts w:ascii="Arial"/>
                <w:color w:val="auto"/>
                <w:sz w:val="21"/>
                <w:highlight w:val="none"/>
              </w:rPr>
            </w:pPr>
          </w:p>
        </w:tc>
        <w:tc>
          <w:tcPr>
            <w:tcW w:w="1419" w:type="dxa"/>
            <w:vAlign w:val="top"/>
          </w:tcPr>
          <w:p w14:paraId="295B6C38">
            <w:pPr>
              <w:rPr>
                <w:rFonts w:ascii="Arial"/>
                <w:color w:val="auto"/>
                <w:sz w:val="21"/>
                <w:highlight w:val="none"/>
              </w:rPr>
            </w:pPr>
          </w:p>
        </w:tc>
        <w:tc>
          <w:tcPr>
            <w:tcW w:w="1424" w:type="dxa"/>
            <w:vAlign w:val="top"/>
          </w:tcPr>
          <w:p w14:paraId="542656BA">
            <w:pPr>
              <w:rPr>
                <w:rFonts w:ascii="Arial"/>
                <w:color w:val="auto"/>
                <w:sz w:val="21"/>
                <w:highlight w:val="none"/>
              </w:rPr>
            </w:pPr>
          </w:p>
        </w:tc>
      </w:tr>
      <w:tr w14:paraId="39482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1239" w:type="dxa"/>
            <w:vAlign w:val="top"/>
          </w:tcPr>
          <w:p w14:paraId="0B89C41B">
            <w:pPr>
              <w:rPr>
                <w:rFonts w:ascii="Arial"/>
                <w:color w:val="auto"/>
                <w:sz w:val="21"/>
                <w:highlight w:val="none"/>
              </w:rPr>
            </w:pPr>
          </w:p>
        </w:tc>
        <w:tc>
          <w:tcPr>
            <w:tcW w:w="1246" w:type="dxa"/>
            <w:vAlign w:val="top"/>
          </w:tcPr>
          <w:p w14:paraId="298C8002">
            <w:pPr>
              <w:rPr>
                <w:rFonts w:ascii="Arial"/>
                <w:color w:val="auto"/>
                <w:sz w:val="21"/>
                <w:highlight w:val="none"/>
              </w:rPr>
            </w:pPr>
          </w:p>
        </w:tc>
        <w:tc>
          <w:tcPr>
            <w:tcW w:w="1326" w:type="dxa"/>
            <w:vAlign w:val="top"/>
          </w:tcPr>
          <w:p w14:paraId="66EEB3C5">
            <w:pPr>
              <w:rPr>
                <w:rFonts w:ascii="Arial"/>
                <w:color w:val="auto"/>
                <w:sz w:val="21"/>
                <w:highlight w:val="none"/>
              </w:rPr>
            </w:pPr>
          </w:p>
        </w:tc>
        <w:tc>
          <w:tcPr>
            <w:tcW w:w="1867" w:type="dxa"/>
            <w:vAlign w:val="top"/>
          </w:tcPr>
          <w:p w14:paraId="4AE7ECA8">
            <w:pPr>
              <w:rPr>
                <w:rFonts w:ascii="Arial"/>
                <w:color w:val="auto"/>
                <w:sz w:val="21"/>
                <w:highlight w:val="none"/>
              </w:rPr>
            </w:pPr>
          </w:p>
        </w:tc>
        <w:tc>
          <w:tcPr>
            <w:tcW w:w="1419" w:type="dxa"/>
            <w:vAlign w:val="top"/>
          </w:tcPr>
          <w:p w14:paraId="640C0BA7">
            <w:pPr>
              <w:rPr>
                <w:rFonts w:ascii="Arial"/>
                <w:color w:val="auto"/>
                <w:sz w:val="21"/>
                <w:highlight w:val="none"/>
              </w:rPr>
            </w:pPr>
          </w:p>
        </w:tc>
        <w:tc>
          <w:tcPr>
            <w:tcW w:w="1419" w:type="dxa"/>
            <w:vAlign w:val="top"/>
          </w:tcPr>
          <w:p w14:paraId="487BAE09">
            <w:pPr>
              <w:rPr>
                <w:rFonts w:ascii="Arial"/>
                <w:color w:val="auto"/>
                <w:sz w:val="21"/>
                <w:highlight w:val="none"/>
              </w:rPr>
            </w:pPr>
          </w:p>
        </w:tc>
        <w:tc>
          <w:tcPr>
            <w:tcW w:w="1424" w:type="dxa"/>
            <w:vAlign w:val="top"/>
          </w:tcPr>
          <w:p w14:paraId="05388645">
            <w:pPr>
              <w:rPr>
                <w:rFonts w:ascii="Arial"/>
                <w:color w:val="auto"/>
                <w:sz w:val="21"/>
                <w:highlight w:val="none"/>
              </w:rPr>
            </w:pPr>
          </w:p>
        </w:tc>
      </w:tr>
      <w:tr w14:paraId="3FDFB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239" w:type="dxa"/>
            <w:vAlign w:val="top"/>
          </w:tcPr>
          <w:p w14:paraId="7285D978">
            <w:pPr>
              <w:rPr>
                <w:rFonts w:ascii="Arial"/>
                <w:color w:val="auto"/>
                <w:sz w:val="21"/>
                <w:highlight w:val="none"/>
              </w:rPr>
            </w:pPr>
          </w:p>
        </w:tc>
        <w:tc>
          <w:tcPr>
            <w:tcW w:w="1246" w:type="dxa"/>
            <w:vAlign w:val="top"/>
          </w:tcPr>
          <w:p w14:paraId="178AF233">
            <w:pPr>
              <w:rPr>
                <w:rFonts w:ascii="Arial"/>
                <w:color w:val="auto"/>
                <w:sz w:val="21"/>
                <w:highlight w:val="none"/>
              </w:rPr>
            </w:pPr>
          </w:p>
        </w:tc>
        <w:tc>
          <w:tcPr>
            <w:tcW w:w="1326" w:type="dxa"/>
            <w:vAlign w:val="top"/>
          </w:tcPr>
          <w:p w14:paraId="43D83B1F">
            <w:pPr>
              <w:rPr>
                <w:rFonts w:ascii="Arial"/>
                <w:color w:val="auto"/>
                <w:sz w:val="21"/>
                <w:highlight w:val="none"/>
              </w:rPr>
            </w:pPr>
          </w:p>
        </w:tc>
        <w:tc>
          <w:tcPr>
            <w:tcW w:w="1867" w:type="dxa"/>
            <w:vAlign w:val="top"/>
          </w:tcPr>
          <w:p w14:paraId="25FA8AF9">
            <w:pPr>
              <w:rPr>
                <w:rFonts w:ascii="Arial"/>
                <w:color w:val="auto"/>
                <w:sz w:val="21"/>
                <w:highlight w:val="none"/>
              </w:rPr>
            </w:pPr>
          </w:p>
        </w:tc>
        <w:tc>
          <w:tcPr>
            <w:tcW w:w="1419" w:type="dxa"/>
            <w:vAlign w:val="top"/>
          </w:tcPr>
          <w:p w14:paraId="0FFE0A0F">
            <w:pPr>
              <w:rPr>
                <w:rFonts w:ascii="Arial"/>
                <w:color w:val="auto"/>
                <w:sz w:val="21"/>
                <w:highlight w:val="none"/>
              </w:rPr>
            </w:pPr>
          </w:p>
        </w:tc>
        <w:tc>
          <w:tcPr>
            <w:tcW w:w="1419" w:type="dxa"/>
            <w:vAlign w:val="top"/>
          </w:tcPr>
          <w:p w14:paraId="0D6EC10F">
            <w:pPr>
              <w:rPr>
                <w:rFonts w:ascii="Arial"/>
                <w:color w:val="auto"/>
                <w:sz w:val="21"/>
                <w:highlight w:val="none"/>
              </w:rPr>
            </w:pPr>
          </w:p>
        </w:tc>
        <w:tc>
          <w:tcPr>
            <w:tcW w:w="1424" w:type="dxa"/>
            <w:vAlign w:val="top"/>
          </w:tcPr>
          <w:p w14:paraId="4004E509">
            <w:pPr>
              <w:rPr>
                <w:rFonts w:ascii="Arial"/>
                <w:color w:val="auto"/>
                <w:sz w:val="21"/>
                <w:highlight w:val="none"/>
              </w:rPr>
            </w:pPr>
          </w:p>
        </w:tc>
      </w:tr>
      <w:tr w14:paraId="3EF277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 w:hRule="atLeast"/>
        </w:trPr>
        <w:tc>
          <w:tcPr>
            <w:tcW w:w="1239" w:type="dxa"/>
            <w:vAlign w:val="top"/>
          </w:tcPr>
          <w:p w14:paraId="0EEB48BB">
            <w:pPr>
              <w:rPr>
                <w:rFonts w:ascii="Arial"/>
                <w:color w:val="auto"/>
                <w:sz w:val="21"/>
                <w:highlight w:val="none"/>
              </w:rPr>
            </w:pPr>
          </w:p>
        </w:tc>
        <w:tc>
          <w:tcPr>
            <w:tcW w:w="1246" w:type="dxa"/>
            <w:vAlign w:val="top"/>
          </w:tcPr>
          <w:p w14:paraId="22B1673A">
            <w:pPr>
              <w:rPr>
                <w:rFonts w:ascii="Arial"/>
                <w:color w:val="auto"/>
                <w:sz w:val="21"/>
                <w:highlight w:val="none"/>
              </w:rPr>
            </w:pPr>
          </w:p>
        </w:tc>
        <w:tc>
          <w:tcPr>
            <w:tcW w:w="1326" w:type="dxa"/>
            <w:vAlign w:val="top"/>
          </w:tcPr>
          <w:p w14:paraId="64AE911E">
            <w:pPr>
              <w:rPr>
                <w:rFonts w:ascii="Arial"/>
                <w:color w:val="auto"/>
                <w:sz w:val="21"/>
                <w:highlight w:val="none"/>
              </w:rPr>
            </w:pPr>
          </w:p>
        </w:tc>
        <w:tc>
          <w:tcPr>
            <w:tcW w:w="1867" w:type="dxa"/>
            <w:vAlign w:val="top"/>
          </w:tcPr>
          <w:p w14:paraId="5D44FF5A">
            <w:pPr>
              <w:rPr>
                <w:rFonts w:ascii="Arial"/>
                <w:color w:val="auto"/>
                <w:sz w:val="21"/>
                <w:highlight w:val="none"/>
              </w:rPr>
            </w:pPr>
          </w:p>
        </w:tc>
        <w:tc>
          <w:tcPr>
            <w:tcW w:w="1419" w:type="dxa"/>
            <w:vAlign w:val="top"/>
          </w:tcPr>
          <w:p w14:paraId="38D50040">
            <w:pPr>
              <w:rPr>
                <w:rFonts w:ascii="Arial"/>
                <w:color w:val="auto"/>
                <w:sz w:val="21"/>
                <w:highlight w:val="none"/>
              </w:rPr>
            </w:pPr>
          </w:p>
        </w:tc>
        <w:tc>
          <w:tcPr>
            <w:tcW w:w="1419" w:type="dxa"/>
            <w:vAlign w:val="top"/>
          </w:tcPr>
          <w:p w14:paraId="78C91D62">
            <w:pPr>
              <w:rPr>
                <w:rFonts w:ascii="Arial"/>
                <w:color w:val="auto"/>
                <w:sz w:val="21"/>
                <w:highlight w:val="none"/>
              </w:rPr>
            </w:pPr>
          </w:p>
        </w:tc>
        <w:tc>
          <w:tcPr>
            <w:tcW w:w="1424" w:type="dxa"/>
            <w:vAlign w:val="top"/>
          </w:tcPr>
          <w:p w14:paraId="60A52E8B">
            <w:pPr>
              <w:rPr>
                <w:rFonts w:ascii="Arial"/>
                <w:color w:val="auto"/>
                <w:sz w:val="21"/>
                <w:highlight w:val="none"/>
              </w:rPr>
            </w:pPr>
          </w:p>
        </w:tc>
      </w:tr>
      <w:tr w14:paraId="19F20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239" w:type="dxa"/>
            <w:vAlign w:val="top"/>
          </w:tcPr>
          <w:p w14:paraId="159389F5">
            <w:pPr>
              <w:rPr>
                <w:rFonts w:ascii="Arial"/>
                <w:color w:val="auto"/>
                <w:sz w:val="21"/>
                <w:highlight w:val="none"/>
              </w:rPr>
            </w:pPr>
          </w:p>
        </w:tc>
        <w:tc>
          <w:tcPr>
            <w:tcW w:w="1246" w:type="dxa"/>
            <w:vAlign w:val="top"/>
          </w:tcPr>
          <w:p w14:paraId="524B6100">
            <w:pPr>
              <w:rPr>
                <w:rFonts w:ascii="Arial"/>
                <w:color w:val="auto"/>
                <w:sz w:val="21"/>
                <w:highlight w:val="none"/>
              </w:rPr>
            </w:pPr>
          </w:p>
        </w:tc>
        <w:tc>
          <w:tcPr>
            <w:tcW w:w="1326" w:type="dxa"/>
            <w:vAlign w:val="top"/>
          </w:tcPr>
          <w:p w14:paraId="7EE7A69A">
            <w:pPr>
              <w:rPr>
                <w:rFonts w:ascii="Arial"/>
                <w:color w:val="auto"/>
                <w:sz w:val="21"/>
                <w:highlight w:val="none"/>
              </w:rPr>
            </w:pPr>
          </w:p>
        </w:tc>
        <w:tc>
          <w:tcPr>
            <w:tcW w:w="1867" w:type="dxa"/>
            <w:vAlign w:val="top"/>
          </w:tcPr>
          <w:p w14:paraId="0EBCAEE4">
            <w:pPr>
              <w:rPr>
                <w:rFonts w:ascii="Arial"/>
                <w:color w:val="auto"/>
                <w:sz w:val="21"/>
                <w:highlight w:val="none"/>
              </w:rPr>
            </w:pPr>
          </w:p>
        </w:tc>
        <w:tc>
          <w:tcPr>
            <w:tcW w:w="1419" w:type="dxa"/>
            <w:vAlign w:val="top"/>
          </w:tcPr>
          <w:p w14:paraId="48C3D558">
            <w:pPr>
              <w:rPr>
                <w:rFonts w:ascii="Arial"/>
                <w:color w:val="auto"/>
                <w:sz w:val="21"/>
                <w:highlight w:val="none"/>
              </w:rPr>
            </w:pPr>
          </w:p>
        </w:tc>
        <w:tc>
          <w:tcPr>
            <w:tcW w:w="1419" w:type="dxa"/>
            <w:vAlign w:val="top"/>
          </w:tcPr>
          <w:p w14:paraId="63570D50">
            <w:pPr>
              <w:rPr>
                <w:rFonts w:ascii="Arial"/>
                <w:color w:val="auto"/>
                <w:sz w:val="21"/>
                <w:highlight w:val="none"/>
              </w:rPr>
            </w:pPr>
          </w:p>
        </w:tc>
        <w:tc>
          <w:tcPr>
            <w:tcW w:w="1424" w:type="dxa"/>
            <w:vAlign w:val="top"/>
          </w:tcPr>
          <w:p w14:paraId="549E2D94">
            <w:pPr>
              <w:rPr>
                <w:rFonts w:ascii="Arial"/>
                <w:color w:val="auto"/>
                <w:sz w:val="21"/>
                <w:highlight w:val="none"/>
              </w:rPr>
            </w:pPr>
          </w:p>
        </w:tc>
      </w:tr>
    </w:tbl>
    <w:p w14:paraId="253FD2F9">
      <w:pPr>
        <w:pStyle w:val="2"/>
        <w:spacing w:line="303" w:lineRule="auto"/>
        <w:rPr>
          <w:color w:val="auto"/>
          <w:highlight w:val="none"/>
        </w:rPr>
      </w:pPr>
    </w:p>
    <w:p w14:paraId="456979CF">
      <w:pPr>
        <w:spacing w:before="65" w:line="227" w:lineRule="auto"/>
        <w:ind w:left="68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附：中标（成交）通知书或合同协议书</w:t>
      </w:r>
    </w:p>
    <w:p w14:paraId="7832CF08">
      <w:pPr>
        <w:spacing w:line="227" w:lineRule="auto"/>
        <w:rPr>
          <w:rFonts w:ascii="宋体" w:hAnsi="宋体" w:eastAsia="宋体" w:cs="宋体"/>
          <w:color w:val="auto"/>
          <w:sz w:val="20"/>
          <w:szCs w:val="20"/>
          <w:highlight w:val="none"/>
        </w:rPr>
      </w:pPr>
    </w:p>
    <w:p w14:paraId="344ABD28">
      <w:pPr>
        <w:pStyle w:val="16"/>
        <w:rPr>
          <w:rFonts w:ascii="宋体" w:hAnsi="宋体" w:eastAsia="宋体" w:cs="宋体"/>
          <w:color w:val="auto"/>
          <w:sz w:val="20"/>
          <w:szCs w:val="20"/>
          <w:highlight w:val="none"/>
        </w:rPr>
      </w:pPr>
    </w:p>
    <w:p w14:paraId="17238C12">
      <w:pPr>
        <w:pStyle w:val="2"/>
        <w:rPr>
          <w:rFonts w:ascii="宋体" w:hAnsi="宋体" w:eastAsia="宋体" w:cs="宋体"/>
          <w:color w:val="auto"/>
          <w:sz w:val="20"/>
          <w:szCs w:val="20"/>
          <w:highlight w:val="none"/>
        </w:rPr>
      </w:pPr>
    </w:p>
    <w:p w14:paraId="668E9729">
      <w:pPr>
        <w:pStyle w:val="2"/>
        <w:rPr>
          <w:rFonts w:ascii="宋体" w:hAnsi="宋体" w:eastAsia="宋体" w:cs="宋体"/>
          <w:color w:val="auto"/>
          <w:sz w:val="20"/>
          <w:szCs w:val="20"/>
          <w:highlight w:val="none"/>
        </w:rPr>
      </w:pPr>
    </w:p>
    <w:p w14:paraId="02C55801">
      <w:pPr>
        <w:pStyle w:val="2"/>
        <w:rPr>
          <w:rFonts w:ascii="宋体" w:hAnsi="宋体" w:eastAsia="宋体" w:cs="宋体"/>
          <w:color w:val="auto"/>
          <w:sz w:val="20"/>
          <w:szCs w:val="20"/>
          <w:highlight w:val="none"/>
        </w:rPr>
      </w:pPr>
    </w:p>
    <w:p w14:paraId="43B67503">
      <w:pPr>
        <w:pStyle w:val="2"/>
        <w:rPr>
          <w:rFonts w:ascii="宋体" w:hAnsi="宋体" w:eastAsia="宋体" w:cs="宋体"/>
          <w:color w:val="auto"/>
          <w:sz w:val="20"/>
          <w:szCs w:val="20"/>
          <w:highlight w:val="none"/>
        </w:rPr>
      </w:pPr>
    </w:p>
    <w:p w14:paraId="33CE237D">
      <w:pPr>
        <w:pStyle w:val="2"/>
        <w:rPr>
          <w:rFonts w:ascii="宋体" w:hAnsi="宋体" w:eastAsia="宋体" w:cs="宋体"/>
          <w:color w:val="auto"/>
          <w:sz w:val="20"/>
          <w:szCs w:val="20"/>
          <w:highlight w:val="none"/>
        </w:rPr>
      </w:pPr>
    </w:p>
    <w:p w14:paraId="576EC842">
      <w:pPr>
        <w:pStyle w:val="2"/>
        <w:rPr>
          <w:rFonts w:ascii="宋体" w:hAnsi="宋体" w:eastAsia="宋体" w:cs="宋体"/>
          <w:color w:val="auto"/>
          <w:sz w:val="20"/>
          <w:szCs w:val="20"/>
          <w:highlight w:val="none"/>
        </w:rPr>
      </w:pPr>
    </w:p>
    <w:p w14:paraId="41B4176B">
      <w:pPr>
        <w:spacing w:before="63" w:line="225" w:lineRule="auto"/>
        <w:rPr>
          <w:rFonts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lang w:eastAsia="zh-CN"/>
        </w:rPr>
        <w:t>三</w:t>
      </w:r>
      <w:r>
        <w:rPr>
          <w:rFonts w:ascii="宋体" w:hAnsi="宋体" w:eastAsia="宋体" w:cs="宋体"/>
          <w:b/>
          <w:bCs/>
          <w:color w:val="auto"/>
          <w:spacing w:val="6"/>
          <w:sz w:val="31"/>
          <w:szCs w:val="31"/>
          <w:highlight w:val="none"/>
        </w:rPr>
        <w:t>、技术文件格式</w:t>
      </w:r>
    </w:p>
    <w:p w14:paraId="34C30024">
      <w:pPr>
        <w:spacing w:before="260" w:line="225" w:lineRule="auto"/>
        <w:ind w:left="18"/>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1.技术文件封面格式</w:t>
      </w:r>
    </w:p>
    <w:p w14:paraId="37163690">
      <w:pPr>
        <w:spacing w:before="242" w:line="227" w:lineRule="auto"/>
        <w:ind w:left="6234"/>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正本/副本</w:t>
      </w:r>
    </w:p>
    <w:p w14:paraId="54E72EE0">
      <w:pPr>
        <w:pStyle w:val="2"/>
        <w:spacing w:line="271" w:lineRule="auto"/>
        <w:rPr>
          <w:color w:val="auto"/>
          <w:highlight w:val="none"/>
        </w:rPr>
      </w:pPr>
    </w:p>
    <w:p w14:paraId="51C1980E">
      <w:pPr>
        <w:pStyle w:val="2"/>
        <w:spacing w:line="271" w:lineRule="auto"/>
        <w:rPr>
          <w:color w:val="auto"/>
          <w:highlight w:val="none"/>
        </w:rPr>
      </w:pPr>
    </w:p>
    <w:p w14:paraId="565DAB3C">
      <w:pPr>
        <w:pStyle w:val="2"/>
        <w:spacing w:line="271" w:lineRule="auto"/>
        <w:rPr>
          <w:color w:val="auto"/>
          <w:highlight w:val="none"/>
        </w:rPr>
      </w:pPr>
    </w:p>
    <w:p w14:paraId="3EF82DC0">
      <w:pPr>
        <w:pStyle w:val="2"/>
        <w:spacing w:line="271" w:lineRule="auto"/>
        <w:rPr>
          <w:color w:val="auto"/>
          <w:highlight w:val="none"/>
        </w:rPr>
      </w:pPr>
    </w:p>
    <w:p w14:paraId="4709EEC9">
      <w:pPr>
        <w:pStyle w:val="2"/>
        <w:spacing w:line="271" w:lineRule="auto"/>
        <w:rPr>
          <w:color w:val="auto"/>
          <w:highlight w:val="none"/>
        </w:rPr>
      </w:pPr>
    </w:p>
    <w:p w14:paraId="4675FD63">
      <w:pPr>
        <w:pStyle w:val="2"/>
        <w:spacing w:line="272" w:lineRule="auto"/>
        <w:rPr>
          <w:color w:val="auto"/>
          <w:highlight w:val="none"/>
        </w:rPr>
      </w:pPr>
    </w:p>
    <w:p w14:paraId="01B70AB0">
      <w:pPr>
        <w:spacing w:before="140" w:line="223" w:lineRule="auto"/>
        <w:ind w:left="1899"/>
        <w:rPr>
          <w:rFonts w:ascii="宋体" w:hAnsi="宋体" w:eastAsia="宋体" w:cs="宋体"/>
          <w:color w:val="auto"/>
          <w:sz w:val="43"/>
          <w:szCs w:val="43"/>
          <w:highlight w:val="none"/>
        </w:rPr>
      </w:pPr>
      <w:r>
        <w:rPr>
          <w:rFonts w:ascii="宋体" w:hAnsi="宋体" w:eastAsia="宋体" w:cs="宋体"/>
          <w:color w:val="auto"/>
          <w:spacing w:val="-11"/>
          <w:sz w:val="43"/>
          <w:szCs w:val="43"/>
          <w:highlight w:val="none"/>
        </w:rPr>
        <w:t>技</w:t>
      </w:r>
      <w:r>
        <w:rPr>
          <w:rFonts w:ascii="宋体" w:hAnsi="宋体" w:eastAsia="宋体" w:cs="宋体"/>
          <w:color w:val="auto"/>
          <w:spacing w:val="16"/>
          <w:sz w:val="43"/>
          <w:szCs w:val="43"/>
          <w:highlight w:val="none"/>
        </w:rPr>
        <w:t xml:space="preserve">  </w:t>
      </w:r>
      <w:r>
        <w:rPr>
          <w:rFonts w:ascii="宋体" w:hAnsi="宋体" w:eastAsia="宋体" w:cs="宋体"/>
          <w:color w:val="auto"/>
          <w:spacing w:val="-11"/>
          <w:sz w:val="43"/>
          <w:szCs w:val="43"/>
          <w:highlight w:val="none"/>
        </w:rPr>
        <w:t>术</w:t>
      </w:r>
      <w:r>
        <w:rPr>
          <w:rFonts w:ascii="宋体" w:hAnsi="宋体" w:eastAsia="宋体" w:cs="宋体"/>
          <w:color w:val="auto"/>
          <w:spacing w:val="15"/>
          <w:sz w:val="43"/>
          <w:szCs w:val="43"/>
          <w:highlight w:val="none"/>
        </w:rPr>
        <w:t xml:space="preserve">  </w:t>
      </w:r>
      <w:r>
        <w:rPr>
          <w:rFonts w:ascii="宋体" w:hAnsi="宋体" w:eastAsia="宋体" w:cs="宋体"/>
          <w:color w:val="auto"/>
          <w:spacing w:val="-11"/>
          <w:sz w:val="43"/>
          <w:szCs w:val="43"/>
          <w:highlight w:val="none"/>
        </w:rPr>
        <w:t>文</w:t>
      </w:r>
      <w:r>
        <w:rPr>
          <w:rFonts w:ascii="宋体" w:hAnsi="宋体" w:eastAsia="宋体" w:cs="宋体"/>
          <w:color w:val="auto"/>
          <w:spacing w:val="13"/>
          <w:sz w:val="43"/>
          <w:szCs w:val="43"/>
          <w:highlight w:val="none"/>
        </w:rPr>
        <w:t xml:space="preserve">  </w:t>
      </w:r>
      <w:r>
        <w:rPr>
          <w:rFonts w:ascii="宋体" w:hAnsi="宋体" w:eastAsia="宋体" w:cs="宋体"/>
          <w:color w:val="auto"/>
          <w:spacing w:val="-11"/>
          <w:sz w:val="43"/>
          <w:szCs w:val="43"/>
          <w:highlight w:val="none"/>
        </w:rPr>
        <w:t>件</w:t>
      </w:r>
    </w:p>
    <w:p w14:paraId="23067538">
      <w:pPr>
        <w:pStyle w:val="2"/>
        <w:spacing w:line="247" w:lineRule="auto"/>
        <w:rPr>
          <w:color w:val="auto"/>
          <w:highlight w:val="none"/>
        </w:rPr>
      </w:pPr>
    </w:p>
    <w:p w14:paraId="34A9964C">
      <w:pPr>
        <w:pStyle w:val="2"/>
        <w:spacing w:line="247" w:lineRule="auto"/>
        <w:rPr>
          <w:color w:val="auto"/>
          <w:highlight w:val="none"/>
        </w:rPr>
      </w:pPr>
    </w:p>
    <w:p w14:paraId="436C58F8">
      <w:pPr>
        <w:pStyle w:val="2"/>
        <w:spacing w:line="247" w:lineRule="auto"/>
        <w:rPr>
          <w:color w:val="auto"/>
          <w:highlight w:val="none"/>
        </w:rPr>
      </w:pPr>
    </w:p>
    <w:p w14:paraId="14515DDA">
      <w:pPr>
        <w:pStyle w:val="2"/>
        <w:spacing w:line="248" w:lineRule="auto"/>
        <w:rPr>
          <w:color w:val="auto"/>
          <w:highlight w:val="none"/>
        </w:rPr>
      </w:pPr>
    </w:p>
    <w:p w14:paraId="1A31D432">
      <w:pPr>
        <w:pStyle w:val="2"/>
        <w:spacing w:line="248" w:lineRule="auto"/>
        <w:rPr>
          <w:color w:val="auto"/>
          <w:highlight w:val="none"/>
        </w:rPr>
      </w:pPr>
    </w:p>
    <w:p w14:paraId="70CEAEED">
      <w:pPr>
        <w:pStyle w:val="2"/>
        <w:spacing w:line="248" w:lineRule="auto"/>
        <w:rPr>
          <w:color w:val="auto"/>
          <w:highlight w:val="none"/>
        </w:rPr>
      </w:pPr>
    </w:p>
    <w:p w14:paraId="4378F46C">
      <w:pPr>
        <w:pStyle w:val="2"/>
        <w:spacing w:line="248" w:lineRule="auto"/>
        <w:rPr>
          <w:color w:val="auto"/>
          <w:highlight w:val="none"/>
        </w:rPr>
      </w:pPr>
    </w:p>
    <w:p w14:paraId="2D95C475">
      <w:pPr>
        <w:pStyle w:val="2"/>
        <w:spacing w:line="248" w:lineRule="auto"/>
        <w:rPr>
          <w:color w:val="auto"/>
          <w:highlight w:val="none"/>
        </w:rPr>
      </w:pPr>
    </w:p>
    <w:p w14:paraId="21AEB3B1">
      <w:pPr>
        <w:pStyle w:val="2"/>
        <w:spacing w:line="248" w:lineRule="auto"/>
        <w:rPr>
          <w:color w:val="auto"/>
          <w:highlight w:val="none"/>
        </w:rPr>
      </w:pPr>
    </w:p>
    <w:p w14:paraId="2C8DE47C">
      <w:pPr>
        <w:pStyle w:val="2"/>
        <w:spacing w:line="248" w:lineRule="auto"/>
        <w:rPr>
          <w:color w:val="auto"/>
          <w:highlight w:val="none"/>
        </w:rPr>
      </w:pPr>
    </w:p>
    <w:p w14:paraId="63AD1A64">
      <w:pPr>
        <w:pStyle w:val="2"/>
        <w:spacing w:line="248" w:lineRule="auto"/>
        <w:rPr>
          <w:color w:val="auto"/>
          <w:highlight w:val="none"/>
        </w:rPr>
      </w:pPr>
    </w:p>
    <w:p w14:paraId="41C8B355">
      <w:pPr>
        <w:spacing w:before="101" w:line="225" w:lineRule="auto"/>
        <w:ind w:left="64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项目名称：</w:t>
      </w:r>
    </w:p>
    <w:p w14:paraId="45386053">
      <w:pPr>
        <w:pStyle w:val="2"/>
        <w:spacing w:line="264" w:lineRule="auto"/>
        <w:rPr>
          <w:color w:val="auto"/>
          <w:highlight w:val="none"/>
        </w:rPr>
      </w:pPr>
    </w:p>
    <w:p w14:paraId="19C705E7">
      <w:pPr>
        <w:pStyle w:val="2"/>
        <w:spacing w:line="264" w:lineRule="auto"/>
        <w:rPr>
          <w:color w:val="auto"/>
          <w:highlight w:val="none"/>
        </w:rPr>
      </w:pPr>
    </w:p>
    <w:p w14:paraId="59C45021">
      <w:pPr>
        <w:pStyle w:val="2"/>
        <w:spacing w:line="264" w:lineRule="auto"/>
        <w:rPr>
          <w:color w:val="auto"/>
          <w:highlight w:val="none"/>
        </w:rPr>
      </w:pPr>
    </w:p>
    <w:p w14:paraId="0A157B32">
      <w:pPr>
        <w:spacing w:before="100" w:line="225" w:lineRule="auto"/>
        <w:ind w:left="640"/>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6C902ED9">
      <w:pPr>
        <w:pStyle w:val="2"/>
        <w:spacing w:line="264" w:lineRule="auto"/>
        <w:rPr>
          <w:color w:val="auto"/>
          <w:highlight w:val="none"/>
        </w:rPr>
      </w:pPr>
    </w:p>
    <w:p w14:paraId="5C0AB296">
      <w:pPr>
        <w:pStyle w:val="2"/>
        <w:spacing w:line="265" w:lineRule="auto"/>
        <w:rPr>
          <w:color w:val="auto"/>
          <w:highlight w:val="none"/>
        </w:rPr>
      </w:pPr>
    </w:p>
    <w:p w14:paraId="16FA6268">
      <w:pPr>
        <w:pStyle w:val="2"/>
        <w:spacing w:line="265" w:lineRule="auto"/>
        <w:rPr>
          <w:color w:val="auto"/>
          <w:highlight w:val="none"/>
        </w:rPr>
      </w:pPr>
    </w:p>
    <w:p w14:paraId="45BAD054">
      <w:pPr>
        <w:spacing w:before="102" w:line="225" w:lineRule="auto"/>
        <w:jc w:val="right"/>
        <w:rPr>
          <w:rFonts w:ascii="宋体" w:hAnsi="宋体" w:eastAsia="宋体" w:cs="宋体"/>
          <w:color w:val="auto"/>
          <w:sz w:val="31"/>
          <w:szCs w:val="31"/>
          <w:highlight w:val="none"/>
        </w:rPr>
      </w:pPr>
      <w:r>
        <w:rPr>
          <w:rFonts w:ascii="宋体" w:hAnsi="宋体" w:eastAsia="宋体" w:cs="宋体"/>
          <w:color w:val="auto"/>
          <w:spacing w:val="2"/>
          <w:sz w:val="31"/>
          <w:szCs w:val="31"/>
          <w:highlight w:val="none"/>
        </w:rPr>
        <w:t>所竞分标（如有则填写，无分标时填写“无</w:t>
      </w:r>
      <w:r>
        <w:rPr>
          <w:rFonts w:ascii="宋体" w:hAnsi="宋体" w:eastAsia="宋体" w:cs="宋体"/>
          <w:color w:val="auto"/>
          <w:spacing w:val="-109"/>
          <w:sz w:val="31"/>
          <w:szCs w:val="31"/>
          <w:highlight w:val="none"/>
        </w:rPr>
        <w:t xml:space="preserve"> </w:t>
      </w:r>
      <w:r>
        <w:rPr>
          <w:rFonts w:ascii="宋体" w:hAnsi="宋体" w:eastAsia="宋体" w:cs="宋体"/>
          <w:color w:val="auto"/>
          <w:spacing w:val="2"/>
          <w:sz w:val="31"/>
          <w:szCs w:val="31"/>
          <w:highlight w:val="none"/>
        </w:rPr>
        <w:t>”或者</w:t>
      </w:r>
      <w:r>
        <w:rPr>
          <w:rFonts w:ascii="宋体" w:hAnsi="宋体" w:eastAsia="宋体" w:cs="宋体"/>
          <w:color w:val="auto"/>
          <w:spacing w:val="1"/>
          <w:sz w:val="31"/>
          <w:szCs w:val="31"/>
          <w:highlight w:val="none"/>
        </w:rPr>
        <w:t>留空</w:t>
      </w:r>
      <w:r>
        <w:rPr>
          <w:rFonts w:ascii="宋体" w:hAnsi="宋体" w:eastAsia="宋体" w:cs="宋体"/>
          <w:color w:val="auto"/>
          <w:spacing w:val="-53"/>
          <w:sz w:val="31"/>
          <w:szCs w:val="31"/>
          <w:highlight w:val="none"/>
        </w:rPr>
        <w:t>）：</w:t>
      </w:r>
    </w:p>
    <w:p w14:paraId="16127264">
      <w:pPr>
        <w:pStyle w:val="2"/>
        <w:spacing w:line="241" w:lineRule="auto"/>
        <w:rPr>
          <w:color w:val="auto"/>
          <w:highlight w:val="none"/>
        </w:rPr>
      </w:pPr>
    </w:p>
    <w:p w14:paraId="5FCDF744">
      <w:pPr>
        <w:pStyle w:val="2"/>
        <w:spacing w:line="242" w:lineRule="auto"/>
        <w:rPr>
          <w:color w:val="auto"/>
          <w:highlight w:val="none"/>
        </w:rPr>
      </w:pPr>
    </w:p>
    <w:p w14:paraId="422FC3C3">
      <w:pPr>
        <w:pStyle w:val="2"/>
        <w:spacing w:line="242" w:lineRule="auto"/>
        <w:rPr>
          <w:color w:val="auto"/>
          <w:highlight w:val="none"/>
        </w:rPr>
      </w:pPr>
    </w:p>
    <w:p w14:paraId="17CC284C">
      <w:pPr>
        <w:spacing w:before="101" w:line="224" w:lineRule="auto"/>
        <w:ind w:left="635"/>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供应商名称：</w:t>
      </w:r>
    </w:p>
    <w:p w14:paraId="4241A37F">
      <w:pPr>
        <w:pStyle w:val="2"/>
        <w:spacing w:line="265" w:lineRule="auto"/>
        <w:rPr>
          <w:color w:val="auto"/>
          <w:highlight w:val="none"/>
        </w:rPr>
      </w:pPr>
    </w:p>
    <w:p w14:paraId="0B8DCED7">
      <w:pPr>
        <w:pStyle w:val="2"/>
        <w:spacing w:line="265" w:lineRule="auto"/>
        <w:rPr>
          <w:color w:val="auto"/>
          <w:highlight w:val="none"/>
        </w:rPr>
      </w:pPr>
    </w:p>
    <w:p w14:paraId="45256F45">
      <w:pPr>
        <w:pStyle w:val="2"/>
        <w:spacing w:line="265" w:lineRule="auto"/>
        <w:rPr>
          <w:color w:val="auto"/>
          <w:highlight w:val="none"/>
        </w:rPr>
      </w:pPr>
    </w:p>
    <w:p w14:paraId="1068C943">
      <w:pPr>
        <w:pStyle w:val="2"/>
        <w:spacing w:line="265" w:lineRule="auto"/>
        <w:rPr>
          <w:color w:val="auto"/>
          <w:highlight w:val="none"/>
        </w:rPr>
      </w:pPr>
    </w:p>
    <w:p w14:paraId="05B7BB05">
      <w:pPr>
        <w:pStyle w:val="2"/>
        <w:spacing w:line="265" w:lineRule="auto"/>
        <w:rPr>
          <w:color w:val="auto"/>
          <w:highlight w:val="none"/>
        </w:rPr>
      </w:pPr>
    </w:p>
    <w:p w14:paraId="5B3FC24D">
      <w:pPr>
        <w:pStyle w:val="2"/>
        <w:spacing w:line="265" w:lineRule="auto"/>
        <w:rPr>
          <w:color w:val="auto"/>
          <w:highlight w:val="none"/>
        </w:rPr>
      </w:pPr>
    </w:p>
    <w:p w14:paraId="27C2C542">
      <w:pPr>
        <w:pStyle w:val="2"/>
        <w:spacing w:line="266" w:lineRule="auto"/>
        <w:rPr>
          <w:color w:val="auto"/>
          <w:highlight w:val="none"/>
        </w:rPr>
      </w:pPr>
    </w:p>
    <w:p w14:paraId="1FB93844">
      <w:pPr>
        <w:spacing w:before="101" w:line="225" w:lineRule="auto"/>
        <w:ind w:left="3185"/>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0"/>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657F0F62">
      <w:pPr>
        <w:spacing w:line="225" w:lineRule="auto"/>
        <w:rPr>
          <w:rFonts w:ascii="宋体" w:hAnsi="宋体" w:eastAsia="宋体" w:cs="宋体"/>
          <w:color w:val="auto"/>
          <w:sz w:val="31"/>
          <w:szCs w:val="31"/>
          <w:highlight w:val="none"/>
        </w:rPr>
        <w:sectPr>
          <w:footerReference r:id="rId35" w:type="default"/>
          <w:pgSz w:w="11910" w:h="16840"/>
          <w:pgMar w:top="1357" w:right="1548" w:bottom="1019" w:left="1678" w:header="0" w:footer="857" w:gutter="0"/>
          <w:pgNumType w:fmt="decimal"/>
          <w:cols w:space="720" w:num="1"/>
        </w:sectPr>
      </w:pPr>
    </w:p>
    <w:p w14:paraId="68872773">
      <w:pPr>
        <w:spacing w:before="63" w:line="225" w:lineRule="auto"/>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2.技术文件目录</w:t>
      </w:r>
    </w:p>
    <w:p w14:paraId="21CB92DA">
      <w:pPr>
        <w:spacing w:before="192" w:line="294" w:lineRule="auto"/>
        <w:ind w:firstLine="636"/>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根据磋商文件规定及供应商提供的材料自行编写目录（部</w:t>
      </w:r>
      <w:r>
        <w:rPr>
          <w:rFonts w:ascii="宋体" w:hAnsi="宋体" w:eastAsia="宋体" w:cs="宋体"/>
          <w:color w:val="auto"/>
          <w:spacing w:val="4"/>
          <w:sz w:val="31"/>
          <w:szCs w:val="31"/>
          <w:highlight w:val="none"/>
        </w:rPr>
        <w:t>分格式后附）。</w:t>
      </w:r>
    </w:p>
    <w:p w14:paraId="4B864C2F">
      <w:pPr>
        <w:spacing w:line="294" w:lineRule="auto"/>
        <w:rPr>
          <w:rFonts w:ascii="宋体" w:hAnsi="宋体" w:eastAsia="宋体" w:cs="宋体"/>
          <w:color w:val="auto"/>
          <w:sz w:val="31"/>
          <w:szCs w:val="31"/>
          <w:highlight w:val="none"/>
        </w:rPr>
        <w:sectPr>
          <w:footerReference r:id="rId36" w:type="default"/>
          <w:pgSz w:w="11910" w:h="16840"/>
          <w:pgMar w:top="1427" w:right="1630" w:bottom="1019" w:left="1677" w:header="0" w:footer="857" w:gutter="0"/>
          <w:pgNumType w:fmt="decimal"/>
          <w:cols w:space="720" w:num="1"/>
        </w:sectPr>
      </w:pPr>
    </w:p>
    <w:p w14:paraId="22F67080">
      <w:pPr>
        <w:spacing w:before="63" w:line="226" w:lineRule="auto"/>
        <w:ind w:left="3348"/>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施工组织设计</w:t>
      </w:r>
    </w:p>
    <w:p w14:paraId="278F7619">
      <w:pPr>
        <w:spacing w:before="125" w:line="219" w:lineRule="auto"/>
        <w:ind w:left="1960"/>
        <w:rPr>
          <w:rFonts w:ascii="宋体" w:hAnsi="宋体" w:eastAsia="宋体" w:cs="宋体"/>
          <w:color w:val="auto"/>
          <w:sz w:val="24"/>
          <w:szCs w:val="24"/>
          <w:highlight w:val="none"/>
        </w:rPr>
      </w:pPr>
      <w:r>
        <w:rPr>
          <w:rFonts w:ascii="宋体" w:hAnsi="宋体" w:eastAsia="宋体" w:cs="宋体"/>
          <w:b/>
          <w:bCs/>
          <w:color w:val="auto"/>
          <w:sz w:val="24"/>
          <w:szCs w:val="24"/>
          <w:highlight w:val="none"/>
        </w:rPr>
        <w:t>施工方案或施工组织设计部份包括下列内容:</w:t>
      </w:r>
    </w:p>
    <w:p w14:paraId="49BD4186">
      <w:pPr>
        <w:pStyle w:val="2"/>
        <w:spacing w:line="364" w:lineRule="auto"/>
        <w:rPr>
          <w:color w:val="auto"/>
          <w:highlight w:val="none"/>
        </w:rPr>
      </w:pPr>
    </w:p>
    <w:p w14:paraId="05FD0ED5">
      <w:pPr>
        <w:spacing w:before="78" w:line="219" w:lineRule="auto"/>
        <w:ind w:left="12"/>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（一）施工组织设计编制要求：</w:t>
      </w:r>
    </w:p>
    <w:p w14:paraId="6FFD6A4E">
      <w:pPr>
        <w:spacing w:before="102" w:line="294" w:lineRule="auto"/>
        <w:ind w:firstLine="48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投标人编制施工组织设计时应采用文字并结合图表形式说明工程的施工组织、施工方法、技术组织措施。同时应对关键工序、复杂环节重点提出相应技术措施，如冬雨季施工技术、减少噪音、降低环境污染、地下管线及其它地上地下设施的保护加固措施等。施工组织设计还应结合工程特点提出切实可行的工程质量、工程进</w:t>
      </w:r>
      <w:r>
        <w:rPr>
          <w:rFonts w:ascii="宋体" w:hAnsi="宋体" w:eastAsia="宋体" w:cs="宋体"/>
          <w:color w:val="auto"/>
          <w:sz w:val="24"/>
          <w:szCs w:val="24"/>
          <w:highlight w:val="none"/>
        </w:rPr>
        <w:t>度、安全生产、防汛度汛、文明施工、水土保持</w:t>
      </w:r>
      <w:r>
        <w:rPr>
          <w:rFonts w:ascii="宋体" w:hAnsi="宋体" w:eastAsia="宋体" w:cs="宋体"/>
          <w:color w:val="auto"/>
          <w:spacing w:val="-1"/>
          <w:sz w:val="24"/>
          <w:szCs w:val="24"/>
          <w:highlight w:val="none"/>
        </w:rPr>
        <w:t>、环境保护管理方案。</w:t>
      </w:r>
    </w:p>
    <w:p w14:paraId="26DF2057">
      <w:pPr>
        <w:spacing w:before="37" w:line="216" w:lineRule="auto"/>
        <w:ind w:left="12"/>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（二）施工组织设计除采用文字表述外应附下列图</w:t>
      </w:r>
      <w:r>
        <w:rPr>
          <w:rFonts w:ascii="宋体" w:hAnsi="宋体" w:eastAsia="宋体" w:cs="宋体"/>
          <w:b/>
          <w:bCs/>
          <w:color w:val="auto"/>
          <w:spacing w:val="-3"/>
          <w:sz w:val="24"/>
          <w:szCs w:val="24"/>
          <w:highlight w:val="none"/>
        </w:rPr>
        <w:t>表,图表及格式要求附后</w:t>
      </w:r>
    </w:p>
    <w:p w14:paraId="0D968953">
      <w:pPr>
        <w:spacing w:before="107" w:line="219" w:lineRule="auto"/>
        <w:ind w:left="4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附表一  拟投入本工程的主要施工设备表</w:t>
      </w:r>
    </w:p>
    <w:p w14:paraId="4A5A63A8">
      <w:pPr>
        <w:spacing w:before="104" w:line="219" w:lineRule="auto"/>
        <w:ind w:left="49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附表二  拟配备本工程的试验和检测仪器设备表</w:t>
      </w:r>
    </w:p>
    <w:p w14:paraId="77E67B14">
      <w:pPr>
        <w:spacing w:before="104" w:line="219" w:lineRule="auto"/>
        <w:ind w:left="49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附表三  劳动力计划表</w:t>
      </w:r>
    </w:p>
    <w:p w14:paraId="6BA54A99">
      <w:pPr>
        <w:spacing w:before="104" w:line="219" w:lineRule="auto"/>
        <w:ind w:left="499"/>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附表四  计划开、竣工日期和施工进度计划（网络图或横道图）</w:t>
      </w:r>
    </w:p>
    <w:p w14:paraId="0709D71C">
      <w:pPr>
        <w:spacing w:line="219" w:lineRule="auto"/>
        <w:rPr>
          <w:rFonts w:ascii="宋体" w:hAnsi="宋体" w:eastAsia="宋体" w:cs="宋体"/>
          <w:color w:val="auto"/>
          <w:sz w:val="24"/>
          <w:szCs w:val="24"/>
          <w:highlight w:val="none"/>
        </w:rPr>
        <w:sectPr>
          <w:footerReference r:id="rId37" w:type="default"/>
          <w:pgSz w:w="11910" w:h="16840"/>
          <w:pgMar w:top="1357" w:right="1628" w:bottom="1016" w:left="1669" w:header="0" w:footer="857" w:gutter="0"/>
          <w:pgNumType w:fmt="decimal"/>
          <w:cols w:space="720" w:num="1"/>
        </w:sectPr>
      </w:pPr>
    </w:p>
    <w:p w14:paraId="0F82BB5C">
      <w:pPr>
        <w:spacing w:before="47" w:line="219" w:lineRule="auto"/>
        <w:ind w:left="400"/>
        <w:outlineLvl w:val="9"/>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附表一：</w:t>
      </w:r>
    </w:p>
    <w:p w14:paraId="1BE2FFB4">
      <w:pPr>
        <w:spacing w:before="104" w:line="219" w:lineRule="auto"/>
        <w:ind w:left="3005"/>
        <w:outlineLvl w:val="9"/>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拟投入本工程的主要施工设备表</w:t>
      </w:r>
    </w:p>
    <w:p w14:paraId="6775518A">
      <w:pPr>
        <w:spacing w:before="216"/>
        <w:rPr>
          <w:color w:val="auto"/>
          <w:highlight w:val="none"/>
        </w:rPr>
      </w:pPr>
    </w:p>
    <w:tbl>
      <w:tblPr>
        <w:tblStyle w:val="14"/>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851"/>
        <w:gridCol w:w="1133"/>
        <w:gridCol w:w="991"/>
        <w:gridCol w:w="1133"/>
        <w:gridCol w:w="996"/>
      </w:tblGrid>
      <w:tr w14:paraId="13B14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62" w:type="dxa"/>
            <w:vAlign w:val="top"/>
          </w:tcPr>
          <w:p w14:paraId="79639BF7">
            <w:pPr>
              <w:spacing w:line="258" w:lineRule="auto"/>
              <w:rPr>
                <w:rFonts w:ascii="Arial"/>
                <w:color w:val="auto"/>
                <w:sz w:val="21"/>
                <w:highlight w:val="none"/>
              </w:rPr>
            </w:pPr>
          </w:p>
          <w:p w14:paraId="03B21175">
            <w:pPr>
              <w:pStyle w:val="15"/>
              <w:spacing w:before="65" w:line="229" w:lineRule="auto"/>
              <w:ind w:left="175"/>
              <w:rPr>
                <w:color w:val="auto"/>
                <w:highlight w:val="none"/>
              </w:rPr>
            </w:pPr>
            <w:r>
              <w:rPr>
                <w:color w:val="auto"/>
                <w:spacing w:val="5"/>
                <w:highlight w:val="none"/>
              </w:rPr>
              <w:t>序号</w:t>
            </w:r>
          </w:p>
        </w:tc>
        <w:tc>
          <w:tcPr>
            <w:tcW w:w="1225" w:type="dxa"/>
            <w:vAlign w:val="top"/>
          </w:tcPr>
          <w:p w14:paraId="6D8A7CB4">
            <w:pPr>
              <w:spacing w:line="258" w:lineRule="auto"/>
              <w:rPr>
                <w:rFonts w:ascii="Arial"/>
                <w:color w:val="auto"/>
                <w:sz w:val="21"/>
                <w:highlight w:val="none"/>
              </w:rPr>
            </w:pPr>
          </w:p>
          <w:p w14:paraId="60823F86">
            <w:pPr>
              <w:pStyle w:val="15"/>
              <w:spacing w:before="65" w:line="229" w:lineRule="auto"/>
              <w:ind w:left="200"/>
              <w:rPr>
                <w:color w:val="auto"/>
                <w:highlight w:val="none"/>
              </w:rPr>
            </w:pPr>
            <w:r>
              <w:rPr>
                <w:color w:val="auto"/>
                <w:spacing w:val="6"/>
                <w:highlight w:val="none"/>
              </w:rPr>
              <w:t>设备名称</w:t>
            </w:r>
          </w:p>
        </w:tc>
        <w:tc>
          <w:tcPr>
            <w:tcW w:w="851" w:type="dxa"/>
            <w:vAlign w:val="top"/>
          </w:tcPr>
          <w:p w14:paraId="2B973A71">
            <w:pPr>
              <w:pStyle w:val="15"/>
              <w:spacing w:before="154" w:line="298" w:lineRule="auto"/>
              <w:ind w:left="220" w:right="216" w:firstLine="5"/>
              <w:rPr>
                <w:color w:val="auto"/>
                <w:highlight w:val="none"/>
              </w:rPr>
            </w:pPr>
            <w:r>
              <w:rPr>
                <w:color w:val="auto"/>
                <w:spacing w:val="1"/>
                <w:highlight w:val="none"/>
              </w:rPr>
              <w:t>型号</w:t>
            </w:r>
            <w:r>
              <w:rPr>
                <w:color w:val="auto"/>
                <w:highlight w:val="none"/>
              </w:rPr>
              <w:t xml:space="preserve"> </w:t>
            </w:r>
            <w:r>
              <w:rPr>
                <w:color w:val="auto"/>
                <w:spacing w:val="4"/>
                <w:highlight w:val="none"/>
              </w:rPr>
              <w:t>规格</w:t>
            </w:r>
          </w:p>
        </w:tc>
        <w:tc>
          <w:tcPr>
            <w:tcW w:w="708" w:type="dxa"/>
            <w:vAlign w:val="top"/>
          </w:tcPr>
          <w:p w14:paraId="2B1886E5">
            <w:pPr>
              <w:spacing w:line="258" w:lineRule="auto"/>
              <w:rPr>
                <w:rFonts w:ascii="Arial"/>
                <w:color w:val="auto"/>
                <w:sz w:val="21"/>
                <w:highlight w:val="none"/>
              </w:rPr>
            </w:pPr>
          </w:p>
          <w:p w14:paraId="16C0CD64">
            <w:pPr>
              <w:pStyle w:val="15"/>
              <w:spacing w:before="65" w:line="228" w:lineRule="auto"/>
              <w:ind w:left="150"/>
              <w:rPr>
                <w:color w:val="auto"/>
                <w:highlight w:val="none"/>
              </w:rPr>
            </w:pPr>
            <w:r>
              <w:rPr>
                <w:color w:val="auto"/>
                <w:spacing w:val="3"/>
                <w:highlight w:val="none"/>
              </w:rPr>
              <w:t>数量</w:t>
            </w:r>
          </w:p>
        </w:tc>
        <w:tc>
          <w:tcPr>
            <w:tcW w:w="709" w:type="dxa"/>
            <w:vAlign w:val="top"/>
          </w:tcPr>
          <w:p w14:paraId="062B8AC7">
            <w:pPr>
              <w:pStyle w:val="15"/>
              <w:spacing w:before="154" w:line="298" w:lineRule="auto"/>
              <w:ind w:left="148" w:right="145" w:firstLine="20"/>
              <w:rPr>
                <w:color w:val="auto"/>
                <w:highlight w:val="none"/>
              </w:rPr>
            </w:pPr>
            <w:r>
              <w:rPr>
                <w:color w:val="auto"/>
                <w:spacing w:val="-6"/>
                <w:highlight w:val="none"/>
              </w:rPr>
              <w:t>国别</w:t>
            </w:r>
            <w:r>
              <w:rPr>
                <w:color w:val="auto"/>
                <w:highlight w:val="none"/>
              </w:rPr>
              <w:t xml:space="preserve"> </w:t>
            </w:r>
            <w:r>
              <w:rPr>
                <w:color w:val="auto"/>
                <w:spacing w:val="4"/>
                <w:highlight w:val="none"/>
              </w:rPr>
              <w:t>产地</w:t>
            </w:r>
          </w:p>
        </w:tc>
        <w:tc>
          <w:tcPr>
            <w:tcW w:w="851" w:type="dxa"/>
            <w:vAlign w:val="top"/>
          </w:tcPr>
          <w:p w14:paraId="27FA79D7">
            <w:pPr>
              <w:pStyle w:val="15"/>
              <w:spacing w:before="154" w:line="298" w:lineRule="auto"/>
              <w:ind w:left="220" w:right="216"/>
              <w:rPr>
                <w:color w:val="auto"/>
                <w:highlight w:val="none"/>
              </w:rPr>
            </w:pPr>
            <w:r>
              <w:rPr>
                <w:color w:val="auto"/>
                <w:spacing w:val="4"/>
                <w:highlight w:val="none"/>
              </w:rPr>
              <w:t>制造</w:t>
            </w:r>
            <w:r>
              <w:rPr>
                <w:color w:val="auto"/>
                <w:highlight w:val="none"/>
              </w:rPr>
              <w:t xml:space="preserve"> </w:t>
            </w:r>
            <w:r>
              <w:rPr>
                <w:color w:val="auto"/>
                <w:spacing w:val="4"/>
                <w:highlight w:val="none"/>
              </w:rPr>
              <w:t>年份</w:t>
            </w:r>
          </w:p>
        </w:tc>
        <w:tc>
          <w:tcPr>
            <w:tcW w:w="1133" w:type="dxa"/>
            <w:vAlign w:val="top"/>
          </w:tcPr>
          <w:p w14:paraId="75225BB7">
            <w:pPr>
              <w:pStyle w:val="15"/>
              <w:spacing w:before="154" w:line="304" w:lineRule="auto"/>
              <w:ind w:left="197" w:right="147" w:hanging="46"/>
              <w:rPr>
                <w:color w:val="auto"/>
                <w:highlight w:val="none"/>
              </w:rPr>
            </w:pPr>
            <w:r>
              <w:rPr>
                <w:color w:val="auto"/>
                <w:spacing w:val="7"/>
                <w:highlight w:val="none"/>
              </w:rPr>
              <w:t>额定功率</w:t>
            </w:r>
            <w:r>
              <w:rPr>
                <w:color w:val="auto"/>
                <w:highlight w:val="none"/>
              </w:rPr>
              <w:t xml:space="preserve"> </w:t>
            </w:r>
            <w:r>
              <w:rPr>
                <w:color w:val="auto"/>
                <w:spacing w:val="2"/>
                <w:highlight w:val="none"/>
              </w:rPr>
              <w:t>（</w:t>
            </w:r>
            <w:r>
              <w:rPr>
                <w:rFonts w:ascii="Times New Roman" w:hAnsi="Times New Roman" w:eastAsia="Times New Roman" w:cs="Times New Roman"/>
                <w:color w:val="auto"/>
                <w:highlight w:val="none"/>
              </w:rPr>
              <w:t>KW</w:t>
            </w:r>
            <w:r>
              <w:rPr>
                <w:color w:val="auto"/>
                <w:spacing w:val="2"/>
                <w:highlight w:val="none"/>
              </w:rPr>
              <w:t>）</w:t>
            </w:r>
          </w:p>
        </w:tc>
        <w:tc>
          <w:tcPr>
            <w:tcW w:w="991" w:type="dxa"/>
            <w:vAlign w:val="top"/>
          </w:tcPr>
          <w:p w14:paraId="4E43CB9C">
            <w:pPr>
              <w:pStyle w:val="15"/>
              <w:spacing w:before="154" w:line="298" w:lineRule="auto"/>
              <w:ind w:left="300" w:right="283" w:hanging="6"/>
              <w:rPr>
                <w:color w:val="auto"/>
                <w:highlight w:val="none"/>
              </w:rPr>
            </w:pPr>
            <w:r>
              <w:rPr>
                <w:color w:val="auto"/>
                <w:spacing w:val="3"/>
                <w:highlight w:val="none"/>
              </w:rPr>
              <w:t>生产</w:t>
            </w:r>
            <w:r>
              <w:rPr>
                <w:color w:val="auto"/>
                <w:highlight w:val="none"/>
              </w:rPr>
              <w:t xml:space="preserve"> 能力</w:t>
            </w:r>
          </w:p>
        </w:tc>
        <w:tc>
          <w:tcPr>
            <w:tcW w:w="1133" w:type="dxa"/>
            <w:vAlign w:val="top"/>
          </w:tcPr>
          <w:p w14:paraId="3E28D7C8">
            <w:pPr>
              <w:pStyle w:val="15"/>
              <w:spacing w:before="154" w:line="298" w:lineRule="auto"/>
              <w:ind w:left="261" w:right="247"/>
              <w:rPr>
                <w:color w:val="auto"/>
                <w:highlight w:val="none"/>
              </w:rPr>
            </w:pPr>
            <w:r>
              <w:rPr>
                <w:color w:val="auto"/>
                <w:spacing w:val="6"/>
                <w:highlight w:val="none"/>
              </w:rPr>
              <w:t>用于施</w:t>
            </w:r>
            <w:r>
              <w:rPr>
                <w:color w:val="auto"/>
                <w:highlight w:val="none"/>
              </w:rPr>
              <w:t xml:space="preserve"> </w:t>
            </w:r>
            <w:r>
              <w:rPr>
                <w:color w:val="auto"/>
                <w:spacing w:val="6"/>
                <w:highlight w:val="none"/>
              </w:rPr>
              <w:t>工部位</w:t>
            </w:r>
          </w:p>
        </w:tc>
        <w:tc>
          <w:tcPr>
            <w:tcW w:w="996" w:type="dxa"/>
            <w:vAlign w:val="top"/>
          </w:tcPr>
          <w:p w14:paraId="3283F671">
            <w:pPr>
              <w:spacing w:line="258" w:lineRule="auto"/>
              <w:rPr>
                <w:rFonts w:ascii="Arial"/>
                <w:color w:val="auto"/>
                <w:sz w:val="21"/>
                <w:highlight w:val="none"/>
              </w:rPr>
            </w:pPr>
          </w:p>
          <w:p w14:paraId="45506897">
            <w:pPr>
              <w:pStyle w:val="15"/>
              <w:spacing w:before="65" w:line="229" w:lineRule="auto"/>
              <w:ind w:left="295"/>
              <w:rPr>
                <w:color w:val="auto"/>
                <w:highlight w:val="none"/>
              </w:rPr>
            </w:pPr>
            <w:r>
              <w:rPr>
                <w:color w:val="auto"/>
                <w:spacing w:val="3"/>
                <w:highlight w:val="none"/>
              </w:rPr>
              <w:t>备注</w:t>
            </w:r>
          </w:p>
        </w:tc>
      </w:tr>
      <w:tr w14:paraId="7633C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2" w:type="dxa"/>
            <w:vAlign w:val="top"/>
          </w:tcPr>
          <w:p w14:paraId="1892A283">
            <w:pPr>
              <w:rPr>
                <w:rFonts w:ascii="Arial"/>
                <w:color w:val="auto"/>
                <w:sz w:val="21"/>
                <w:highlight w:val="none"/>
              </w:rPr>
            </w:pPr>
          </w:p>
        </w:tc>
        <w:tc>
          <w:tcPr>
            <w:tcW w:w="1225" w:type="dxa"/>
            <w:vAlign w:val="top"/>
          </w:tcPr>
          <w:p w14:paraId="6BDE1FCF">
            <w:pPr>
              <w:rPr>
                <w:rFonts w:ascii="Arial"/>
                <w:color w:val="auto"/>
                <w:sz w:val="21"/>
                <w:highlight w:val="none"/>
              </w:rPr>
            </w:pPr>
          </w:p>
        </w:tc>
        <w:tc>
          <w:tcPr>
            <w:tcW w:w="851" w:type="dxa"/>
            <w:vAlign w:val="top"/>
          </w:tcPr>
          <w:p w14:paraId="7814A5AA">
            <w:pPr>
              <w:rPr>
                <w:rFonts w:ascii="Arial"/>
                <w:color w:val="auto"/>
                <w:sz w:val="21"/>
                <w:highlight w:val="none"/>
              </w:rPr>
            </w:pPr>
          </w:p>
        </w:tc>
        <w:tc>
          <w:tcPr>
            <w:tcW w:w="708" w:type="dxa"/>
            <w:vAlign w:val="top"/>
          </w:tcPr>
          <w:p w14:paraId="59D908FF">
            <w:pPr>
              <w:rPr>
                <w:rFonts w:ascii="Arial"/>
                <w:color w:val="auto"/>
                <w:sz w:val="21"/>
                <w:highlight w:val="none"/>
              </w:rPr>
            </w:pPr>
          </w:p>
        </w:tc>
        <w:tc>
          <w:tcPr>
            <w:tcW w:w="709" w:type="dxa"/>
            <w:vAlign w:val="top"/>
          </w:tcPr>
          <w:p w14:paraId="1249E2FE">
            <w:pPr>
              <w:rPr>
                <w:rFonts w:ascii="Arial"/>
                <w:color w:val="auto"/>
                <w:sz w:val="21"/>
                <w:highlight w:val="none"/>
              </w:rPr>
            </w:pPr>
          </w:p>
        </w:tc>
        <w:tc>
          <w:tcPr>
            <w:tcW w:w="851" w:type="dxa"/>
            <w:vAlign w:val="top"/>
          </w:tcPr>
          <w:p w14:paraId="7BBC6805">
            <w:pPr>
              <w:rPr>
                <w:rFonts w:ascii="Arial"/>
                <w:color w:val="auto"/>
                <w:sz w:val="21"/>
                <w:highlight w:val="none"/>
              </w:rPr>
            </w:pPr>
          </w:p>
        </w:tc>
        <w:tc>
          <w:tcPr>
            <w:tcW w:w="1133" w:type="dxa"/>
            <w:vAlign w:val="top"/>
          </w:tcPr>
          <w:p w14:paraId="718E6AED">
            <w:pPr>
              <w:rPr>
                <w:rFonts w:ascii="Arial"/>
                <w:color w:val="auto"/>
                <w:sz w:val="21"/>
                <w:highlight w:val="none"/>
              </w:rPr>
            </w:pPr>
          </w:p>
        </w:tc>
        <w:tc>
          <w:tcPr>
            <w:tcW w:w="991" w:type="dxa"/>
            <w:vAlign w:val="top"/>
          </w:tcPr>
          <w:p w14:paraId="4DD9A49C">
            <w:pPr>
              <w:rPr>
                <w:rFonts w:ascii="Arial"/>
                <w:color w:val="auto"/>
                <w:sz w:val="21"/>
                <w:highlight w:val="none"/>
              </w:rPr>
            </w:pPr>
          </w:p>
        </w:tc>
        <w:tc>
          <w:tcPr>
            <w:tcW w:w="1133" w:type="dxa"/>
            <w:vAlign w:val="top"/>
          </w:tcPr>
          <w:p w14:paraId="38341201">
            <w:pPr>
              <w:rPr>
                <w:rFonts w:ascii="Arial"/>
                <w:color w:val="auto"/>
                <w:sz w:val="21"/>
                <w:highlight w:val="none"/>
              </w:rPr>
            </w:pPr>
          </w:p>
        </w:tc>
        <w:tc>
          <w:tcPr>
            <w:tcW w:w="996" w:type="dxa"/>
            <w:vAlign w:val="top"/>
          </w:tcPr>
          <w:p w14:paraId="11A17C33">
            <w:pPr>
              <w:rPr>
                <w:rFonts w:ascii="Arial"/>
                <w:color w:val="auto"/>
                <w:sz w:val="21"/>
                <w:highlight w:val="none"/>
              </w:rPr>
            </w:pPr>
          </w:p>
        </w:tc>
      </w:tr>
      <w:tr w14:paraId="53A12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2" w:type="dxa"/>
            <w:vAlign w:val="top"/>
          </w:tcPr>
          <w:p w14:paraId="1A2CD9D5">
            <w:pPr>
              <w:rPr>
                <w:rFonts w:ascii="Arial"/>
                <w:color w:val="auto"/>
                <w:sz w:val="21"/>
                <w:highlight w:val="none"/>
              </w:rPr>
            </w:pPr>
          </w:p>
        </w:tc>
        <w:tc>
          <w:tcPr>
            <w:tcW w:w="1225" w:type="dxa"/>
            <w:vAlign w:val="top"/>
          </w:tcPr>
          <w:p w14:paraId="232CE4F7">
            <w:pPr>
              <w:rPr>
                <w:rFonts w:ascii="Arial"/>
                <w:color w:val="auto"/>
                <w:sz w:val="21"/>
                <w:highlight w:val="none"/>
              </w:rPr>
            </w:pPr>
          </w:p>
        </w:tc>
        <w:tc>
          <w:tcPr>
            <w:tcW w:w="851" w:type="dxa"/>
            <w:vAlign w:val="top"/>
          </w:tcPr>
          <w:p w14:paraId="3F2C3256">
            <w:pPr>
              <w:rPr>
                <w:rFonts w:ascii="Arial"/>
                <w:color w:val="auto"/>
                <w:sz w:val="21"/>
                <w:highlight w:val="none"/>
              </w:rPr>
            </w:pPr>
          </w:p>
        </w:tc>
        <w:tc>
          <w:tcPr>
            <w:tcW w:w="708" w:type="dxa"/>
            <w:vAlign w:val="top"/>
          </w:tcPr>
          <w:p w14:paraId="0177512A">
            <w:pPr>
              <w:rPr>
                <w:rFonts w:ascii="Arial"/>
                <w:color w:val="auto"/>
                <w:sz w:val="21"/>
                <w:highlight w:val="none"/>
              </w:rPr>
            </w:pPr>
          </w:p>
        </w:tc>
        <w:tc>
          <w:tcPr>
            <w:tcW w:w="709" w:type="dxa"/>
            <w:vAlign w:val="top"/>
          </w:tcPr>
          <w:p w14:paraId="5F7F2BBE">
            <w:pPr>
              <w:rPr>
                <w:rFonts w:ascii="Arial"/>
                <w:color w:val="auto"/>
                <w:sz w:val="21"/>
                <w:highlight w:val="none"/>
              </w:rPr>
            </w:pPr>
          </w:p>
        </w:tc>
        <w:tc>
          <w:tcPr>
            <w:tcW w:w="851" w:type="dxa"/>
            <w:vAlign w:val="top"/>
          </w:tcPr>
          <w:p w14:paraId="36872B01">
            <w:pPr>
              <w:rPr>
                <w:rFonts w:ascii="Arial"/>
                <w:color w:val="auto"/>
                <w:sz w:val="21"/>
                <w:highlight w:val="none"/>
              </w:rPr>
            </w:pPr>
          </w:p>
        </w:tc>
        <w:tc>
          <w:tcPr>
            <w:tcW w:w="1133" w:type="dxa"/>
            <w:vAlign w:val="top"/>
          </w:tcPr>
          <w:p w14:paraId="7E01D0AF">
            <w:pPr>
              <w:rPr>
                <w:rFonts w:ascii="Arial"/>
                <w:color w:val="auto"/>
                <w:sz w:val="21"/>
                <w:highlight w:val="none"/>
              </w:rPr>
            </w:pPr>
          </w:p>
        </w:tc>
        <w:tc>
          <w:tcPr>
            <w:tcW w:w="991" w:type="dxa"/>
            <w:vAlign w:val="top"/>
          </w:tcPr>
          <w:p w14:paraId="6FA0F774">
            <w:pPr>
              <w:rPr>
                <w:rFonts w:ascii="Arial"/>
                <w:color w:val="auto"/>
                <w:sz w:val="21"/>
                <w:highlight w:val="none"/>
              </w:rPr>
            </w:pPr>
          </w:p>
        </w:tc>
        <w:tc>
          <w:tcPr>
            <w:tcW w:w="1133" w:type="dxa"/>
            <w:vAlign w:val="top"/>
          </w:tcPr>
          <w:p w14:paraId="680AFF69">
            <w:pPr>
              <w:rPr>
                <w:rFonts w:ascii="Arial"/>
                <w:color w:val="auto"/>
                <w:sz w:val="21"/>
                <w:highlight w:val="none"/>
              </w:rPr>
            </w:pPr>
          </w:p>
        </w:tc>
        <w:tc>
          <w:tcPr>
            <w:tcW w:w="996" w:type="dxa"/>
            <w:vAlign w:val="top"/>
          </w:tcPr>
          <w:p w14:paraId="0C1C46D3">
            <w:pPr>
              <w:rPr>
                <w:rFonts w:ascii="Arial"/>
                <w:color w:val="auto"/>
                <w:sz w:val="21"/>
                <w:highlight w:val="none"/>
              </w:rPr>
            </w:pPr>
          </w:p>
        </w:tc>
      </w:tr>
      <w:tr w14:paraId="0E089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2" w:type="dxa"/>
            <w:vAlign w:val="top"/>
          </w:tcPr>
          <w:p w14:paraId="4C10394E">
            <w:pPr>
              <w:rPr>
                <w:rFonts w:ascii="Arial"/>
                <w:color w:val="auto"/>
                <w:sz w:val="21"/>
                <w:highlight w:val="none"/>
              </w:rPr>
            </w:pPr>
          </w:p>
        </w:tc>
        <w:tc>
          <w:tcPr>
            <w:tcW w:w="1225" w:type="dxa"/>
            <w:vAlign w:val="top"/>
          </w:tcPr>
          <w:p w14:paraId="0E5C6FAE">
            <w:pPr>
              <w:rPr>
                <w:rFonts w:ascii="Arial"/>
                <w:color w:val="auto"/>
                <w:sz w:val="21"/>
                <w:highlight w:val="none"/>
              </w:rPr>
            </w:pPr>
          </w:p>
        </w:tc>
        <w:tc>
          <w:tcPr>
            <w:tcW w:w="851" w:type="dxa"/>
            <w:vAlign w:val="top"/>
          </w:tcPr>
          <w:p w14:paraId="3C168355">
            <w:pPr>
              <w:rPr>
                <w:rFonts w:ascii="Arial"/>
                <w:color w:val="auto"/>
                <w:sz w:val="21"/>
                <w:highlight w:val="none"/>
              </w:rPr>
            </w:pPr>
          </w:p>
        </w:tc>
        <w:tc>
          <w:tcPr>
            <w:tcW w:w="708" w:type="dxa"/>
            <w:vAlign w:val="top"/>
          </w:tcPr>
          <w:p w14:paraId="3223FDDF">
            <w:pPr>
              <w:rPr>
                <w:rFonts w:ascii="Arial"/>
                <w:color w:val="auto"/>
                <w:sz w:val="21"/>
                <w:highlight w:val="none"/>
              </w:rPr>
            </w:pPr>
          </w:p>
        </w:tc>
        <w:tc>
          <w:tcPr>
            <w:tcW w:w="709" w:type="dxa"/>
            <w:vAlign w:val="top"/>
          </w:tcPr>
          <w:p w14:paraId="79BD55E0">
            <w:pPr>
              <w:rPr>
                <w:rFonts w:ascii="Arial"/>
                <w:color w:val="auto"/>
                <w:sz w:val="21"/>
                <w:highlight w:val="none"/>
              </w:rPr>
            </w:pPr>
          </w:p>
        </w:tc>
        <w:tc>
          <w:tcPr>
            <w:tcW w:w="851" w:type="dxa"/>
            <w:vAlign w:val="top"/>
          </w:tcPr>
          <w:p w14:paraId="11467E87">
            <w:pPr>
              <w:rPr>
                <w:rFonts w:ascii="Arial"/>
                <w:color w:val="auto"/>
                <w:sz w:val="21"/>
                <w:highlight w:val="none"/>
              </w:rPr>
            </w:pPr>
          </w:p>
        </w:tc>
        <w:tc>
          <w:tcPr>
            <w:tcW w:w="1133" w:type="dxa"/>
            <w:vAlign w:val="top"/>
          </w:tcPr>
          <w:p w14:paraId="6C773936">
            <w:pPr>
              <w:rPr>
                <w:rFonts w:ascii="Arial"/>
                <w:color w:val="auto"/>
                <w:sz w:val="21"/>
                <w:highlight w:val="none"/>
              </w:rPr>
            </w:pPr>
          </w:p>
        </w:tc>
        <w:tc>
          <w:tcPr>
            <w:tcW w:w="991" w:type="dxa"/>
            <w:vAlign w:val="top"/>
          </w:tcPr>
          <w:p w14:paraId="73F74F4D">
            <w:pPr>
              <w:rPr>
                <w:rFonts w:ascii="Arial"/>
                <w:color w:val="auto"/>
                <w:sz w:val="21"/>
                <w:highlight w:val="none"/>
              </w:rPr>
            </w:pPr>
          </w:p>
        </w:tc>
        <w:tc>
          <w:tcPr>
            <w:tcW w:w="1133" w:type="dxa"/>
            <w:vAlign w:val="top"/>
          </w:tcPr>
          <w:p w14:paraId="7587A3DA">
            <w:pPr>
              <w:rPr>
                <w:rFonts w:ascii="Arial"/>
                <w:color w:val="auto"/>
                <w:sz w:val="21"/>
                <w:highlight w:val="none"/>
              </w:rPr>
            </w:pPr>
          </w:p>
        </w:tc>
        <w:tc>
          <w:tcPr>
            <w:tcW w:w="996" w:type="dxa"/>
            <w:vAlign w:val="top"/>
          </w:tcPr>
          <w:p w14:paraId="0EEB03D5">
            <w:pPr>
              <w:rPr>
                <w:rFonts w:ascii="Arial"/>
                <w:color w:val="auto"/>
                <w:sz w:val="21"/>
                <w:highlight w:val="none"/>
              </w:rPr>
            </w:pPr>
          </w:p>
        </w:tc>
      </w:tr>
      <w:tr w14:paraId="74518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62" w:type="dxa"/>
            <w:vAlign w:val="top"/>
          </w:tcPr>
          <w:p w14:paraId="51E02A60">
            <w:pPr>
              <w:rPr>
                <w:rFonts w:ascii="Arial"/>
                <w:color w:val="auto"/>
                <w:sz w:val="21"/>
                <w:highlight w:val="none"/>
              </w:rPr>
            </w:pPr>
          </w:p>
        </w:tc>
        <w:tc>
          <w:tcPr>
            <w:tcW w:w="1225" w:type="dxa"/>
            <w:vAlign w:val="top"/>
          </w:tcPr>
          <w:p w14:paraId="759C3863">
            <w:pPr>
              <w:rPr>
                <w:rFonts w:ascii="Arial"/>
                <w:color w:val="auto"/>
                <w:sz w:val="21"/>
                <w:highlight w:val="none"/>
              </w:rPr>
            </w:pPr>
          </w:p>
        </w:tc>
        <w:tc>
          <w:tcPr>
            <w:tcW w:w="851" w:type="dxa"/>
            <w:vAlign w:val="top"/>
          </w:tcPr>
          <w:p w14:paraId="083E7431">
            <w:pPr>
              <w:rPr>
                <w:rFonts w:ascii="Arial"/>
                <w:color w:val="auto"/>
                <w:sz w:val="21"/>
                <w:highlight w:val="none"/>
              </w:rPr>
            </w:pPr>
          </w:p>
        </w:tc>
        <w:tc>
          <w:tcPr>
            <w:tcW w:w="708" w:type="dxa"/>
            <w:vAlign w:val="top"/>
          </w:tcPr>
          <w:p w14:paraId="4BCFC344">
            <w:pPr>
              <w:rPr>
                <w:rFonts w:ascii="Arial"/>
                <w:color w:val="auto"/>
                <w:sz w:val="21"/>
                <w:highlight w:val="none"/>
              </w:rPr>
            </w:pPr>
          </w:p>
        </w:tc>
        <w:tc>
          <w:tcPr>
            <w:tcW w:w="709" w:type="dxa"/>
            <w:vAlign w:val="top"/>
          </w:tcPr>
          <w:p w14:paraId="3C42E192">
            <w:pPr>
              <w:rPr>
                <w:rFonts w:ascii="Arial"/>
                <w:color w:val="auto"/>
                <w:sz w:val="21"/>
                <w:highlight w:val="none"/>
              </w:rPr>
            </w:pPr>
          </w:p>
        </w:tc>
        <w:tc>
          <w:tcPr>
            <w:tcW w:w="851" w:type="dxa"/>
            <w:vAlign w:val="top"/>
          </w:tcPr>
          <w:p w14:paraId="5D2752F3">
            <w:pPr>
              <w:rPr>
                <w:rFonts w:ascii="Arial"/>
                <w:color w:val="auto"/>
                <w:sz w:val="21"/>
                <w:highlight w:val="none"/>
              </w:rPr>
            </w:pPr>
          </w:p>
        </w:tc>
        <w:tc>
          <w:tcPr>
            <w:tcW w:w="1133" w:type="dxa"/>
            <w:vAlign w:val="top"/>
          </w:tcPr>
          <w:p w14:paraId="58CD1DAA">
            <w:pPr>
              <w:rPr>
                <w:rFonts w:ascii="Arial"/>
                <w:color w:val="auto"/>
                <w:sz w:val="21"/>
                <w:highlight w:val="none"/>
              </w:rPr>
            </w:pPr>
          </w:p>
        </w:tc>
        <w:tc>
          <w:tcPr>
            <w:tcW w:w="991" w:type="dxa"/>
            <w:vAlign w:val="top"/>
          </w:tcPr>
          <w:p w14:paraId="5607B074">
            <w:pPr>
              <w:rPr>
                <w:rFonts w:ascii="Arial"/>
                <w:color w:val="auto"/>
                <w:sz w:val="21"/>
                <w:highlight w:val="none"/>
              </w:rPr>
            </w:pPr>
          </w:p>
        </w:tc>
        <w:tc>
          <w:tcPr>
            <w:tcW w:w="1133" w:type="dxa"/>
            <w:vAlign w:val="top"/>
          </w:tcPr>
          <w:p w14:paraId="24C73DE2">
            <w:pPr>
              <w:rPr>
                <w:rFonts w:ascii="Arial"/>
                <w:color w:val="auto"/>
                <w:sz w:val="21"/>
                <w:highlight w:val="none"/>
              </w:rPr>
            </w:pPr>
          </w:p>
        </w:tc>
        <w:tc>
          <w:tcPr>
            <w:tcW w:w="996" w:type="dxa"/>
            <w:vAlign w:val="top"/>
          </w:tcPr>
          <w:p w14:paraId="3847BB35">
            <w:pPr>
              <w:rPr>
                <w:rFonts w:ascii="Arial"/>
                <w:color w:val="auto"/>
                <w:sz w:val="21"/>
                <w:highlight w:val="none"/>
              </w:rPr>
            </w:pPr>
          </w:p>
        </w:tc>
      </w:tr>
      <w:tr w14:paraId="2C586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762" w:type="dxa"/>
            <w:vAlign w:val="top"/>
          </w:tcPr>
          <w:p w14:paraId="7F97E8C0">
            <w:pPr>
              <w:rPr>
                <w:rFonts w:ascii="Arial"/>
                <w:color w:val="auto"/>
                <w:sz w:val="21"/>
                <w:highlight w:val="none"/>
              </w:rPr>
            </w:pPr>
          </w:p>
        </w:tc>
        <w:tc>
          <w:tcPr>
            <w:tcW w:w="1225" w:type="dxa"/>
            <w:vAlign w:val="top"/>
          </w:tcPr>
          <w:p w14:paraId="7C137519">
            <w:pPr>
              <w:rPr>
                <w:rFonts w:ascii="Arial"/>
                <w:color w:val="auto"/>
                <w:sz w:val="21"/>
                <w:highlight w:val="none"/>
              </w:rPr>
            </w:pPr>
          </w:p>
        </w:tc>
        <w:tc>
          <w:tcPr>
            <w:tcW w:w="851" w:type="dxa"/>
            <w:vAlign w:val="top"/>
          </w:tcPr>
          <w:p w14:paraId="5BD5D855">
            <w:pPr>
              <w:rPr>
                <w:rFonts w:ascii="Arial"/>
                <w:color w:val="auto"/>
                <w:sz w:val="21"/>
                <w:highlight w:val="none"/>
              </w:rPr>
            </w:pPr>
          </w:p>
        </w:tc>
        <w:tc>
          <w:tcPr>
            <w:tcW w:w="708" w:type="dxa"/>
            <w:vAlign w:val="top"/>
          </w:tcPr>
          <w:p w14:paraId="7E4F025C">
            <w:pPr>
              <w:rPr>
                <w:rFonts w:ascii="Arial"/>
                <w:color w:val="auto"/>
                <w:sz w:val="21"/>
                <w:highlight w:val="none"/>
              </w:rPr>
            </w:pPr>
          </w:p>
        </w:tc>
        <w:tc>
          <w:tcPr>
            <w:tcW w:w="709" w:type="dxa"/>
            <w:vAlign w:val="top"/>
          </w:tcPr>
          <w:p w14:paraId="714EA765">
            <w:pPr>
              <w:rPr>
                <w:rFonts w:ascii="Arial"/>
                <w:color w:val="auto"/>
                <w:sz w:val="21"/>
                <w:highlight w:val="none"/>
              </w:rPr>
            </w:pPr>
          </w:p>
        </w:tc>
        <w:tc>
          <w:tcPr>
            <w:tcW w:w="851" w:type="dxa"/>
            <w:vAlign w:val="top"/>
          </w:tcPr>
          <w:p w14:paraId="3E4DFB35">
            <w:pPr>
              <w:rPr>
                <w:rFonts w:ascii="Arial"/>
                <w:color w:val="auto"/>
                <w:sz w:val="21"/>
                <w:highlight w:val="none"/>
              </w:rPr>
            </w:pPr>
          </w:p>
        </w:tc>
        <w:tc>
          <w:tcPr>
            <w:tcW w:w="1133" w:type="dxa"/>
            <w:vAlign w:val="top"/>
          </w:tcPr>
          <w:p w14:paraId="04C44522">
            <w:pPr>
              <w:rPr>
                <w:rFonts w:ascii="Arial"/>
                <w:color w:val="auto"/>
                <w:sz w:val="21"/>
                <w:highlight w:val="none"/>
              </w:rPr>
            </w:pPr>
          </w:p>
        </w:tc>
        <w:tc>
          <w:tcPr>
            <w:tcW w:w="991" w:type="dxa"/>
            <w:vAlign w:val="top"/>
          </w:tcPr>
          <w:p w14:paraId="639DE377">
            <w:pPr>
              <w:rPr>
                <w:rFonts w:ascii="Arial"/>
                <w:color w:val="auto"/>
                <w:sz w:val="21"/>
                <w:highlight w:val="none"/>
              </w:rPr>
            </w:pPr>
          </w:p>
        </w:tc>
        <w:tc>
          <w:tcPr>
            <w:tcW w:w="1133" w:type="dxa"/>
            <w:vAlign w:val="top"/>
          </w:tcPr>
          <w:p w14:paraId="3056ECA5">
            <w:pPr>
              <w:rPr>
                <w:rFonts w:ascii="Arial"/>
                <w:color w:val="auto"/>
                <w:sz w:val="21"/>
                <w:highlight w:val="none"/>
              </w:rPr>
            </w:pPr>
          </w:p>
        </w:tc>
        <w:tc>
          <w:tcPr>
            <w:tcW w:w="996" w:type="dxa"/>
            <w:vAlign w:val="top"/>
          </w:tcPr>
          <w:p w14:paraId="201A8AFD">
            <w:pPr>
              <w:rPr>
                <w:rFonts w:ascii="Arial"/>
                <w:color w:val="auto"/>
                <w:sz w:val="21"/>
                <w:highlight w:val="none"/>
              </w:rPr>
            </w:pPr>
          </w:p>
        </w:tc>
      </w:tr>
    </w:tbl>
    <w:p w14:paraId="1E3E808E">
      <w:pPr>
        <w:pStyle w:val="2"/>
        <w:spacing w:line="243" w:lineRule="auto"/>
        <w:rPr>
          <w:color w:val="auto"/>
          <w:highlight w:val="none"/>
        </w:rPr>
      </w:pPr>
    </w:p>
    <w:p w14:paraId="7E7D409A">
      <w:pPr>
        <w:pStyle w:val="2"/>
        <w:spacing w:line="243" w:lineRule="auto"/>
        <w:rPr>
          <w:color w:val="auto"/>
          <w:highlight w:val="none"/>
        </w:rPr>
      </w:pPr>
    </w:p>
    <w:p w14:paraId="6C0B8DEA">
      <w:pPr>
        <w:pStyle w:val="2"/>
        <w:spacing w:line="243" w:lineRule="auto"/>
        <w:rPr>
          <w:color w:val="auto"/>
          <w:highlight w:val="none"/>
        </w:rPr>
      </w:pPr>
    </w:p>
    <w:p w14:paraId="734F85FF">
      <w:pPr>
        <w:pStyle w:val="2"/>
        <w:spacing w:line="244" w:lineRule="auto"/>
        <w:rPr>
          <w:color w:val="auto"/>
          <w:highlight w:val="none"/>
        </w:rPr>
      </w:pPr>
    </w:p>
    <w:p w14:paraId="161C6B7B">
      <w:pPr>
        <w:spacing w:before="78" w:line="219" w:lineRule="auto"/>
        <w:ind w:left="400"/>
        <w:outlineLvl w:val="9"/>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附表二：</w:t>
      </w:r>
    </w:p>
    <w:p w14:paraId="75F164F5">
      <w:pPr>
        <w:spacing w:before="104" w:line="219" w:lineRule="auto"/>
        <w:ind w:left="2645"/>
        <w:outlineLvl w:val="9"/>
        <w:rPr>
          <w:rFonts w:ascii="宋体" w:hAnsi="宋体" w:eastAsia="宋体" w:cs="宋体"/>
          <w:color w:val="auto"/>
          <w:sz w:val="24"/>
          <w:szCs w:val="24"/>
          <w:highlight w:val="none"/>
        </w:rPr>
      </w:pPr>
      <w:r>
        <w:rPr>
          <w:rFonts w:ascii="宋体" w:hAnsi="宋体" w:eastAsia="宋体" w:cs="宋体"/>
          <w:b/>
          <w:bCs/>
          <w:color w:val="auto"/>
          <w:spacing w:val="-3"/>
          <w:sz w:val="24"/>
          <w:szCs w:val="24"/>
          <w:highlight w:val="none"/>
        </w:rPr>
        <w:t>拟配备本工程的试验和检测仪器设备表</w:t>
      </w:r>
    </w:p>
    <w:p w14:paraId="09AF0A68">
      <w:pPr>
        <w:spacing w:before="152"/>
        <w:rPr>
          <w:color w:val="auto"/>
          <w:highlight w:val="none"/>
        </w:rPr>
      </w:pPr>
    </w:p>
    <w:tbl>
      <w:tblPr>
        <w:tblStyle w:val="14"/>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2"/>
        <w:gridCol w:w="1225"/>
        <w:gridCol w:w="851"/>
        <w:gridCol w:w="708"/>
        <w:gridCol w:w="709"/>
        <w:gridCol w:w="1133"/>
        <w:gridCol w:w="1275"/>
        <w:gridCol w:w="1133"/>
        <w:gridCol w:w="1563"/>
      </w:tblGrid>
      <w:tr w14:paraId="691A6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762" w:type="dxa"/>
            <w:vAlign w:val="top"/>
          </w:tcPr>
          <w:p w14:paraId="4A1805C2">
            <w:pPr>
              <w:pStyle w:val="15"/>
              <w:spacing w:before="205" w:line="229" w:lineRule="auto"/>
              <w:ind w:left="175"/>
              <w:rPr>
                <w:color w:val="auto"/>
                <w:highlight w:val="none"/>
              </w:rPr>
            </w:pPr>
            <w:r>
              <w:rPr>
                <w:color w:val="auto"/>
                <w:spacing w:val="5"/>
                <w:highlight w:val="none"/>
              </w:rPr>
              <w:t>序号</w:t>
            </w:r>
          </w:p>
        </w:tc>
        <w:tc>
          <w:tcPr>
            <w:tcW w:w="1225" w:type="dxa"/>
            <w:vAlign w:val="top"/>
          </w:tcPr>
          <w:p w14:paraId="309A9AD5">
            <w:pPr>
              <w:pStyle w:val="15"/>
              <w:spacing w:before="35" w:line="297" w:lineRule="auto"/>
              <w:ind w:left="407" w:right="193" w:hanging="210"/>
              <w:rPr>
                <w:color w:val="auto"/>
                <w:highlight w:val="none"/>
              </w:rPr>
            </w:pPr>
            <w:r>
              <w:rPr>
                <w:color w:val="auto"/>
                <w:spacing w:val="7"/>
                <w:highlight w:val="none"/>
              </w:rPr>
              <w:t>仪器设备</w:t>
            </w:r>
            <w:r>
              <w:rPr>
                <w:color w:val="auto"/>
                <w:highlight w:val="none"/>
              </w:rPr>
              <w:t xml:space="preserve"> </w:t>
            </w:r>
            <w:r>
              <w:rPr>
                <w:color w:val="auto"/>
                <w:spacing w:val="3"/>
                <w:highlight w:val="none"/>
              </w:rPr>
              <w:t>名称</w:t>
            </w:r>
          </w:p>
        </w:tc>
        <w:tc>
          <w:tcPr>
            <w:tcW w:w="851" w:type="dxa"/>
            <w:vAlign w:val="top"/>
          </w:tcPr>
          <w:p w14:paraId="1239057C">
            <w:pPr>
              <w:pStyle w:val="15"/>
              <w:spacing w:before="35" w:line="297" w:lineRule="auto"/>
              <w:ind w:left="220" w:right="216" w:firstLine="5"/>
              <w:rPr>
                <w:color w:val="auto"/>
                <w:highlight w:val="none"/>
              </w:rPr>
            </w:pPr>
            <w:r>
              <w:rPr>
                <w:color w:val="auto"/>
                <w:spacing w:val="1"/>
                <w:highlight w:val="none"/>
              </w:rPr>
              <w:t>型号</w:t>
            </w:r>
            <w:r>
              <w:rPr>
                <w:color w:val="auto"/>
                <w:highlight w:val="none"/>
              </w:rPr>
              <w:t xml:space="preserve"> </w:t>
            </w:r>
            <w:r>
              <w:rPr>
                <w:color w:val="auto"/>
                <w:spacing w:val="4"/>
                <w:highlight w:val="none"/>
              </w:rPr>
              <w:t>规格</w:t>
            </w:r>
          </w:p>
        </w:tc>
        <w:tc>
          <w:tcPr>
            <w:tcW w:w="708" w:type="dxa"/>
            <w:vAlign w:val="top"/>
          </w:tcPr>
          <w:p w14:paraId="63C7241B">
            <w:pPr>
              <w:pStyle w:val="15"/>
              <w:spacing w:before="204" w:line="228" w:lineRule="auto"/>
              <w:ind w:left="150"/>
              <w:rPr>
                <w:color w:val="auto"/>
                <w:highlight w:val="none"/>
              </w:rPr>
            </w:pPr>
            <w:r>
              <w:rPr>
                <w:color w:val="auto"/>
                <w:spacing w:val="3"/>
                <w:highlight w:val="none"/>
              </w:rPr>
              <w:t>数量</w:t>
            </w:r>
          </w:p>
        </w:tc>
        <w:tc>
          <w:tcPr>
            <w:tcW w:w="709" w:type="dxa"/>
            <w:vAlign w:val="top"/>
          </w:tcPr>
          <w:p w14:paraId="63EF90E8">
            <w:pPr>
              <w:pStyle w:val="15"/>
              <w:spacing w:before="35" w:line="297" w:lineRule="auto"/>
              <w:ind w:left="148" w:right="145" w:firstLine="20"/>
              <w:rPr>
                <w:color w:val="auto"/>
                <w:highlight w:val="none"/>
              </w:rPr>
            </w:pPr>
            <w:r>
              <w:rPr>
                <w:color w:val="auto"/>
                <w:spacing w:val="-6"/>
                <w:highlight w:val="none"/>
              </w:rPr>
              <w:t>国别</w:t>
            </w:r>
            <w:r>
              <w:rPr>
                <w:color w:val="auto"/>
                <w:highlight w:val="none"/>
              </w:rPr>
              <w:t xml:space="preserve"> </w:t>
            </w:r>
            <w:r>
              <w:rPr>
                <w:color w:val="auto"/>
                <w:spacing w:val="4"/>
                <w:highlight w:val="none"/>
              </w:rPr>
              <w:t>产地</w:t>
            </w:r>
          </w:p>
        </w:tc>
        <w:tc>
          <w:tcPr>
            <w:tcW w:w="1133" w:type="dxa"/>
            <w:vAlign w:val="top"/>
          </w:tcPr>
          <w:p w14:paraId="5ABC3CF0">
            <w:pPr>
              <w:pStyle w:val="15"/>
              <w:spacing w:before="204" w:line="228" w:lineRule="auto"/>
              <w:ind w:left="153"/>
              <w:rPr>
                <w:color w:val="auto"/>
                <w:highlight w:val="none"/>
              </w:rPr>
            </w:pPr>
            <w:r>
              <w:rPr>
                <w:color w:val="auto"/>
                <w:spacing w:val="7"/>
                <w:highlight w:val="none"/>
              </w:rPr>
              <w:t>制造年份</w:t>
            </w:r>
          </w:p>
        </w:tc>
        <w:tc>
          <w:tcPr>
            <w:tcW w:w="1275" w:type="dxa"/>
            <w:vAlign w:val="top"/>
          </w:tcPr>
          <w:p w14:paraId="4D263FDC">
            <w:pPr>
              <w:pStyle w:val="15"/>
              <w:spacing w:before="35" w:line="297" w:lineRule="auto"/>
              <w:ind w:left="344" w:right="321" w:firstLine="6"/>
              <w:rPr>
                <w:color w:val="auto"/>
                <w:highlight w:val="none"/>
              </w:rPr>
            </w:pPr>
            <w:r>
              <w:rPr>
                <w:color w:val="auto"/>
                <w:spacing w:val="-1"/>
                <w:highlight w:val="none"/>
              </w:rPr>
              <w:t>已使用</w:t>
            </w:r>
            <w:r>
              <w:rPr>
                <w:color w:val="auto"/>
                <w:highlight w:val="none"/>
              </w:rPr>
              <w:t xml:space="preserve"> </w:t>
            </w:r>
            <w:r>
              <w:rPr>
                <w:color w:val="auto"/>
                <w:spacing w:val="1"/>
                <w:highlight w:val="none"/>
              </w:rPr>
              <w:t>台时数</w:t>
            </w:r>
          </w:p>
        </w:tc>
        <w:tc>
          <w:tcPr>
            <w:tcW w:w="1133" w:type="dxa"/>
            <w:vAlign w:val="top"/>
          </w:tcPr>
          <w:p w14:paraId="355D961B">
            <w:pPr>
              <w:pStyle w:val="15"/>
              <w:spacing w:before="205" w:line="229" w:lineRule="auto"/>
              <w:ind w:left="364"/>
              <w:rPr>
                <w:color w:val="auto"/>
                <w:highlight w:val="none"/>
              </w:rPr>
            </w:pPr>
            <w:r>
              <w:rPr>
                <w:color w:val="auto"/>
                <w:spacing w:val="3"/>
                <w:highlight w:val="none"/>
              </w:rPr>
              <w:t>用途</w:t>
            </w:r>
          </w:p>
        </w:tc>
        <w:tc>
          <w:tcPr>
            <w:tcW w:w="1563" w:type="dxa"/>
            <w:vAlign w:val="top"/>
          </w:tcPr>
          <w:p w14:paraId="7D9FCA24">
            <w:pPr>
              <w:pStyle w:val="15"/>
              <w:spacing w:before="205" w:line="229" w:lineRule="auto"/>
              <w:ind w:left="579"/>
              <w:rPr>
                <w:color w:val="auto"/>
                <w:highlight w:val="none"/>
              </w:rPr>
            </w:pPr>
            <w:r>
              <w:rPr>
                <w:color w:val="auto"/>
                <w:spacing w:val="3"/>
                <w:highlight w:val="none"/>
              </w:rPr>
              <w:t>备注</w:t>
            </w:r>
          </w:p>
        </w:tc>
      </w:tr>
      <w:tr w14:paraId="5CCEE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62" w:type="dxa"/>
            <w:vAlign w:val="top"/>
          </w:tcPr>
          <w:p w14:paraId="39D5AED7">
            <w:pPr>
              <w:rPr>
                <w:rFonts w:ascii="Arial"/>
                <w:color w:val="auto"/>
                <w:sz w:val="21"/>
                <w:highlight w:val="none"/>
              </w:rPr>
            </w:pPr>
          </w:p>
        </w:tc>
        <w:tc>
          <w:tcPr>
            <w:tcW w:w="1225" w:type="dxa"/>
            <w:vAlign w:val="top"/>
          </w:tcPr>
          <w:p w14:paraId="382E9E5F">
            <w:pPr>
              <w:rPr>
                <w:rFonts w:ascii="Arial"/>
                <w:color w:val="auto"/>
                <w:sz w:val="21"/>
                <w:highlight w:val="none"/>
              </w:rPr>
            </w:pPr>
          </w:p>
        </w:tc>
        <w:tc>
          <w:tcPr>
            <w:tcW w:w="851" w:type="dxa"/>
            <w:vAlign w:val="top"/>
          </w:tcPr>
          <w:p w14:paraId="6495D57D">
            <w:pPr>
              <w:rPr>
                <w:rFonts w:ascii="Arial"/>
                <w:color w:val="auto"/>
                <w:sz w:val="21"/>
                <w:highlight w:val="none"/>
              </w:rPr>
            </w:pPr>
          </w:p>
        </w:tc>
        <w:tc>
          <w:tcPr>
            <w:tcW w:w="708" w:type="dxa"/>
            <w:vAlign w:val="top"/>
          </w:tcPr>
          <w:p w14:paraId="5BA05357">
            <w:pPr>
              <w:rPr>
                <w:rFonts w:ascii="Arial"/>
                <w:color w:val="auto"/>
                <w:sz w:val="21"/>
                <w:highlight w:val="none"/>
              </w:rPr>
            </w:pPr>
          </w:p>
        </w:tc>
        <w:tc>
          <w:tcPr>
            <w:tcW w:w="709" w:type="dxa"/>
            <w:vAlign w:val="top"/>
          </w:tcPr>
          <w:p w14:paraId="73D27130">
            <w:pPr>
              <w:rPr>
                <w:rFonts w:ascii="Arial"/>
                <w:color w:val="auto"/>
                <w:sz w:val="21"/>
                <w:highlight w:val="none"/>
              </w:rPr>
            </w:pPr>
          </w:p>
        </w:tc>
        <w:tc>
          <w:tcPr>
            <w:tcW w:w="1133" w:type="dxa"/>
            <w:vAlign w:val="top"/>
          </w:tcPr>
          <w:p w14:paraId="28DC623C">
            <w:pPr>
              <w:rPr>
                <w:rFonts w:ascii="Arial"/>
                <w:color w:val="auto"/>
                <w:sz w:val="21"/>
                <w:highlight w:val="none"/>
              </w:rPr>
            </w:pPr>
          </w:p>
        </w:tc>
        <w:tc>
          <w:tcPr>
            <w:tcW w:w="1275" w:type="dxa"/>
            <w:vAlign w:val="top"/>
          </w:tcPr>
          <w:p w14:paraId="28FD853C">
            <w:pPr>
              <w:rPr>
                <w:rFonts w:ascii="Arial"/>
                <w:color w:val="auto"/>
                <w:sz w:val="21"/>
                <w:highlight w:val="none"/>
              </w:rPr>
            </w:pPr>
          </w:p>
        </w:tc>
        <w:tc>
          <w:tcPr>
            <w:tcW w:w="1133" w:type="dxa"/>
            <w:vAlign w:val="top"/>
          </w:tcPr>
          <w:p w14:paraId="6589AC61">
            <w:pPr>
              <w:rPr>
                <w:rFonts w:ascii="Arial"/>
                <w:color w:val="auto"/>
                <w:sz w:val="21"/>
                <w:highlight w:val="none"/>
              </w:rPr>
            </w:pPr>
          </w:p>
        </w:tc>
        <w:tc>
          <w:tcPr>
            <w:tcW w:w="1563" w:type="dxa"/>
            <w:vAlign w:val="top"/>
          </w:tcPr>
          <w:p w14:paraId="73C7A869">
            <w:pPr>
              <w:rPr>
                <w:rFonts w:ascii="Arial"/>
                <w:color w:val="auto"/>
                <w:sz w:val="21"/>
                <w:highlight w:val="none"/>
              </w:rPr>
            </w:pPr>
          </w:p>
        </w:tc>
      </w:tr>
      <w:tr w14:paraId="772AF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62" w:type="dxa"/>
            <w:vAlign w:val="top"/>
          </w:tcPr>
          <w:p w14:paraId="3F2753E6">
            <w:pPr>
              <w:rPr>
                <w:rFonts w:ascii="Arial"/>
                <w:color w:val="auto"/>
                <w:sz w:val="21"/>
                <w:highlight w:val="none"/>
              </w:rPr>
            </w:pPr>
          </w:p>
        </w:tc>
        <w:tc>
          <w:tcPr>
            <w:tcW w:w="1225" w:type="dxa"/>
            <w:vAlign w:val="top"/>
          </w:tcPr>
          <w:p w14:paraId="033DB5E2">
            <w:pPr>
              <w:rPr>
                <w:rFonts w:ascii="Arial"/>
                <w:color w:val="auto"/>
                <w:sz w:val="21"/>
                <w:highlight w:val="none"/>
              </w:rPr>
            </w:pPr>
          </w:p>
        </w:tc>
        <w:tc>
          <w:tcPr>
            <w:tcW w:w="851" w:type="dxa"/>
            <w:vAlign w:val="top"/>
          </w:tcPr>
          <w:p w14:paraId="59DAA31F">
            <w:pPr>
              <w:rPr>
                <w:rFonts w:ascii="Arial"/>
                <w:color w:val="auto"/>
                <w:sz w:val="21"/>
                <w:highlight w:val="none"/>
              </w:rPr>
            </w:pPr>
          </w:p>
        </w:tc>
        <w:tc>
          <w:tcPr>
            <w:tcW w:w="708" w:type="dxa"/>
            <w:vAlign w:val="top"/>
          </w:tcPr>
          <w:p w14:paraId="085F291D">
            <w:pPr>
              <w:rPr>
                <w:rFonts w:ascii="Arial"/>
                <w:color w:val="auto"/>
                <w:sz w:val="21"/>
                <w:highlight w:val="none"/>
              </w:rPr>
            </w:pPr>
          </w:p>
        </w:tc>
        <w:tc>
          <w:tcPr>
            <w:tcW w:w="709" w:type="dxa"/>
            <w:vAlign w:val="top"/>
          </w:tcPr>
          <w:p w14:paraId="7076C893">
            <w:pPr>
              <w:rPr>
                <w:rFonts w:ascii="Arial"/>
                <w:color w:val="auto"/>
                <w:sz w:val="21"/>
                <w:highlight w:val="none"/>
              </w:rPr>
            </w:pPr>
          </w:p>
        </w:tc>
        <w:tc>
          <w:tcPr>
            <w:tcW w:w="1133" w:type="dxa"/>
            <w:vAlign w:val="top"/>
          </w:tcPr>
          <w:p w14:paraId="63AAA30C">
            <w:pPr>
              <w:rPr>
                <w:rFonts w:ascii="Arial"/>
                <w:color w:val="auto"/>
                <w:sz w:val="21"/>
                <w:highlight w:val="none"/>
              </w:rPr>
            </w:pPr>
          </w:p>
        </w:tc>
        <w:tc>
          <w:tcPr>
            <w:tcW w:w="1275" w:type="dxa"/>
            <w:vAlign w:val="top"/>
          </w:tcPr>
          <w:p w14:paraId="10BA10C4">
            <w:pPr>
              <w:rPr>
                <w:rFonts w:ascii="Arial"/>
                <w:color w:val="auto"/>
                <w:sz w:val="21"/>
                <w:highlight w:val="none"/>
              </w:rPr>
            </w:pPr>
          </w:p>
        </w:tc>
        <w:tc>
          <w:tcPr>
            <w:tcW w:w="1133" w:type="dxa"/>
            <w:vAlign w:val="top"/>
          </w:tcPr>
          <w:p w14:paraId="64A1F014">
            <w:pPr>
              <w:rPr>
                <w:rFonts w:ascii="Arial"/>
                <w:color w:val="auto"/>
                <w:sz w:val="21"/>
                <w:highlight w:val="none"/>
              </w:rPr>
            </w:pPr>
          </w:p>
        </w:tc>
        <w:tc>
          <w:tcPr>
            <w:tcW w:w="1563" w:type="dxa"/>
            <w:vAlign w:val="top"/>
          </w:tcPr>
          <w:p w14:paraId="752B947C">
            <w:pPr>
              <w:rPr>
                <w:rFonts w:ascii="Arial"/>
                <w:color w:val="auto"/>
                <w:sz w:val="21"/>
                <w:highlight w:val="none"/>
              </w:rPr>
            </w:pPr>
          </w:p>
        </w:tc>
      </w:tr>
      <w:tr w14:paraId="604B3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62" w:type="dxa"/>
            <w:vAlign w:val="top"/>
          </w:tcPr>
          <w:p w14:paraId="13AC2082">
            <w:pPr>
              <w:rPr>
                <w:rFonts w:ascii="Arial"/>
                <w:color w:val="auto"/>
                <w:sz w:val="21"/>
                <w:highlight w:val="none"/>
              </w:rPr>
            </w:pPr>
          </w:p>
        </w:tc>
        <w:tc>
          <w:tcPr>
            <w:tcW w:w="1225" w:type="dxa"/>
            <w:vAlign w:val="top"/>
          </w:tcPr>
          <w:p w14:paraId="548BFFE4">
            <w:pPr>
              <w:rPr>
                <w:rFonts w:ascii="Arial"/>
                <w:color w:val="auto"/>
                <w:sz w:val="21"/>
                <w:highlight w:val="none"/>
              </w:rPr>
            </w:pPr>
          </w:p>
        </w:tc>
        <w:tc>
          <w:tcPr>
            <w:tcW w:w="851" w:type="dxa"/>
            <w:vAlign w:val="top"/>
          </w:tcPr>
          <w:p w14:paraId="0D3464EF">
            <w:pPr>
              <w:rPr>
                <w:rFonts w:ascii="Arial"/>
                <w:color w:val="auto"/>
                <w:sz w:val="21"/>
                <w:highlight w:val="none"/>
              </w:rPr>
            </w:pPr>
          </w:p>
        </w:tc>
        <w:tc>
          <w:tcPr>
            <w:tcW w:w="708" w:type="dxa"/>
            <w:vAlign w:val="top"/>
          </w:tcPr>
          <w:p w14:paraId="6E2D4B46">
            <w:pPr>
              <w:rPr>
                <w:rFonts w:ascii="Arial"/>
                <w:color w:val="auto"/>
                <w:sz w:val="21"/>
                <w:highlight w:val="none"/>
              </w:rPr>
            </w:pPr>
          </w:p>
        </w:tc>
        <w:tc>
          <w:tcPr>
            <w:tcW w:w="709" w:type="dxa"/>
            <w:vAlign w:val="top"/>
          </w:tcPr>
          <w:p w14:paraId="0B8F30BB">
            <w:pPr>
              <w:rPr>
                <w:rFonts w:ascii="Arial"/>
                <w:color w:val="auto"/>
                <w:sz w:val="21"/>
                <w:highlight w:val="none"/>
              </w:rPr>
            </w:pPr>
          </w:p>
        </w:tc>
        <w:tc>
          <w:tcPr>
            <w:tcW w:w="1133" w:type="dxa"/>
            <w:vAlign w:val="top"/>
          </w:tcPr>
          <w:p w14:paraId="165EF893">
            <w:pPr>
              <w:rPr>
                <w:rFonts w:ascii="Arial"/>
                <w:color w:val="auto"/>
                <w:sz w:val="21"/>
                <w:highlight w:val="none"/>
              </w:rPr>
            </w:pPr>
          </w:p>
        </w:tc>
        <w:tc>
          <w:tcPr>
            <w:tcW w:w="1275" w:type="dxa"/>
            <w:vAlign w:val="top"/>
          </w:tcPr>
          <w:p w14:paraId="6676E5BA">
            <w:pPr>
              <w:rPr>
                <w:rFonts w:ascii="Arial"/>
                <w:color w:val="auto"/>
                <w:sz w:val="21"/>
                <w:highlight w:val="none"/>
              </w:rPr>
            </w:pPr>
          </w:p>
        </w:tc>
        <w:tc>
          <w:tcPr>
            <w:tcW w:w="1133" w:type="dxa"/>
            <w:vAlign w:val="top"/>
          </w:tcPr>
          <w:p w14:paraId="710AF85B">
            <w:pPr>
              <w:rPr>
                <w:rFonts w:ascii="Arial"/>
                <w:color w:val="auto"/>
                <w:sz w:val="21"/>
                <w:highlight w:val="none"/>
              </w:rPr>
            </w:pPr>
          </w:p>
        </w:tc>
        <w:tc>
          <w:tcPr>
            <w:tcW w:w="1563" w:type="dxa"/>
            <w:vAlign w:val="top"/>
          </w:tcPr>
          <w:p w14:paraId="69165ACC">
            <w:pPr>
              <w:rPr>
                <w:rFonts w:ascii="Arial"/>
                <w:color w:val="auto"/>
                <w:sz w:val="21"/>
                <w:highlight w:val="none"/>
              </w:rPr>
            </w:pPr>
          </w:p>
        </w:tc>
      </w:tr>
      <w:tr w14:paraId="3D795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762" w:type="dxa"/>
            <w:vAlign w:val="top"/>
          </w:tcPr>
          <w:p w14:paraId="5B7DEA83">
            <w:pPr>
              <w:rPr>
                <w:rFonts w:ascii="Arial"/>
                <w:color w:val="auto"/>
                <w:sz w:val="21"/>
                <w:highlight w:val="none"/>
              </w:rPr>
            </w:pPr>
          </w:p>
        </w:tc>
        <w:tc>
          <w:tcPr>
            <w:tcW w:w="1225" w:type="dxa"/>
            <w:vAlign w:val="top"/>
          </w:tcPr>
          <w:p w14:paraId="478FD835">
            <w:pPr>
              <w:rPr>
                <w:rFonts w:ascii="Arial"/>
                <w:color w:val="auto"/>
                <w:sz w:val="21"/>
                <w:highlight w:val="none"/>
              </w:rPr>
            </w:pPr>
          </w:p>
        </w:tc>
        <w:tc>
          <w:tcPr>
            <w:tcW w:w="851" w:type="dxa"/>
            <w:vAlign w:val="top"/>
          </w:tcPr>
          <w:p w14:paraId="27DCAA69">
            <w:pPr>
              <w:rPr>
                <w:rFonts w:ascii="Arial"/>
                <w:color w:val="auto"/>
                <w:sz w:val="21"/>
                <w:highlight w:val="none"/>
              </w:rPr>
            </w:pPr>
          </w:p>
        </w:tc>
        <w:tc>
          <w:tcPr>
            <w:tcW w:w="708" w:type="dxa"/>
            <w:vAlign w:val="top"/>
          </w:tcPr>
          <w:p w14:paraId="54164E0C">
            <w:pPr>
              <w:rPr>
                <w:rFonts w:ascii="Arial"/>
                <w:color w:val="auto"/>
                <w:sz w:val="21"/>
                <w:highlight w:val="none"/>
              </w:rPr>
            </w:pPr>
          </w:p>
        </w:tc>
        <w:tc>
          <w:tcPr>
            <w:tcW w:w="709" w:type="dxa"/>
            <w:vAlign w:val="top"/>
          </w:tcPr>
          <w:p w14:paraId="70E2A652">
            <w:pPr>
              <w:rPr>
                <w:rFonts w:ascii="Arial"/>
                <w:color w:val="auto"/>
                <w:sz w:val="21"/>
                <w:highlight w:val="none"/>
              </w:rPr>
            </w:pPr>
          </w:p>
        </w:tc>
        <w:tc>
          <w:tcPr>
            <w:tcW w:w="1133" w:type="dxa"/>
            <w:vAlign w:val="top"/>
          </w:tcPr>
          <w:p w14:paraId="56AEF1E9">
            <w:pPr>
              <w:rPr>
                <w:rFonts w:ascii="Arial"/>
                <w:color w:val="auto"/>
                <w:sz w:val="21"/>
                <w:highlight w:val="none"/>
              </w:rPr>
            </w:pPr>
          </w:p>
        </w:tc>
        <w:tc>
          <w:tcPr>
            <w:tcW w:w="1275" w:type="dxa"/>
            <w:vAlign w:val="top"/>
          </w:tcPr>
          <w:p w14:paraId="0F300FE9">
            <w:pPr>
              <w:rPr>
                <w:rFonts w:ascii="Arial"/>
                <w:color w:val="auto"/>
                <w:sz w:val="21"/>
                <w:highlight w:val="none"/>
              </w:rPr>
            </w:pPr>
          </w:p>
        </w:tc>
        <w:tc>
          <w:tcPr>
            <w:tcW w:w="1133" w:type="dxa"/>
            <w:vAlign w:val="top"/>
          </w:tcPr>
          <w:p w14:paraId="3EB0C6AE">
            <w:pPr>
              <w:rPr>
                <w:rFonts w:ascii="Arial"/>
                <w:color w:val="auto"/>
                <w:sz w:val="21"/>
                <w:highlight w:val="none"/>
              </w:rPr>
            </w:pPr>
          </w:p>
        </w:tc>
        <w:tc>
          <w:tcPr>
            <w:tcW w:w="1563" w:type="dxa"/>
            <w:vAlign w:val="top"/>
          </w:tcPr>
          <w:p w14:paraId="6F9E045F">
            <w:pPr>
              <w:rPr>
                <w:rFonts w:ascii="Arial"/>
                <w:color w:val="auto"/>
                <w:sz w:val="21"/>
                <w:highlight w:val="none"/>
              </w:rPr>
            </w:pPr>
          </w:p>
        </w:tc>
      </w:tr>
      <w:tr w14:paraId="53A2D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62" w:type="dxa"/>
            <w:vAlign w:val="top"/>
          </w:tcPr>
          <w:p w14:paraId="5B54BE00">
            <w:pPr>
              <w:rPr>
                <w:rFonts w:ascii="Arial"/>
                <w:color w:val="auto"/>
                <w:sz w:val="21"/>
                <w:highlight w:val="none"/>
              </w:rPr>
            </w:pPr>
          </w:p>
        </w:tc>
        <w:tc>
          <w:tcPr>
            <w:tcW w:w="1225" w:type="dxa"/>
            <w:vAlign w:val="top"/>
          </w:tcPr>
          <w:p w14:paraId="30048ADF">
            <w:pPr>
              <w:rPr>
                <w:rFonts w:ascii="Arial"/>
                <w:color w:val="auto"/>
                <w:sz w:val="21"/>
                <w:highlight w:val="none"/>
              </w:rPr>
            </w:pPr>
          </w:p>
        </w:tc>
        <w:tc>
          <w:tcPr>
            <w:tcW w:w="851" w:type="dxa"/>
            <w:vAlign w:val="top"/>
          </w:tcPr>
          <w:p w14:paraId="1DDEF025">
            <w:pPr>
              <w:rPr>
                <w:rFonts w:ascii="Arial"/>
                <w:color w:val="auto"/>
                <w:sz w:val="21"/>
                <w:highlight w:val="none"/>
              </w:rPr>
            </w:pPr>
          </w:p>
        </w:tc>
        <w:tc>
          <w:tcPr>
            <w:tcW w:w="708" w:type="dxa"/>
            <w:vAlign w:val="top"/>
          </w:tcPr>
          <w:p w14:paraId="496AC82A">
            <w:pPr>
              <w:rPr>
                <w:rFonts w:ascii="Arial"/>
                <w:color w:val="auto"/>
                <w:sz w:val="21"/>
                <w:highlight w:val="none"/>
              </w:rPr>
            </w:pPr>
          </w:p>
        </w:tc>
        <w:tc>
          <w:tcPr>
            <w:tcW w:w="709" w:type="dxa"/>
            <w:vAlign w:val="top"/>
          </w:tcPr>
          <w:p w14:paraId="27A89394">
            <w:pPr>
              <w:rPr>
                <w:rFonts w:ascii="Arial"/>
                <w:color w:val="auto"/>
                <w:sz w:val="21"/>
                <w:highlight w:val="none"/>
              </w:rPr>
            </w:pPr>
          </w:p>
        </w:tc>
        <w:tc>
          <w:tcPr>
            <w:tcW w:w="1133" w:type="dxa"/>
            <w:vAlign w:val="top"/>
          </w:tcPr>
          <w:p w14:paraId="69E4CDC2">
            <w:pPr>
              <w:rPr>
                <w:rFonts w:ascii="Arial"/>
                <w:color w:val="auto"/>
                <w:sz w:val="21"/>
                <w:highlight w:val="none"/>
              </w:rPr>
            </w:pPr>
          </w:p>
        </w:tc>
        <w:tc>
          <w:tcPr>
            <w:tcW w:w="1275" w:type="dxa"/>
            <w:vAlign w:val="top"/>
          </w:tcPr>
          <w:p w14:paraId="39BFF848">
            <w:pPr>
              <w:rPr>
                <w:rFonts w:ascii="Arial"/>
                <w:color w:val="auto"/>
                <w:sz w:val="21"/>
                <w:highlight w:val="none"/>
              </w:rPr>
            </w:pPr>
          </w:p>
        </w:tc>
        <w:tc>
          <w:tcPr>
            <w:tcW w:w="1133" w:type="dxa"/>
            <w:vAlign w:val="top"/>
          </w:tcPr>
          <w:p w14:paraId="2E11D6E1">
            <w:pPr>
              <w:rPr>
                <w:rFonts w:ascii="Arial"/>
                <w:color w:val="auto"/>
                <w:sz w:val="21"/>
                <w:highlight w:val="none"/>
              </w:rPr>
            </w:pPr>
          </w:p>
        </w:tc>
        <w:tc>
          <w:tcPr>
            <w:tcW w:w="1563" w:type="dxa"/>
            <w:vAlign w:val="top"/>
          </w:tcPr>
          <w:p w14:paraId="2C2801FB">
            <w:pPr>
              <w:rPr>
                <w:rFonts w:ascii="Arial"/>
                <w:color w:val="auto"/>
                <w:sz w:val="21"/>
                <w:highlight w:val="none"/>
              </w:rPr>
            </w:pPr>
          </w:p>
        </w:tc>
      </w:tr>
    </w:tbl>
    <w:p w14:paraId="33297106">
      <w:pPr>
        <w:pStyle w:val="2"/>
        <w:rPr>
          <w:color w:val="auto"/>
          <w:highlight w:val="none"/>
        </w:rPr>
      </w:pPr>
    </w:p>
    <w:p w14:paraId="02AF04BB">
      <w:pPr>
        <w:rPr>
          <w:color w:val="auto"/>
          <w:highlight w:val="none"/>
        </w:rPr>
        <w:sectPr>
          <w:footerReference r:id="rId38" w:type="default"/>
          <w:pgSz w:w="11910" w:h="16840"/>
          <w:pgMar w:top="1359" w:right="1257" w:bottom="1019" w:left="1288" w:header="0" w:footer="857" w:gutter="0"/>
          <w:pgNumType w:fmt="decimal"/>
          <w:cols w:space="720" w:num="1"/>
        </w:sectPr>
      </w:pPr>
    </w:p>
    <w:p w14:paraId="6E52A3FB">
      <w:pPr>
        <w:spacing w:before="47" w:line="219" w:lineRule="auto"/>
        <w:ind w:left="402"/>
        <w:outlineLvl w:val="9"/>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附表三：</w:t>
      </w:r>
    </w:p>
    <w:p w14:paraId="20052ACF">
      <w:pPr>
        <w:spacing w:before="105" w:line="219" w:lineRule="auto"/>
        <w:ind w:left="3977"/>
        <w:outlineLvl w:val="9"/>
        <w:rPr>
          <w:rFonts w:ascii="宋体" w:hAnsi="宋体" w:eastAsia="宋体" w:cs="宋体"/>
          <w:color w:val="auto"/>
          <w:sz w:val="24"/>
          <w:szCs w:val="24"/>
          <w:highlight w:val="none"/>
        </w:rPr>
      </w:pPr>
      <w:r>
        <w:rPr>
          <w:rFonts w:ascii="宋体" w:hAnsi="宋体" w:eastAsia="宋体" w:cs="宋体"/>
          <w:b/>
          <w:bCs/>
          <w:color w:val="auto"/>
          <w:spacing w:val="-5"/>
          <w:sz w:val="24"/>
          <w:szCs w:val="24"/>
          <w:highlight w:val="none"/>
        </w:rPr>
        <w:t>劳动力计划表</w:t>
      </w:r>
    </w:p>
    <w:p w14:paraId="1376D483">
      <w:pPr>
        <w:spacing w:before="103" w:line="220" w:lineRule="auto"/>
        <w:ind w:left="8041"/>
        <w:outlineLvl w:val="9"/>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单位：人</w:t>
      </w:r>
    </w:p>
    <w:p w14:paraId="11DD270B">
      <w:pPr>
        <w:spacing w:line="67" w:lineRule="exact"/>
        <w:rPr>
          <w:color w:val="auto"/>
          <w:highlight w:val="none"/>
        </w:rPr>
      </w:pPr>
    </w:p>
    <w:tbl>
      <w:tblPr>
        <w:tblStyle w:val="14"/>
        <w:tblW w:w="93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8"/>
        <w:gridCol w:w="961"/>
        <w:gridCol w:w="1256"/>
        <w:gridCol w:w="1257"/>
        <w:gridCol w:w="1256"/>
        <w:gridCol w:w="1257"/>
        <w:gridCol w:w="1256"/>
        <w:gridCol w:w="1262"/>
      </w:tblGrid>
      <w:tr w14:paraId="699D3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858" w:type="dxa"/>
            <w:vAlign w:val="top"/>
          </w:tcPr>
          <w:p w14:paraId="26041BF9">
            <w:pPr>
              <w:pStyle w:val="15"/>
              <w:spacing w:before="37" w:line="228" w:lineRule="auto"/>
              <w:ind w:left="226"/>
              <w:rPr>
                <w:color w:val="auto"/>
                <w:highlight w:val="none"/>
              </w:rPr>
            </w:pPr>
            <w:r>
              <w:rPr>
                <w:color w:val="auto"/>
                <w:spacing w:val="3"/>
                <w:highlight w:val="none"/>
              </w:rPr>
              <w:t>工种</w:t>
            </w:r>
          </w:p>
        </w:tc>
        <w:tc>
          <w:tcPr>
            <w:tcW w:w="8505" w:type="dxa"/>
            <w:gridSpan w:val="7"/>
            <w:vAlign w:val="top"/>
          </w:tcPr>
          <w:p w14:paraId="0A273525">
            <w:pPr>
              <w:pStyle w:val="15"/>
              <w:spacing w:before="37" w:line="228" w:lineRule="auto"/>
              <w:ind w:left="2787"/>
              <w:rPr>
                <w:color w:val="auto"/>
                <w:highlight w:val="none"/>
              </w:rPr>
            </w:pPr>
            <w:r>
              <w:rPr>
                <w:color w:val="auto"/>
                <w:spacing w:val="9"/>
                <w:highlight w:val="none"/>
              </w:rPr>
              <w:t>按工程施工阶段投入劳动力情况</w:t>
            </w:r>
          </w:p>
        </w:tc>
      </w:tr>
      <w:tr w14:paraId="7480E2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858" w:type="dxa"/>
            <w:vAlign w:val="top"/>
          </w:tcPr>
          <w:p w14:paraId="645C2781">
            <w:pPr>
              <w:rPr>
                <w:rFonts w:ascii="Arial"/>
                <w:color w:val="auto"/>
                <w:sz w:val="21"/>
                <w:highlight w:val="none"/>
              </w:rPr>
            </w:pPr>
          </w:p>
        </w:tc>
        <w:tc>
          <w:tcPr>
            <w:tcW w:w="961" w:type="dxa"/>
            <w:vAlign w:val="top"/>
          </w:tcPr>
          <w:p w14:paraId="2925BA72">
            <w:pPr>
              <w:rPr>
                <w:rFonts w:ascii="Arial"/>
                <w:color w:val="auto"/>
                <w:sz w:val="21"/>
                <w:highlight w:val="none"/>
              </w:rPr>
            </w:pPr>
          </w:p>
        </w:tc>
        <w:tc>
          <w:tcPr>
            <w:tcW w:w="1256" w:type="dxa"/>
            <w:vAlign w:val="top"/>
          </w:tcPr>
          <w:p w14:paraId="7E5A1958">
            <w:pPr>
              <w:rPr>
                <w:rFonts w:ascii="Arial"/>
                <w:color w:val="auto"/>
                <w:sz w:val="21"/>
                <w:highlight w:val="none"/>
              </w:rPr>
            </w:pPr>
          </w:p>
        </w:tc>
        <w:tc>
          <w:tcPr>
            <w:tcW w:w="1257" w:type="dxa"/>
            <w:vAlign w:val="top"/>
          </w:tcPr>
          <w:p w14:paraId="51A04509">
            <w:pPr>
              <w:rPr>
                <w:rFonts w:ascii="Arial"/>
                <w:color w:val="auto"/>
                <w:sz w:val="21"/>
                <w:highlight w:val="none"/>
              </w:rPr>
            </w:pPr>
          </w:p>
        </w:tc>
        <w:tc>
          <w:tcPr>
            <w:tcW w:w="1256" w:type="dxa"/>
            <w:vAlign w:val="top"/>
          </w:tcPr>
          <w:p w14:paraId="25846688">
            <w:pPr>
              <w:rPr>
                <w:rFonts w:ascii="Arial"/>
                <w:color w:val="auto"/>
                <w:sz w:val="21"/>
                <w:highlight w:val="none"/>
              </w:rPr>
            </w:pPr>
          </w:p>
        </w:tc>
        <w:tc>
          <w:tcPr>
            <w:tcW w:w="1257" w:type="dxa"/>
            <w:vAlign w:val="top"/>
          </w:tcPr>
          <w:p w14:paraId="5ED267F5">
            <w:pPr>
              <w:rPr>
                <w:rFonts w:ascii="Arial"/>
                <w:color w:val="auto"/>
                <w:sz w:val="21"/>
                <w:highlight w:val="none"/>
              </w:rPr>
            </w:pPr>
          </w:p>
        </w:tc>
        <w:tc>
          <w:tcPr>
            <w:tcW w:w="1256" w:type="dxa"/>
            <w:vAlign w:val="top"/>
          </w:tcPr>
          <w:p w14:paraId="69EFA634">
            <w:pPr>
              <w:rPr>
                <w:rFonts w:ascii="Arial"/>
                <w:color w:val="auto"/>
                <w:sz w:val="21"/>
                <w:highlight w:val="none"/>
              </w:rPr>
            </w:pPr>
          </w:p>
        </w:tc>
        <w:tc>
          <w:tcPr>
            <w:tcW w:w="1262" w:type="dxa"/>
            <w:vAlign w:val="top"/>
          </w:tcPr>
          <w:p w14:paraId="24E93183">
            <w:pPr>
              <w:rPr>
                <w:rFonts w:ascii="Arial"/>
                <w:color w:val="auto"/>
                <w:sz w:val="21"/>
                <w:highlight w:val="none"/>
              </w:rPr>
            </w:pPr>
          </w:p>
        </w:tc>
      </w:tr>
      <w:tr w14:paraId="54922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858" w:type="dxa"/>
            <w:vAlign w:val="top"/>
          </w:tcPr>
          <w:p w14:paraId="68103DE1">
            <w:pPr>
              <w:rPr>
                <w:rFonts w:ascii="Arial"/>
                <w:color w:val="auto"/>
                <w:sz w:val="21"/>
                <w:highlight w:val="none"/>
              </w:rPr>
            </w:pPr>
          </w:p>
        </w:tc>
        <w:tc>
          <w:tcPr>
            <w:tcW w:w="961" w:type="dxa"/>
            <w:vAlign w:val="top"/>
          </w:tcPr>
          <w:p w14:paraId="1B428157">
            <w:pPr>
              <w:rPr>
                <w:rFonts w:ascii="Arial"/>
                <w:color w:val="auto"/>
                <w:sz w:val="21"/>
                <w:highlight w:val="none"/>
              </w:rPr>
            </w:pPr>
          </w:p>
        </w:tc>
        <w:tc>
          <w:tcPr>
            <w:tcW w:w="1256" w:type="dxa"/>
            <w:vAlign w:val="top"/>
          </w:tcPr>
          <w:p w14:paraId="4EA92B26">
            <w:pPr>
              <w:rPr>
                <w:rFonts w:ascii="Arial"/>
                <w:color w:val="auto"/>
                <w:sz w:val="21"/>
                <w:highlight w:val="none"/>
              </w:rPr>
            </w:pPr>
          </w:p>
        </w:tc>
        <w:tc>
          <w:tcPr>
            <w:tcW w:w="1257" w:type="dxa"/>
            <w:vAlign w:val="top"/>
          </w:tcPr>
          <w:p w14:paraId="14FA7C3F">
            <w:pPr>
              <w:rPr>
                <w:rFonts w:ascii="Arial"/>
                <w:color w:val="auto"/>
                <w:sz w:val="21"/>
                <w:highlight w:val="none"/>
              </w:rPr>
            </w:pPr>
          </w:p>
        </w:tc>
        <w:tc>
          <w:tcPr>
            <w:tcW w:w="1256" w:type="dxa"/>
            <w:vAlign w:val="top"/>
          </w:tcPr>
          <w:p w14:paraId="4F1CC242">
            <w:pPr>
              <w:rPr>
                <w:rFonts w:ascii="Arial"/>
                <w:color w:val="auto"/>
                <w:sz w:val="21"/>
                <w:highlight w:val="none"/>
              </w:rPr>
            </w:pPr>
          </w:p>
        </w:tc>
        <w:tc>
          <w:tcPr>
            <w:tcW w:w="1257" w:type="dxa"/>
            <w:vAlign w:val="top"/>
          </w:tcPr>
          <w:p w14:paraId="3A466D11">
            <w:pPr>
              <w:rPr>
                <w:rFonts w:ascii="Arial"/>
                <w:color w:val="auto"/>
                <w:sz w:val="21"/>
                <w:highlight w:val="none"/>
              </w:rPr>
            </w:pPr>
          </w:p>
        </w:tc>
        <w:tc>
          <w:tcPr>
            <w:tcW w:w="1256" w:type="dxa"/>
            <w:vAlign w:val="top"/>
          </w:tcPr>
          <w:p w14:paraId="4E2DB89D">
            <w:pPr>
              <w:rPr>
                <w:rFonts w:ascii="Arial"/>
                <w:color w:val="auto"/>
                <w:sz w:val="21"/>
                <w:highlight w:val="none"/>
              </w:rPr>
            </w:pPr>
          </w:p>
        </w:tc>
        <w:tc>
          <w:tcPr>
            <w:tcW w:w="1262" w:type="dxa"/>
            <w:vAlign w:val="top"/>
          </w:tcPr>
          <w:p w14:paraId="5378170F">
            <w:pPr>
              <w:rPr>
                <w:rFonts w:ascii="Arial"/>
                <w:color w:val="auto"/>
                <w:sz w:val="21"/>
                <w:highlight w:val="none"/>
              </w:rPr>
            </w:pPr>
          </w:p>
        </w:tc>
      </w:tr>
      <w:tr w14:paraId="47D56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858" w:type="dxa"/>
            <w:vAlign w:val="top"/>
          </w:tcPr>
          <w:p w14:paraId="76574970">
            <w:pPr>
              <w:rPr>
                <w:rFonts w:ascii="Arial"/>
                <w:color w:val="auto"/>
                <w:sz w:val="21"/>
                <w:highlight w:val="none"/>
              </w:rPr>
            </w:pPr>
          </w:p>
        </w:tc>
        <w:tc>
          <w:tcPr>
            <w:tcW w:w="961" w:type="dxa"/>
            <w:vAlign w:val="top"/>
          </w:tcPr>
          <w:p w14:paraId="56C31D9B">
            <w:pPr>
              <w:rPr>
                <w:rFonts w:ascii="Arial"/>
                <w:color w:val="auto"/>
                <w:sz w:val="21"/>
                <w:highlight w:val="none"/>
              </w:rPr>
            </w:pPr>
          </w:p>
        </w:tc>
        <w:tc>
          <w:tcPr>
            <w:tcW w:w="1256" w:type="dxa"/>
            <w:vAlign w:val="top"/>
          </w:tcPr>
          <w:p w14:paraId="412671C5">
            <w:pPr>
              <w:rPr>
                <w:rFonts w:ascii="Arial"/>
                <w:color w:val="auto"/>
                <w:sz w:val="21"/>
                <w:highlight w:val="none"/>
              </w:rPr>
            </w:pPr>
          </w:p>
        </w:tc>
        <w:tc>
          <w:tcPr>
            <w:tcW w:w="1257" w:type="dxa"/>
            <w:vAlign w:val="top"/>
          </w:tcPr>
          <w:p w14:paraId="4D9208BF">
            <w:pPr>
              <w:rPr>
                <w:rFonts w:ascii="Arial"/>
                <w:color w:val="auto"/>
                <w:sz w:val="21"/>
                <w:highlight w:val="none"/>
              </w:rPr>
            </w:pPr>
          </w:p>
        </w:tc>
        <w:tc>
          <w:tcPr>
            <w:tcW w:w="1256" w:type="dxa"/>
            <w:vAlign w:val="top"/>
          </w:tcPr>
          <w:p w14:paraId="3711FF19">
            <w:pPr>
              <w:rPr>
                <w:rFonts w:ascii="Arial"/>
                <w:color w:val="auto"/>
                <w:sz w:val="21"/>
                <w:highlight w:val="none"/>
              </w:rPr>
            </w:pPr>
          </w:p>
        </w:tc>
        <w:tc>
          <w:tcPr>
            <w:tcW w:w="1257" w:type="dxa"/>
            <w:vAlign w:val="top"/>
          </w:tcPr>
          <w:p w14:paraId="6F87861A">
            <w:pPr>
              <w:rPr>
                <w:rFonts w:ascii="Arial"/>
                <w:color w:val="auto"/>
                <w:sz w:val="21"/>
                <w:highlight w:val="none"/>
              </w:rPr>
            </w:pPr>
          </w:p>
        </w:tc>
        <w:tc>
          <w:tcPr>
            <w:tcW w:w="1256" w:type="dxa"/>
            <w:vAlign w:val="top"/>
          </w:tcPr>
          <w:p w14:paraId="3D933C74">
            <w:pPr>
              <w:rPr>
                <w:rFonts w:ascii="Arial"/>
                <w:color w:val="auto"/>
                <w:sz w:val="21"/>
                <w:highlight w:val="none"/>
              </w:rPr>
            </w:pPr>
          </w:p>
        </w:tc>
        <w:tc>
          <w:tcPr>
            <w:tcW w:w="1262" w:type="dxa"/>
            <w:vAlign w:val="top"/>
          </w:tcPr>
          <w:p w14:paraId="69A46D86">
            <w:pPr>
              <w:rPr>
                <w:rFonts w:ascii="Arial"/>
                <w:color w:val="auto"/>
                <w:sz w:val="21"/>
                <w:highlight w:val="none"/>
              </w:rPr>
            </w:pPr>
          </w:p>
        </w:tc>
      </w:tr>
      <w:tr w14:paraId="149F63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858" w:type="dxa"/>
            <w:vAlign w:val="top"/>
          </w:tcPr>
          <w:p w14:paraId="5E2B5E51">
            <w:pPr>
              <w:rPr>
                <w:rFonts w:ascii="Arial"/>
                <w:color w:val="auto"/>
                <w:sz w:val="21"/>
                <w:highlight w:val="none"/>
              </w:rPr>
            </w:pPr>
          </w:p>
        </w:tc>
        <w:tc>
          <w:tcPr>
            <w:tcW w:w="961" w:type="dxa"/>
            <w:vAlign w:val="top"/>
          </w:tcPr>
          <w:p w14:paraId="3D3F492E">
            <w:pPr>
              <w:rPr>
                <w:rFonts w:ascii="Arial"/>
                <w:color w:val="auto"/>
                <w:sz w:val="21"/>
                <w:highlight w:val="none"/>
              </w:rPr>
            </w:pPr>
          </w:p>
        </w:tc>
        <w:tc>
          <w:tcPr>
            <w:tcW w:w="1256" w:type="dxa"/>
            <w:vAlign w:val="top"/>
          </w:tcPr>
          <w:p w14:paraId="57E395B2">
            <w:pPr>
              <w:rPr>
                <w:rFonts w:ascii="Arial"/>
                <w:color w:val="auto"/>
                <w:sz w:val="21"/>
                <w:highlight w:val="none"/>
              </w:rPr>
            </w:pPr>
          </w:p>
        </w:tc>
        <w:tc>
          <w:tcPr>
            <w:tcW w:w="1257" w:type="dxa"/>
            <w:vAlign w:val="top"/>
          </w:tcPr>
          <w:p w14:paraId="02BA5DCC">
            <w:pPr>
              <w:rPr>
                <w:rFonts w:ascii="Arial"/>
                <w:color w:val="auto"/>
                <w:sz w:val="21"/>
                <w:highlight w:val="none"/>
              </w:rPr>
            </w:pPr>
          </w:p>
        </w:tc>
        <w:tc>
          <w:tcPr>
            <w:tcW w:w="1256" w:type="dxa"/>
            <w:vAlign w:val="top"/>
          </w:tcPr>
          <w:p w14:paraId="444A17F9">
            <w:pPr>
              <w:rPr>
                <w:rFonts w:ascii="Arial"/>
                <w:color w:val="auto"/>
                <w:sz w:val="21"/>
                <w:highlight w:val="none"/>
              </w:rPr>
            </w:pPr>
          </w:p>
        </w:tc>
        <w:tc>
          <w:tcPr>
            <w:tcW w:w="1257" w:type="dxa"/>
            <w:vAlign w:val="top"/>
          </w:tcPr>
          <w:p w14:paraId="27C95A65">
            <w:pPr>
              <w:rPr>
                <w:rFonts w:ascii="Arial"/>
                <w:color w:val="auto"/>
                <w:sz w:val="21"/>
                <w:highlight w:val="none"/>
              </w:rPr>
            </w:pPr>
          </w:p>
        </w:tc>
        <w:tc>
          <w:tcPr>
            <w:tcW w:w="1256" w:type="dxa"/>
            <w:vAlign w:val="top"/>
          </w:tcPr>
          <w:p w14:paraId="36F4CE57">
            <w:pPr>
              <w:rPr>
                <w:rFonts w:ascii="Arial"/>
                <w:color w:val="auto"/>
                <w:sz w:val="21"/>
                <w:highlight w:val="none"/>
              </w:rPr>
            </w:pPr>
          </w:p>
        </w:tc>
        <w:tc>
          <w:tcPr>
            <w:tcW w:w="1262" w:type="dxa"/>
            <w:vAlign w:val="top"/>
          </w:tcPr>
          <w:p w14:paraId="438E356E">
            <w:pPr>
              <w:rPr>
                <w:rFonts w:ascii="Arial"/>
                <w:color w:val="auto"/>
                <w:sz w:val="21"/>
                <w:highlight w:val="none"/>
              </w:rPr>
            </w:pPr>
          </w:p>
        </w:tc>
      </w:tr>
      <w:tr w14:paraId="51C0F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858" w:type="dxa"/>
            <w:vAlign w:val="top"/>
          </w:tcPr>
          <w:p w14:paraId="0D22402D">
            <w:pPr>
              <w:rPr>
                <w:rFonts w:ascii="Arial"/>
                <w:color w:val="auto"/>
                <w:sz w:val="21"/>
                <w:highlight w:val="none"/>
              </w:rPr>
            </w:pPr>
          </w:p>
        </w:tc>
        <w:tc>
          <w:tcPr>
            <w:tcW w:w="961" w:type="dxa"/>
            <w:vAlign w:val="top"/>
          </w:tcPr>
          <w:p w14:paraId="4CC1BADE">
            <w:pPr>
              <w:rPr>
                <w:rFonts w:ascii="Arial"/>
                <w:color w:val="auto"/>
                <w:sz w:val="21"/>
                <w:highlight w:val="none"/>
              </w:rPr>
            </w:pPr>
          </w:p>
        </w:tc>
        <w:tc>
          <w:tcPr>
            <w:tcW w:w="1256" w:type="dxa"/>
            <w:vAlign w:val="top"/>
          </w:tcPr>
          <w:p w14:paraId="67A9F08A">
            <w:pPr>
              <w:rPr>
                <w:rFonts w:ascii="Arial"/>
                <w:color w:val="auto"/>
                <w:sz w:val="21"/>
                <w:highlight w:val="none"/>
              </w:rPr>
            </w:pPr>
          </w:p>
        </w:tc>
        <w:tc>
          <w:tcPr>
            <w:tcW w:w="1257" w:type="dxa"/>
            <w:vAlign w:val="top"/>
          </w:tcPr>
          <w:p w14:paraId="0F961859">
            <w:pPr>
              <w:rPr>
                <w:rFonts w:ascii="Arial"/>
                <w:color w:val="auto"/>
                <w:sz w:val="21"/>
                <w:highlight w:val="none"/>
              </w:rPr>
            </w:pPr>
          </w:p>
        </w:tc>
        <w:tc>
          <w:tcPr>
            <w:tcW w:w="1256" w:type="dxa"/>
            <w:vAlign w:val="top"/>
          </w:tcPr>
          <w:p w14:paraId="6C343911">
            <w:pPr>
              <w:rPr>
                <w:rFonts w:ascii="Arial"/>
                <w:color w:val="auto"/>
                <w:sz w:val="21"/>
                <w:highlight w:val="none"/>
              </w:rPr>
            </w:pPr>
          </w:p>
        </w:tc>
        <w:tc>
          <w:tcPr>
            <w:tcW w:w="1257" w:type="dxa"/>
            <w:vAlign w:val="top"/>
          </w:tcPr>
          <w:p w14:paraId="7D23FAC5">
            <w:pPr>
              <w:rPr>
                <w:rFonts w:ascii="Arial"/>
                <w:color w:val="auto"/>
                <w:sz w:val="21"/>
                <w:highlight w:val="none"/>
              </w:rPr>
            </w:pPr>
          </w:p>
        </w:tc>
        <w:tc>
          <w:tcPr>
            <w:tcW w:w="1256" w:type="dxa"/>
            <w:vAlign w:val="top"/>
          </w:tcPr>
          <w:p w14:paraId="5E3557B7">
            <w:pPr>
              <w:rPr>
                <w:rFonts w:ascii="Arial"/>
                <w:color w:val="auto"/>
                <w:sz w:val="21"/>
                <w:highlight w:val="none"/>
              </w:rPr>
            </w:pPr>
          </w:p>
        </w:tc>
        <w:tc>
          <w:tcPr>
            <w:tcW w:w="1262" w:type="dxa"/>
            <w:vAlign w:val="top"/>
          </w:tcPr>
          <w:p w14:paraId="223B6ACE">
            <w:pPr>
              <w:rPr>
                <w:rFonts w:ascii="Arial"/>
                <w:color w:val="auto"/>
                <w:sz w:val="21"/>
                <w:highlight w:val="none"/>
              </w:rPr>
            </w:pPr>
          </w:p>
        </w:tc>
      </w:tr>
      <w:tr w14:paraId="05D32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8" w:type="dxa"/>
            <w:vAlign w:val="top"/>
          </w:tcPr>
          <w:p w14:paraId="430B4825">
            <w:pPr>
              <w:rPr>
                <w:rFonts w:ascii="Arial"/>
                <w:color w:val="auto"/>
                <w:sz w:val="21"/>
                <w:highlight w:val="none"/>
              </w:rPr>
            </w:pPr>
          </w:p>
        </w:tc>
        <w:tc>
          <w:tcPr>
            <w:tcW w:w="961" w:type="dxa"/>
            <w:vAlign w:val="top"/>
          </w:tcPr>
          <w:p w14:paraId="01600567">
            <w:pPr>
              <w:rPr>
                <w:rFonts w:ascii="Arial"/>
                <w:color w:val="auto"/>
                <w:sz w:val="21"/>
                <w:highlight w:val="none"/>
              </w:rPr>
            </w:pPr>
          </w:p>
        </w:tc>
        <w:tc>
          <w:tcPr>
            <w:tcW w:w="1256" w:type="dxa"/>
            <w:vAlign w:val="top"/>
          </w:tcPr>
          <w:p w14:paraId="6832A2AC">
            <w:pPr>
              <w:rPr>
                <w:rFonts w:ascii="Arial"/>
                <w:color w:val="auto"/>
                <w:sz w:val="21"/>
                <w:highlight w:val="none"/>
              </w:rPr>
            </w:pPr>
          </w:p>
        </w:tc>
        <w:tc>
          <w:tcPr>
            <w:tcW w:w="1257" w:type="dxa"/>
            <w:vAlign w:val="top"/>
          </w:tcPr>
          <w:p w14:paraId="3789191D">
            <w:pPr>
              <w:rPr>
                <w:rFonts w:ascii="Arial"/>
                <w:color w:val="auto"/>
                <w:sz w:val="21"/>
                <w:highlight w:val="none"/>
              </w:rPr>
            </w:pPr>
          </w:p>
        </w:tc>
        <w:tc>
          <w:tcPr>
            <w:tcW w:w="1256" w:type="dxa"/>
            <w:vAlign w:val="top"/>
          </w:tcPr>
          <w:p w14:paraId="6D412285">
            <w:pPr>
              <w:rPr>
                <w:rFonts w:ascii="Arial"/>
                <w:color w:val="auto"/>
                <w:sz w:val="21"/>
                <w:highlight w:val="none"/>
              </w:rPr>
            </w:pPr>
          </w:p>
        </w:tc>
        <w:tc>
          <w:tcPr>
            <w:tcW w:w="1257" w:type="dxa"/>
            <w:vAlign w:val="top"/>
          </w:tcPr>
          <w:p w14:paraId="6BA343FA">
            <w:pPr>
              <w:rPr>
                <w:rFonts w:ascii="Arial"/>
                <w:color w:val="auto"/>
                <w:sz w:val="21"/>
                <w:highlight w:val="none"/>
              </w:rPr>
            </w:pPr>
          </w:p>
        </w:tc>
        <w:tc>
          <w:tcPr>
            <w:tcW w:w="1256" w:type="dxa"/>
            <w:vAlign w:val="top"/>
          </w:tcPr>
          <w:p w14:paraId="4C8C560B">
            <w:pPr>
              <w:rPr>
                <w:rFonts w:ascii="Arial"/>
                <w:color w:val="auto"/>
                <w:sz w:val="21"/>
                <w:highlight w:val="none"/>
              </w:rPr>
            </w:pPr>
          </w:p>
        </w:tc>
        <w:tc>
          <w:tcPr>
            <w:tcW w:w="1262" w:type="dxa"/>
            <w:vAlign w:val="top"/>
          </w:tcPr>
          <w:p w14:paraId="10740E84">
            <w:pPr>
              <w:rPr>
                <w:rFonts w:ascii="Arial"/>
                <w:color w:val="auto"/>
                <w:sz w:val="21"/>
                <w:highlight w:val="none"/>
              </w:rPr>
            </w:pPr>
          </w:p>
        </w:tc>
      </w:tr>
      <w:tr w14:paraId="256F1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58" w:type="dxa"/>
            <w:vAlign w:val="top"/>
          </w:tcPr>
          <w:p w14:paraId="11F45F7F">
            <w:pPr>
              <w:rPr>
                <w:rFonts w:ascii="Arial"/>
                <w:color w:val="auto"/>
                <w:sz w:val="21"/>
                <w:highlight w:val="none"/>
              </w:rPr>
            </w:pPr>
          </w:p>
        </w:tc>
        <w:tc>
          <w:tcPr>
            <w:tcW w:w="961" w:type="dxa"/>
            <w:vAlign w:val="top"/>
          </w:tcPr>
          <w:p w14:paraId="0C1EC83E">
            <w:pPr>
              <w:rPr>
                <w:rFonts w:ascii="Arial"/>
                <w:color w:val="auto"/>
                <w:sz w:val="21"/>
                <w:highlight w:val="none"/>
              </w:rPr>
            </w:pPr>
          </w:p>
        </w:tc>
        <w:tc>
          <w:tcPr>
            <w:tcW w:w="1256" w:type="dxa"/>
            <w:vAlign w:val="top"/>
          </w:tcPr>
          <w:p w14:paraId="42ACBC24">
            <w:pPr>
              <w:rPr>
                <w:rFonts w:ascii="Arial"/>
                <w:color w:val="auto"/>
                <w:sz w:val="21"/>
                <w:highlight w:val="none"/>
              </w:rPr>
            </w:pPr>
          </w:p>
        </w:tc>
        <w:tc>
          <w:tcPr>
            <w:tcW w:w="1257" w:type="dxa"/>
            <w:vAlign w:val="top"/>
          </w:tcPr>
          <w:p w14:paraId="4563B043">
            <w:pPr>
              <w:rPr>
                <w:rFonts w:ascii="Arial"/>
                <w:color w:val="auto"/>
                <w:sz w:val="21"/>
                <w:highlight w:val="none"/>
              </w:rPr>
            </w:pPr>
          </w:p>
        </w:tc>
        <w:tc>
          <w:tcPr>
            <w:tcW w:w="1256" w:type="dxa"/>
            <w:vAlign w:val="top"/>
          </w:tcPr>
          <w:p w14:paraId="0BDA5857">
            <w:pPr>
              <w:rPr>
                <w:rFonts w:ascii="Arial"/>
                <w:color w:val="auto"/>
                <w:sz w:val="21"/>
                <w:highlight w:val="none"/>
              </w:rPr>
            </w:pPr>
          </w:p>
        </w:tc>
        <w:tc>
          <w:tcPr>
            <w:tcW w:w="1257" w:type="dxa"/>
            <w:vAlign w:val="top"/>
          </w:tcPr>
          <w:p w14:paraId="53278171">
            <w:pPr>
              <w:rPr>
                <w:rFonts w:ascii="Arial"/>
                <w:color w:val="auto"/>
                <w:sz w:val="21"/>
                <w:highlight w:val="none"/>
              </w:rPr>
            </w:pPr>
          </w:p>
        </w:tc>
        <w:tc>
          <w:tcPr>
            <w:tcW w:w="1256" w:type="dxa"/>
            <w:vAlign w:val="top"/>
          </w:tcPr>
          <w:p w14:paraId="383F67D6">
            <w:pPr>
              <w:rPr>
                <w:rFonts w:ascii="Arial"/>
                <w:color w:val="auto"/>
                <w:sz w:val="21"/>
                <w:highlight w:val="none"/>
              </w:rPr>
            </w:pPr>
          </w:p>
        </w:tc>
        <w:tc>
          <w:tcPr>
            <w:tcW w:w="1262" w:type="dxa"/>
            <w:vAlign w:val="top"/>
          </w:tcPr>
          <w:p w14:paraId="623CCEF5">
            <w:pPr>
              <w:rPr>
                <w:rFonts w:ascii="Arial"/>
                <w:color w:val="auto"/>
                <w:sz w:val="21"/>
                <w:highlight w:val="none"/>
              </w:rPr>
            </w:pPr>
          </w:p>
        </w:tc>
      </w:tr>
    </w:tbl>
    <w:p w14:paraId="233077B3">
      <w:pPr>
        <w:pStyle w:val="2"/>
        <w:spacing w:line="274" w:lineRule="auto"/>
        <w:rPr>
          <w:color w:val="auto"/>
          <w:highlight w:val="none"/>
        </w:rPr>
      </w:pPr>
    </w:p>
    <w:p w14:paraId="68D66833">
      <w:pPr>
        <w:pStyle w:val="2"/>
        <w:spacing w:line="274" w:lineRule="auto"/>
        <w:rPr>
          <w:color w:val="auto"/>
          <w:highlight w:val="none"/>
        </w:rPr>
      </w:pPr>
    </w:p>
    <w:p w14:paraId="188E1E09">
      <w:pPr>
        <w:pStyle w:val="2"/>
        <w:spacing w:line="275" w:lineRule="auto"/>
        <w:rPr>
          <w:color w:val="auto"/>
          <w:highlight w:val="none"/>
        </w:rPr>
      </w:pPr>
    </w:p>
    <w:p w14:paraId="18F28C9C">
      <w:pPr>
        <w:pStyle w:val="2"/>
        <w:spacing w:line="275" w:lineRule="auto"/>
        <w:rPr>
          <w:color w:val="auto"/>
          <w:highlight w:val="none"/>
        </w:rPr>
      </w:pPr>
    </w:p>
    <w:p w14:paraId="5C8A046F">
      <w:pPr>
        <w:pStyle w:val="2"/>
        <w:spacing w:line="275" w:lineRule="auto"/>
        <w:rPr>
          <w:color w:val="auto"/>
          <w:highlight w:val="none"/>
        </w:rPr>
      </w:pPr>
    </w:p>
    <w:p w14:paraId="030C856C">
      <w:pPr>
        <w:pStyle w:val="2"/>
        <w:spacing w:line="275" w:lineRule="auto"/>
        <w:rPr>
          <w:color w:val="auto"/>
          <w:highlight w:val="none"/>
        </w:rPr>
      </w:pPr>
    </w:p>
    <w:p w14:paraId="1C48B573">
      <w:pPr>
        <w:spacing w:before="78" w:line="219" w:lineRule="auto"/>
        <w:ind w:left="402"/>
        <w:outlineLvl w:val="9"/>
        <w:rPr>
          <w:rFonts w:ascii="宋体" w:hAnsi="宋体" w:eastAsia="宋体" w:cs="宋体"/>
          <w:color w:val="auto"/>
          <w:sz w:val="24"/>
          <w:szCs w:val="24"/>
          <w:highlight w:val="none"/>
        </w:rPr>
      </w:pPr>
      <w:r>
        <w:rPr>
          <w:rFonts w:ascii="宋体" w:hAnsi="宋体" w:eastAsia="宋体" w:cs="宋体"/>
          <w:b/>
          <w:bCs/>
          <w:color w:val="auto"/>
          <w:spacing w:val="-9"/>
          <w:sz w:val="24"/>
          <w:szCs w:val="24"/>
          <w:highlight w:val="none"/>
        </w:rPr>
        <w:t>附表四：</w:t>
      </w:r>
    </w:p>
    <w:p w14:paraId="1EF5D184">
      <w:pPr>
        <w:spacing w:before="105" w:line="219" w:lineRule="auto"/>
        <w:ind w:left="1802"/>
        <w:outlineLvl w:val="9"/>
        <w:rPr>
          <w:rFonts w:ascii="宋体" w:hAnsi="宋体" w:eastAsia="宋体" w:cs="宋体"/>
          <w:color w:val="auto"/>
          <w:sz w:val="24"/>
          <w:szCs w:val="24"/>
          <w:highlight w:val="none"/>
        </w:rPr>
      </w:pPr>
      <w:r>
        <w:rPr>
          <w:rFonts w:ascii="宋体" w:hAnsi="宋体" w:eastAsia="宋体" w:cs="宋体"/>
          <w:b/>
          <w:bCs/>
          <w:color w:val="auto"/>
          <w:spacing w:val="-2"/>
          <w:sz w:val="24"/>
          <w:szCs w:val="24"/>
          <w:highlight w:val="none"/>
        </w:rPr>
        <w:t>计划开、竣工日期和施工进度计划（网络图或横道</w:t>
      </w:r>
      <w:r>
        <w:rPr>
          <w:rFonts w:ascii="宋体" w:hAnsi="宋体" w:eastAsia="宋体" w:cs="宋体"/>
          <w:b/>
          <w:bCs/>
          <w:color w:val="auto"/>
          <w:spacing w:val="-3"/>
          <w:sz w:val="24"/>
          <w:szCs w:val="24"/>
          <w:highlight w:val="none"/>
        </w:rPr>
        <w:t>图）</w:t>
      </w:r>
    </w:p>
    <w:p w14:paraId="5E1350BB">
      <w:pPr>
        <w:pStyle w:val="2"/>
        <w:spacing w:line="358" w:lineRule="auto"/>
        <w:rPr>
          <w:color w:val="auto"/>
          <w:highlight w:val="none"/>
        </w:rPr>
      </w:pPr>
    </w:p>
    <w:p w14:paraId="1E127FCD">
      <w:pPr>
        <w:spacing w:before="65" w:line="270" w:lineRule="auto"/>
        <w:ind w:left="378" w:right="375" w:firstLine="435"/>
        <w:rPr>
          <w:rFonts w:ascii="宋体" w:hAnsi="宋体" w:eastAsia="宋体" w:cs="宋体"/>
          <w:color w:val="auto"/>
          <w:sz w:val="20"/>
          <w:szCs w:val="20"/>
          <w:highlight w:val="none"/>
        </w:rPr>
      </w:pPr>
      <w:r>
        <w:rPr>
          <w:rFonts w:ascii="Times New Roman" w:hAnsi="Times New Roman" w:eastAsia="Times New Roman" w:cs="Times New Roman"/>
          <w:color w:val="auto"/>
          <w:spacing w:val="8"/>
          <w:sz w:val="20"/>
          <w:szCs w:val="20"/>
          <w:highlight w:val="none"/>
        </w:rPr>
        <w:t xml:space="preserve">1.  </w:t>
      </w:r>
      <w:r>
        <w:rPr>
          <w:rFonts w:hint="eastAsia" w:ascii="宋体" w:hAnsi="宋体" w:eastAsia="宋体" w:cs="宋体"/>
          <w:color w:val="auto"/>
          <w:spacing w:val="8"/>
          <w:sz w:val="20"/>
          <w:szCs w:val="20"/>
          <w:highlight w:val="none"/>
          <w:lang w:eastAsia="zh-CN"/>
        </w:rPr>
        <w:t>供应商</w:t>
      </w:r>
      <w:r>
        <w:rPr>
          <w:rFonts w:ascii="宋体" w:hAnsi="宋体" w:eastAsia="宋体" w:cs="宋体"/>
          <w:color w:val="auto"/>
          <w:spacing w:val="8"/>
          <w:sz w:val="20"/>
          <w:szCs w:val="20"/>
          <w:highlight w:val="none"/>
        </w:rPr>
        <w:t>应提交施工进度计划，说明按招标文件要求的工期进行施工</w:t>
      </w:r>
      <w:r>
        <w:rPr>
          <w:rFonts w:ascii="宋体" w:hAnsi="宋体" w:eastAsia="宋体" w:cs="宋体"/>
          <w:color w:val="auto"/>
          <w:spacing w:val="7"/>
          <w:sz w:val="20"/>
          <w:szCs w:val="20"/>
          <w:highlight w:val="none"/>
        </w:rPr>
        <w:t>的各个关键日期。中</w:t>
      </w:r>
      <w:r>
        <w:rPr>
          <w:rFonts w:ascii="宋体" w:hAnsi="宋体" w:eastAsia="宋体" w:cs="宋体"/>
          <w:color w:val="auto"/>
          <w:spacing w:val="9"/>
          <w:sz w:val="20"/>
          <w:szCs w:val="20"/>
          <w:highlight w:val="none"/>
        </w:rPr>
        <w:t>标的投标人还应按合同条件有关条款的要求提交详细的施工进度计划。</w:t>
      </w:r>
    </w:p>
    <w:p w14:paraId="20A93209">
      <w:pPr>
        <w:spacing w:before="95" w:line="271" w:lineRule="auto"/>
        <w:ind w:left="395" w:right="375" w:firstLine="399"/>
        <w:rPr>
          <w:rFonts w:ascii="宋体" w:hAnsi="宋体" w:eastAsia="宋体" w:cs="宋体"/>
          <w:color w:val="auto"/>
          <w:sz w:val="20"/>
          <w:szCs w:val="20"/>
          <w:highlight w:val="none"/>
        </w:rPr>
      </w:pPr>
      <w:r>
        <w:rPr>
          <w:rFonts w:ascii="Times New Roman" w:hAnsi="Times New Roman" w:eastAsia="Times New Roman" w:cs="Times New Roman"/>
          <w:color w:val="auto"/>
          <w:spacing w:val="8"/>
          <w:sz w:val="20"/>
          <w:szCs w:val="20"/>
          <w:highlight w:val="none"/>
        </w:rPr>
        <w:t xml:space="preserve">2.  </w:t>
      </w:r>
      <w:r>
        <w:rPr>
          <w:rFonts w:ascii="宋体" w:hAnsi="宋体" w:eastAsia="宋体" w:cs="宋体"/>
          <w:color w:val="auto"/>
          <w:spacing w:val="8"/>
          <w:sz w:val="20"/>
          <w:szCs w:val="20"/>
          <w:highlight w:val="none"/>
        </w:rPr>
        <w:t>施工进度计划可采用网络图（或横道图）表示，说明计划开工日期和各分项工程各阶段</w:t>
      </w:r>
      <w:r>
        <w:rPr>
          <w:rFonts w:ascii="宋体" w:hAnsi="宋体" w:eastAsia="宋体" w:cs="宋体"/>
          <w:color w:val="auto"/>
          <w:spacing w:val="7"/>
          <w:sz w:val="20"/>
          <w:szCs w:val="20"/>
          <w:highlight w:val="none"/>
        </w:rPr>
        <w:t>的完工日期和分包合同签订的日期。</w:t>
      </w:r>
    </w:p>
    <w:p w14:paraId="6CEBB371">
      <w:pPr>
        <w:spacing w:before="123" w:line="199" w:lineRule="auto"/>
        <w:ind w:left="798"/>
        <w:rPr>
          <w:rFonts w:ascii="宋体" w:hAnsi="宋体" w:eastAsia="宋体" w:cs="宋体"/>
          <w:color w:val="auto"/>
          <w:sz w:val="24"/>
          <w:szCs w:val="24"/>
          <w:highlight w:val="none"/>
        </w:rPr>
      </w:pPr>
      <w:r>
        <w:rPr>
          <w:rFonts w:ascii="Times New Roman" w:hAnsi="Times New Roman" w:eastAsia="Times New Roman" w:cs="Times New Roman"/>
          <w:color w:val="auto"/>
          <w:spacing w:val="7"/>
          <w:sz w:val="20"/>
          <w:szCs w:val="20"/>
          <w:highlight w:val="none"/>
        </w:rPr>
        <w:t xml:space="preserve">3.  </w:t>
      </w:r>
      <w:r>
        <w:rPr>
          <w:rFonts w:ascii="宋体" w:hAnsi="宋体" w:eastAsia="宋体" w:cs="宋体"/>
          <w:color w:val="auto"/>
          <w:spacing w:val="7"/>
          <w:sz w:val="20"/>
          <w:szCs w:val="20"/>
          <w:highlight w:val="none"/>
        </w:rPr>
        <w:t>施工进度计划应与施工组织设计相适应</w:t>
      </w:r>
      <w:r>
        <w:rPr>
          <w:rFonts w:ascii="宋体" w:hAnsi="宋体" w:eastAsia="宋体" w:cs="宋体"/>
          <w:color w:val="auto"/>
          <w:spacing w:val="7"/>
          <w:sz w:val="24"/>
          <w:szCs w:val="24"/>
          <w:highlight w:val="none"/>
        </w:rPr>
        <w:t>。</w:t>
      </w:r>
    </w:p>
    <w:p w14:paraId="3670904C">
      <w:pPr>
        <w:spacing w:line="199" w:lineRule="auto"/>
        <w:rPr>
          <w:rFonts w:ascii="宋体" w:hAnsi="宋体" w:eastAsia="宋体" w:cs="宋体"/>
          <w:color w:val="auto"/>
          <w:sz w:val="24"/>
          <w:szCs w:val="24"/>
          <w:highlight w:val="none"/>
        </w:rPr>
        <w:sectPr>
          <w:footerReference r:id="rId39" w:type="default"/>
          <w:pgSz w:w="11910" w:h="16840"/>
          <w:pgMar w:top="1359" w:right="1255" w:bottom="1019" w:left="1286" w:header="0" w:footer="857" w:gutter="0"/>
          <w:pgNumType w:fmt="decimal"/>
          <w:cols w:space="720" w:num="1"/>
        </w:sectPr>
      </w:pPr>
    </w:p>
    <w:p w14:paraId="4E0B2407">
      <w:pPr>
        <w:spacing w:before="63" w:line="224" w:lineRule="auto"/>
        <w:ind w:left="4149"/>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项目管理机构</w:t>
      </w:r>
    </w:p>
    <w:p w14:paraId="61D3FBDB">
      <w:pPr>
        <w:spacing w:before="134" w:line="219" w:lineRule="auto"/>
        <w:ind w:left="3476"/>
        <w:rPr>
          <w:rFonts w:ascii="宋体" w:hAnsi="宋体" w:eastAsia="宋体" w:cs="宋体"/>
          <w:color w:val="auto"/>
          <w:sz w:val="28"/>
          <w:szCs w:val="28"/>
          <w:highlight w:val="none"/>
        </w:rPr>
      </w:pPr>
      <w:r>
        <w:rPr>
          <w:rFonts w:ascii="Times New Roman" w:hAnsi="Times New Roman" w:eastAsia="Times New Roman" w:cs="Times New Roman"/>
          <w:b/>
          <w:bCs/>
          <w:color w:val="auto"/>
          <w:spacing w:val="-3"/>
          <w:sz w:val="24"/>
          <w:szCs w:val="24"/>
          <w:highlight w:val="none"/>
        </w:rPr>
        <w:t>1.</w:t>
      </w:r>
      <w:r>
        <w:rPr>
          <w:rFonts w:ascii="宋体" w:hAnsi="宋体" w:eastAsia="宋体" w:cs="宋体"/>
          <w:b/>
          <w:bCs/>
          <w:color w:val="auto"/>
          <w:spacing w:val="-3"/>
          <w:sz w:val="28"/>
          <w:szCs w:val="28"/>
          <w:highlight w:val="none"/>
        </w:rPr>
        <w:t>项目管理机构配备情况表</w:t>
      </w:r>
    </w:p>
    <w:p w14:paraId="48B6A942">
      <w:pPr>
        <w:spacing w:before="110" w:line="228" w:lineRule="auto"/>
        <w:ind w:left="1767"/>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(含项目经理、技术负责人、专职安全生产管理人员和主要管理人员情况)</w:t>
      </w:r>
    </w:p>
    <w:p w14:paraId="33AB8420">
      <w:pPr>
        <w:spacing w:line="63" w:lineRule="exact"/>
        <w:rPr>
          <w:color w:val="auto"/>
          <w:highlight w:val="none"/>
        </w:rPr>
      </w:pPr>
    </w:p>
    <w:tbl>
      <w:tblPr>
        <w:tblStyle w:val="14"/>
        <w:tblW w:w="101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829"/>
        <w:gridCol w:w="829"/>
        <w:gridCol w:w="816"/>
        <w:gridCol w:w="1147"/>
        <w:gridCol w:w="1147"/>
        <w:gridCol w:w="1147"/>
        <w:gridCol w:w="744"/>
        <w:gridCol w:w="870"/>
        <w:gridCol w:w="1169"/>
        <w:gridCol w:w="724"/>
      </w:tblGrid>
      <w:tr w14:paraId="14548A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765" w:type="dxa"/>
            <w:vMerge w:val="restart"/>
            <w:tcBorders>
              <w:bottom w:val="nil"/>
            </w:tcBorders>
            <w:vAlign w:val="top"/>
          </w:tcPr>
          <w:p w14:paraId="65B83CD6">
            <w:pPr>
              <w:spacing w:line="272" w:lineRule="auto"/>
              <w:rPr>
                <w:rFonts w:ascii="Arial"/>
                <w:color w:val="auto"/>
                <w:sz w:val="21"/>
                <w:highlight w:val="none"/>
              </w:rPr>
            </w:pPr>
          </w:p>
          <w:p w14:paraId="468E33FB">
            <w:pPr>
              <w:spacing w:line="272" w:lineRule="auto"/>
              <w:rPr>
                <w:rFonts w:ascii="Arial"/>
                <w:color w:val="auto"/>
                <w:sz w:val="21"/>
                <w:highlight w:val="none"/>
              </w:rPr>
            </w:pPr>
          </w:p>
          <w:p w14:paraId="27EF10D3">
            <w:pPr>
              <w:spacing w:line="273" w:lineRule="auto"/>
              <w:rPr>
                <w:rFonts w:ascii="Arial"/>
                <w:color w:val="auto"/>
                <w:sz w:val="21"/>
                <w:highlight w:val="none"/>
              </w:rPr>
            </w:pPr>
          </w:p>
          <w:p w14:paraId="38AABDB8">
            <w:pPr>
              <w:pStyle w:val="15"/>
              <w:spacing w:before="65" w:line="228" w:lineRule="auto"/>
              <w:ind w:left="200"/>
              <w:rPr>
                <w:color w:val="auto"/>
                <w:highlight w:val="none"/>
              </w:rPr>
            </w:pPr>
            <w:r>
              <w:rPr>
                <w:color w:val="auto"/>
                <w:spacing w:val="-7"/>
                <w:highlight w:val="none"/>
              </w:rPr>
              <w:t>岗位</w:t>
            </w:r>
          </w:p>
        </w:tc>
        <w:tc>
          <w:tcPr>
            <w:tcW w:w="829" w:type="dxa"/>
            <w:vMerge w:val="restart"/>
            <w:tcBorders>
              <w:bottom w:val="nil"/>
            </w:tcBorders>
            <w:vAlign w:val="top"/>
          </w:tcPr>
          <w:p w14:paraId="58CBE916">
            <w:pPr>
              <w:spacing w:line="272" w:lineRule="auto"/>
              <w:rPr>
                <w:rFonts w:ascii="Arial"/>
                <w:color w:val="auto"/>
                <w:sz w:val="21"/>
                <w:highlight w:val="none"/>
              </w:rPr>
            </w:pPr>
          </w:p>
          <w:p w14:paraId="4DB07AA1">
            <w:pPr>
              <w:spacing w:line="272" w:lineRule="auto"/>
              <w:rPr>
                <w:rFonts w:ascii="Arial"/>
                <w:color w:val="auto"/>
                <w:sz w:val="21"/>
                <w:highlight w:val="none"/>
              </w:rPr>
            </w:pPr>
          </w:p>
          <w:p w14:paraId="43E7C142">
            <w:pPr>
              <w:spacing w:line="273" w:lineRule="auto"/>
              <w:rPr>
                <w:rFonts w:ascii="Arial"/>
                <w:color w:val="auto"/>
                <w:sz w:val="21"/>
                <w:highlight w:val="none"/>
              </w:rPr>
            </w:pPr>
          </w:p>
          <w:p w14:paraId="1BF5A611">
            <w:pPr>
              <w:pStyle w:val="15"/>
              <w:spacing w:before="65" w:line="228" w:lineRule="auto"/>
              <w:ind w:left="207"/>
              <w:rPr>
                <w:color w:val="auto"/>
                <w:highlight w:val="none"/>
              </w:rPr>
            </w:pPr>
            <w:r>
              <w:rPr>
                <w:color w:val="auto"/>
                <w:spacing w:val="4"/>
                <w:highlight w:val="none"/>
              </w:rPr>
              <w:t>姓名</w:t>
            </w:r>
          </w:p>
        </w:tc>
        <w:tc>
          <w:tcPr>
            <w:tcW w:w="829" w:type="dxa"/>
            <w:vMerge w:val="restart"/>
            <w:tcBorders>
              <w:bottom w:val="nil"/>
            </w:tcBorders>
            <w:vAlign w:val="top"/>
          </w:tcPr>
          <w:p w14:paraId="30CD40E8">
            <w:pPr>
              <w:spacing w:line="324" w:lineRule="auto"/>
              <w:rPr>
                <w:rFonts w:ascii="Arial"/>
                <w:color w:val="auto"/>
                <w:sz w:val="21"/>
                <w:highlight w:val="none"/>
              </w:rPr>
            </w:pPr>
          </w:p>
          <w:p w14:paraId="50AC779D">
            <w:pPr>
              <w:spacing w:line="324" w:lineRule="auto"/>
              <w:rPr>
                <w:rFonts w:ascii="Arial"/>
                <w:color w:val="auto"/>
                <w:sz w:val="21"/>
                <w:highlight w:val="none"/>
              </w:rPr>
            </w:pPr>
          </w:p>
          <w:p w14:paraId="15DB017A">
            <w:pPr>
              <w:pStyle w:val="15"/>
              <w:spacing w:before="65" w:line="298" w:lineRule="auto"/>
              <w:ind w:left="208" w:right="205" w:firstLine="5"/>
              <w:rPr>
                <w:color w:val="auto"/>
                <w:highlight w:val="none"/>
              </w:rPr>
            </w:pPr>
            <w:r>
              <w:rPr>
                <w:color w:val="auto"/>
                <w:spacing w:val="2"/>
                <w:highlight w:val="none"/>
              </w:rPr>
              <w:t>身份</w:t>
            </w:r>
            <w:r>
              <w:rPr>
                <w:color w:val="auto"/>
                <w:highlight w:val="none"/>
              </w:rPr>
              <w:t xml:space="preserve"> </w:t>
            </w:r>
            <w:r>
              <w:rPr>
                <w:color w:val="auto"/>
                <w:spacing w:val="4"/>
                <w:highlight w:val="none"/>
              </w:rPr>
              <w:t>证号</w:t>
            </w:r>
          </w:p>
        </w:tc>
        <w:tc>
          <w:tcPr>
            <w:tcW w:w="816" w:type="dxa"/>
            <w:vMerge w:val="restart"/>
            <w:tcBorders>
              <w:bottom w:val="nil"/>
            </w:tcBorders>
            <w:vAlign w:val="top"/>
          </w:tcPr>
          <w:p w14:paraId="325CBD51">
            <w:pPr>
              <w:spacing w:line="272" w:lineRule="auto"/>
              <w:rPr>
                <w:rFonts w:ascii="Arial"/>
                <w:color w:val="auto"/>
                <w:sz w:val="21"/>
                <w:highlight w:val="none"/>
              </w:rPr>
            </w:pPr>
          </w:p>
          <w:p w14:paraId="7A035218">
            <w:pPr>
              <w:spacing w:line="272" w:lineRule="auto"/>
              <w:rPr>
                <w:rFonts w:ascii="Arial"/>
                <w:color w:val="auto"/>
                <w:sz w:val="21"/>
                <w:highlight w:val="none"/>
              </w:rPr>
            </w:pPr>
          </w:p>
          <w:p w14:paraId="55BDC940">
            <w:pPr>
              <w:spacing w:line="273" w:lineRule="auto"/>
              <w:rPr>
                <w:rFonts w:ascii="Arial"/>
                <w:color w:val="auto"/>
                <w:sz w:val="21"/>
                <w:highlight w:val="none"/>
              </w:rPr>
            </w:pPr>
          </w:p>
          <w:p w14:paraId="1D3A2776">
            <w:pPr>
              <w:pStyle w:val="15"/>
              <w:spacing w:before="65" w:line="230" w:lineRule="auto"/>
              <w:ind w:left="203"/>
              <w:rPr>
                <w:color w:val="auto"/>
                <w:highlight w:val="none"/>
              </w:rPr>
            </w:pPr>
            <w:r>
              <w:rPr>
                <w:color w:val="auto"/>
                <w:spacing w:val="4"/>
                <w:highlight w:val="none"/>
              </w:rPr>
              <w:t>职称</w:t>
            </w:r>
          </w:p>
        </w:tc>
        <w:tc>
          <w:tcPr>
            <w:tcW w:w="4185" w:type="dxa"/>
            <w:gridSpan w:val="4"/>
            <w:vAlign w:val="top"/>
          </w:tcPr>
          <w:p w14:paraId="16FB593C">
            <w:pPr>
              <w:pStyle w:val="15"/>
              <w:spacing w:before="205" w:line="228" w:lineRule="auto"/>
              <w:ind w:left="1361"/>
              <w:rPr>
                <w:color w:val="auto"/>
                <w:highlight w:val="none"/>
              </w:rPr>
            </w:pPr>
            <w:r>
              <w:rPr>
                <w:color w:val="auto"/>
                <w:spacing w:val="8"/>
                <w:highlight w:val="none"/>
              </w:rPr>
              <w:t>执业或职业资格</w:t>
            </w:r>
          </w:p>
        </w:tc>
        <w:tc>
          <w:tcPr>
            <w:tcW w:w="2039" w:type="dxa"/>
            <w:gridSpan w:val="2"/>
            <w:vAlign w:val="top"/>
          </w:tcPr>
          <w:p w14:paraId="0E46A83A">
            <w:pPr>
              <w:pStyle w:val="15"/>
              <w:spacing w:before="36" w:line="297" w:lineRule="auto"/>
              <w:ind w:left="818" w:right="105" w:hanging="704"/>
              <w:rPr>
                <w:color w:val="auto"/>
                <w:highlight w:val="none"/>
              </w:rPr>
            </w:pPr>
            <w:r>
              <w:rPr>
                <w:color w:val="auto"/>
                <w:spacing w:val="1"/>
                <w:highlight w:val="none"/>
              </w:rPr>
              <w:t>承担完工、在建工程</w:t>
            </w:r>
            <w:r>
              <w:rPr>
                <w:color w:val="auto"/>
                <w:spacing w:val="3"/>
                <w:highlight w:val="none"/>
              </w:rPr>
              <w:t xml:space="preserve"> </w:t>
            </w:r>
            <w:r>
              <w:rPr>
                <w:color w:val="auto"/>
                <w:spacing w:val="4"/>
                <w:highlight w:val="none"/>
              </w:rPr>
              <w:t>情况</w:t>
            </w:r>
          </w:p>
        </w:tc>
        <w:tc>
          <w:tcPr>
            <w:tcW w:w="724" w:type="dxa"/>
            <w:vMerge w:val="restart"/>
            <w:tcBorders>
              <w:bottom w:val="nil"/>
            </w:tcBorders>
            <w:vAlign w:val="top"/>
          </w:tcPr>
          <w:p w14:paraId="399D815E">
            <w:pPr>
              <w:pStyle w:val="15"/>
              <w:spacing w:before="32" w:line="309" w:lineRule="auto"/>
              <w:ind w:left="115" w:right="193" w:firstLine="1"/>
              <w:jc w:val="both"/>
              <w:rPr>
                <w:color w:val="auto"/>
                <w:highlight w:val="none"/>
              </w:rPr>
            </w:pPr>
            <w:r>
              <w:rPr>
                <w:color w:val="auto"/>
                <w:spacing w:val="3"/>
                <w:highlight w:val="none"/>
              </w:rPr>
              <w:t>社保</w:t>
            </w:r>
            <w:r>
              <w:rPr>
                <w:color w:val="auto"/>
                <w:highlight w:val="none"/>
              </w:rPr>
              <w:t xml:space="preserve"> </w:t>
            </w:r>
            <w:r>
              <w:rPr>
                <w:color w:val="auto"/>
                <w:spacing w:val="4"/>
                <w:highlight w:val="none"/>
              </w:rPr>
              <w:t>所附</w:t>
            </w:r>
            <w:r>
              <w:rPr>
                <w:color w:val="auto"/>
                <w:highlight w:val="none"/>
              </w:rPr>
              <w:t xml:space="preserve"> </w:t>
            </w:r>
            <w:r>
              <w:rPr>
                <w:color w:val="auto"/>
                <w:spacing w:val="4"/>
                <w:highlight w:val="none"/>
              </w:rPr>
              <w:t>证明</w:t>
            </w:r>
            <w:r>
              <w:rPr>
                <w:color w:val="auto"/>
                <w:highlight w:val="none"/>
              </w:rPr>
              <w:t xml:space="preserve"> </w:t>
            </w:r>
            <w:r>
              <w:rPr>
                <w:color w:val="auto"/>
                <w:spacing w:val="4"/>
                <w:highlight w:val="none"/>
              </w:rPr>
              <w:t>材料</w:t>
            </w:r>
            <w:r>
              <w:rPr>
                <w:color w:val="auto"/>
                <w:highlight w:val="none"/>
              </w:rPr>
              <w:t xml:space="preserve"> </w:t>
            </w:r>
            <w:r>
              <w:rPr>
                <w:color w:val="auto"/>
                <w:spacing w:val="4"/>
                <w:highlight w:val="none"/>
              </w:rPr>
              <w:t>索引</w:t>
            </w:r>
            <w:r>
              <w:rPr>
                <w:color w:val="auto"/>
                <w:highlight w:val="none"/>
              </w:rPr>
              <w:t xml:space="preserve"> 号</w:t>
            </w:r>
          </w:p>
        </w:tc>
      </w:tr>
      <w:tr w14:paraId="0AD02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6" w:hRule="atLeast"/>
        </w:trPr>
        <w:tc>
          <w:tcPr>
            <w:tcW w:w="765" w:type="dxa"/>
            <w:vMerge w:val="continue"/>
            <w:tcBorders>
              <w:top w:val="nil"/>
            </w:tcBorders>
            <w:vAlign w:val="top"/>
          </w:tcPr>
          <w:p w14:paraId="4AE1A99B">
            <w:pPr>
              <w:rPr>
                <w:rFonts w:ascii="Arial"/>
                <w:color w:val="auto"/>
                <w:sz w:val="21"/>
                <w:highlight w:val="none"/>
              </w:rPr>
            </w:pPr>
          </w:p>
        </w:tc>
        <w:tc>
          <w:tcPr>
            <w:tcW w:w="829" w:type="dxa"/>
            <w:vMerge w:val="continue"/>
            <w:tcBorders>
              <w:top w:val="nil"/>
            </w:tcBorders>
            <w:vAlign w:val="top"/>
          </w:tcPr>
          <w:p w14:paraId="1A083FD8">
            <w:pPr>
              <w:rPr>
                <w:rFonts w:ascii="Arial"/>
                <w:color w:val="auto"/>
                <w:sz w:val="21"/>
                <w:highlight w:val="none"/>
              </w:rPr>
            </w:pPr>
          </w:p>
        </w:tc>
        <w:tc>
          <w:tcPr>
            <w:tcW w:w="829" w:type="dxa"/>
            <w:vMerge w:val="continue"/>
            <w:tcBorders>
              <w:top w:val="nil"/>
            </w:tcBorders>
            <w:vAlign w:val="top"/>
          </w:tcPr>
          <w:p w14:paraId="62501E79">
            <w:pPr>
              <w:rPr>
                <w:rFonts w:ascii="Arial"/>
                <w:color w:val="auto"/>
                <w:sz w:val="21"/>
                <w:highlight w:val="none"/>
              </w:rPr>
            </w:pPr>
          </w:p>
        </w:tc>
        <w:tc>
          <w:tcPr>
            <w:tcW w:w="816" w:type="dxa"/>
            <w:vMerge w:val="continue"/>
            <w:tcBorders>
              <w:top w:val="nil"/>
            </w:tcBorders>
            <w:vAlign w:val="top"/>
          </w:tcPr>
          <w:p w14:paraId="36C32A2D">
            <w:pPr>
              <w:rPr>
                <w:rFonts w:ascii="Arial"/>
                <w:color w:val="auto"/>
                <w:sz w:val="21"/>
                <w:highlight w:val="none"/>
              </w:rPr>
            </w:pPr>
          </w:p>
        </w:tc>
        <w:tc>
          <w:tcPr>
            <w:tcW w:w="1147" w:type="dxa"/>
            <w:vAlign w:val="top"/>
          </w:tcPr>
          <w:p w14:paraId="27CEB913">
            <w:pPr>
              <w:spacing w:line="467" w:lineRule="auto"/>
              <w:rPr>
                <w:rFonts w:ascii="Arial"/>
                <w:color w:val="auto"/>
                <w:sz w:val="21"/>
                <w:highlight w:val="none"/>
              </w:rPr>
            </w:pPr>
          </w:p>
          <w:p w14:paraId="145D8B23">
            <w:pPr>
              <w:pStyle w:val="15"/>
              <w:spacing w:before="65" w:line="227" w:lineRule="auto"/>
              <w:ind w:left="157"/>
              <w:rPr>
                <w:color w:val="auto"/>
                <w:highlight w:val="none"/>
              </w:rPr>
            </w:pPr>
            <w:r>
              <w:rPr>
                <w:color w:val="auto"/>
                <w:spacing w:val="7"/>
                <w:highlight w:val="none"/>
              </w:rPr>
              <w:t>证书名称</w:t>
            </w:r>
          </w:p>
        </w:tc>
        <w:tc>
          <w:tcPr>
            <w:tcW w:w="1147" w:type="dxa"/>
            <w:vAlign w:val="top"/>
          </w:tcPr>
          <w:p w14:paraId="18F99C5B">
            <w:pPr>
              <w:spacing w:line="468" w:lineRule="auto"/>
              <w:rPr>
                <w:rFonts w:ascii="Arial"/>
                <w:color w:val="auto"/>
                <w:sz w:val="21"/>
                <w:highlight w:val="none"/>
              </w:rPr>
            </w:pPr>
          </w:p>
          <w:p w14:paraId="3EC093FF">
            <w:pPr>
              <w:pStyle w:val="15"/>
              <w:spacing w:before="65" w:line="228" w:lineRule="auto"/>
              <w:ind w:left="371"/>
              <w:rPr>
                <w:color w:val="auto"/>
                <w:highlight w:val="none"/>
              </w:rPr>
            </w:pPr>
            <w:r>
              <w:rPr>
                <w:color w:val="auto"/>
                <w:spacing w:val="3"/>
                <w:highlight w:val="none"/>
              </w:rPr>
              <w:t>级别</w:t>
            </w:r>
          </w:p>
        </w:tc>
        <w:tc>
          <w:tcPr>
            <w:tcW w:w="1147" w:type="dxa"/>
            <w:vAlign w:val="top"/>
          </w:tcPr>
          <w:p w14:paraId="6B22CDC0">
            <w:pPr>
              <w:spacing w:line="467" w:lineRule="auto"/>
              <w:rPr>
                <w:rFonts w:ascii="Arial"/>
                <w:color w:val="auto"/>
                <w:sz w:val="21"/>
                <w:highlight w:val="none"/>
              </w:rPr>
            </w:pPr>
          </w:p>
          <w:p w14:paraId="7B4E9639">
            <w:pPr>
              <w:pStyle w:val="15"/>
              <w:spacing w:before="65" w:line="229" w:lineRule="auto"/>
              <w:ind w:left="368"/>
              <w:rPr>
                <w:color w:val="auto"/>
                <w:highlight w:val="none"/>
              </w:rPr>
            </w:pPr>
            <w:r>
              <w:rPr>
                <w:color w:val="auto"/>
                <w:spacing w:val="4"/>
                <w:highlight w:val="none"/>
              </w:rPr>
              <w:t>证号</w:t>
            </w:r>
          </w:p>
        </w:tc>
        <w:tc>
          <w:tcPr>
            <w:tcW w:w="744" w:type="dxa"/>
            <w:vAlign w:val="top"/>
          </w:tcPr>
          <w:p w14:paraId="3D79857A">
            <w:pPr>
              <w:spacing w:line="468" w:lineRule="auto"/>
              <w:rPr>
                <w:rFonts w:ascii="Arial"/>
                <w:color w:val="auto"/>
                <w:sz w:val="21"/>
                <w:highlight w:val="none"/>
              </w:rPr>
            </w:pPr>
          </w:p>
          <w:p w14:paraId="17AF96B4">
            <w:pPr>
              <w:pStyle w:val="15"/>
              <w:spacing w:before="65" w:line="228" w:lineRule="auto"/>
              <w:ind w:left="170"/>
              <w:rPr>
                <w:color w:val="auto"/>
                <w:highlight w:val="none"/>
              </w:rPr>
            </w:pPr>
            <w:r>
              <w:rPr>
                <w:color w:val="auto"/>
                <w:spacing w:val="4"/>
                <w:highlight w:val="none"/>
              </w:rPr>
              <w:t>专业</w:t>
            </w:r>
          </w:p>
        </w:tc>
        <w:tc>
          <w:tcPr>
            <w:tcW w:w="870" w:type="dxa"/>
            <w:vAlign w:val="top"/>
          </w:tcPr>
          <w:p w14:paraId="52C810F5">
            <w:pPr>
              <w:spacing w:line="297" w:lineRule="auto"/>
              <w:rPr>
                <w:rFonts w:ascii="Arial"/>
                <w:color w:val="auto"/>
                <w:sz w:val="21"/>
                <w:highlight w:val="none"/>
              </w:rPr>
            </w:pPr>
          </w:p>
          <w:p w14:paraId="0C3D6937">
            <w:pPr>
              <w:pStyle w:val="15"/>
              <w:spacing w:before="65" w:line="301" w:lineRule="auto"/>
              <w:ind w:left="231" w:right="191" w:hanging="26"/>
              <w:rPr>
                <w:color w:val="auto"/>
                <w:highlight w:val="none"/>
              </w:rPr>
            </w:pPr>
            <w:r>
              <w:rPr>
                <w:color w:val="auto"/>
                <w:spacing w:val="4"/>
                <w:highlight w:val="none"/>
              </w:rPr>
              <w:t>完工</w:t>
            </w:r>
            <w:r>
              <w:rPr>
                <w:rFonts w:ascii="Times New Roman" w:hAnsi="Times New Roman" w:eastAsia="Times New Roman" w:cs="Times New Roman"/>
                <w:color w:val="auto"/>
                <w:spacing w:val="4"/>
                <w:highlight w:val="none"/>
              </w:rPr>
              <w:t>/</w:t>
            </w:r>
            <w:r>
              <w:rPr>
                <w:rFonts w:ascii="Times New Roman" w:hAnsi="Times New Roman" w:eastAsia="Times New Roman" w:cs="Times New Roman"/>
                <w:color w:val="auto"/>
                <w:highlight w:val="none"/>
              </w:rPr>
              <w:t xml:space="preserve"> </w:t>
            </w:r>
            <w:r>
              <w:rPr>
                <w:color w:val="auto"/>
                <w:spacing w:val="5"/>
                <w:highlight w:val="none"/>
              </w:rPr>
              <w:t>在建</w:t>
            </w:r>
          </w:p>
        </w:tc>
        <w:tc>
          <w:tcPr>
            <w:tcW w:w="1169" w:type="dxa"/>
            <w:vAlign w:val="top"/>
          </w:tcPr>
          <w:p w14:paraId="6773E1EA">
            <w:pPr>
              <w:spacing w:line="298" w:lineRule="auto"/>
              <w:rPr>
                <w:rFonts w:ascii="Arial"/>
                <w:color w:val="auto"/>
                <w:sz w:val="21"/>
                <w:highlight w:val="none"/>
              </w:rPr>
            </w:pPr>
          </w:p>
          <w:p w14:paraId="11749A6E">
            <w:pPr>
              <w:pStyle w:val="15"/>
              <w:spacing w:before="65" w:line="301" w:lineRule="auto"/>
              <w:ind w:left="384" w:right="163" w:hanging="212"/>
              <w:rPr>
                <w:color w:val="auto"/>
                <w:highlight w:val="none"/>
              </w:rPr>
            </w:pPr>
            <w:r>
              <w:rPr>
                <w:color w:val="auto"/>
                <w:spacing w:val="6"/>
                <w:highlight w:val="none"/>
              </w:rPr>
              <w:t>主要项目</w:t>
            </w:r>
            <w:r>
              <w:rPr>
                <w:color w:val="auto"/>
                <w:spacing w:val="2"/>
                <w:highlight w:val="none"/>
              </w:rPr>
              <w:t xml:space="preserve"> </w:t>
            </w:r>
            <w:r>
              <w:rPr>
                <w:color w:val="auto"/>
                <w:spacing w:val="3"/>
                <w:highlight w:val="none"/>
              </w:rPr>
              <w:t>名称</w:t>
            </w:r>
          </w:p>
        </w:tc>
        <w:tc>
          <w:tcPr>
            <w:tcW w:w="724" w:type="dxa"/>
            <w:vMerge w:val="continue"/>
            <w:tcBorders>
              <w:top w:val="nil"/>
            </w:tcBorders>
            <w:vAlign w:val="top"/>
          </w:tcPr>
          <w:p w14:paraId="1D522379">
            <w:pPr>
              <w:rPr>
                <w:rFonts w:ascii="Arial"/>
                <w:color w:val="auto"/>
                <w:sz w:val="21"/>
                <w:highlight w:val="none"/>
              </w:rPr>
            </w:pPr>
          </w:p>
        </w:tc>
      </w:tr>
      <w:tr w14:paraId="3B10C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65" w:type="dxa"/>
            <w:vAlign w:val="top"/>
          </w:tcPr>
          <w:p w14:paraId="58936655">
            <w:pPr>
              <w:rPr>
                <w:rFonts w:ascii="Arial"/>
                <w:color w:val="auto"/>
                <w:sz w:val="21"/>
                <w:highlight w:val="none"/>
              </w:rPr>
            </w:pPr>
          </w:p>
        </w:tc>
        <w:tc>
          <w:tcPr>
            <w:tcW w:w="829" w:type="dxa"/>
            <w:vAlign w:val="top"/>
          </w:tcPr>
          <w:p w14:paraId="27E04796">
            <w:pPr>
              <w:rPr>
                <w:rFonts w:ascii="Arial"/>
                <w:color w:val="auto"/>
                <w:sz w:val="21"/>
                <w:highlight w:val="none"/>
              </w:rPr>
            </w:pPr>
          </w:p>
        </w:tc>
        <w:tc>
          <w:tcPr>
            <w:tcW w:w="829" w:type="dxa"/>
            <w:vAlign w:val="top"/>
          </w:tcPr>
          <w:p w14:paraId="54943091">
            <w:pPr>
              <w:rPr>
                <w:rFonts w:ascii="Arial"/>
                <w:color w:val="auto"/>
                <w:sz w:val="21"/>
                <w:highlight w:val="none"/>
              </w:rPr>
            </w:pPr>
          </w:p>
        </w:tc>
        <w:tc>
          <w:tcPr>
            <w:tcW w:w="816" w:type="dxa"/>
            <w:vAlign w:val="top"/>
          </w:tcPr>
          <w:p w14:paraId="1CFE472E">
            <w:pPr>
              <w:rPr>
                <w:rFonts w:ascii="Arial"/>
                <w:color w:val="auto"/>
                <w:sz w:val="21"/>
                <w:highlight w:val="none"/>
              </w:rPr>
            </w:pPr>
          </w:p>
        </w:tc>
        <w:tc>
          <w:tcPr>
            <w:tcW w:w="1147" w:type="dxa"/>
            <w:vAlign w:val="top"/>
          </w:tcPr>
          <w:p w14:paraId="428C0203">
            <w:pPr>
              <w:rPr>
                <w:rFonts w:ascii="Arial"/>
                <w:color w:val="auto"/>
                <w:sz w:val="21"/>
                <w:highlight w:val="none"/>
              </w:rPr>
            </w:pPr>
          </w:p>
        </w:tc>
        <w:tc>
          <w:tcPr>
            <w:tcW w:w="1147" w:type="dxa"/>
            <w:vAlign w:val="top"/>
          </w:tcPr>
          <w:p w14:paraId="23A544E2">
            <w:pPr>
              <w:rPr>
                <w:rFonts w:ascii="Arial"/>
                <w:color w:val="auto"/>
                <w:sz w:val="21"/>
                <w:highlight w:val="none"/>
              </w:rPr>
            </w:pPr>
          </w:p>
        </w:tc>
        <w:tc>
          <w:tcPr>
            <w:tcW w:w="1147" w:type="dxa"/>
            <w:vAlign w:val="top"/>
          </w:tcPr>
          <w:p w14:paraId="4415AB03">
            <w:pPr>
              <w:rPr>
                <w:rFonts w:ascii="Arial"/>
                <w:color w:val="auto"/>
                <w:sz w:val="21"/>
                <w:highlight w:val="none"/>
              </w:rPr>
            </w:pPr>
          </w:p>
        </w:tc>
        <w:tc>
          <w:tcPr>
            <w:tcW w:w="744" w:type="dxa"/>
            <w:vAlign w:val="top"/>
          </w:tcPr>
          <w:p w14:paraId="2194764D">
            <w:pPr>
              <w:rPr>
                <w:rFonts w:ascii="Arial"/>
                <w:color w:val="auto"/>
                <w:sz w:val="21"/>
                <w:highlight w:val="none"/>
              </w:rPr>
            </w:pPr>
          </w:p>
        </w:tc>
        <w:tc>
          <w:tcPr>
            <w:tcW w:w="870" w:type="dxa"/>
            <w:vAlign w:val="top"/>
          </w:tcPr>
          <w:p w14:paraId="69670BFD">
            <w:pPr>
              <w:rPr>
                <w:rFonts w:ascii="Arial"/>
                <w:color w:val="auto"/>
                <w:sz w:val="21"/>
                <w:highlight w:val="none"/>
              </w:rPr>
            </w:pPr>
          </w:p>
        </w:tc>
        <w:tc>
          <w:tcPr>
            <w:tcW w:w="1169" w:type="dxa"/>
            <w:vAlign w:val="top"/>
          </w:tcPr>
          <w:p w14:paraId="3E03C993">
            <w:pPr>
              <w:rPr>
                <w:rFonts w:ascii="Arial"/>
                <w:color w:val="auto"/>
                <w:sz w:val="21"/>
                <w:highlight w:val="none"/>
              </w:rPr>
            </w:pPr>
          </w:p>
        </w:tc>
        <w:tc>
          <w:tcPr>
            <w:tcW w:w="724" w:type="dxa"/>
            <w:vAlign w:val="top"/>
          </w:tcPr>
          <w:p w14:paraId="12F53B11">
            <w:pPr>
              <w:rPr>
                <w:rFonts w:ascii="Arial"/>
                <w:color w:val="auto"/>
                <w:sz w:val="21"/>
                <w:highlight w:val="none"/>
              </w:rPr>
            </w:pPr>
          </w:p>
        </w:tc>
      </w:tr>
      <w:tr w14:paraId="00305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65" w:type="dxa"/>
            <w:vAlign w:val="top"/>
          </w:tcPr>
          <w:p w14:paraId="7FCF151B">
            <w:pPr>
              <w:rPr>
                <w:rFonts w:ascii="Arial"/>
                <w:color w:val="auto"/>
                <w:sz w:val="21"/>
                <w:highlight w:val="none"/>
              </w:rPr>
            </w:pPr>
          </w:p>
        </w:tc>
        <w:tc>
          <w:tcPr>
            <w:tcW w:w="829" w:type="dxa"/>
            <w:vAlign w:val="top"/>
          </w:tcPr>
          <w:p w14:paraId="6A7ABD66">
            <w:pPr>
              <w:rPr>
                <w:rFonts w:ascii="Arial"/>
                <w:color w:val="auto"/>
                <w:sz w:val="21"/>
                <w:highlight w:val="none"/>
              </w:rPr>
            </w:pPr>
          </w:p>
        </w:tc>
        <w:tc>
          <w:tcPr>
            <w:tcW w:w="829" w:type="dxa"/>
            <w:vAlign w:val="top"/>
          </w:tcPr>
          <w:p w14:paraId="0E7F9006">
            <w:pPr>
              <w:rPr>
                <w:rFonts w:ascii="Arial"/>
                <w:color w:val="auto"/>
                <w:sz w:val="21"/>
                <w:highlight w:val="none"/>
              </w:rPr>
            </w:pPr>
          </w:p>
        </w:tc>
        <w:tc>
          <w:tcPr>
            <w:tcW w:w="816" w:type="dxa"/>
            <w:vAlign w:val="top"/>
          </w:tcPr>
          <w:p w14:paraId="53278153">
            <w:pPr>
              <w:rPr>
                <w:rFonts w:ascii="Arial"/>
                <w:color w:val="auto"/>
                <w:sz w:val="21"/>
                <w:highlight w:val="none"/>
              </w:rPr>
            </w:pPr>
          </w:p>
        </w:tc>
        <w:tc>
          <w:tcPr>
            <w:tcW w:w="1147" w:type="dxa"/>
            <w:vAlign w:val="top"/>
          </w:tcPr>
          <w:p w14:paraId="59891C4A">
            <w:pPr>
              <w:rPr>
                <w:rFonts w:ascii="Arial"/>
                <w:color w:val="auto"/>
                <w:sz w:val="21"/>
                <w:highlight w:val="none"/>
              </w:rPr>
            </w:pPr>
          </w:p>
        </w:tc>
        <w:tc>
          <w:tcPr>
            <w:tcW w:w="1147" w:type="dxa"/>
            <w:vAlign w:val="top"/>
          </w:tcPr>
          <w:p w14:paraId="13CE7E53">
            <w:pPr>
              <w:rPr>
                <w:rFonts w:ascii="Arial"/>
                <w:color w:val="auto"/>
                <w:sz w:val="21"/>
                <w:highlight w:val="none"/>
              </w:rPr>
            </w:pPr>
          </w:p>
        </w:tc>
        <w:tc>
          <w:tcPr>
            <w:tcW w:w="1147" w:type="dxa"/>
            <w:vAlign w:val="top"/>
          </w:tcPr>
          <w:p w14:paraId="5EF6E953">
            <w:pPr>
              <w:rPr>
                <w:rFonts w:ascii="Arial"/>
                <w:color w:val="auto"/>
                <w:sz w:val="21"/>
                <w:highlight w:val="none"/>
              </w:rPr>
            </w:pPr>
          </w:p>
        </w:tc>
        <w:tc>
          <w:tcPr>
            <w:tcW w:w="744" w:type="dxa"/>
            <w:vAlign w:val="top"/>
          </w:tcPr>
          <w:p w14:paraId="52CBFC5E">
            <w:pPr>
              <w:rPr>
                <w:rFonts w:ascii="Arial"/>
                <w:color w:val="auto"/>
                <w:sz w:val="21"/>
                <w:highlight w:val="none"/>
              </w:rPr>
            </w:pPr>
          </w:p>
        </w:tc>
        <w:tc>
          <w:tcPr>
            <w:tcW w:w="870" w:type="dxa"/>
            <w:vAlign w:val="top"/>
          </w:tcPr>
          <w:p w14:paraId="7E49799A">
            <w:pPr>
              <w:rPr>
                <w:rFonts w:ascii="Arial"/>
                <w:color w:val="auto"/>
                <w:sz w:val="21"/>
                <w:highlight w:val="none"/>
              </w:rPr>
            </w:pPr>
          </w:p>
        </w:tc>
        <w:tc>
          <w:tcPr>
            <w:tcW w:w="1169" w:type="dxa"/>
            <w:vAlign w:val="top"/>
          </w:tcPr>
          <w:p w14:paraId="70501557">
            <w:pPr>
              <w:rPr>
                <w:rFonts w:ascii="Arial"/>
                <w:color w:val="auto"/>
                <w:sz w:val="21"/>
                <w:highlight w:val="none"/>
              </w:rPr>
            </w:pPr>
          </w:p>
        </w:tc>
        <w:tc>
          <w:tcPr>
            <w:tcW w:w="724" w:type="dxa"/>
            <w:vAlign w:val="top"/>
          </w:tcPr>
          <w:p w14:paraId="3D555189">
            <w:pPr>
              <w:rPr>
                <w:rFonts w:ascii="Arial"/>
                <w:color w:val="auto"/>
                <w:sz w:val="21"/>
                <w:highlight w:val="none"/>
              </w:rPr>
            </w:pPr>
          </w:p>
        </w:tc>
      </w:tr>
      <w:tr w14:paraId="49F7E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765" w:type="dxa"/>
            <w:vAlign w:val="top"/>
          </w:tcPr>
          <w:p w14:paraId="42E88E4A">
            <w:pPr>
              <w:rPr>
                <w:rFonts w:ascii="Arial"/>
                <w:color w:val="auto"/>
                <w:sz w:val="21"/>
                <w:highlight w:val="none"/>
              </w:rPr>
            </w:pPr>
          </w:p>
        </w:tc>
        <w:tc>
          <w:tcPr>
            <w:tcW w:w="829" w:type="dxa"/>
            <w:vAlign w:val="top"/>
          </w:tcPr>
          <w:p w14:paraId="1AE0D0DD">
            <w:pPr>
              <w:rPr>
                <w:rFonts w:ascii="Arial"/>
                <w:color w:val="auto"/>
                <w:sz w:val="21"/>
                <w:highlight w:val="none"/>
              </w:rPr>
            </w:pPr>
          </w:p>
        </w:tc>
        <w:tc>
          <w:tcPr>
            <w:tcW w:w="829" w:type="dxa"/>
            <w:vAlign w:val="top"/>
          </w:tcPr>
          <w:p w14:paraId="7ACA124B">
            <w:pPr>
              <w:rPr>
                <w:rFonts w:ascii="Arial"/>
                <w:color w:val="auto"/>
                <w:sz w:val="21"/>
                <w:highlight w:val="none"/>
              </w:rPr>
            </w:pPr>
          </w:p>
        </w:tc>
        <w:tc>
          <w:tcPr>
            <w:tcW w:w="816" w:type="dxa"/>
            <w:vAlign w:val="top"/>
          </w:tcPr>
          <w:p w14:paraId="083F79DD">
            <w:pPr>
              <w:rPr>
                <w:rFonts w:ascii="Arial"/>
                <w:color w:val="auto"/>
                <w:sz w:val="21"/>
                <w:highlight w:val="none"/>
              </w:rPr>
            </w:pPr>
          </w:p>
        </w:tc>
        <w:tc>
          <w:tcPr>
            <w:tcW w:w="1147" w:type="dxa"/>
            <w:vAlign w:val="top"/>
          </w:tcPr>
          <w:p w14:paraId="719C5150">
            <w:pPr>
              <w:rPr>
                <w:rFonts w:ascii="Arial"/>
                <w:color w:val="auto"/>
                <w:sz w:val="21"/>
                <w:highlight w:val="none"/>
              </w:rPr>
            </w:pPr>
          </w:p>
        </w:tc>
        <w:tc>
          <w:tcPr>
            <w:tcW w:w="1147" w:type="dxa"/>
            <w:vAlign w:val="top"/>
          </w:tcPr>
          <w:p w14:paraId="02363597">
            <w:pPr>
              <w:rPr>
                <w:rFonts w:ascii="Arial"/>
                <w:color w:val="auto"/>
                <w:sz w:val="21"/>
                <w:highlight w:val="none"/>
              </w:rPr>
            </w:pPr>
          </w:p>
        </w:tc>
        <w:tc>
          <w:tcPr>
            <w:tcW w:w="1147" w:type="dxa"/>
            <w:vAlign w:val="top"/>
          </w:tcPr>
          <w:p w14:paraId="1C43D2FD">
            <w:pPr>
              <w:rPr>
                <w:rFonts w:ascii="Arial"/>
                <w:color w:val="auto"/>
                <w:sz w:val="21"/>
                <w:highlight w:val="none"/>
              </w:rPr>
            </w:pPr>
          </w:p>
        </w:tc>
        <w:tc>
          <w:tcPr>
            <w:tcW w:w="744" w:type="dxa"/>
            <w:vAlign w:val="top"/>
          </w:tcPr>
          <w:p w14:paraId="43855A69">
            <w:pPr>
              <w:rPr>
                <w:rFonts w:ascii="Arial"/>
                <w:color w:val="auto"/>
                <w:sz w:val="21"/>
                <w:highlight w:val="none"/>
              </w:rPr>
            </w:pPr>
          </w:p>
        </w:tc>
        <w:tc>
          <w:tcPr>
            <w:tcW w:w="870" w:type="dxa"/>
            <w:vAlign w:val="top"/>
          </w:tcPr>
          <w:p w14:paraId="10DF15DF">
            <w:pPr>
              <w:rPr>
                <w:rFonts w:ascii="Arial"/>
                <w:color w:val="auto"/>
                <w:sz w:val="21"/>
                <w:highlight w:val="none"/>
              </w:rPr>
            </w:pPr>
          </w:p>
        </w:tc>
        <w:tc>
          <w:tcPr>
            <w:tcW w:w="1169" w:type="dxa"/>
            <w:vAlign w:val="top"/>
          </w:tcPr>
          <w:p w14:paraId="2DB5B2C7">
            <w:pPr>
              <w:rPr>
                <w:rFonts w:ascii="Arial"/>
                <w:color w:val="auto"/>
                <w:sz w:val="21"/>
                <w:highlight w:val="none"/>
              </w:rPr>
            </w:pPr>
          </w:p>
        </w:tc>
        <w:tc>
          <w:tcPr>
            <w:tcW w:w="724" w:type="dxa"/>
            <w:vAlign w:val="top"/>
          </w:tcPr>
          <w:p w14:paraId="42D23E75">
            <w:pPr>
              <w:rPr>
                <w:rFonts w:ascii="Arial"/>
                <w:color w:val="auto"/>
                <w:sz w:val="21"/>
                <w:highlight w:val="none"/>
              </w:rPr>
            </w:pPr>
          </w:p>
        </w:tc>
      </w:tr>
      <w:tr w14:paraId="4F1AC0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765" w:type="dxa"/>
            <w:vAlign w:val="top"/>
          </w:tcPr>
          <w:p w14:paraId="5A757146">
            <w:pPr>
              <w:rPr>
                <w:rFonts w:ascii="Arial"/>
                <w:color w:val="auto"/>
                <w:sz w:val="21"/>
                <w:highlight w:val="none"/>
              </w:rPr>
            </w:pPr>
          </w:p>
        </w:tc>
        <w:tc>
          <w:tcPr>
            <w:tcW w:w="829" w:type="dxa"/>
            <w:vAlign w:val="top"/>
          </w:tcPr>
          <w:p w14:paraId="3D85D751">
            <w:pPr>
              <w:rPr>
                <w:rFonts w:ascii="Arial"/>
                <w:color w:val="auto"/>
                <w:sz w:val="21"/>
                <w:highlight w:val="none"/>
              </w:rPr>
            </w:pPr>
          </w:p>
        </w:tc>
        <w:tc>
          <w:tcPr>
            <w:tcW w:w="829" w:type="dxa"/>
            <w:vAlign w:val="top"/>
          </w:tcPr>
          <w:p w14:paraId="16757FF3">
            <w:pPr>
              <w:rPr>
                <w:rFonts w:ascii="Arial"/>
                <w:color w:val="auto"/>
                <w:sz w:val="21"/>
                <w:highlight w:val="none"/>
              </w:rPr>
            </w:pPr>
          </w:p>
        </w:tc>
        <w:tc>
          <w:tcPr>
            <w:tcW w:w="816" w:type="dxa"/>
            <w:vAlign w:val="top"/>
          </w:tcPr>
          <w:p w14:paraId="279D802D">
            <w:pPr>
              <w:rPr>
                <w:rFonts w:ascii="Arial"/>
                <w:color w:val="auto"/>
                <w:sz w:val="21"/>
                <w:highlight w:val="none"/>
              </w:rPr>
            </w:pPr>
          </w:p>
        </w:tc>
        <w:tc>
          <w:tcPr>
            <w:tcW w:w="1147" w:type="dxa"/>
            <w:vAlign w:val="top"/>
          </w:tcPr>
          <w:p w14:paraId="1C634C33">
            <w:pPr>
              <w:rPr>
                <w:rFonts w:ascii="Arial"/>
                <w:color w:val="auto"/>
                <w:sz w:val="21"/>
                <w:highlight w:val="none"/>
              </w:rPr>
            </w:pPr>
          </w:p>
        </w:tc>
        <w:tc>
          <w:tcPr>
            <w:tcW w:w="1147" w:type="dxa"/>
            <w:vAlign w:val="top"/>
          </w:tcPr>
          <w:p w14:paraId="5545A509">
            <w:pPr>
              <w:rPr>
                <w:rFonts w:ascii="Arial"/>
                <w:color w:val="auto"/>
                <w:sz w:val="21"/>
                <w:highlight w:val="none"/>
              </w:rPr>
            </w:pPr>
          </w:p>
        </w:tc>
        <w:tc>
          <w:tcPr>
            <w:tcW w:w="1147" w:type="dxa"/>
            <w:vAlign w:val="top"/>
          </w:tcPr>
          <w:p w14:paraId="07153A08">
            <w:pPr>
              <w:rPr>
                <w:rFonts w:ascii="Arial"/>
                <w:color w:val="auto"/>
                <w:sz w:val="21"/>
                <w:highlight w:val="none"/>
              </w:rPr>
            </w:pPr>
          </w:p>
        </w:tc>
        <w:tc>
          <w:tcPr>
            <w:tcW w:w="744" w:type="dxa"/>
            <w:vAlign w:val="top"/>
          </w:tcPr>
          <w:p w14:paraId="4336810D">
            <w:pPr>
              <w:rPr>
                <w:rFonts w:ascii="Arial"/>
                <w:color w:val="auto"/>
                <w:sz w:val="21"/>
                <w:highlight w:val="none"/>
              </w:rPr>
            </w:pPr>
          </w:p>
        </w:tc>
        <w:tc>
          <w:tcPr>
            <w:tcW w:w="870" w:type="dxa"/>
            <w:vAlign w:val="top"/>
          </w:tcPr>
          <w:p w14:paraId="0C817A3C">
            <w:pPr>
              <w:rPr>
                <w:rFonts w:ascii="Arial"/>
                <w:color w:val="auto"/>
                <w:sz w:val="21"/>
                <w:highlight w:val="none"/>
              </w:rPr>
            </w:pPr>
          </w:p>
        </w:tc>
        <w:tc>
          <w:tcPr>
            <w:tcW w:w="1169" w:type="dxa"/>
            <w:vAlign w:val="top"/>
          </w:tcPr>
          <w:p w14:paraId="4B11F5DF">
            <w:pPr>
              <w:rPr>
                <w:rFonts w:ascii="Arial"/>
                <w:color w:val="auto"/>
                <w:sz w:val="21"/>
                <w:highlight w:val="none"/>
              </w:rPr>
            </w:pPr>
          </w:p>
        </w:tc>
        <w:tc>
          <w:tcPr>
            <w:tcW w:w="724" w:type="dxa"/>
            <w:vAlign w:val="top"/>
          </w:tcPr>
          <w:p w14:paraId="28C44F42">
            <w:pPr>
              <w:rPr>
                <w:rFonts w:ascii="Arial"/>
                <w:color w:val="auto"/>
                <w:sz w:val="21"/>
                <w:highlight w:val="none"/>
              </w:rPr>
            </w:pPr>
          </w:p>
        </w:tc>
      </w:tr>
      <w:tr w14:paraId="3B370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0187" w:type="dxa"/>
            <w:gridSpan w:val="11"/>
            <w:vAlign w:val="top"/>
          </w:tcPr>
          <w:p w14:paraId="3526FEC0">
            <w:pPr>
              <w:pStyle w:val="15"/>
              <w:spacing w:before="35" w:line="227" w:lineRule="auto"/>
              <w:ind w:left="166"/>
              <w:rPr>
                <w:color w:val="auto"/>
                <w:highlight w:val="none"/>
              </w:rPr>
            </w:pPr>
            <w:r>
              <w:rPr>
                <w:color w:val="auto"/>
                <w:spacing w:val="10"/>
                <w:highlight w:val="none"/>
              </w:rPr>
              <w:t>一旦我单位中标，将实行项目经理负责制，我方保证并配备上述项目管理机</w:t>
            </w:r>
            <w:r>
              <w:rPr>
                <w:color w:val="auto"/>
                <w:spacing w:val="9"/>
                <w:highlight w:val="none"/>
              </w:rPr>
              <w:t>构。上述填报内容真实，若不真</w:t>
            </w:r>
          </w:p>
          <w:p w14:paraId="7598D9A6">
            <w:pPr>
              <w:pStyle w:val="15"/>
              <w:spacing w:before="94" w:line="227" w:lineRule="auto"/>
              <w:ind w:left="1226"/>
              <w:rPr>
                <w:color w:val="auto"/>
                <w:highlight w:val="none"/>
              </w:rPr>
            </w:pPr>
            <w:r>
              <w:rPr>
                <w:color w:val="auto"/>
                <w:spacing w:val="9"/>
                <w:highlight w:val="none"/>
              </w:rPr>
              <w:t>实，愿按有关规定接受处理。项目管理班子机构设置、职责分工等情况另附资料说明。</w:t>
            </w:r>
          </w:p>
        </w:tc>
      </w:tr>
    </w:tbl>
    <w:p w14:paraId="007E8817">
      <w:pPr>
        <w:pStyle w:val="2"/>
        <w:spacing w:line="309" w:lineRule="auto"/>
        <w:rPr>
          <w:color w:val="auto"/>
          <w:highlight w:val="none"/>
        </w:rPr>
      </w:pPr>
    </w:p>
    <w:p w14:paraId="485A1D55">
      <w:pPr>
        <w:spacing w:before="65" w:line="302" w:lineRule="auto"/>
        <w:ind w:left="798" w:right="576" w:hanging="9"/>
        <w:jc w:val="both"/>
        <w:rPr>
          <w:rFonts w:ascii="楷体" w:hAnsi="楷体" w:eastAsia="楷体" w:cs="楷体"/>
          <w:color w:val="auto"/>
          <w:sz w:val="20"/>
          <w:szCs w:val="20"/>
          <w:highlight w:val="none"/>
        </w:rPr>
      </w:pPr>
      <w:r>
        <w:rPr>
          <w:rFonts w:ascii="楷体" w:hAnsi="楷体" w:eastAsia="楷体" w:cs="楷体"/>
          <w:color w:val="auto"/>
          <w:spacing w:val="10"/>
          <w:sz w:val="20"/>
          <w:szCs w:val="20"/>
          <w:highlight w:val="none"/>
        </w:rPr>
        <w:t>【备注：附以上各岗位人员资格证件及社保缴纳证明（缴纳时间与资格评审要求一致）等相关证</w:t>
      </w:r>
      <w:r>
        <w:rPr>
          <w:rFonts w:ascii="楷体" w:hAnsi="楷体" w:eastAsia="楷体" w:cs="楷体"/>
          <w:color w:val="auto"/>
          <w:spacing w:val="8"/>
          <w:sz w:val="20"/>
          <w:szCs w:val="20"/>
          <w:highlight w:val="none"/>
        </w:rPr>
        <w:t>明材料的复印件，</w:t>
      </w:r>
      <w:r>
        <w:rPr>
          <w:rFonts w:ascii="楷体" w:hAnsi="楷体" w:eastAsia="楷体" w:cs="楷体"/>
          <w:color w:val="auto"/>
          <w:spacing w:val="-56"/>
          <w:sz w:val="20"/>
          <w:szCs w:val="20"/>
          <w:highlight w:val="none"/>
        </w:rPr>
        <w:t xml:space="preserve"> </w:t>
      </w:r>
      <w:r>
        <w:rPr>
          <w:rFonts w:ascii="楷体" w:hAnsi="楷体" w:eastAsia="楷体" w:cs="楷体"/>
          <w:color w:val="auto"/>
          <w:spacing w:val="8"/>
          <w:sz w:val="20"/>
          <w:szCs w:val="20"/>
          <w:highlight w:val="none"/>
        </w:rPr>
        <w:t>以及磋商单位认为需要增加的其他证明材料复印件，</w:t>
      </w:r>
      <w:r>
        <w:rPr>
          <w:rFonts w:ascii="楷体" w:hAnsi="楷体" w:eastAsia="楷体" w:cs="楷体"/>
          <w:color w:val="auto"/>
          <w:spacing w:val="-56"/>
          <w:sz w:val="20"/>
          <w:szCs w:val="20"/>
          <w:highlight w:val="none"/>
        </w:rPr>
        <w:t xml:space="preserve"> </w:t>
      </w:r>
      <w:r>
        <w:rPr>
          <w:rFonts w:ascii="楷体" w:hAnsi="楷体" w:eastAsia="楷体" w:cs="楷体"/>
          <w:color w:val="auto"/>
          <w:spacing w:val="8"/>
          <w:sz w:val="20"/>
          <w:szCs w:val="20"/>
          <w:highlight w:val="none"/>
        </w:rPr>
        <w:t>以上复</w:t>
      </w:r>
      <w:r>
        <w:rPr>
          <w:rFonts w:ascii="楷体" w:hAnsi="楷体" w:eastAsia="楷体" w:cs="楷体"/>
          <w:color w:val="auto"/>
          <w:spacing w:val="7"/>
          <w:sz w:val="20"/>
          <w:szCs w:val="20"/>
          <w:highlight w:val="none"/>
        </w:rPr>
        <w:t>印件均须加盖磋商</w:t>
      </w:r>
      <w:r>
        <w:rPr>
          <w:rFonts w:ascii="楷体" w:hAnsi="楷体" w:eastAsia="楷体" w:cs="楷体"/>
          <w:color w:val="auto"/>
          <w:spacing w:val="11"/>
          <w:sz w:val="20"/>
          <w:szCs w:val="20"/>
          <w:highlight w:val="none"/>
        </w:rPr>
        <w:t>单位公章。】</w:t>
      </w:r>
    </w:p>
    <w:p w14:paraId="5436F779">
      <w:pPr>
        <w:spacing w:line="302" w:lineRule="auto"/>
        <w:rPr>
          <w:rFonts w:ascii="楷体" w:hAnsi="楷体" w:eastAsia="楷体" w:cs="楷体"/>
          <w:color w:val="auto"/>
          <w:sz w:val="20"/>
          <w:szCs w:val="20"/>
          <w:highlight w:val="none"/>
        </w:rPr>
        <w:sectPr>
          <w:footerReference r:id="rId40" w:type="default"/>
          <w:pgSz w:w="11910" w:h="16840"/>
          <w:pgMar w:top="1357" w:right="843" w:bottom="1019" w:left="874" w:header="0" w:footer="857" w:gutter="0"/>
          <w:pgNumType w:fmt="decimal"/>
          <w:cols w:space="720" w:num="1"/>
        </w:sectPr>
      </w:pPr>
    </w:p>
    <w:p w14:paraId="3429DC9B">
      <w:pPr>
        <w:spacing w:before="47" w:line="219" w:lineRule="auto"/>
        <w:ind w:left="2875"/>
        <w:rPr>
          <w:rFonts w:ascii="宋体" w:hAnsi="宋体" w:eastAsia="宋体" w:cs="宋体"/>
          <w:color w:val="auto"/>
          <w:sz w:val="24"/>
          <w:szCs w:val="24"/>
          <w:highlight w:val="none"/>
        </w:rPr>
      </w:pPr>
      <w:r>
        <w:rPr>
          <w:rFonts w:ascii="Times New Roman" w:hAnsi="Times New Roman" w:eastAsia="Times New Roman" w:cs="Times New Roman"/>
          <w:b/>
          <w:bCs/>
          <w:color w:val="auto"/>
          <w:spacing w:val="-2"/>
          <w:sz w:val="24"/>
          <w:szCs w:val="24"/>
          <w:highlight w:val="none"/>
        </w:rPr>
        <w:t>2.</w:t>
      </w:r>
      <w:r>
        <w:rPr>
          <w:rFonts w:ascii="宋体" w:hAnsi="宋体" w:eastAsia="宋体" w:cs="宋体"/>
          <w:b/>
          <w:bCs/>
          <w:color w:val="auto"/>
          <w:spacing w:val="-2"/>
          <w:sz w:val="24"/>
          <w:szCs w:val="24"/>
          <w:highlight w:val="none"/>
        </w:rPr>
        <w:t>项目经理（注册建造师）简历表</w:t>
      </w:r>
    </w:p>
    <w:p w14:paraId="47125588">
      <w:pPr>
        <w:spacing w:line="69" w:lineRule="exact"/>
        <w:rPr>
          <w:color w:val="auto"/>
          <w:highlight w:val="none"/>
        </w:rPr>
      </w:pPr>
    </w:p>
    <w:tbl>
      <w:tblPr>
        <w:tblStyle w:val="14"/>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243"/>
        <w:gridCol w:w="221"/>
        <w:gridCol w:w="1104"/>
        <w:gridCol w:w="443"/>
        <w:gridCol w:w="328"/>
        <w:gridCol w:w="555"/>
        <w:gridCol w:w="664"/>
        <w:gridCol w:w="685"/>
        <w:gridCol w:w="861"/>
        <w:gridCol w:w="440"/>
        <w:gridCol w:w="271"/>
        <w:gridCol w:w="835"/>
        <w:gridCol w:w="272"/>
        <w:gridCol w:w="1280"/>
      </w:tblGrid>
      <w:tr w14:paraId="39880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0A75D324">
            <w:pPr>
              <w:pStyle w:val="15"/>
              <w:spacing w:before="164" w:line="228" w:lineRule="auto"/>
              <w:ind w:left="338"/>
              <w:rPr>
                <w:color w:val="auto"/>
                <w:highlight w:val="none"/>
              </w:rPr>
            </w:pPr>
            <w:r>
              <w:rPr>
                <w:color w:val="auto"/>
                <w:spacing w:val="4"/>
                <w:highlight w:val="none"/>
              </w:rPr>
              <w:t>姓名</w:t>
            </w:r>
          </w:p>
        </w:tc>
        <w:tc>
          <w:tcPr>
            <w:tcW w:w="2339" w:type="dxa"/>
            <w:gridSpan w:val="5"/>
            <w:vAlign w:val="top"/>
          </w:tcPr>
          <w:p w14:paraId="7341F6A7">
            <w:pPr>
              <w:rPr>
                <w:rFonts w:ascii="Arial"/>
                <w:color w:val="auto"/>
                <w:sz w:val="21"/>
                <w:highlight w:val="none"/>
              </w:rPr>
            </w:pPr>
          </w:p>
        </w:tc>
        <w:tc>
          <w:tcPr>
            <w:tcW w:w="1904" w:type="dxa"/>
            <w:gridSpan w:val="3"/>
            <w:vAlign w:val="top"/>
          </w:tcPr>
          <w:p w14:paraId="35E328CB">
            <w:pPr>
              <w:pStyle w:val="15"/>
              <w:spacing w:before="165" w:line="228" w:lineRule="auto"/>
              <w:ind w:left="750"/>
              <w:rPr>
                <w:color w:val="auto"/>
                <w:highlight w:val="none"/>
              </w:rPr>
            </w:pPr>
            <w:r>
              <w:rPr>
                <w:color w:val="auto"/>
                <w:spacing w:val="3"/>
                <w:highlight w:val="none"/>
              </w:rPr>
              <w:t>性别</w:t>
            </w:r>
          </w:p>
        </w:tc>
        <w:tc>
          <w:tcPr>
            <w:tcW w:w="1572" w:type="dxa"/>
            <w:gridSpan w:val="3"/>
            <w:vAlign w:val="top"/>
          </w:tcPr>
          <w:p w14:paraId="21D3250B">
            <w:pPr>
              <w:rPr>
                <w:rFonts w:ascii="Arial"/>
                <w:color w:val="auto"/>
                <w:sz w:val="21"/>
                <w:highlight w:val="none"/>
              </w:rPr>
            </w:pPr>
          </w:p>
        </w:tc>
        <w:tc>
          <w:tcPr>
            <w:tcW w:w="1107" w:type="dxa"/>
            <w:gridSpan w:val="2"/>
            <w:vAlign w:val="top"/>
          </w:tcPr>
          <w:p w14:paraId="5C151D07">
            <w:pPr>
              <w:pStyle w:val="15"/>
              <w:spacing w:before="164" w:line="228" w:lineRule="auto"/>
              <w:ind w:left="351"/>
              <w:rPr>
                <w:color w:val="auto"/>
                <w:highlight w:val="none"/>
              </w:rPr>
            </w:pPr>
            <w:r>
              <w:rPr>
                <w:color w:val="auto"/>
                <w:spacing w:val="4"/>
                <w:highlight w:val="none"/>
              </w:rPr>
              <w:t>年龄</w:t>
            </w:r>
          </w:p>
        </w:tc>
        <w:tc>
          <w:tcPr>
            <w:tcW w:w="1280" w:type="dxa"/>
            <w:vAlign w:val="top"/>
          </w:tcPr>
          <w:p w14:paraId="4D146C87">
            <w:pPr>
              <w:rPr>
                <w:rFonts w:ascii="Arial"/>
                <w:color w:val="auto"/>
                <w:sz w:val="21"/>
                <w:highlight w:val="none"/>
              </w:rPr>
            </w:pPr>
          </w:p>
        </w:tc>
      </w:tr>
      <w:tr w14:paraId="67385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2F621C67">
            <w:pPr>
              <w:pStyle w:val="15"/>
              <w:spacing w:before="173" w:line="228" w:lineRule="auto"/>
              <w:ind w:left="361"/>
              <w:rPr>
                <w:color w:val="auto"/>
                <w:highlight w:val="none"/>
              </w:rPr>
            </w:pPr>
            <w:r>
              <w:rPr>
                <w:color w:val="auto"/>
                <w:spacing w:val="-7"/>
                <w:highlight w:val="none"/>
              </w:rPr>
              <w:t>岗位</w:t>
            </w:r>
          </w:p>
        </w:tc>
        <w:tc>
          <w:tcPr>
            <w:tcW w:w="2339" w:type="dxa"/>
            <w:gridSpan w:val="5"/>
            <w:vAlign w:val="top"/>
          </w:tcPr>
          <w:p w14:paraId="7A4FCF06">
            <w:pPr>
              <w:pStyle w:val="15"/>
              <w:spacing w:before="173" w:line="228" w:lineRule="auto"/>
              <w:ind w:left="757"/>
              <w:rPr>
                <w:color w:val="auto"/>
                <w:highlight w:val="none"/>
              </w:rPr>
            </w:pPr>
            <w:r>
              <w:rPr>
                <w:color w:val="auto"/>
                <w:spacing w:val="6"/>
                <w:highlight w:val="none"/>
              </w:rPr>
              <w:t>项目经理</w:t>
            </w:r>
          </w:p>
        </w:tc>
        <w:tc>
          <w:tcPr>
            <w:tcW w:w="1904" w:type="dxa"/>
            <w:gridSpan w:val="3"/>
            <w:vAlign w:val="top"/>
          </w:tcPr>
          <w:p w14:paraId="29B67AE5">
            <w:pPr>
              <w:pStyle w:val="15"/>
              <w:spacing w:before="172" w:line="230" w:lineRule="auto"/>
              <w:ind w:left="748"/>
              <w:rPr>
                <w:color w:val="auto"/>
                <w:highlight w:val="none"/>
              </w:rPr>
            </w:pPr>
            <w:r>
              <w:rPr>
                <w:color w:val="auto"/>
                <w:spacing w:val="4"/>
                <w:highlight w:val="none"/>
              </w:rPr>
              <w:t>职称</w:t>
            </w:r>
          </w:p>
        </w:tc>
        <w:tc>
          <w:tcPr>
            <w:tcW w:w="1572" w:type="dxa"/>
            <w:gridSpan w:val="3"/>
            <w:vAlign w:val="top"/>
          </w:tcPr>
          <w:p w14:paraId="15E9B2DD">
            <w:pPr>
              <w:rPr>
                <w:rFonts w:ascii="Arial"/>
                <w:color w:val="auto"/>
                <w:sz w:val="21"/>
                <w:highlight w:val="none"/>
              </w:rPr>
            </w:pPr>
          </w:p>
        </w:tc>
        <w:tc>
          <w:tcPr>
            <w:tcW w:w="1107" w:type="dxa"/>
            <w:gridSpan w:val="2"/>
            <w:vAlign w:val="top"/>
          </w:tcPr>
          <w:p w14:paraId="57C22383">
            <w:pPr>
              <w:pStyle w:val="15"/>
              <w:spacing w:before="172" w:line="229" w:lineRule="auto"/>
              <w:ind w:left="354"/>
              <w:rPr>
                <w:color w:val="auto"/>
                <w:highlight w:val="none"/>
              </w:rPr>
            </w:pPr>
            <w:r>
              <w:rPr>
                <w:color w:val="auto"/>
                <w:spacing w:val="2"/>
                <w:highlight w:val="none"/>
              </w:rPr>
              <w:t>学历</w:t>
            </w:r>
          </w:p>
        </w:tc>
        <w:tc>
          <w:tcPr>
            <w:tcW w:w="1280" w:type="dxa"/>
            <w:vAlign w:val="top"/>
          </w:tcPr>
          <w:p w14:paraId="5E9EF635">
            <w:pPr>
              <w:rPr>
                <w:rFonts w:ascii="Arial"/>
                <w:color w:val="auto"/>
                <w:sz w:val="21"/>
                <w:highlight w:val="none"/>
              </w:rPr>
            </w:pPr>
          </w:p>
        </w:tc>
      </w:tr>
      <w:tr w14:paraId="6D80E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87" w:type="dxa"/>
            <w:vAlign w:val="top"/>
          </w:tcPr>
          <w:p w14:paraId="64A87A06">
            <w:pPr>
              <w:pStyle w:val="15"/>
              <w:spacing w:before="33" w:line="296" w:lineRule="auto"/>
              <w:ind w:left="348" w:right="122" w:hanging="216"/>
              <w:rPr>
                <w:color w:val="auto"/>
                <w:highlight w:val="none"/>
              </w:rPr>
            </w:pPr>
            <w:r>
              <w:rPr>
                <w:color w:val="auto"/>
                <w:spacing w:val="6"/>
                <w:highlight w:val="none"/>
              </w:rPr>
              <w:t>从业开始</w:t>
            </w:r>
            <w:r>
              <w:rPr>
                <w:color w:val="auto"/>
                <w:spacing w:val="2"/>
                <w:highlight w:val="none"/>
              </w:rPr>
              <w:t xml:space="preserve"> </w:t>
            </w:r>
            <w:r>
              <w:rPr>
                <w:color w:val="auto"/>
                <w:spacing w:val="-1"/>
                <w:highlight w:val="none"/>
              </w:rPr>
              <w:t>时间</w:t>
            </w:r>
          </w:p>
        </w:tc>
        <w:tc>
          <w:tcPr>
            <w:tcW w:w="2339" w:type="dxa"/>
            <w:gridSpan w:val="5"/>
            <w:vAlign w:val="top"/>
          </w:tcPr>
          <w:p w14:paraId="18433573">
            <w:pPr>
              <w:rPr>
                <w:rFonts w:ascii="Arial"/>
                <w:color w:val="auto"/>
                <w:sz w:val="21"/>
                <w:highlight w:val="none"/>
              </w:rPr>
            </w:pPr>
          </w:p>
        </w:tc>
        <w:tc>
          <w:tcPr>
            <w:tcW w:w="1904" w:type="dxa"/>
            <w:gridSpan w:val="3"/>
            <w:vAlign w:val="top"/>
          </w:tcPr>
          <w:p w14:paraId="03B37480">
            <w:pPr>
              <w:pStyle w:val="15"/>
              <w:spacing w:before="202" w:line="228" w:lineRule="auto"/>
              <w:ind w:left="328"/>
              <w:rPr>
                <w:color w:val="auto"/>
                <w:highlight w:val="none"/>
              </w:rPr>
            </w:pPr>
            <w:r>
              <w:rPr>
                <w:color w:val="auto"/>
                <w:spacing w:val="8"/>
                <w:highlight w:val="none"/>
              </w:rPr>
              <w:t>职称获得时间</w:t>
            </w:r>
          </w:p>
        </w:tc>
        <w:tc>
          <w:tcPr>
            <w:tcW w:w="1572" w:type="dxa"/>
            <w:gridSpan w:val="3"/>
            <w:vAlign w:val="top"/>
          </w:tcPr>
          <w:p w14:paraId="44496555">
            <w:pPr>
              <w:rPr>
                <w:rFonts w:ascii="Arial"/>
                <w:color w:val="auto"/>
                <w:sz w:val="21"/>
                <w:highlight w:val="none"/>
              </w:rPr>
            </w:pPr>
          </w:p>
        </w:tc>
        <w:tc>
          <w:tcPr>
            <w:tcW w:w="1107" w:type="dxa"/>
            <w:gridSpan w:val="2"/>
            <w:vAlign w:val="top"/>
          </w:tcPr>
          <w:p w14:paraId="0613B093">
            <w:pPr>
              <w:pStyle w:val="15"/>
              <w:spacing w:before="202" w:line="228" w:lineRule="auto"/>
              <w:ind w:left="146"/>
              <w:rPr>
                <w:color w:val="auto"/>
                <w:highlight w:val="none"/>
              </w:rPr>
            </w:pPr>
            <w:r>
              <w:rPr>
                <w:color w:val="auto"/>
                <w:spacing w:val="6"/>
                <w:highlight w:val="none"/>
              </w:rPr>
              <w:t>毕业时间</w:t>
            </w:r>
          </w:p>
        </w:tc>
        <w:tc>
          <w:tcPr>
            <w:tcW w:w="1280" w:type="dxa"/>
            <w:vAlign w:val="top"/>
          </w:tcPr>
          <w:p w14:paraId="60C34297">
            <w:pPr>
              <w:rPr>
                <w:rFonts w:ascii="Arial"/>
                <w:color w:val="auto"/>
                <w:sz w:val="21"/>
                <w:highlight w:val="none"/>
              </w:rPr>
            </w:pPr>
          </w:p>
        </w:tc>
      </w:tr>
      <w:tr w14:paraId="34D9E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087" w:type="dxa"/>
            <w:vAlign w:val="top"/>
          </w:tcPr>
          <w:p w14:paraId="2F90CA38">
            <w:pPr>
              <w:pStyle w:val="15"/>
              <w:spacing w:before="203" w:line="298" w:lineRule="auto"/>
              <w:ind w:left="130" w:right="122"/>
              <w:rPr>
                <w:color w:val="auto"/>
                <w:highlight w:val="none"/>
              </w:rPr>
            </w:pPr>
            <w:r>
              <w:rPr>
                <w:color w:val="auto"/>
                <w:spacing w:val="7"/>
                <w:highlight w:val="none"/>
              </w:rPr>
              <w:t>担任项目</w:t>
            </w:r>
            <w:r>
              <w:rPr>
                <w:color w:val="auto"/>
                <w:highlight w:val="none"/>
              </w:rPr>
              <w:t xml:space="preserve"> </w:t>
            </w:r>
            <w:r>
              <w:rPr>
                <w:color w:val="auto"/>
                <w:spacing w:val="6"/>
                <w:highlight w:val="none"/>
              </w:rPr>
              <w:t>经理年限</w:t>
            </w:r>
          </w:p>
        </w:tc>
        <w:tc>
          <w:tcPr>
            <w:tcW w:w="2339" w:type="dxa"/>
            <w:gridSpan w:val="5"/>
            <w:vAlign w:val="top"/>
          </w:tcPr>
          <w:p w14:paraId="2FB0E52E">
            <w:pPr>
              <w:rPr>
                <w:rFonts w:ascii="Arial"/>
                <w:color w:val="auto"/>
                <w:sz w:val="21"/>
                <w:highlight w:val="none"/>
              </w:rPr>
            </w:pPr>
          </w:p>
        </w:tc>
        <w:tc>
          <w:tcPr>
            <w:tcW w:w="1904" w:type="dxa"/>
            <w:gridSpan w:val="3"/>
            <w:vAlign w:val="top"/>
          </w:tcPr>
          <w:p w14:paraId="327D2934">
            <w:pPr>
              <w:spacing w:line="304" w:lineRule="auto"/>
              <w:rPr>
                <w:rFonts w:ascii="Arial"/>
                <w:color w:val="auto"/>
                <w:sz w:val="21"/>
                <w:highlight w:val="none"/>
              </w:rPr>
            </w:pPr>
          </w:p>
          <w:p w14:paraId="3CAACA86">
            <w:pPr>
              <w:pStyle w:val="15"/>
              <w:spacing w:before="65" w:line="228" w:lineRule="auto"/>
              <w:ind w:left="436"/>
              <w:rPr>
                <w:color w:val="auto"/>
                <w:highlight w:val="none"/>
              </w:rPr>
            </w:pPr>
            <w:r>
              <w:rPr>
                <w:color w:val="auto"/>
                <w:spacing w:val="7"/>
                <w:highlight w:val="none"/>
              </w:rPr>
              <w:t>身份证号码</w:t>
            </w:r>
          </w:p>
        </w:tc>
        <w:tc>
          <w:tcPr>
            <w:tcW w:w="1572" w:type="dxa"/>
            <w:gridSpan w:val="3"/>
            <w:vAlign w:val="top"/>
          </w:tcPr>
          <w:p w14:paraId="52EEE330">
            <w:pPr>
              <w:rPr>
                <w:rFonts w:ascii="Arial"/>
                <w:color w:val="auto"/>
                <w:sz w:val="21"/>
                <w:highlight w:val="none"/>
              </w:rPr>
            </w:pPr>
          </w:p>
        </w:tc>
        <w:tc>
          <w:tcPr>
            <w:tcW w:w="1107" w:type="dxa"/>
            <w:gridSpan w:val="2"/>
            <w:vAlign w:val="top"/>
          </w:tcPr>
          <w:p w14:paraId="35D7A73C">
            <w:pPr>
              <w:pStyle w:val="15"/>
              <w:spacing w:before="33" w:line="227" w:lineRule="auto"/>
              <w:ind w:left="143"/>
              <w:rPr>
                <w:color w:val="auto"/>
                <w:highlight w:val="none"/>
              </w:rPr>
            </w:pPr>
            <w:r>
              <w:rPr>
                <w:color w:val="auto"/>
                <w:spacing w:val="6"/>
                <w:highlight w:val="none"/>
              </w:rPr>
              <w:t>社保所附</w:t>
            </w:r>
          </w:p>
          <w:p w14:paraId="04572022">
            <w:pPr>
              <w:pStyle w:val="15"/>
              <w:spacing w:before="92" w:line="227" w:lineRule="auto"/>
              <w:ind w:left="141"/>
              <w:rPr>
                <w:color w:val="auto"/>
                <w:highlight w:val="none"/>
              </w:rPr>
            </w:pPr>
            <w:r>
              <w:rPr>
                <w:color w:val="auto"/>
                <w:spacing w:val="7"/>
                <w:highlight w:val="none"/>
              </w:rPr>
              <w:t>证明材料</w:t>
            </w:r>
          </w:p>
          <w:p w14:paraId="207432A5">
            <w:pPr>
              <w:pStyle w:val="15"/>
              <w:spacing w:before="95" w:line="228" w:lineRule="auto"/>
              <w:ind w:left="249"/>
              <w:rPr>
                <w:color w:val="auto"/>
                <w:highlight w:val="none"/>
              </w:rPr>
            </w:pPr>
            <w:r>
              <w:rPr>
                <w:color w:val="auto"/>
                <w:spacing w:val="5"/>
                <w:highlight w:val="none"/>
              </w:rPr>
              <w:t>索引号</w:t>
            </w:r>
          </w:p>
        </w:tc>
        <w:tc>
          <w:tcPr>
            <w:tcW w:w="1280" w:type="dxa"/>
            <w:vAlign w:val="top"/>
          </w:tcPr>
          <w:p w14:paraId="2AEE6273">
            <w:pPr>
              <w:rPr>
                <w:rFonts w:ascii="Arial"/>
                <w:color w:val="auto"/>
                <w:sz w:val="21"/>
                <w:highlight w:val="none"/>
              </w:rPr>
            </w:pPr>
          </w:p>
        </w:tc>
      </w:tr>
      <w:tr w14:paraId="5C0F2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30" w:type="dxa"/>
            <w:gridSpan w:val="2"/>
            <w:vAlign w:val="top"/>
          </w:tcPr>
          <w:p w14:paraId="3DA63072">
            <w:pPr>
              <w:pStyle w:val="15"/>
              <w:spacing w:before="165" w:line="227" w:lineRule="auto"/>
              <w:ind w:left="251"/>
              <w:rPr>
                <w:color w:val="auto"/>
                <w:highlight w:val="none"/>
              </w:rPr>
            </w:pPr>
            <w:r>
              <w:rPr>
                <w:color w:val="auto"/>
                <w:spacing w:val="7"/>
                <w:highlight w:val="none"/>
              </w:rPr>
              <w:t>证书名称</w:t>
            </w:r>
          </w:p>
        </w:tc>
        <w:tc>
          <w:tcPr>
            <w:tcW w:w="1325" w:type="dxa"/>
            <w:gridSpan w:val="2"/>
            <w:vAlign w:val="top"/>
          </w:tcPr>
          <w:p w14:paraId="1ABB9A3A">
            <w:pPr>
              <w:pStyle w:val="15"/>
              <w:spacing w:before="165" w:line="228" w:lineRule="auto"/>
              <w:ind w:left="246"/>
              <w:rPr>
                <w:color w:val="auto"/>
                <w:highlight w:val="none"/>
              </w:rPr>
            </w:pPr>
            <w:r>
              <w:rPr>
                <w:color w:val="auto"/>
                <w:spacing w:val="7"/>
                <w:highlight w:val="none"/>
              </w:rPr>
              <w:t>注册专业</w:t>
            </w:r>
          </w:p>
        </w:tc>
        <w:tc>
          <w:tcPr>
            <w:tcW w:w="1326" w:type="dxa"/>
            <w:gridSpan w:val="3"/>
            <w:vAlign w:val="top"/>
          </w:tcPr>
          <w:p w14:paraId="6A5C2C1B">
            <w:pPr>
              <w:pStyle w:val="15"/>
              <w:spacing w:before="165" w:line="228" w:lineRule="auto"/>
              <w:ind w:left="461"/>
              <w:rPr>
                <w:color w:val="auto"/>
                <w:highlight w:val="none"/>
              </w:rPr>
            </w:pPr>
            <w:r>
              <w:rPr>
                <w:color w:val="auto"/>
                <w:spacing w:val="3"/>
                <w:highlight w:val="none"/>
              </w:rPr>
              <w:t>级别</w:t>
            </w:r>
          </w:p>
        </w:tc>
        <w:tc>
          <w:tcPr>
            <w:tcW w:w="1349" w:type="dxa"/>
            <w:gridSpan w:val="2"/>
            <w:vAlign w:val="top"/>
          </w:tcPr>
          <w:p w14:paraId="20B40F1A">
            <w:pPr>
              <w:pStyle w:val="15"/>
              <w:spacing w:before="165" w:line="227" w:lineRule="auto"/>
              <w:ind w:left="259"/>
              <w:rPr>
                <w:color w:val="auto"/>
                <w:highlight w:val="none"/>
              </w:rPr>
            </w:pPr>
            <w:r>
              <w:rPr>
                <w:color w:val="auto"/>
                <w:spacing w:val="7"/>
                <w:highlight w:val="none"/>
              </w:rPr>
              <w:t>证书编号</w:t>
            </w:r>
          </w:p>
        </w:tc>
        <w:tc>
          <w:tcPr>
            <w:tcW w:w="1301" w:type="dxa"/>
            <w:gridSpan w:val="2"/>
            <w:vAlign w:val="top"/>
          </w:tcPr>
          <w:p w14:paraId="053FC65E">
            <w:pPr>
              <w:pStyle w:val="15"/>
              <w:spacing w:before="165" w:line="229" w:lineRule="auto"/>
              <w:ind w:left="237"/>
              <w:rPr>
                <w:color w:val="auto"/>
                <w:highlight w:val="none"/>
              </w:rPr>
            </w:pPr>
            <w:r>
              <w:rPr>
                <w:color w:val="auto"/>
                <w:spacing w:val="7"/>
                <w:highlight w:val="none"/>
              </w:rPr>
              <w:t>注册时间</w:t>
            </w:r>
          </w:p>
        </w:tc>
        <w:tc>
          <w:tcPr>
            <w:tcW w:w="1378" w:type="dxa"/>
            <w:gridSpan w:val="3"/>
            <w:vAlign w:val="top"/>
          </w:tcPr>
          <w:p w14:paraId="46C6FBC1">
            <w:pPr>
              <w:pStyle w:val="15"/>
              <w:spacing w:before="165" w:line="228" w:lineRule="auto"/>
              <w:ind w:left="276"/>
              <w:rPr>
                <w:color w:val="auto"/>
                <w:highlight w:val="none"/>
              </w:rPr>
            </w:pPr>
            <w:r>
              <w:rPr>
                <w:color w:val="auto"/>
                <w:spacing w:val="7"/>
                <w:highlight w:val="none"/>
              </w:rPr>
              <w:t>注册单位</w:t>
            </w:r>
          </w:p>
        </w:tc>
        <w:tc>
          <w:tcPr>
            <w:tcW w:w="1280" w:type="dxa"/>
            <w:vAlign w:val="top"/>
          </w:tcPr>
          <w:p w14:paraId="4EDA0E70">
            <w:pPr>
              <w:pStyle w:val="15"/>
              <w:spacing w:before="165" w:line="228" w:lineRule="auto"/>
              <w:ind w:left="119"/>
              <w:rPr>
                <w:color w:val="auto"/>
                <w:highlight w:val="none"/>
              </w:rPr>
            </w:pPr>
            <w:r>
              <w:rPr>
                <w:color w:val="auto"/>
                <w:spacing w:val="8"/>
                <w:highlight w:val="none"/>
              </w:rPr>
              <w:t>注册有效期</w:t>
            </w:r>
          </w:p>
        </w:tc>
      </w:tr>
      <w:tr w14:paraId="1B74B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30" w:type="dxa"/>
            <w:gridSpan w:val="2"/>
            <w:vAlign w:val="top"/>
          </w:tcPr>
          <w:p w14:paraId="46B428BA">
            <w:pPr>
              <w:rPr>
                <w:rFonts w:ascii="Arial"/>
                <w:color w:val="auto"/>
                <w:sz w:val="21"/>
                <w:highlight w:val="none"/>
              </w:rPr>
            </w:pPr>
          </w:p>
        </w:tc>
        <w:tc>
          <w:tcPr>
            <w:tcW w:w="1325" w:type="dxa"/>
            <w:gridSpan w:val="2"/>
            <w:vAlign w:val="top"/>
          </w:tcPr>
          <w:p w14:paraId="37DA7E87">
            <w:pPr>
              <w:rPr>
                <w:rFonts w:ascii="Arial"/>
                <w:color w:val="auto"/>
                <w:sz w:val="21"/>
                <w:highlight w:val="none"/>
              </w:rPr>
            </w:pPr>
          </w:p>
        </w:tc>
        <w:tc>
          <w:tcPr>
            <w:tcW w:w="1326" w:type="dxa"/>
            <w:gridSpan w:val="3"/>
            <w:vAlign w:val="top"/>
          </w:tcPr>
          <w:p w14:paraId="1644E04D">
            <w:pPr>
              <w:rPr>
                <w:rFonts w:ascii="Arial"/>
                <w:color w:val="auto"/>
                <w:sz w:val="21"/>
                <w:highlight w:val="none"/>
              </w:rPr>
            </w:pPr>
          </w:p>
        </w:tc>
        <w:tc>
          <w:tcPr>
            <w:tcW w:w="1349" w:type="dxa"/>
            <w:gridSpan w:val="2"/>
            <w:vAlign w:val="top"/>
          </w:tcPr>
          <w:p w14:paraId="5FF48845">
            <w:pPr>
              <w:rPr>
                <w:rFonts w:ascii="Arial"/>
                <w:color w:val="auto"/>
                <w:sz w:val="21"/>
                <w:highlight w:val="none"/>
              </w:rPr>
            </w:pPr>
          </w:p>
        </w:tc>
        <w:tc>
          <w:tcPr>
            <w:tcW w:w="1301" w:type="dxa"/>
            <w:gridSpan w:val="2"/>
            <w:vAlign w:val="top"/>
          </w:tcPr>
          <w:p w14:paraId="3CE70AED">
            <w:pPr>
              <w:rPr>
                <w:rFonts w:ascii="Arial"/>
                <w:color w:val="auto"/>
                <w:sz w:val="21"/>
                <w:highlight w:val="none"/>
              </w:rPr>
            </w:pPr>
          </w:p>
        </w:tc>
        <w:tc>
          <w:tcPr>
            <w:tcW w:w="1378" w:type="dxa"/>
            <w:gridSpan w:val="3"/>
            <w:vAlign w:val="top"/>
          </w:tcPr>
          <w:p w14:paraId="0F91EC09">
            <w:pPr>
              <w:rPr>
                <w:rFonts w:ascii="Arial"/>
                <w:color w:val="auto"/>
                <w:sz w:val="21"/>
                <w:highlight w:val="none"/>
              </w:rPr>
            </w:pPr>
          </w:p>
        </w:tc>
        <w:tc>
          <w:tcPr>
            <w:tcW w:w="1280" w:type="dxa"/>
            <w:vAlign w:val="top"/>
          </w:tcPr>
          <w:p w14:paraId="43E8E023">
            <w:pPr>
              <w:rPr>
                <w:rFonts w:ascii="Arial"/>
                <w:color w:val="auto"/>
                <w:sz w:val="21"/>
                <w:highlight w:val="none"/>
              </w:rPr>
            </w:pPr>
          </w:p>
        </w:tc>
      </w:tr>
      <w:tr w14:paraId="0FD17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30" w:type="dxa"/>
            <w:gridSpan w:val="2"/>
            <w:vAlign w:val="top"/>
          </w:tcPr>
          <w:p w14:paraId="431ED933">
            <w:pPr>
              <w:pStyle w:val="15"/>
              <w:spacing w:before="35" w:line="295" w:lineRule="auto"/>
              <w:ind w:left="148" w:right="137" w:firstLine="1"/>
              <w:rPr>
                <w:color w:val="auto"/>
                <w:highlight w:val="none"/>
              </w:rPr>
            </w:pPr>
            <w:r>
              <w:rPr>
                <w:color w:val="auto"/>
                <w:spacing w:val="7"/>
                <w:highlight w:val="none"/>
              </w:rPr>
              <w:t>安全生产考</w:t>
            </w:r>
            <w:r>
              <w:rPr>
                <w:color w:val="auto"/>
                <w:highlight w:val="none"/>
              </w:rPr>
              <w:t xml:space="preserve"> </w:t>
            </w:r>
            <w:r>
              <w:rPr>
                <w:color w:val="auto"/>
                <w:spacing w:val="7"/>
                <w:highlight w:val="none"/>
              </w:rPr>
              <w:t>核合格证书</w:t>
            </w:r>
          </w:p>
        </w:tc>
        <w:tc>
          <w:tcPr>
            <w:tcW w:w="1325" w:type="dxa"/>
            <w:gridSpan w:val="2"/>
            <w:vAlign w:val="top"/>
          </w:tcPr>
          <w:p w14:paraId="7D1FD277">
            <w:pPr>
              <w:rPr>
                <w:rFonts w:ascii="Arial"/>
                <w:color w:val="auto"/>
                <w:sz w:val="21"/>
                <w:highlight w:val="none"/>
              </w:rPr>
            </w:pPr>
          </w:p>
        </w:tc>
        <w:tc>
          <w:tcPr>
            <w:tcW w:w="1326" w:type="dxa"/>
            <w:gridSpan w:val="3"/>
            <w:vAlign w:val="top"/>
          </w:tcPr>
          <w:p w14:paraId="248E2891">
            <w:pPr>
              <w:pStyle w:val="15"/>
              <w:spacing w:before="205" w:line="228" w:lineRule="auto"/>
              <w:ind w:left="460"/>
              <w:rPr>
                <w:color w:val="auto"/>
                <w:highlight w:val="none"/>
              </w:rPr>
            </w:pPr>
            <w:r>
              <w:rPr>
                <w:rFonts w:ascii="Times New Roman" w:hAnsi="Times New Roman" w:eastAsia="Times New Roman" w:cs="Times New Roman"/>
                <w:color w:val="auto"/>
                <w:spacing w:val="1"/>
                <w:highlight w:val="none"/>
              </w:rPr>
              <w:t>B</w:t>
            </w:r>
            <w:r>
              <w:rPr>
                <w:rFonts w:ascii="Times New Roman" w:hAnsi="Times New Roman" w:eastAsia="Times New Roman" w:cs="Times New Roman"/>
                <w:color w:val="auto"/>
                <w:spacing w:val="11"/>
                <w:highlight w:val="none"/>
              </w:rPr>
              <w:t xml:space="preserve"> </w:t>
            </w:r>
            <w:r>
              <w:rPr>
                <w:color w:val="auto"/>
                <w:spacing w:val="1"/>
                <w:highlight w:val="none"/>
              </w:rPr>
              <w:t>类</w:t>
            </w:r>
          </w:p>
        </w:tc>
        <w:tc>
          <w:tcPr>
            <w:tcW w:w="1349" w:type="dxa"/>
            <w:gridSpan w:val="2"/>
            <w:vAlign w:val="top"/>
          </w:tcPr>
          <w:p w14:paraId="10E6AF42">
            <w:pPr>
              <w:rPr>
                <w:rFonts w:ascii="Arial"/>
                <w:color w:val="auto"/>
                <w:sz w:val="21"/>
                <w:highlight w:val="none"/>
              </w:rPr>
            </w:pPr>
          </w:p>
        </w:tc>
        <w:tc>
          <w:tcPr>
            <w:tcW w:w="1301" w:type="dxa"/>
            <w:gridSpan w:val="2"/>
            <w:vAlign w:val="top"/>
          </w:tcPr>
          <w:p w14:paraId="427DCCE0">
            <w:pPr>
              <w:rPr>
                <w:rFonts w:ascii="Arial"/>
                <w:color w:val="auto"/>
                <w:sz w:val="21"/>
                <w:highlight w:val="none"/>
              </w:rPr>
            </w:pPr>
          </w:p>
        </w:tc>
        <w:tc>
          <w:tcPr>
            <w:tcW w:w="1378" w:type="dxa"/>
            <w:gridSpan w:val="3"/>
            <w:vAlign w:val="top"/>
          </w:tcPr>
          <w:p w14:paraId="4140DE95">
            <w:pPr>
              <w:rPr>
                <w:rFonts w:ascii="Arial"/>
                <w:color w:val="auto"/>
                <w:sz w:val="21"/>
                <w:highlight w:val="none"/>
              </w:rPr>
            </w:pPr>
          </w:p>
        </w:tc>
        <w:tc>
          <w:tcPr>
            <w:tcW w:w="1280" w:type="dxa"/>
            <w:vAlign w:val="top"/>
          </w:tcPr>
          <w:p w14:paraId="0F2B3246">
            <w:pPr>
              <w:rPr>
                <w:rFonts w:ascii="Arial"/>
                <w:color w:val="auto"/>
                <w:sz w:val="21"/>
                <w:highlight w:val="none"/>
              </w:rPr>
            </w:pPr>
          </w:p>
        </w:tc>
      </w:tr>
      <w:tr w14:paraId="0F4F7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89" w:type="dxa"/>
            <w:gridSpan w:val="15"/>
            <w:vAlign w:val="top"/>
          </w:tcPr>
          <w:p w14:paraId="011CB6AD">
            <w:pPr>
              <w:pStyle w:val="15"/>
              <w:spacing w:before="175" w:line="228" w:lineRule="auto"/>
              <w:ind w:left="3493"/>
              <w:rPr>
                <w:color w:val="auto"/>
                <w:highlight w:val="none"/>
              </w:rPr>
            </w:pPr>
            <w:r>
              <w:rPr>
                <w:color w:val="auto"/>
                <w:spacing w:val="9"/>
                <w:highlight w:val="none"/>
              </w:rPr>
              <w:t>在建和已完工程项目情况</w:t>
            </w:r>
          </w:p>
        </w:tc>
      </w:tr>
      <w:tr w14:paraId="24861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551" w:type="dxa"/>
            <w:gridSpan w:val="3"/>
            <w:vAlign w:val="top"/>
          </w:tcPr>
          <w:p w14:paraId="7AA79079">
            <w:pPr>
              <w:pStyle w:val="15"/>
              <w:spacing w:before="165" w:line="228" w:lineRule="auto"/>
              <w:ind w:left="362"/>
              <w:rPr>
                <w:color w:val="auto"/>
                <w:highlight w:val="none"/>
              </w:rPr>
            </w:pPr>
            <w:r>
              <w:rPr>
                <w:color w:val="auto"/>
                <w:spacing w:val="6"/>
                <w:highlight w:val="none"/>
              </w:rPr>
              <w:t>建设单位</w:t>
            </w:r>
          </w:p>
        </w:tc>
        <w:tc>
          <w:tcPr>
            <w:tcW w:w="1547" w:type="dxa"/>
            <w:gridSpan w:val="2"/>
            <w:vAlign w:val="top"/>
          </w:tcPr>
          <w:p w14:paraId="36F3FC22">
            <w:pPr>
              <w:pStyle w:val="15"/>
              <w:spacing w:before="165" w:line="228" w:lineRule="auto"/>
              <w:ind w:left="360"/>
              <w:rPr>
                <w:color w:val="auto"/>
                <w:highlight w:val="none"/>
              </w:rPr>
            </w:pPr>
            <w:r>
              <w:rPr>
                <w:color w:val="auto"/>
                <w:spacing w:val="6"/>
                <w:highlight w:val="none"/>
              </w:rPr>
              <w:t>项目名称</w:t>
            </w:r>
          </w:p>
        </w:tc>
        <w:tc>
          <w:tcPr>
            <w:tcW w:w="1547" w:type="dxa"/>
            <w:gridSpan w:val="3"/>
            <w:vAlign w:val="top"/>
          </w:tcPr>
          <w:p w14:paraId="5BD96C80">
            <w:pPr>
              <w:pStyle w:val="15"/>
              <w:spacing w:before="164" w:line="228" w:lineRule="auto"/>
              <w:ind w:left="360"/>
              <w:rPr>
                <w:color w:val="auto"/>
                <w:highlight w:val="none"/>
              </w:rPr>
            </w:pPr>
            <w:r>
              <w:rPr>
                <w:color w:val="auto"/>
                <w:spacing w:val="6"/>
                <w:highlight w:val="none"/>
              </w:rPr>
              <w:t>建设规模</w:t>
            </w:r>
          </w:p>
        </w:tc>
        <w:tc>
          <w:tcPr>
            <w:tcW w:w="1546" w:type="dxa"/>
            <w:gridSpan w:val="2"/>
            <w:vAlign w:val="top"/>
          </w:tcPr>
          <w:p w14:paraId="42401BEA">
            <w:pPr>
              <w:pStyle w:val="15"/>
              <w:spacing w:before="164" w:line="228" w:lineRule="auto"/>
              <w:ind w:left="148"/>
              <w:rPr>
                <w:color w:val="auto"/>
                <w:highlight w:val="none"/>
              </w:rPr>
            </w:pPr>
            <w:r>
              <w:rPr>
                <w:color w:val="auto"/>
                <w:spacing w:val="8"/>
                <w:highlight w:val="none"/>
              </w:rPr>
              <w:t>开、竣工日期</w:t>
            </w:r>
          </w:p>
        </w:tc>
        <w:tc>
          <w:tcPr>
            <w:tcW w:w="1546" w:type="dxa"/>
            <w:gridSpan w:val="3"/>
            <w:vAlign w:val="top"/>
          </w:tcPr>
          <w:p w14:paraId="65FEA43D">
            <w:pPr>
              <w:pStyle w:val="15"/>
              <w:spacing w:before="164" w:line="228" w:lineRule="auto"/>
              <w:ind w:left="254"/>
              <w:rPr>
                <w:color w:val="auto"/>
                <w:highlight w:val="none"/>
              </w:rPr>
            </w:pPr>
            <w:r>
              <w:rPr>
                <w:color w:val="auto"/>
                <w:spacing w:val="8"/>
                <w:highlight w:val="none"/>
              </w:rPr>
              <w:t>在建或已完</w:t>
            </w:r>
          </w:p>
        </w:tc>
        <w:tc>
          <w:tcPr>
            <w:tcW w:w="1552" w:type="dxa"/>
            <w:gridSpan w:val="2"/>
            <w:vAlign w:val="top"/>
          </w:tcPr>
          <w:p w14:paraId="460C9226">
            <w:pPr>
              <w:pStyle w:val="15"/>
              <w:spacing w:before="165" w:line="228" w:lineRule="auto"/>
              <w:ind w:left="365"/>
              <w:rPr>
                <w:color w:val="auto"/>
                <w:highlight w:val="none"/>
              </w:rPr>
            </w:pPr>
            <w:r>
              <w:rPr>
                <w:color w:val="auto"/>
                <w:spacing w:val="6"/>
                <w:highlight w:val="none"/>
              </w:rPr>
              <w:t>工程质量</w:t>
            </w:r>
          </w:p>
        </w:tc>
      </w:tr>
      <w:tr w14:paraId="362D4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3"/>
            <w:vAlign w:val="top"/>
          </w:tcPr>
          <w:p w14:paraId="65F76BB3">
            <w:pPr>
              <w:rPr>
                <w:rFonts w:ascii="Arial"/>
                <w:color w:val="auto"/>
                <w:sz w:val="21"/>
                <w:highlight w:val="none"/>
              </w:rPr>
            </w:pPr>
          </w:p>
        </w:tc>
        <w:tc>
          <w:tcPr>
            <w:tcW w:w="1547" w:type="dxa"/>
            <w:gridSpan w:val="2"/>
            <w:vAlign w:val="top"/>
          </w:tcPr>
          <w:p w14:paraId="509BAA71">
            <w:pPr>
              <w:rPr>
                <w:rFonts w:ascii="Arial"/>
                <w:color w:val="auto"/>
                <w:sz w:val="21"/>
                <w:highlight w:val="none"/>
              </w:rPr>
            </w:pPr>
          </w:p>
        </w:tc>
        <w:tc>
          <w:tcPr>
            <w:tcW w:w="1547" w:type="dxa"/>
            <w:gridSpan w:val="3"/>
            <w:vAlign w:val="top"/>
          </w:tcPr>
          <w:p w14:paraId="0FF373CA">
            <w:pPr>
              <w:rPr>
                <w:rFonts w:ascii="Arial"/>
                <w:color w:val="auto"/>
                <w:sz w:val="21"/>
                <w:highlight w:val="none"/>
              </w:rPr>
            </w:pPr>
          </w:p>
        </w:tc>
        <w:tc>
          <w:tcPr>
            <w:tcW w:w="1546" w:type="dxa"/>
            <w:gridSpan w:val="2"/>
            <w:vAlign w:val="top"/>
          </w:tcPr>
          <w:p w14:paraId="6C822E34">
            <w:pPr>
              <w:rPr>
                <w:rFonts w:ascii="Arial"/>
                <w:color w:val="auto"/>
                <w:sz w:val="21"/>
                <w:highlight w:val="none"/>
              </w:rPr>
            </w:pPr>
          </w:p>
        </w:tc>
        <w:tc>
          <w:tcPr>
            <w:tcW w:w="1546" w:type="dxa"/>
            <w:gridSpan w:val="3"/>
            <w:vAlign w:val="top"/>
          </w:tcPr>
          <w:p w14:paraId="5673EB49">
            <w:pPr>
              <w:rPr>
                <w:rFonts w:ascii="Arial"/>
                <w:color w:val="auto"/>
                <w:sz w:val="21"/>
                <w:highlight w:val="none"/>
              </w:rPr>
            </w:pPr>
          </w:p>
        </w:tc>
        <w:tc>
          <w:tcPr>
            <w:tcW w:w="1552" w:type="dxa"/>
            <w:gridSpan w:val="2"/>
            <w:vAlign w:val="top"/>
          </w:tcPr>
          <w:p w14:paraId="13BC8647">
            <w:pPr>
              <w:rPr>
                <w:rFonts w:ascii="Arial"/>
                <w:color w:val="auto"/>
                <w:sz w:val="21"/>
                <w:highlight w:val="none"/>
              </w:rPr>
            </w:pPr>
          </w:p>
        </w:tc>
      </w:tr>
      <w:tr w14:paraId="7325A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3"/>
            <w:vAlign w:val="top"/>
          </w:tcPr>
          <w:p w14:paraId="5D79E03B">
            <w:pPr>
              <w:rPr>
                <w:rFonts w:ascii="Arial"/>
                <w:color w:val="auto"/>
                <w:sz w:val="21"/>
                <w:highlight w:val="none"/>
              </w:rPr>
            </w:pPr>
          </w:p>
        </w:tc>
        <w:tc>
          <w:tcPr>
            <w:tcW w:w="1547" w:type="dxa"/>
            <w:gridSpan w:val="2"/>
            <w:vAlign w:val="top"/>
          </w:tcPr>
          <w:p w14:paraId="6ADC96EC">
            <w:pPr>
              <w:rPr>
                <w:rFonts w:ascii="Arial"/>
                <w:color w:val="auto"/>
                <w:sz w:val="21"/>
                <w:highlight w:val="none"/>
              </w:rPr>
            </w:pPr>
          </w:p>
        </w:tc>
        <w:tc>
          <w:tcPr>
            <w:tcW w:w="1547" w:type="dxa"/>
            <w:gridSpan w:val="3"/>
            <w:vAlign w:val="top"/>
          </w:tcPr>
          <w:p w14:paraId="153E3076">
            <w:pPr>
              <w:rPr>
                <w:rFonts w:ascii="Arial"/>
                <w:color w:val="auto"/>
                <w:sz w:val="21"/>
                <w:highlight w:val="none"/>
              </w:rPr>
            </w:pPr>
          </w:p>
        </w:tc>
        <w:tc>
          <w:tcPr>
            <w:tcW w:w="1546" w:type="dxa"/>
            <w:gridSpan w:val="2"/>
            <w:vAlign w:val="top"/>
          </w:tcPr>
          <w:p w14:paraId="30A5FA95">
            <w:pPr>
              <w:rPr>
                <w:rFonts w:ascii="Arial"/>
                <w:color w:val="auto"/>
                <w:sz w:val="21"/>
                <w:highlight w:val="none"/>
              </w:rPr>
            </w:pPr>
          </w:p>
        </w:tc>
        <w:tc>
          <w:tcPr>
            <w:tcW w:w="1546" w:type="dxa"/>
            <w:gridSpan w:val="3"/>
            <w:vAlign w:val="top"/>
          </w:tcPr>
          <w:p w14:paraId="5841978B">
            <w:pPr>
              <w:rPr>
                <w:rFonts w:ascii="Arial"/>
                <w:color w:val="auto"/>
                <w:sz w:val="21"/>
                <w:highlight w:val="none"/>
              </w:rPr>
            </w:pPr>
          </w:p>
        </w:tc>
        <w:tc>
          <w:tcPr>
            <w:tcW w:w="1552" w:type="dxa"/>
            <w:gridSpan w:val="2"/>
            <w:vAlign w:val="top"/>
          </w:tcPr>
          <w:p w14:paraId="0EEF8DCB">
            <w:pPr>
              <w:rPr>
                <w:rFonts w:ascii="Arial"/>
                <w:color w:val="auto"/>
                <w:sz w:val="21"/>
                <w:highlight w:val="none"/>
              </w:rPr>
            </w:pPr>
          </w:p>
        </w:tc>
      </w:tr>
      <w:tr w14:paraId="77647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3"/>
            <w:vAlign w:val="top"/>
          </w:tcPr>
          <w:p w14:paraId="0E45F856">
            <w:pPr>
              <w:rPr>
                <w:rFonts w:ascii="Arial"/>
                <w:color w:val="auto"/>
                <w:sz w:val="21"/>
                <w:highlight w:val="none"/>
              </w:rPr>
            </w:pPr>
          </w:p>
        </w:tc>
        <w:tc>
          <w:tcPr>
            <w:tcW w:w="1547" w:type="dxa"/>
            <w:gridSpan w:val="2"/>
            <w:vAlign w:val="top"/>
          </w:tcPr>
          <w:p w14:paraId="5EB7B912">
            <w:pPr>
              <w:rPr>
                <w:rFonts w:ascii="Arial"/>
                <w:color w:val="auto"/>
                <w:sz w:val="21"/>
                <w:highlight w:val="none"/>
              </w:rPr>
            </w:pPr>
          </w:p>
        </w:tc>
        <w:tc>
          <w:tcPr>
            <w:tcW w:w="1547" w:type="dxa"/>
            <w:gridSpan w:val="3"/>
            <w:vAlign w:val="top"/>
          </w:tcPr>
          <w:p w14:paraId="672EC948">
            <w:pPr>
              <w:rPr>
                <w:rFonts w:ascii="Arial"/>
                <w:color w:val="auto"/>
                <w:sz w:val="21"/>
                <w:highlight w:val="none"/>
              </w:rPr>
            </w:pPr>
          </w:p>
        </w:tc>
        <w:tc>
          <w:tcPr>
            <w:tcW w:w="1546" w:type="dxa"/>
            <w:gridSpan w:val="2"/>
            <w:vAlign w:val="top"/>
          </w:tcPr>
          <w:p w14:paraId="015E981C">
            <w:pPr>
              <w:rPr>
                <w:rFonts w:ascii="Arial"/>
                <w:color w:val="auto"/>
                <w:sz w:val="21"/>
                <w:highlight w:val="none"/>
              </w:rPr>
            </w:pPr>
          </w:p>
        </w:tc>
        <w:tc>
          <w:tcPr>
            <w:tcW w:w="1546" w:type="dxa"/>
            <w:gridSpan w:val="3"/>
            <w:vAlign w:val="top"/>
          </w:tcPr>
          <w:p w14:paraId="5609B9AA">
            <w:pPr>
              <w:rPr>
                <w:rFonts w:ascii="Arial"/>
                <w:color w:val="auto"/>
                <w:sz w:val="21"/>
                <w:highlight w:val="none"/>
              </w:rPr>
            </w:pPr>
          </w:p>
        </w:tc>
        <w:tc>
          <w:tcPr>
            <w:tcW w:w="1552" w:type="dxa"/>
            <w:gridSpan w:val="2"/>
            <w:vAlign w:val="top"/>
          </w:tcPr>
          <w:p w14:paraId="257CF5AE">
            <w:pPr>
              <w:rPr>
                <w:rFonts w:ascii="Arial"/>
                <w:color w:val="auto"/>
                <w:sz w:val="21"/>
                <w:highlight w:val="none"/>
              </w:rPr>
            </w:pPr>
          </w:p>
        </w:tc>
      </w:tr>
      <w:tr w14:paraId="7DE63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551" w:type="dxa"/>
            <w:gridSpan w:val="3"/>
            <w:vAlign w:val="top"/>
          </w:tcPr>
          <w:p w14:paraId="2337741D">
            <w:pPr>
              <w:rPr>
                <w:rFonts w:ascii="Arial"/>
                <w:color w:val="auto"/>
                <w:sz w:val="21"/>
                <w:highlight w:val="none"/>
              </w:rPr>
            </w:pPr>
          </w:p>
        </w:tc>
        <w:tc>
          <w:tcPr>
            <w:tcW w:w="1547" w:type="dxa"/>
            <w:gridSpan w:val="2"/>
            <w:vAlign w:val="top"/>
          </w:tcPr>
          <w:p w14:paraId="0F81D7A0">
            <w:pPr>
              <w:rPr>
                <w:rFonts w:ascii="Arial"/>
                <w:color w:val="auto"/>
                <w:sz w:val="21"/>
                <w:highlight w:val="none"/>
              </w:rPr>
            </w:pPr>
          </w:p>
        </w:tc>
        <w:tc>
          <w:tcPr>
            <w:tcW w:w="1547" w:type="dxa"/>
            <w:gridSpan w:val="3"/>
            <w:vAlign w:val="top"/>
          </w:tcPr>
          <w:p w14:paraId="5819D8EF">
            <w:pPr>
              <w:rPr>
                <w:rFonts w:ascii="Arial"/>
                <w:color w:val="auto"/>
                <w:sz w:val="21"/>
                <w:highlight w:val="none"/>
              </w:rPr>
            </w:pPr>
          </w:p>
        </w:tc>
        <w:tc>
          <w:tcPr>
            <w:tcW w:w="1546" w:type="dxa"/>
            <w:gridSpan w:val="2"/>
            <w:vAlign w:val="top"/>
          </w:tcPr>
          <w:p w14:paraId="66F20491">
            <w:pPr>
              <w:rPr>
                <w:rFonts w:ascii="Arial"/>
                <w:color w:val="auto"/>
                <w:sz w:val="21"/>
                <w:highlight w:val="none"/>
              </w:rPr>
            </w:pPr>
          </w:p>
        </w:tc>
        <w:tc>
          <w:tcPr>
            <w:tcW w:w="1546" w:type="dxa"/>
            <w:gridSpan w:val="3"/>
            <w:vAlign w:val="top"/>
          </w:tcPr>
          <w:p w14:paraId="0E19278D">
            <w:pPr>
              <w:rPr>
                <w:rFonts w:ascii="Arial"/>
                <w:color w:val="auto"/>
                <w:sz w:val="21"/>
                <w:highlight w:val="none"/>
              </w:rPr>
            </w:pPr>
          </w:p>
        </w:tc>
        <w:tc>
          <w:tcPr>
            <w:tcW w:w="1552" w:type="dxa"/>
            <w:gridSpan w:val="2"/>
            <w:vAlign w:val="top"/>
          </w:tcPr>
          <w:p w14:paraId="41164DCD">
            <w:pPr>
              <w:rPr>
                <w:rFonts w:ascii="Arial"/>
                <w:color w:val="auto"/>
                <w:sz w:val="21"/>
                <w:highlight w:val="none"/>
              </w:rPr>
            </w:pPr>
          </w:p>
        </w:tc>
      </w:tr>
    </w:tbl>
    <w:p w14:paraId="123600AF">
      <w:pPr>
        <w:pStyle w:val="2"/>
        <w:spacing w:line="295" w:lineRule="auto"/>
        <w:rPr>
          <w:color w:val="auto"/>
          <w:highlight w:val="none"/>
        </w:rPr>
      </w:pPr>
    </w:p>
    <w:p w14:paraId="17EC2EF4">
      <w:pPr>
        <w:spacing w:before="78" w:line="219" w:lineRule="auto"/>
        <w:ind w:left="71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附：1、项目经理身份证复印件</w:t>
      </w:r>
    </w:p>
    <w:p w14:paraId="269E5022">
      <w:pPr>
        <w:spacing w:before="104" w:line="219" w:lineRule="auto"/>
        <w:ind w:left="118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2、注册证书复印件</w:t>
      </w:r>
    </w:p>
    <w:p w14:paraId="61CF2A03">
      <w:pPr>
        <w:spacing w:before="104" w:line="219" w:lineRule="auto"/>
        <w:ind w:left="1189"/>
        <w:rPr>
          <w:rFonts w:ascii="宋体" w:hAnsi="宋体" w:eastAsia="宋体" w:cs="宋体"/>
          <w:color w:val="auto"/>
          <w:sz w:val="24"/>
          <w:szCs w:val="24"/>
          <w:highlight w:val="none"/>
        </w:rPr>
      </w:pPr>
      <w:r>
        <w:rPr>
          <w:rFonts w:ascii="宋体" w:hAnsi="宋体" w:eastAsia="宋体" w:cs="宋体"/>
          <w:color w:val="auto"/>
          <w:sz w:val="20"/>
          <w:szCs w:val="20"/>
          <w:highlight w:val="none"/>
        </w:rPr>
        <w:t>3、</w:t>
      </w:r>
      <w:r>
        <w:rPr>
          <w:rFonts w:ascii="宋体" w:hAnsi="宋体" w:eastAsia="宋体" w:cs="宋体"/>
          <w:color w:val="auto"/>
          <w:sz w:val="24"/>
          <w:szCs w:val="24"/>
          <w:highlight w:val="none"/>
        </w:rPr>
        <w:t>职称证书复印件（如有）</w:t>
      </w:r>
    </w:p>
    <w:p w14:paraId="304EF1E7">
      <w:pPr>
        <w:spacing w:before="105" w:line="219" w:lineRule="auto"/>
        <w:ind w:left="1186"/>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4、社保缴纳证明（开标时间截止前近半年内连续三个月）</w:t>
      </w:r>
    </w:p>
    <w:p w14:paraId="5E4B0ABB">
      <w:pPr>
        <w:spacing w:line="219" w:lineRule="auto"/>
        <w:rPr>
          <w:rFonts w:ascii="宋体" w:hAnsi="宋体" w:eastAsia="宋体" w:cs="宋体"/>
          <w:color w:val="auto"/>
          <w:sz w:val="24"/>
          <w:szCs w:val="24"/>
          <w:highlight w:val="none"/>
        </w:rPr>
        <w:sectPr>
          <w:footerReference r:id="rId41" w:type="default"/>
          <w:pgSz w:w="11910" w:h="16840"/>
          <w:pgMar w:top="1359" w:right="1292" w:bottom="1019" w:left="1323" w:header="0" w:footer="857" w:gutter="0"/>
          <w:pgNumType w:fmt="decimal"/>
          <w:cols w:space="720" w:num="1"/>
        </w:sectPr>
      </w:pPr>
    </w:p>
    <w:p w14:paraId="73273194">
      <w:pPr>
        <w:spacing w:before="47" w:line="219" w:lineRule="auto"/>
        <w:ind w:left="3355"/>
        <w:rPr>
          <w:rFonts w:ascii="宋体" w:hAnsi="宋体" w:eastAsia="宋体" w:cs="宋体"/>
          <w:color w:val="auto"/>
          <w:sz w:val="24"/>
          <w:szCs w:val="24"/>
          <w:highlight w:val="none"/>
        </w:rPr>
      </w:pPr>
      <w:r>
        <w:rPr>
          <w:rFonts w:ascii="Times New Roman" w:hAnsi="Times New Roman" w:eastAsia="Times New Roman" w:cs="Times New Roman"/>
          <w:b/>
          <w:bCs/>
          <w:color w:val="auto"/>
          <w:spacing w:val="-2"/>
          <w:sz w:val="24"/>
          <w:szCs w:val="24"/>
          <w:highlight w:val="none"/>
        </w:rPr>
        <w:t>3.</w:t>
      </w:r>
      <w:r>
        <w:rPr>
          <w:rFonts w:ascii="宋体" w:hAnsi="宋体" w:eastAsia="宋体" w:cs="宋体"/>
          <w:b/>
          <w:bCs/>
          <w:color w:val="auto"/>
          <w:spacing w:val="-2"/>
          <w:sz w:val="24"/>
          <w:szCs w:val="24"/>
          <w:highlight w:val="none"/>
        </w:rPr>
        <w:t>项目技术负责人简历表</w:t>
      </w:r>
    </w:p>
    <w:p w14:paraId="347C6174">
      <w:pPr>
        <w:spacing w:line="69" w:lineRule="exact"/>
        <w:rPr>
          <w:color w:val="auto"/>
          <w:highlight w:val="none"/>
        </w:rPr>
      </w:pPr>
    </w:p>
    <w:tbl>
      <w:tblPr>
        <w:tblStyle w:val="14"/>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243"/>
        <w:gridCol w:w="221"/>
        <w:gridCol w:w="1104"/>
        <w:gridCol w:w="443"/>
        <w:gridCol w:w="328"/>
        <w:gridCol w:w="555"/>
        <w:gridCol w:w="664"/>
        <w:gridCol w:w="685"/>
        <w:gridCol w:w="861"/>
        <w:gridCol w:w="440"/>
        <w:gridCol w:w="271"/>
        <w:gridCol w:w="835"/>
        <w:gridCol w:w="272"/>
        <w:gridCol w:w="1280"/>
      </w:tblGrid>
      <w:tr w14:paraId="73D24D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7" w:type="dxa"/>
            <w:vAlign w:val="top"/>
          </w:tcPr>
          <w:p w14:paraId="4311F074">
            <w:pPr>
              <w:pStyle w:val="15"/>
              <w:spacing w:before="164" w:line="228" w:lineRule="auto"/>
              <w:ind w:left="338"/>
              <w:rPr>
                <w:color w:val="auto"/>
                <w:highlight w:val="none"/>
              </w:rPr>
            </w:pPr>
            <w:r>
              <w:rPr>
                <w:color w:val="auto"/>
                <w:spacing w:val="4"/>
                <w:highlight w:val="none"/>
              </w:rPr>
              <w:t>姓名</w:t>
            </w:r>
          </w:p>
        </w:tc>
        <w:tc>
          <w:tcPr>
            <w:tcW w:w="2339" w:type="dxa"/>
            <w:gridSpan w:val="5"/>
            <w:vAlign w:val="top"/>
          </w:tcPr>
          <w:p w14:paraId="228524EA">
            <w:pPr>
              <w:rPr>
                <w:rFonts w:ascii="Arial"/>
                <w:color w:val="auto"/>
                <w:sz w:val="21"/>
                <w:highlight w:val="none"/>
              </w:rPr>
            </w:pPr>
          </w:p>
        </w:tc>
        <w:tc>
          <w:tcPr>
            <w:tcW w:w="1904" w:type="dxa"/>
            <w:gridSpan w:val="3"/>
            <w:vAlign w:val="top"/>
          </w:tcPr>
          <w:p w14:paraId="743305B8">
            <w:pPr>
              <w:pStyle w:val="15"/>
              <w:spacing w:before="165" w:line="228" w:lineRule="auto"/>
              <w:ind w:left="750"/>
              <w:rPr>
                <w:color w:val="auto"/>
                <w:highlight w:val="none"/>
              </w:rPr>
            </w:pPr>
            <w:r>
              <w:rPr>
                <w:color w:val="auto"/>
                <w:spacing w:val="3"/>
                <w:highlight w:val="none"/>
              </w:rPr>
              <w:t>性别</w:t>
            </w:r>
          </w:p>
        </w:tc>
        <w:tc>
          <w:tcPr>
            <w:tcW w:w="1572" w:type="dxa"/>
            <w:gridSpan w:val="3"/>
            <w:vAlign w:val="top"/>
          </w:tcPr>
          <w:p w14:paraId="2F2624F0">
            <w:pPr>
              <w:rPr>
                <w:rFonts w:ascii="Arial"/>
                <w:color w:val="auto"/>
                <w:sz w:val="21"/>
                <w:highlight w:val="none"/>
              </w:rPr>
            </w:pPr>
          </w:p>
        </w:tc>
        <w:tc>
          <w:tcPr>
            <w:tcW w:w="1107" w:type="dxa"/>
            <w:gridSpan w:val="2"/>
            <w:vAlign w:val="top"/>
          </w:tcPr>
          <w:p w14:paraId="776A9605">
            <w:pPr>
              <w:pStyle w:val="15"/>
              <w:spacing w:before="164" w:line="228" w:lineRule="auto"/>
              <w:ind w:left="351"/>
              <w:rPr>
                <w:color w:val="auto"/>
                <w:highlight w:val="none"/>
              </w:rPr>
            </w:pPr>
            <w:r>
              <w:rPr>
                <w:color w:val="auto"/>
                <w:spacing w:val="4"/>
                <w:highlight w:val="none"/>
              </w:rPr>
              <w:t>年龄</w:t>
            </w:r>
          </w:p>
        </w:tc>
        <w:tc>
          <w:tcPr>
            <w:tcW w:w="1280" w:type="dxa"/>
            <w:vAlign w:val="top"/>
          </w:tcPr>
          <w:p w14:paraId="0C92548D">
            <w:pPr>
              <w:rPr>
                <w:rFonts w:ascii="Arial"/>
                <w:color w:val="auto"/>
                <w:sz w:val="21"/>
                <w:highlight w:val="none"/>
              </w:rPr>
            </w:pPr>
          </w:p>
        </w:tc>
      </w:tr>
      <w:tr w14:paraId="144C1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7" w:type="dxa"/>
            <w:vAlign w:val="top"/>
          </w:tcPr>
          <w:p w14:paraId="7A55B490">
            <w:pPr>
              <w:pStyle w:val="15"/>
              <w:spacing w:before="173" w:line="228" w:lineRule="auto"/>
              <w:ind w:left="361"/>
              <w:rPr>
                <w:color w:val="auto"/>
                <w:highlight w:val="none"/>
              </w:rPr>
            </w:pPr>
            <w:r>
              <w:rPr>
                <w:color w:val="auto"/>
                <w:spacing w:val="-7"/>
                <w:highlight w:val="none"/>
              </w:rPr>
              <w:t>岗位</w:t>
            </w:r>
          </w:p>
        </w:tc>
        <w:tc>
          <w:tcPr>
            <w:tcW w:w="2339" w:type="dxa"/>
            <w:gridSpan w:val="5"/>
            <w:vAlign w:val="top"/>
          </w:tcPr>
          <w:p w14:paraId="0DDD7833">
            <w:pPr>
              <w:pStyle w:val="15"/>
              <w:spacing w:before="172" w:line="228" w:lineRule="auto"/>
              <w:ind w:left="442"/>
              <w:rPr>
                <w:color w:val="auto"/>
                <w:highlight w:val="none"/>
              </w:rPr>
            </w:pPr>
            <w:r>
              <w:rPr>
                <w:color w:val="auto"/>
                <w:spacing w:val="8"/>
                <w:highlight w:val="none"/>
              </w:rPr>
              <w:t>项目技术负责人</w:t>
            </w:r>
          </w:p>
        </w:tc>
        <w:tc>
          <w:tcPr>
            <w:tcW w:w="1904" w:type="dxa"/>
            <w:gridSpan w:val="3"/>
            <w:vAlign w:val="top"/>
          </w:tcPr>
          <w:p w14:paraId="6DFA4AB4">
            <w:pPr>
              <w:pStyle w:val="15"/>
              <w:spacing w:before="172" w:line="230" w:lineRule="auto"/>
              <w:ind w:left="748"/>
              <w:rPr>
                <w:color w:val="auto"/>
                <w:highlight w:val="none"/>
              </w:rPr>
            </w:pPr>
            <w:r>
              <w:rPr>
                <w:color w:val="auto"/>
                <w:spacing w:val="4"/>
                <w:highlight w:val="none"/>
              </w:rPr>
              <w:t>职称</w:t>
            </w:r>
          </w:p>
        </w:tc>
        <w:tc>
          <w:tcPr>
            <w:tcW w:w="1572" w:type="dxa"/>
            <w:gridSpan w:val="3"/>
            <w:vAlign w:val="top"/>
          </w:tcPr>
          <w:p w14:paraId="5C2E9ED3">
            <w:pPr>
              <w:rPr>
                <w:rFonts w:ascii="Arial"/>
                <w:color w:val="auto"/>
                <w:sz w:val="21"/>
                <w:highlight w:val="none"/>
              </w:rPr>
            </w:pPr>
          </w:p>
        </w:tc>
        <w:tc>
          <w:tcPr>
            <w:tcW w:w="1107" w:type="dxa"/>
            <w:gridSpan w:val="2"/>
            <w:vAlign w:val="top"/>
          </w:tcPr>
          <w:p w14:paraId="68ED3B75">
            <w:pPr>
              <w:pStyle w:val="15"/>
              <w:spacing w:before="172" w:line="229" w:lineRule="auto"/>
              <w:ind w:left="354"/>
              <w:rPr>
                <w:color w:val="auto"/>
                <w:highlight w:val="none"/>
              </w:rPr>
            </w:pPr>
            <w:r>
              <w:rPr>
                <w:color w:val="auto"/>
                <w:spacing w:val="2"/>
                <w:highlight w:val="none"/>
              </w:rPr>
              <w:t>学历</w:t>
            </w:r>
          </w:p>
        </w:tc>
        <w:tc>
          <w:tcPr>
            <w:tcW w:w="1280" w:type="dxa"/>
            <w:vAlign w:val="top"/>
          </w:tcPr>
          <w:p w14:paraId="45A6626A">
            <w:pPr>
              <w:rPr>
                <w:rFonts w:ascii="Arial"/>
                <w:color w:val="auto"/>
                <w:sz w:val="21"/>
                <w:highlight w:val="none"/>
              </w:rPr>
            </w:pPr>
          </w:p>
        </w:tc>
      </w:tr>
      <w:tr w14:paraId="03642E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87" w:type="dxa"/>
            <w:vAlign w:val="top"/>
          </w:tcPr>
          <w:p w14:paraId="79F3B5B4">
            <w:pPr>
              <w:pStyle w:val="15"/>
              <w:spacing w:before="33" w:line="296" w:lineRule="auto"/>
              <w:ind w:left="348" w:right="122" w:hanging="216"/>
              <w:rPr>
                <w:color w:val="auto"/>
                <w:highlight w:val="none"/>
              </w:rPr>
            </w:pPr>
            <w:r>
              <w:rPr>
                <w:color w:val="auto"/>
                <w:spacing w:val="6"/>
                <w:highlight w:val="none"/>
              </w:rPr>
              <w:t>从业开始</w:t>
            </w:r>
            <w:r>
              <w:rPr>
                <w:color w:val="auto"/>
                <w:spacing w:val="2"/>
                <w:highlight w:val="none"/>
              </w:rPr>
              <w:t xml:space="preserve"> </w:t>
            </w:r>
            <w:r>
              <w:rPr>
                <w:color w:val="auto"/>
                <w:spacing w:val="-1"/>
                <w:highlight w:val="none"/>
              </w:rPr>
              <w:t>时间</w:t>
            </w:r>
          </w:p>
        </w:tc>
        <w:tc>
          <w:tcPr>
            <w:tcW w:w="2339" w:type="dxa"/>
            <w:gridSpan w:val="5"/>
            <w:vAlign w:val="top"/>
          </w:tcPr>
          <w:p w14:paraId="70AB2FAE">
            <w:pPr>
              <w:rPr>
                <w:rFonts w:ascii="Arial"/>
                <w:color w:val="auto"/>
                <w:sz w:val="21"/>
                <w:highlight w:val="none"/>
              </w:rPr>
            </w:pPr>
          </w:p>
        </w:tc>
        <w:tc>
          <w:tcPr>
            <w:tcW w:w="1904" w:type="dxa"/>
            <w:gridSpan w:val="3"/>
            <w:vAlign w:val="top"/>
          </w:tcPr>
          <w:p w14:paraId="171A638A">
            <w:pPr>
              <w:pStyle w:val="15"/>
              <w:spacing w:before="202" w:line="228" w:lineRule="auto"/>
              <w:ind w:left="328"/>
              <w:rPr>
                <w:color w:val="auto"/>
                <w:highlight w:val="none"/>
              </w:rPr>
            </w:pPr>
            <w:r>
              <w:rPr>
                <w:color w:val="auto"/>
                <w:spacing w:val="8"/>
                <w:highlight w:val="none"/>
              </w:rPr>
              <w:t>职称获得时间</w:t>
            </w:r>
          </w:p>
        </w:tc>
        <w:tc>
          <w:tcPr>
            <w:tcW w:w="1572" w:type="dxa"/>
            <w:gridSpan w:val="3"/>
            <w:vAlign w:val="top"/>
          </w:tcPr>
          <w:p w14:paraId="1D4E8C07">
            <w:pPr>
              <w:rPr>
                <w:rFonts w:ascii="Arial"/>
                <w:color w:val="auto"/>
                <w:sz w:val="21"/>
                <w:highlight w:val="none"/>
              </w:rPr>
            </w:pPr>
          </w:p>
        </w:tc>
        <w:tc>
          <w:tcPr>
            <w:tcW w:w="1107" w:type="dxa"/>
            <w:gridSpan w:val="2"/>
            <w:vAlign w:val="top"/>
          </w:tcPr>
          <w:p w14:paraId="0FD6520E">
            <w:pPr>
              <w:pStyle w:val="15"/>
              <w:spacing w:before="202" w:line="228" w:lineRule="auto"/>
              <w:ind w:left="146"/>
              <w:rPr>
                <w:color w:val="auto"/>
                <w:highlight w:val="none"/>
              </w:rPr>
            </w:pPr>
            <w:r>
              <w:rPr>
                <w:color w:val="auto"/>
                <w:spacing w:val="6"/>
                <w:highlight w:val="none"/>
              </w:rPr>
              <w:t>毕业时间</w:t>
            </w:r>
          </w:p>
        </w:tc>
        <w:tc>
          <w:tcPr>
            <w:tcW w:w="1280" w:type="dxa"/>
            <w:vAlign w:val="top"/>
          </w:tcPr>
          <w:p w14:paraId="3AC514F0">
            <w:pPr>
              <w:rPr>
                <w:rFonts w:ascii="Arial"/>
                <w:color w:val="auto"/>
                <w:sz w:val="21"/>
                <w:highlight w:val="none"/>
              </w:rPr>
            </w:pPr>
          </w:p>
        </w:tc>
      </w:tr>
      <w:tr w14:paraId="63643D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trPr>
        <w:tc>
          <w:tcPr>
            <w:tcW w:w="1087" w:type="dxa"/>
            <w:vAlign w:val="top"/>
          </w:tcPr>
          <w:p w14:paraId="2E2140A9">
            <w:pPr>
              <w:pStyle w:val="15"/>
              <w:spacing w:before="33" w:line="302" w:lineRule="auto"/>
              <w:ind w:left="130" w:right="122"/>
              <w:jc w:val="both"/>
              <w:rPr>
                <w:color w:val="auto"/>
                <w:highlight w:val="none"/>
              </w:rPr>
            </w:pPr>
            <w:r>
              <w:rPr>
                <w:color w:val="auto"/>
                <w:spacing w:val="7"/>
                <w:highlight w:val="none"/>
              </w:rPr>
              <w:t>担任项目</w:t>
            </w:r>
            <w:r>
              <w:rPr>
                <w:color w:val="auto"/>
                <w:highlight w:val="none"/>
              </w:rPr>
              <w:t xml:space="preserve"> </w:t>
            </w:r>
            <w:r>
              <w:rPr>
                <w:color w:val="auto"/>
                <w:spacing w:val="7"/>
                <w:highlight w:val="none"/>
              </w:rPr>
              <w:t>技术负责</w:t>
            </w:r>
            <w:r>
              <w:rPr>
                <w:color w:val="auto"/>
                <w:highlight w:val="none"/>
              </w:rPr>
              <w:t xml:space="preserve"> </w:t>
            </w:r>
            <w:r>
              <w:rPr>
                <w:color w:val="auto"/>
                <w:spacing w:val="41"/>
                <w:highlight w:val="none"/>
              </w:rPr>
              <w:t>人年限</w:t>
            </w:r>
          </w:p>
        </w:tc>
        <w:tc>
          <w:tcPr>
            <w:tcW w:w="2339" w:type="dxa"/>
            <w:gridSpan w:val="5"/>
            <w:vAlign w:val="top"/>
          </w:tcPr>
          <w:p w14:paraId="19D2FD4C">
            <w:pPr>
              <w:rPr>
                <w:rFonts w:ascii="Arial"/>
                <w:color w:val="auto"/>
                <w:sz w:val="21"/>
                <w:highlight w:val="none"/>
              </w:rPr>
            </w:pPr>
          </w:p>
        </w:tc>
        <w:tc>
          <w:tcPr>
            <w:tcW w:w="1904" w:type="dxa"/>
            <w:gridSpan w:val="3"/>
            <w:vAlign w:val="top"/>
          </w:tcPr>
          <w:p w14:paraId="45607D3B">
            <w:pPr>
              <w:spacing w:line="304" w:lineRule="auto"/>
              <w:rPr>
                <w:rFonts w:ascii="Arial"/>
                <w:color w:val="auto"/>
                <w:sz w:val="21"/>
                <w:highlight w:val="none"/>
              </w:rPr>
            </w:pPr>
          </w:p>
          <w:p w14:paraId="024C9F2B">
            <w:pPr>
              <w:pStyle w:val="15"/>
              <w:spacing w:before="65" w:line="228" w:lineRule="auto"/>
              <w:ind w:left="436"/>
              <w:rPr>
                <w:color w:val="auto"/>
                <w:highlight w:val="none"/>
              </w:rPr>
            </w:pPr>
            <w:r>
              <w:rPr>
                <w:color w:val="auto"/>
                <w:spacing w:val="7"/>
                <w:highlight w:val="none"/>
              </w:rPr>
              <w:t>身份证号码</w:t>
            </w:r>
          </w:p>
        </w:tc>
        <w:tc>
          <w:tcPr>
            <w:tcW w:w="1572" w:type="dxa"/>
            <w:gridSpan w:val="3"/>
            <w:vAlign w:val="top"/>
          </w:tcPr>
          <w:p w14:paraId="698E148E">
            <w:pPr>
              <w:rPr>
                <w:rFonts w:ascii="Arial"/>
                <w:color w:val="auto"/>
                <w:sz w:val="21"/>
                <w:highlight w:val="none"/>
              </w:rPr>
            </w:pPr>
          </w:p>
        </w:tc>
        <w:tc>
          <w:tcPr>
            <w:tcW w:w="1107" w:type="dxa"/>
            <w:gridSpan w:val="2"/>
            <w:vAlign w:val="top"/>
          </w:tcPr>
          <w:p w14:paraId="47EA1A71">
            <w:pPr>
              <w:pStyle w:val="15"/>
              <w:spacing w:before="33" w:line="227" w:lineRule="auto"/>
              <w:ind w:left="143"/>
              <w:rPr>
                <w:color w:val="auto"/>
                <w:highlight w:val="none"/>
              </w:rPr>
            </w:pPr>
            <w:r>
              <w:rPr>
                <w:color w:val="auto"/>
                <w:spacing w:val="6"/>
                <w:highlight w:val="none"/>
              </w:rPr>
              <w:t>社保所附</w:t>
            </w:r>
          </w:p>
          <w:p w14:paraId="72B48940">
            <w:pPr>
              <w:pStyle w:val="15"/>
              <w:spacing w:before="92" w:line="227" w:lineRule="auto"/>
              <w:ind w:left="141"/>
              <w:rPr>
                <w:color w:val="auto"/>
                <w:highlight w:val="none"/>
              </w:rPr>
            </w:pPr>
            <w:r>
              <w:rPr>
                <w:color w:val="auto"/>
                <w:spacing w:val="7"/>
                <w:highlight w:val="none"/>
              </w:rPr>
              <w:t>证明材料</w:t>
            </w:r>
          </w:p>
          <w:p w14:paraId="3AE090B6">
            <w:pPr>
              <w:pStyle w:val="15"/>
              <w:spacing w:before="95" w:line="228" w:lineRule="auto"/>
              <w:ind w:left="249"/>
              <w:rPr>
                <w:color w:val="auto"/>
                <w:highlight w:val="none"/>
              </w:rPr>
            </w:pPr>
            <w:r>
              <w:rPr>
                <w:color w:val="auto"/>
                <w:spacing w:val="5"/>
                <w:highlight w:val="none"/>
              </w:rPr>
              <w:t>索引号</w:t>
            </w:r>
          </w:p>
        </w:tc>
        <w:tc>
          <w:tcPr>
            <w:tcW w:w="1280" w:type="dxa"/>
            <w:vAlign w:val="top"/>
          </w:tcPr>
          <w:p w14:paraId="57641EAB">
            <w:pPr>
              <w:rPr>
                <w:rFonts w:ascii="Arial"/>
                <w:color w:val="auto"/>
                <w:sz w:val="21"/>
                <w:highlight w:val="none"/>
              </w:rPr>
            </w:pPr>
          </w:p>
        </w:tc>
      </w:tr>
      <w:tr w14:paraId="61C68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30" w:type="dxa"/>
            <w:gridSpan w:val="2"/>
            <w:vAlign w:val="top"/>
          </w:tcPr>
          <w:p w14:paraId="3F9108BA">
            <w:pPr>
              <w:pStyle w:val="15"/>
              <w:spacing w:before="165" w:line="227" w:lineRule="auto"/>
              <w:ind w:left="251"/>
              <w:rPr>
                <w:color w:val="auto"/>
                <w:highlight w:val="none"/>
              </w:rPr>
            </w:pPr>
            <w:r>
              <w:rPr>
                <w:color w:val="auto"/>
                <w:spacing w:val="7"/>
                <w:highlight w:val="none"/>
              </w:rPr>
              <w:t>证书名称</w:t>
            </w:r>
          </w:p>
        </w:tc>
        <w:tc>
          <w:tcPr>
            <w:tcW w:w="1325" w:type="dxa"/>
            <w:gridSpan w:val="2"/>
            <w:vAlign w:val="top"/>
          </w:tcPr>
          <w:p w14:paraId="430F4628">
            <w:pPr>
              <w:pStyle w:val="15"/>
              <w:spacing w:before="165" w:line="228" w:lineRule="auto"/>
              <w:ind w:left="246"/>
              <w:rPr>
                <w:color w:val="auto"/>
                <w:highlight w:val="none"/>
              </w:rPr>
            </w:pPr>
            <w:r>
              <w:rPr>
                <w:color w:val="auto"/>
                <w:spacing w:val="7"/>
                <w:highlight w:val="none"/>
              </w:rPr>
              <w:t>注册专业</w:t>
            </w:r>
          </w:p>
        </w:tc>
        <w:tc>
          <w:tcPr>
            <w:tcW w:w="1326" w:type="dxa"/>
            <w:gridSpan w:val="3"/>
            <w:vAlign w:val="top"/>
          </w:tcPr>
          <w:p w14:paraId="51E6C36D">
            <w:pPr>
              <w:pStyle w:val="15"/>
              <w:spacing w:before="165" w:line="228" w:lineRule="auto"/>
              <w:ind w:left="461"/>
              <w:rPr>
                <w:color w:val="auto"/>
                <w:highlight w:val="none"/>
              </w:rPr>
            </w:pPr>
            <w:r>
              <w:rPr>
                <w:color w:val="auto"/>
                <w:spacing w:val="3"/>
                <w:highlight w:val="none"/>
              </w:rPr>
              <w:t>级别</w:t>
            </w:r>
          </w:p>
        </w:tc>
        <w:tc>
          <w:tcPr>
            <w:tcW w:w="1349" w:type="dxa"/>
            <w:gridSpan w:val="2"/>
            <w:vAlign w:val="top"/>
          </w:tcPr>
          <w:p w14:paraId="14B69416">
            <w:pPr>
              <w:pStyle w:val="15"/>
              <w:spacing w:before="165" w:line="227" w:lineRule="auto"/>
              <w:ind w:left="259"/>
              <w:rPr>
                <w:color w:val="auto"/>
                <w:highlight w:val="none"/>
              </w:rPr>
            </w:pPr>
            <w:r>
              <w:rPr>
                <w:color w:val="auto"/>
                <w:spacing w:val="7"/>
                <w:highlight w:val="none"/>
              </w:rPr>
              <w:t>证书编号</w:t>
            </w:r>
          </w:p>
        </w:tc>
        <w:tc>
          <w:tcPr>
            <w:tcW w:w="1301" w:type="dxa"/>
            <w:gridSpan w:val="2"/>
            <w:vAlign w:val="top"/>
          </w:tcPr>
          <w:p w14:paraId="085AEC2B">
            <w:pPr>
              <w:pStyle w:val="15"/>
              <w:spacing w:before="165" w:line="229" w:lineRule="auto"/>
              <w:ind w:left="237"/>
              <w:rPr>
                <w:color w:val="auto"/>
                <w:highlight w:val="none"/>
              </w:rPr>
            </w:pPr>
            <w:r>
              <w:rPr>
                <w:color w:val="auto"/>
                <w:spacing w:val="7"/>
                <w:highlight w:val="none"/>
              </w:rPr>
              <w:t>注册时间</w:t>
            </w:r>
          </w:p>
        </w:tc>
        <w:tc>
          <w:tcPr>
            <w:tcW w:w="1378" w:type="dxa"/>
            <w:gridSpan w:val="3"/>
            <w:vAlign w:val="top"/>
          </w:tcPr>
          <w:p w14:paraId="1228DD9D">
            <w:pPr>
              <w:pStyle w:val="15"/>
              <w:spacing w:before="165" w:line="228" w:lineRule="auto"/>
              <w:ind w:left="276"/>
              <w:rPr>
                <w:color w:val="auto"/>
                <w:highlight w:val="none"/>
              </w:rPr>
            </w:pPr>
            <w:r>
              <w:rPr>
                <w:color w:val="auto"/>
                <w:spacing w:val="7"/>
                <w:highlight w:val="none"/>
              </w:rPr>
              <w:t>注册单位</w:t>
            </w:r>
          </w:p>
        </w:tc>
        <w:tc>
          <w:tcPr>
            <w:tcW w:w="1280" w:type="dxa"/>
            <w:vAlign w:val="top"/>
          </w:tcPr>
          <w:p w14:paraId="65E38409">
            <w:pPr>
              <w:pStyle w:val="15"/>
              <w:spacing w:before="165" w:line="228" w:lineRule="auto"/>
              <w:ind w:left="119"/>
              <w:rPr>
                <w:color w:val="auto"/>
                <w:highlight w:val="none"/>
              </w:rPr>
            </w:pPr>
            <w:r>
              <w:rPr>
                <w:color w:val="auto"/>
                <w:spacing w:val="8"/>
                <w:highlight w:val="none"/>
              </w:rPr>
              <w:t>注册有效期</w:t>
            </w:r>
          </w:p>
        </w:tc>
      </w:tr>
      <w:tr w14:paraId="282CE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30" w:type="dxa"/>
            <w:gridSpan w:val="2"/>
            <w:vAlign w:val="top"/>
          </w:tcPr>
          <w:p w14:paraId="6138F06B">
            <w:pPr>
              <w:rPr>
                <w:rFonts w:ascii="Arial"/>
                <w:color w:val="auto"/>
                <w:sz w:val="21"/>
                <w:highlight w:val="none"/>
              </w:rPr>
            </w:pPr>
          </w:p>
        </w:tc>
        <w:tc>
          <w:tcPr>
            <w:tcW w:w="1325" w:type="dxa"/>
            <w:gridSpan w:val="2"/>
            <w:vAlign w:val="top"/>
          </w:tcPr>
          <w:p w14:paraId="1BBC1549">
            <w:pPr>
              <w:rPr>
                <w:rFonts w:ascii="Arial"/>
                <w:color w:val="auto"/>
                <w:sz w:val="21"/>
                <w:highlight w:val="none"/>
              </w:rPr>
            </w:pPr>
          </w:p>
        </w:tc>
        <w:tc>
          <w:tcPr>
            <w:tcW w:w="1326" w:type="dxa"/>
            <w:gridSpan w:val="3"/>
            <w:vAlign w:val="top"/>
          </w:tcPr>
          <w:p w14:paraId="78116ACC">
            <w:pPr>
              <w:rPr>
                <w:rFonts w:ascii="Arial"/>
                <w:color w:val="auto"/>
                <w:sz w:val="21"/>
                <w:highlight w:val="none"/>
              </w:rPr>
            </w:pPr>
          </w:p>
        </w:tc>
        <w:tc>
          <w:tcPr>
            <w:tcW w:w="1349" w:type="dxa"/>
            <w:gridSpan w:val="2"/>
            <w:vAlign w:val="top"/>
          </w:tcPr>
          <w:p w14:paraId="551C182D">
            <w:pPr>
              <w:rPr>
                <w:rFonts w:ascii="Arial"/>
                <w:color w:val="auto"/>
                <w:sz w:val="21"/>
                <w:highlight w:val="none"/>
              </w:rPr>
            </w:pPr>
          </w:p>
        </w:tc>
        <w:tc>
          <w:tcPr>
            <w:tcW w:w="1301" w:type="dxa"/>
            <w:gridSpan w:val="2"/>
            <w:vAlign w:val="top"/>
          </w:tcPr>
          <w:p w14:paraId="4A09F755">
            <w:pPr>
              <w:rPr>
                <w:rFonts w:ascii="Arial"/>
                <w:color w:val="auto"/>
                <w:sz w:val="21"/>
                <w:highlight w:val="none"/>
              </w:rPr>
            </w:pPr>
          </w:p>
        </w:tc>
        <w:tc>
          <w:tcPr>
            <w:tcW w:w="1378" w:type="dxa"/>
            <w:gridSpan w:val="3"/>
            <w:vAlign w:val="top"/>
          </w:tcPr>
          <w:p w14:paraId="3918B26F">
            <w:pPr>
              <w:rPr>
                <w:rFonts w:ascii="Arial"/>
                <w:color w:val="auto"/>
                <w:sz w:val="21"/>
                <w:highlight w:val="none"/>
              </w:rPr>
            </w:pPr>
          </w:p>
        </w:tc>
        <w:tc>
          <w:tcPr>
            <w:tcW w:w="1280" w:type="dxa"/>
            <w:vAlign w:val="top"/>
          </w:tcPr>
          <w:p w14:paraId="604CA8A4">
            <w:pPr>
              <w:rPr>
                <w:rFonts w:ascii="Arial"/>
                <w:color w:val="auto"/>
                <w:sz w:val="21"/>
                <w:highlight w:val="none"/>
              </w:rPr>
            </w:pPr>
          </w:p>
        </w:tc>
      </w:tr>
      <w:tr w14:paraId="1B77E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289" w:type="dxa"/>
            <w:gridSpan w:val="15"/>
            <w:vAlign w:val="top"/>
          </w:tcPr>
          <w:p w14:paraId="12B754FB">
            <w:pPr>
              <w:pStyle w:val="15"/>
              <w:spacing w:before="173" w:line="228" w:lineRule="auto"/>
              <w:ind w:left="3493"/>
              <w:rPr>
                <w:color w:val="auto"/>
                <w:highlight w:val="none"/>
              </w:rPr>
            </w:pPr>
            <w:r>
              <w:rPr>
                <w:color w:val="auto"/>
                <w:spacing w:val="9"/>
                <w:highlight w:val="none"/>
              </w:rPr>
              <w:t>在建和已完工程项目情况</w:t>
            </w:r>
          </w:p>
        </w:tc>
      </w:tr>
      <w:tr w14:paraId="165EC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551" w:type="dxa"/>
            <w:gridSpan w:val="3"/>
            <w:vAlign w:val="top"/>
          </w:tcPr>
          <w:p w14:paraId="7F3AEB88">
            <w:pPr>
              <w:pStyle w:val="15"/>
              <w:spacing w:before="164" w:line="228" w:lineRule="auto"/>
              <w:ind w:left="362"/>
              <w:rPr>
                <w:color w:val="auto"/>
                <w:highlight w:val="none"/>
              </w:rPr>
            </w:pPr>
            <w:r>
              <w:rPr>
                <w:color w:val="auto"/>
                <w:spacing w:val="6"/>
                <w:highlight w:val="none"/>
              </w:rPr>
              <w:t>建设单位</w:t>
            </w:r>
          </w:p>
        </w:tc>
        <w:tc>
          <w:tcPr>
            <w:tcW w:w="1547" w:type="dxa"/>
            <w:gridSpan w:val="2"/>
            <w:vAlign w:val="top"/>
          </w:tcPr>
          <w:p w14:paraId="170E78B6">
            <w:pPr>
              <w:pStyle w:val="15"/>
              <w:spacing w:before="164" w:line="228" w:lineRule="auto"/>
              <w:ind w:left="360"/>
              <w:rPr>
                <w:color w:val="auto"/>
                <w:highlight w:val="none"/>
              </w:rPr>
            </w:pPr>
            <w:r>
              <w:rPr>
                <w:color w:val="auto"/>
                <w:spacing w:val="6"/>
                <w:highlight w:val="none"/>
              </w:rPr>
              <w:t>项目名称</w:t>
            </w:r>
          </w:p>
        </w:tc>
        <w:tc>
          <w:tcPr>
            <w:tcW w:w="1547" w:type="dxa"/>
            <w:gridSpan w:val="3"/>
            <w:vAlign w:val="top"/>
          </w:tcPr>
          <w:p w14:paraId="65995495">
            <w:pPr>
              <w:pStyle w:val="15"/>
              <w:spacing w:before="164" w:line="228" w:lineRule="auto"/>
              <w:ind w:left="360"/>
              <w:rPr>
                <w:color w:val="auto"/>
                <w:highlight w:val="none"/>
              </w:rPr>
            </w:pPr>
            <w:r>
              <w:rPr>
                <w:color w:val="auto"/>
                <w:spacing w:val="6"/>
                <w:highlight w:val="none"/>
              </w:rPr>
              <w:t>建设规模</w:t>
            </w:r>
          </w:p>
        </w:tc>
        <w:tc>
          <w:tcPr>
            <w:tcW w:w="1546" w:type="dxa"/>
            <w:gridSpan w:val="2"/>
            <w:vAlign w:val="top"/>
          </w:tcPr>
          <w:p w14:paraId="5AD60E22">
            <w:pPr>
              <w:pStyle w:val="15"/>
              <w:spacing w:before="164" w:line="228" w:lineRule="auto"/>
              <w:ind w:left="148"/>
              <w:rPr>
                <w:color w:val="auto"/>
                <w:highlight w:val="none"/>
              </w:rPr>
            </w:pPr>
            <w:r>
              <w:rPr>
                <w:color w:val="auto"/>
                <w:spacing w:val="8"/>
                <w:highlight w:val="none"/>
              </w:rPr>
              <w:t>开、竣工日期</w:t>
            </w:r>
          </w:p>
        </w:tc>
        <w:tc>
          <w:tcPr>
            <w:tcW w:w="1546" w:type="dxa"/>
            <w:gridSpan w:val="3"/>
            <w:vAlign w:val="top"/>
          </w:tcPr>
          <w:p w14:paraId="2C70BE86">
            <w:pPr>
              <w:pStyle w:val="15"/>
              <w:spacing w:before="164" w:line="228" w:lineRule="auto"/>
              <w:ind w:left="254"/>
              <w:rPr>
                <w:color w:val="auto"/>
                <w:highlight w:val="none"/>
              </w:rPr>
            </w:pPr>
            <w:r>
              <w:rPr>
                <w:color w:val="auto"/>
                <w:spacing w:val="8"/>
                <w:highlight w:val="none"/>
              </w:rPr>
              <w:t>在建或已完</w:t>
            </w:r>
          </w:p>
        </w:tc>
        <w:tc>
          <w:tcPr>
            <w:tcW w:w="1552" w:type="dxa"/>
            <w:gridSpan w:val="2"/>
            <w:vAlign w:val="top"/>
          </w:tcPr>
          <w:p w14:paraId="49975B5F">
            <w:pPr>
              <w:pStyle w:val="15"/>
              <w:spacing w:before="164" w:line="228" w:lineRule="auto"/>
              <w:ind w:left="365"/>
              <w:rPr>
                <w:color w:val="auto"/>
                <w:highlight w:val="none"/>
              </w:rPr>
            </w:pPr>
            <w:r>
              <w:rPr>
                <w:color w:val="auto"/>
                <w:spacing w:val="6"/>
                <w:highlight w:val="none"/>
              </w:rPr>
              <w:t>工程质量</w:t>
            </w:r>
          </w:p>
        </w:tc>
      </w:tr>
      <w:tr w14:paraId="083D7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3"/>
            <w:vAlign w:val="top"/>
          </w:tcPr>
          <w:p w14:paraId="1D75FCD2">
            <w:pPr>
              <w:rPr>
                <w:rFonts w:ascii="Arial"/>
                <w:color w:val="auto"/>
                <w:sz w:val="21"/>
                <w:highlight w:val="none"/>
              </w:rPr>
            </w:pPr>
          </w:p>
        </w:tc>
        <w:tc>
          <w:tcPr>
            <w:tcW w:w="1547" w:type="dxa"/>
            <w:gridSpan w:val="2"/>
            <w:vAlign w:val="top"/>
          </w:tcPr>
          <w:p w14:paraId="335CC106">
            <w:pPr>
              <w:rPr>
                <w:rFonts w:ascii="Arial"/>
                <w:color w:val="auto"/>
                <w:sz w:val="21"/>
                <w:highlight w:val="none"/>
              </w:rPr>
            </w:pPr>
          </w:p>
        </w:tc>
        <w:tc>
          <w:tcPr>
            <w:tcW w:w="1547" w:type="dxa"/>
            <w:gridSpan w:val="3"/>
            <w:vAlign w:val="top"/>
          </w:tcPr>
          <w:p w14:paraId="2BF95B07">
            <w:pPr>
              <w:rPr>
                <w:rFonts w:ascii="Arial"/>
                <w:color w:val="auto"/>
                <w:sz w:val="21"/>
                <w:highlight w:val="none"/>
              </w:rPr>
            </w:pPr>
          </w:p>
        </w:tc>
        <w:tc>
          <w:tcPr>
            <w:tcW w:w="1546" w:type="dxa"/>
            <w:gridSpan w:val="2"/>
            <w:vAlign w:val="top"/>
          </w:tcPr>
          <w:p w14:paraId="12838755">
            <w:pPr>
              <w:rPr>
                <w:rFonts w:ascii="Arial"/>
                <w:color w:val="auto"/>
                <w:sz w:val="21"/>
                <w:highlight w:val="none"/>
              </w:rPr>
            </w:pPr>
          </w:p>
        </w:tc>
        <w:tc>
          <w:tcPr>
            <w:tcW w:w="1546" w:type="dxa"/>
            <w:gridSpan w:val="3"/>
            <w:vAlign w:val="top"/>
          </w:tcPr>
          <w:p w14:paraId="21867BA9">
            <w:pPr>
              <w:rPr>
                <w:rFonts w:ascii="Arial"/>
                <w:color w:val="auto"/>
                <w:sz w:val="21"/>
                <w:highlight w:val="none"/>
              </w:rPr>
            </w:pPr>
          </w:p>
        </w:tc>
        <w:tc>
          <w:tcPr>
            <w:tcW w:w="1552" w:type="dxa"/>
            <w:gridSpan w:val="2"/>
            <w:vAlign w:val="top"/>
          </w:tcPr>
          <w:p w14:paraId="303DD268">
            <w:pPr>
              <w:rPr>
                <w:rFonts w:ascii="Arial"/>
                <w:color w:val="auto"/>
                <w:sz w:val="21"/>
                <w:highlight w:val="none"/>
              </w:rPr>
            </w:pPr>
          </w:p>
        </w:tc>
      </w:tr>
      <w:tr w14:paraId="0DE28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3"/>
            <w:vAlign w:val="top"/>
          </w:tcPr>
          <w:p w14:paraId="1E8BD100">
            <w:pPr>
              <w:rPr>
                <w:rFonts w:ascii="Arial"/>
                <w:color w:val="auto"/>
                <w:sz w:val="21"/>
                <w:highlight w:val="none"/>
              </w:rPr>
            </w:pPr>
          </w:p>
        </w:tc>
        <w:tc>
          <w:tcPr>
            <w:tcW w:w="1547" w:type="dxa"/>
            <w:gridSpan w:val="2"/>
            <w:vAlign w:val="top"/>
          </w:tcPr>
          <w:p w14:paraId="52D9A553">
            <w:pPr>
              <w:rPr>
                <w:rFonts w:ascii="Arial"/>
                <w:color w:val="auto"/>
                <w:sz w:val="21"/>
                <w:highlight w:val="none"/>
              </w:rPr>
            </w:pPr>
          </w:p>
        </w:tc>
        <w:tc>
          <w:tcPr>
            <w:tcW w:w="1547" w:type="dxa"/>
            <w:gridSpan w:val="3"/>
            <w:vAlign w:val="top"/>
          </w:tcPr>
          <w:p w14:paraId="7936E52E">
            <w:pPr>
              <w:rPr>
                <w:rFonts w:ascii="Arial"/>
                <w:color w:val="auto"/>
                <w:sz w:val="21"/>
                <w:highlight w:val="none"/>
              </w:rPr>
            </w:pPr>
          </w:p>
        </w:tc>
        <w:tc>
          <w:tcPr>
            <w:tcW w:w="1546" w:type="dxa"/>
            <w:gridSpan w:val="2"/>
            <w:vAlign w:val="top"/>
          </w:tcPr>
          <w:p w14:paraId="027A0142">
            <w:pPr>
              <w:rPr>
                <w:rFonts w:ascii="Arial"/>
                <w:color w:val="auto"/>
                <w:sz w:val="21"/>
                <w:highlight w:val="none"/>
              </w:rPr>
            </w:pPr>
          </w:p>
        </w:tc>
        <w:tc>
          <w:tcPr>
            <w:tcW w:w="1546" w:type="dxa"/>
            <w:gridSpan w:val="3"/>
            <w:vAlign w:val="top"/>
          </w:tcPr>
          <w:p w14:paraId="55CDED3A">
            <w:pPr>
              <w:rPr>
                <w:rFonts w:ascii="Arial"/>
                <w:color w:val="auto"/>
                <w:sz w:val="21"/>
                <w:highlight w:val="none"/>
              </w:rPr>
            </w:pPr>
          </w:p>
        </w:tc>
        <w:tc>
          <w:tcPr>
            <w:tcW w:w="1552" w:type="dxa"/>
            <w:gridSpan w:val="2"/>
            <w:vAlign w:val="top"/>
          </w:tcPr>
          <w:p w14:paraId="252B84A9">
            <w:pPr>
              <w:rPr>
                <w:rFonts w:ascii="Arial"/>
                <w:color w:val="auto"/>
                <w:sz w:val="21"/>
                <w:highlight w:val="none"/>
              </w:rPr>
            </w:pPr>
          </w:p>
        </w:tc>
      </w:tr>
      <w:tr w14:paraId="5AF91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1" w:type="dxa"/>
            <w:gridSpan w:val="3"/>
            <w:vAlign w:val="top"/>
          </w:tcPr>
          <w:p w14:paraId="508AB1D8">
            <w:pPr>
              <w:rPr>
                <w:rFonts w:ascii="Arial"/>
                <w:color w:val="auto"/>
                <w:sz w:val="21"/>
                <w:highlight w:val="none"/>
              </w:rPr>
            </w:pPr>
          </w:p>
        </w:tc>
        <w:tc>
          <w:tcPr>
            <w:tcW w:w="1547" w:type="dxa"/>
            <w:gridSpan w:val="2"/>
            <w:vAlign w:val="top"/>
          </w:tcPr>
          <w:p w14:paraId="3D7F7DA4">
            <w:pPr>
              <w:rPr>
                <w:rFonts w:ascii="Arial"/>
                <w:color w:val="auto"/>
                <w:sz w:val="21"/>
                <w:highlight w:val="none"/>
              </w:rPr>
            </w:pPr>
          </w:p>
        </w:tc>
        <w:tc>
          <w:tcPr>
            <w:tcW w:w="1547" w:type="dxa"/>
            <w:gridSpan w:val="3"/>
            <w:vAlign w:val="top"/>
          </w:tcPr>
          <w:p w14:paraId="2261447E">
            <w:pPr>
              <w:rPr>
                <w:rFonts w:ascii="Arial"/>
                <w:color w:val="auto"/>
                <w:sz w:val="21"/>
                <w:highlight w:val="none"/>
              </w:rPr>
            </w:pPr>
          </w:p>
        </w:tc>
        <w:tc>
          <w:tcPr>
            <w:tcW w:w="1546" w:type="dxa"/>
            <w:gridSpan w:val="2"/>
            <w:vAlign w:val="top"/>
          </w:tcPr>
          <w:p w14:paraId="1ED9C579">
            <w:pPr>
              <w:rPr>
                <w:rFonts w:ascii="Arial"/>
                <w:color w:val="auto"/>
                <w:sz w:val="21"/>
                <w:highlight w:val="none"/>
              </w:rPr>
            </w:pPr>
          </w:p>
        </w:tc>
        <w:tc>
          <w:tcPr>
            <w:tcW w:w="1546" w:type="dxa"/>
            <w:gridSpan w:val="3"/>
            <w:vAlign w:val="top"/>
          </w:tcPr>
          <w:p w14:paraId="43F3D445">
            <w:pPr>
              <w:rPr>
                <w:rFonts w:ascii="Arial"/>
                <w:color w:val="auto"/>
                <w:sz w:val="21"/>
                <w:highlight w:val="none"/>
              </w:rPr>
            </w:pPr>
          </w:p>
        </w:tc>
        <w:tc>
          <w:tcPr>
            <w:tcW w:w="1552" w:type="dxa"/>
            <w:gridSpan w:val="2"/>
            <w:vAlign w:val="top"/>
          </w:tcPr>
          <w:p w14:paraId="64E114B4">
            <w:pPr>
              <w:rPr>
                <w:rFonts w:ascii="Arial"/>
                <w:color w:val="auto"/>
                <w:sz w:val="21"/>
                <w:highlight w:val="none"/>
              </w:rPr>
            </w:pPr>
          </w:p>
        </w:tc>
      </w:tr>
      <w:tr w14:paraId="239AC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551" w:type="dxa"/>
            <w:gridSpan w:val="3"/>
            <w:vAlign w:val="top"/>
          </w:tcPr>
          <w:p w14:paraId="6E8CFC42">
            <w:pPr>
              <w:rPr>
                <w:rFonts w:ascii="Arial"/>
                <w:color w:val="auto"/>
                <w:sz w:val="21"/>
                <w:highlight w:val="none"/>
              </w:rPr>
            </w:pPr>
          </w:p>
        </w:tc>
        <w:tc>
          <w:tcPr>
            <w:tcW w:w="1547" w:type="dxa"/>
            <w:gridSpan w:val="2"/>
            <w:vAlign w:val="top"/>
          </w:tcPr>
          <w:p w14:paraId="5938B1FF">
            <w:pPr>
              <w:rPr>
                <w:rFonts w:ascii="Arial"/>
                <w:color w:val="auto"/>
                <w:sz w:val="21"/>
                <w:highlight w:val="none"/>
              </w:rPr>
            </w:pPr>
          </w:p>
        </w:tc>
        <w:tc>
          <w:tcPr>
            <w:tcW w:w="1547" w:type="dxa"/>
            <w:gridSpan w:val="3"/>
            <w:vAlign w:val="top"/>
          </w:tcPr>
          <w:p w14:paraId="056D6BA5">
            <w:pPr>
              <w:rPr>
                <w:rFonts w:ascii="Arial"/>
                <w:color w:val="auto"/>
                <w:sz w:val="21"/>
                <w:highlight w:val="none"/>
              </w:rPr>
            </w:pPr>
          </w:p>
        </w:tc>
        <w:tc>
          <w:tcPr>
            <w:tcW w:w="1546" w:type="dxa"/>
            <w:gridSpan w:val="2"/>
            <w:vAlign w:val="top"/>
          </w:tcPr>
          <w:p w14:paraId="69B9961F">
            <w:pPr>
              <w:rPr>
                <w:rFonts w:ascii="Arial"/>
                <w:color w:val="auto"/>
                <w:sz w:val="21"/>
                <w:highlight w:val="none"/>
              </w:rPr>
            </w:pPr>
          </w:p>
        </w:tc>
        <w:tc>
          <w:tcPr>
            <w:tcW w:w="1546" w:type="dxa"/>
            <w:gridSpan w:val="3"/>
            <w:vAlign w:val="top"/>
          </w:tcPr>
          <w:p w14:paraId="7110154A">
            <w:pPr>
              <w:rPr>
                <w:rFonts w:ascii="Arial"/>
                <w:color w:val="auto"/>
                <w:sz w:val="21"/>
                <w:highlight w:val="none"/>
              </w:rPr>
            </w:pPr>
          </w:p>
        </w:tc>
        <w:tc>
          <w:tcPr>
            <w:tcW w:w="1552" w:type="dxa"/>
            <w:gridSpan w:val="2"/>
            <w:vAlign w:val="top"/>
          </w:tcPr>
          <w:p w14:paraId="41CBDB1B">
            <w:pPr>
              <w:rPr>
                <w:rFonts w:ascii="Arial"/>
                <w:color w:val="auto"/>
                <w:sz w:val="21"/>
                <w:highlight w:val="none"/>
              </w:rPr>
            </w:pPr>
          </w:p>
        </w:tc>
      </w:tr>
    </w:tbl>
    <w:p w14:paraId="2BEAF466">
      <w:pPr>
        <w:pStyle w:val="2"/>
        <w:spacing w:line="295" w:lineRule="auto"/>
        <w:rPr>
          <w:color w:val="auto"/>
          <w:highlight w:val="none"/>
        </w:rPr>
      </w:pPr>
    </w:p>
    <w:p w14:paraId="6E1E92E0">
      <w:pPr>
        <w:spacing w:before="78" w:line="219" w:lineRule="auto"/>
        <w:ind w:left="71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附：1、项目技术负责人身份证复印件</w:t>
      </w:r>
    </w:p>
    <w:p w14:paraId="5FC88AB7">
      <w:pPr>
        <w:spacing w:before="104" w:line="219" w:lineRule="auto"/>
        <w:ind w:left="118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2、职称证书复印件</w:t>
      </w:r>
    </w:p>
    <w:p w14:paraId="7C1FCB0E">
      <w:pPr>
        <w:spacing w:before="105" w:line="219" w:lineRule="auto"/>
        <w:ind w:left="119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3、社保缴纳证明（开标时间截止前近半年内连续三个月）</w:t>
      </w:r>
    </w:p>
    <w:p w14:paraId="0FC62EA1">
      <w:pPr>
        <w:spacing w:line="219" w:lineRule="auto"/>
        <w:rPr>
          <w:rFonts w:ascii="宋体" w:hAnsi="宋体" w:eastAsia="宋体" w:cs="宋体"/>
          <w:color w:val="auto"/>
          <w:sz w:val="24"/>
          <w:szCs w:val="24"/>
          <w:highlight w:val="none"/>
        </w:rPr>
        <w:sectPr>
          <w:footerReference r:id="rId42" w:type="default"/>
          <w:pgSz w:w="11910" w:h="16840"/>
          <w:pgMar w:top="1359" w:right="1292" w:bottom="1019" w:left="1323" w:header="0" w:footer="857" w:gutter="0"/>
          <w:pgNumType w:fmt="decimal"/>
          <w:cols w:space="720" w:num="1"/>
        </w:sectPr>
      </w:pPr>
    </w:p>
    <w:p w14:paraId="029D0059">
      <w:pPr>
        <w:pStyle w:val="2"/>
        <w:spacing w:line="413" w:lineRule="auto"/>
        <w:rPr>
          <w:color w:val="auto"/>
          <w:highlight w:val="none"/>
        </w:rPr>
      </w:pPr>
    </w:p>
    <w:p w14:paraId="10D3B983">
      <w:pPr>
        <w:spacing w:before="78" w:line="219" w:lineRule="auto"/>
        <w:ind w:left="2997"/>
        <w:rPr>
          <w:rFonts w:ascii="宋体" w:hAnsi="宋体" w:eastAsia="宋体" w:cs="宋体"/>
          <w:color w:val="auto"/>
          <w:sz w:val="24"/>
          <w:szCs w:val="24"/>
          <w:highlight w:val="none"/>
        </w:rPr>
      </w:pPr>
      <w:r>
        <w:rPr>
          <w:rFonts w:ascii="Times New Roman" w:hAnsi="Times New Roman" w:eastAsia="Times New Roman" w:cs="Times New Roman"/>
          <w:b/>
          <w:bCs/>
          <w:color w:val="auto"/>
          <w:spacing w:val="-2"/>
          <w:sz w:val="24"/>
          <w:szCs w:val="24"/>
          <w:highlight w:val="none"/>
        </w:rPr>
        <w:t>4.</w:t>
      </w:r>
      <w:r>
        <w:rPr>
          <w:rFonts w:ascii="宋体" w:hAnsi="宋体" w:eastAsia="宋体" w:cs="宋体"/>
          <w:b/>
          <w:bCs/>
          <w:color w:val="auto"/>
          <w:spacing w:val="-2"/>
          <w:sz w:val="24"/>
          <w:szCs w:val="24"/>
          <w:highlight w:val="none"/>
        </w:rPr>
        <w:t>专职安全生产管理人员简历表</w:t>
      </w:r>
    </w:p>
    <w:p w14:paraId="791771FF">
      <w:pPr>
        <w:spacing w:line="69" w:lineRule="exact"/>
        <w:rPr>
          <w:color w:val="auto"/>
          <w:highlight w:val="none"/>
        </w:rPr>
      </w:pPr>
    </w:p>
    <w:tbl>
      <w:tblPr>
        <w:tblStyle w:val="14"/>
        <w:tblW w:w="92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9"/>
        <w:gridCol w:w="243"/>
        <w:gridCol w:w="221"/>
        <w:gridCol w:w="1106"/>
        <w:gridCol w:w="443"/>
        <w:gridCol w:w="328"/>
        <w:gridCol w:w="555"/>
        <w:gridCol w:w="664"/>
        <w:gridCol w:w="668"/>
        <w:gridCol w:w="881"/>
        <w:gridCol w:w="441"/>
        <w:gridCol w:w="263"/>
        <w:gridCol w:w="843"/>
        <w:gridCol w:w="239"/>
        <w:gridCol w:w="1305"/>
      </w:tblGrid>
      <w:tr w14:paraId="0F73D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089" w:type="dxa"/>
            <w:vAlign w:val="top"/>
          </w:tcPr>
          <w:p w14:paraId="0BB33B63">
            <w:pPr>
              <w:pStyle w:val="15"/>
              <w:spacing w:before="164" w:line="228" w:lineRule="auto"/>
              <w:ind w:left="338"/>
              <w:rPr>
                <w:color w:val="auto"/>
                <w:highlight w:val="none"/>
              </w:rPr>
            </w:pPr>
            <w:r>
              <w:rPr>
                <w:color w:val="auto"/>
                <w:spacing w:val="4"/>
                <w:highlight w:val="none"/>
              </w:rPr>
              <w:t>姓名</w:t>
            </w:r>
          </w:p>
        </w:tc>
        <w:tc>
          <w:tcPr>
            <w:tcW w:w="2341" w:type="dxa"/>
            <w:gridSpan w:val="5"/>
            <w:vAlign w:val="top"/>
          </w:tcPr>
          <w:p w14:paraId="5F9D6B70">
            <w:pPr>
              <w:rPr>
                <w:rFonts w:ascii="Arial"/>
                <w:color w:val="auto"/>
                <w:sz w:val="21"/>
                <w:highlight w:val="none"/>
              </w:rPr>
            </w:pPr>
          </w:p>
        </w:tc>
        <w:tc>
          <w:tcPr>
            <w:tcW w:w="1887" w:type="dxa"/>
            <w:gridSpan w:val="3"/>
            <w:vAlign w:val="top"/>
          </w:tcPr>
          <w:p w14:paraId="158648CD">
            <w:pPr>
              <w:pStyle w:val="15"/>
              <w:spacing w:before="164" w:line="228" w:lineRule="auto"/>
              <w:ind w:left="738"/>
              <w:rPr>
                <w:color w:val="auto"/>
                <w:highlight w:val="none"/>
              </w:rPr>
            </w:pPr>
            <w:r>
              <w:rPr>
                <w:color w:val="auto"/>
                <w:spacing w:val="3"/>
                <w:highlight w:val="none"/>
              </w:rPr>
              <w:t>性别</w:t>
            </w:r>
          </w:p>
        </w:tc>
        <w:tc>
          <w:tcPr>
            <w:tcW w:w="1585" w:type="dxa"/>
            <w:gridSpan w:val="3"/>
            <w:vAlign w:val="top"/>
          </w:tcPr>
          <w:p w14:paraId="5141DE1C">
            <w:pPr>
              <w:rPr>
                <w:rFonts w:ascii="Arial"/>
                <w:color w:val="auto"/>
                <w:sz w:val="21"/>
                <w:highlight w:val="none"/>
              </w:rPr>
            </w:pPr>
          </w:p>
        </w:tc>
        <w:tc>
          <w:tcPr>
            <w:tcW w:w="1082" w:type="dxa"/>
            <w:gridSpan w:val="2"/>
            <w:vAlign w:val="top"/>
          </w:tcPr>
          <w:p w14:paraId="39C7FCDD">
            <w:pPr>
              <w:pStyle w:val="15"/>
              <w:spacing w:before="164" w:line="228" w:lineRule="auto"/>
              <w:ind w:left="351"/>
              <w:rPr>
                <w:color w:val="auto"/>
                <w:highlight w:val="none"/>
              </w:rPr>
            </w:pPr>
            <w:r>
              <w:rPr>
                <w:color w:val="auto"/>
                <w:spacing w:val="4"/>
                <w:highlight w:val="none"/>
              </w:rPr>
              <w:t>年龄</w:t>
            </w:r>
          </w:p>
        </w:tc>
        <w:tc>
          <w:tcPr>
            <w:tcW w:w="1305" w:type="dxa"/>
            <w:vAlign w:val="top"/>
          </w:tcPr>
          <w:p w14:paraId="7ADA2134">
            <w:pPr>
              <w:rPr>
                <w:rFonts w:ascii="Arial"/>
                <w:color w:val="auto"/>
                <w:sz w:val="21"/>
                <w:highlight w:val="none"/>
              </w:rPr>
            </w:pPr>
          </w:p>
        </w:tc>
      </w:tr>
      <w:tr w14:paraId="1BBA2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89" w:type="dxa"/>
            <w:vAlign w:val="top"/>
          </w:tcPr>
          <w:p w14:paraId="0652ACA5">
            <w:pPr>
              <w:pStyle w:val="15"/>
              <w:spacing w:before="172" w:line="228" w:lineRule="auto"/>
              <w:ind w:left="361"/>
              <w:rPr>
                <w:color w:val="auto"/>
                <w:highlight w:val="none"/>
              </w:rPr>
            </w:pPr>
            <w:r>
              <w:rPr>
                <w:color w:val="auto"/>
                <w:spacing w:val="-7"/>
                <w:highlight w:val="none"/>
              </w:rPr>
              <w:t>岗位</w:t>
            </w:r>
          </w:p>
        </w:tc>
        <w:tc>
          <w:tcPr>
            <w:tcW w:w="2341" w:type="dxa"/>
            <w:gridSpan w:val="5"/>
            <w:vAlign w:val="top"/>
          </w:tcPr>
          <w:p w14:paraId="57CD0A62">
            <w:pPr>
              <w:pStyle w:val="15"/>
              <w:spacing w:before="171" w:line="228" w:lineRule="auto"/>
              <w:ind w:left="123"/>
              <w:rPr>
                <w:color w:val="auto"/>
                <w:highlight w:val="none"/>
              </w:rPr>
            </w:pPr>
            <w:r>
              <w:rPr>
                <w:color w:val="auto"/>
                <w:spacing w:val="8"/>
                <w:highlight w:val="none"/>
              </w:rPr>
              <w:t>专职安全生产管理人员</w:t>
            </w:r>
          </w:p>
        </w:tc>
        <w:tc>
          <w:tcPr>
            <w:tcW w:w="1887" w:type="dxa"/>
            <w:gridSpan w:val="3"/>
            <w:vAlign w:val="top"/>
          </w:tcPr>
          <w:p w14:paraId="00C9815C">
            <w:pPr>
              <w:pStyle w:val="15"/>
              <w:spacing w:before="171" w:line="230" w:lineRule="auto"/>
              <w:ind w:left="737"/>
              <w:rPr>
                <w:color w:val="auto"/>
                <w:highlight w:val="none"/>
              </w:rPr>
            </w:pPr>
            <w:r>
              <w:rPr>
                <w:color w:val="auto"/>
                <w:spacing w:val="4"/>
                <w:highlight w:val="none"/>
              </w:rPr>
              <w:t>职称</w:t>
            </w:r>
          </w:p>
        </w:tc>
        <w:tc>
          <w:tcPr>
            <w:tcW w:w="1585" w:type="dxa"/>
            <w:gridSpan w:val="3"/>
            <w:vAlign w:val="top"/>
          </w:tcPr>
          <w:p w14:paraId="62D06190">
            <w:pPr>
              <w:rPr>
                <w:rFonts w:ascii="Arial"/>
                <w:color w:val="auto"/>
                <w:sz w:val="21"/>
                <w:highlight w:val="none"/>
              </w:rPr>
            </w:pPr>
          </w:p>
        </w:tc>
        <w:tc>
          <w:tcPr>
            <w:tcW w:w="1082" w:type="dxa"/>
            <w:gridSpan w:val="2"/>
            <w:vAlign w:val="top"/>
          </w:tcPr>
          <w:p w14:paraId="5B53BC28">
            <w:pPr>
              <w:pStyle w:val="15"/>
              <w:spacing w:before="172" w:line="229" w:lineRule="auto"/>
              <w:ind w:left="354"/>
              <w:rPr>
                <w:color w:val="auto"/>
                <w:highlight w:val="none"/>
              </w:rPr>
            </w:pPr>
            <w:r>
              <w:rPr>
                <w:color w:val="auto"/>
                <w:spacing w:val="2"/>
                <w:highlight w:val="none"/>
              </w:rPr>
              <w:t>学历</w:t>
            </w:r>
          </w:p>
        </w:tc>
        <w:tc>
          <w:tcPr>
            <w:tcW w:w="1305" w:type="dxa"/>
            <w:vAlign w:val="top"/>
          </w:tcPr>
          <w:p w14:paraId="1FDDDB0C">
            <w:pPr>
              <w:rPr>
                <w:rFonts w:ascii="Arial"/>
                <w:color w:val="auto"/>
                <w:sz w:val="21"/>
                <w:highlight w:val="none"/>
              </w:rPr>
            </w:pPr>
          </w:p>
        </w:tc>
      </w:tr>
      <w:tr w14:paraId="53739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89" w:type="dxa"/>
            <w:vAlign w:val="top"/>
          </w:tcPr>
          <w:p w14:paraId="2828D2B8">
            <w:pPr>
              <w:pStyle w:val="15"/>
              <w:spacing w:before="31" w:line="297" w:lineRule="auto"/>
              <w:ind w:left="348" w:right="124" w:hanging="216"/>
              <w:rPr>
                <w:color w:val="auto"/>
                <w:highlight w:val="none"/>
              </w:rPr>
            </w:pPr>
            <w:r>
              <w:rPr>
                <w:color w:val="auto"/>
                <w:spacing w:val="6"/>
                <w:highlight w:val="none"/>
              </w:rPr>
              <w:t>从业开始</w:t>
            </w:r>
            <w:r>
              <w:rPr>
                <w:color w:val="auto"/>
                <w:spacing w:val="2"/>
                <w:highlight w:val="none"/>
              </w:rPr>
              <w:t xml:space="preserve"> </w:t>
            </w:r>
            <w:r>
              <w:rPr>
                <w:color w:val="auto"/>
                <w:spacing w:val="-1"/>
                <w:highlight w:val="none"/>
              </w:rPr>
              <w:t>时间</w:t>
            </w:r>
          </w:p>
        </w:tc>
        <w:tc>
          <w:tcPr>
            <w:tcW w:w="2341" w:type="dxa"/>
            <w:gridSpan w:val="5"/>
            <w:vAlign w:val="top"/>
          </w:tcPr>
          <w:p w14:paraId="1E44A4CD">
            <w:pPr>
              <w:rPr>
                <w:rFonts w:ascii="Arial"/>
                <w:color w:val="auto"/>
                <w:sz w:val="21"/>
                <w:highlight w:val="none"/>
              </w:rPr>
            </w:pPr>
          </w:p>
        </w:tc>
        <w:tc>
          <w:tcPr>
            <w:tcW w:w="1887" w:type="dxa"/>
            <w:gridSpan w:val="3"/>
            <w:vAlign w:val="top"/>
          </w:tcPr>
          <w:p w14:paraId="1B6681B9">
            <w:pPr>
              <w:pStyle w:val="15"/>
              <w:spacing w:before="202" w:line="228" w:lineRule="auto"/>
              <w:ind w:left="317"/>
              <w:rPr>
                <w:color w:val="auto"/>
                <w:highlight w:val="none"/>
              </w:rPr>
            </w:pPr>
            <w:r>
              <w:rPr>
                <w:color w:val="auto"/>
                <w:spacing w:val="8"/>
                <w:highlight w:val="none"/>
              </w:rPr>
              <w:t>职称获得时间</w:t>
            </w:r>
          </w:p>
        </w:tc>
        <w:tc>
          <w:tcPr>
            <w:tcW w:w="1585" w:type="dxa"/>
            <w:gridSpan w:val="3"/>
            <w:vAlign w:val="top"/>
          </w:tcPr>
          <w:p w14:paraId="612E1280">
            <w:pPr>
              <w:rPr>
                <w:rFonts w:ascii="Arial"/>
                <w:color w:val="auto"/>
                <w:sz w:val="21"/>
                <w:highlight w:val="none"/>
              </w:rPr>
            </w:pPr>
          </w:p>
        </w:tc>
        <w:tc>
          <w:tcPr>
            <w:tcW w:w="1082" w:type="dxa"/>
            <w:gridSpan w:val="2"/>
            <w:vAlign w:val="top"/>
          </w:tcPr>
          <w:p w14:paraId="08AAA828">
            <w:pPr>
              <w:pStyle w:val="15"/>
              <w:spacing w:before="202" w:line="228" w:lineRule="auto"/>
              <w:ind w:left="146"/>
              <w:rPr>
                <w:color w:val="auto"/>
                <w:highlight w:val="none"/>
              </w:rPr>
            </w:pPr>
            <w:r>
              <w:rPr>
                <w:color w:val="auto"/>
                <w:spacing w:val="6"/>
                <w:highlight w:val="none"/>
              </w:rPr>
              <w:t>毕业时间</w:t>
            </w:r>
          </w:p>
        </w:tc>
        <w:tc>
          <w:tcPr>
            <w:tcW w:w="1305" w:type="dxa"/>
            <w:vAlign w:val="top"/>
          </w:tcPr>
          <w:p w14:paraId="67BA9D6A">
            <w:pPr>
              <w:rPr>
                <w:rFonts w:ascii="Arial"/>
                <w:color w:val="auto"/>
                <w:sz w:val="21"/>
                <w:highlight w:val="none"/>
              </w:rPr>
            </w:pPr>
          </w:p>
        </w:tc>
      </w:tr>
      <w:tr w14:paraId="213A9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1089" w:type="dxa"/>
            <w:vAlign w:val="top"/>
          </w:tcPr>
          <w:p w14:paraId="28FBE296">
            <w:pPr>
              <w:pStyle w:val="15"/>
              <w:spacing w:before="32" w:line="228" w:lineRule="auto"/>
              <w:ind w:left="130"/>
              <w:rPr>
                <w:color w:val="auto"/>
                <w:highlight w:val="none"/>
              </w:rPr>
            </w:pPr>
            <w:r>
              <w:rPr>
                <w:color w:val="auto"/>
                <w:spacing w:val="7"/>
                <w:highlight w:val="none"/>
              </w:rPr>
              <w:t>担任专职</w:t>
            </w:r>
          </w:p>
          <w:p w14:paraId="0F8441DF">
            <w:pPr>
              <w:pStyle w:val="15"/>
              <w:spacing w:before="93" w:line="228" w:lineRule="auto"/>
              <w:ind w:left="133"/>
              <w:rPr>
                <w:color w:val="auto"/>
                <w:highlight w:val="none"/>
              </w:rPr>
            </w:pPr>
            <w:r>
              <w:rPr>
                <w:color w:val="auto"/>
                <w:spacing w:val="6"/>
                <w:highlight w:val="none"/>
              </w:rPr>
              <w:t>安全生产</w:t>
            </w:r>
          </w:p>
          <w:p w14:paraId="6D83C36C">
            <w:pPr>
              <w:pStyle w:val="15"/>
              <w:spacing w:before="91" w:line="228" w:lineRule="auto"/>
              <w:ind w:left="134"/>
              <w:rPr>
                <w:color w:val="auto"/>
                <w:highlight w:val="none"/>
              </w:rPr>
            </w:pPr>
            <w:r>
              <w:rPr>
                <w:color w:val="auto"/>
                <w:spacing w:val="6"/>
                <w:highlight w:val="none"/>
              </w:rPr>
              <w:t>管理人员</w:t>
            </w:r>
          </w:p>
          <w:p w14:paraId="18406FB3">
            <w:pPr>
              <w:pStyle w:val="15"/>
              <w:spacing w:before="93" w:line="228" w:lineRule="auto"/>
              <w:ind w:left="339"/>
              <w:rPr>
                <w:color w:val="auto"/>
                <w:highlight w:val="none"/>
              </w:rPr>
            </w:pPr>
            <w:r>
              <w:rPr>
                <w:color w:val="auto"/>
                <w:spacing w:val="4"/>
                <w:highlight w:val="none"/>
              </w:rPr>
              <w:t>年限</w:t>
            </w:r>
          </w:p>
        </w:tc>
        <w:tc>
          <w:tcPr>
            <w:tcW w:w="2341" w:type="dxa"/>
            <w:gridSpan w:val="5"/>
            <w:vAlign w:val="top"/>
          </w:tcPr>
          <w:p w14:paraId="46113B08">
            <w:pPr>
              <w:rPr>
                <w:rFonts w:ascii="Arial"/>
                <w:color w:val="auto"/>
                <w:sz w:val="21"/>
                <w:highlight w:val="none"/>
              </w:rPr>
            </w:pPr>
          </w:p>
        </w:tc>
        <w:tc>
          <w:tcPr>
            <w:tcW w:w="1887" w:type="dxa"/>
            <w:gridSpan w:val="3"/>
            <w:vAlign w:val="top"/>
          </w:tcPr>
          <w:p w14:paraId="136FC7E2">
            <w:pPr>
              <w:spacing w:line="476" w:lineRule="auto"/>
              <w:rPr>
                <w:rFonts w:ascii="Arial"/>
                <w:color w:val="auto"/>
                <w:sz w:val="21"/>
                <w:highlight w:val="none"/>
              </w:rPr>
            </w:pPr>
          </w:p>
          <w:p w14:paraId="2150DFD6">
            <w:pPr>
              <w:pStyle w:val="15"/>
              <w:spacing w:before="65" w:line="228" w:lineRule="auto"/>
              <w:ind w:left="427"/>
              <w:rPr>
                <w:color w:val="auto"/>
                <w:highlight w:val="none"/>
              </w:rPr>
            </w:pPr>
            <w:r>
              <w:rPr>
                <w:color w:val="auto"/>
                <w:spacing w:val="7"/>
                <w:highlight w:val="none"/>
              </w:rPr>
              <w:t>身份证号码</w:t>
            </w:r>
          </w:p>
        </w:tc>
        <w:tc>
          <w:tcPr>
            <w:tcW w:w="1585" w:type="dxa"/>
            <w:gridSpan w:val="3"/>
            <w:vAlign w:val="top"/>
          </w:tcPr>
          <w:p w14:paraId="717AC75B">
            <w:pPr>
              <w:rPr>
                <w:rFonts w:ascii="Arial"/>
                <w:color w:val="auto"/>
                <w:sz w:val="21"/>
                <w:highlight w:val="none"/>
              </w:rPr>
            </w:pPr>
          </w:p>
        </w:tc>
        <w:tc>
          <w:tcPr>
            <w:tcW w:w="1082" w:type="dxa"/>
            <w:gridSpan w:val="2"/>
            <w:vAlign w:val="top"/>
          </w:tcPr>
          <w:p w14:paraId="031FE895">
            <w:pPr>
              <w:pStyle w:val="15"/>
              <w:spacing w:before="201" w:line="227" w:lineRule="auto"/>
              <w:ind w:left="143"/>
              <w:rPr>
                <w:color w:val="auto"/>
                <w:highlight w:val="none"/>
              </w:rPr>
            </w:pPr>
            <w:r>
              <w:rPr>
                <w:color w:val="auto"/>
                <w:spacing w:val="6"/>
                <w:highlight w:val="none"/>
              </w:rPr>
              <w:t>社保所附</w:t>
            </w:r>
          </w:p>
          <w:p w14:paraId="05C399FD">
            <w:pPr>
              <w:pStyle w:val="15"/>
              <w:spacing w:before="94" w:line="227" w:lineRule="auto"/>
              <w:ind w:left="141"/>
              <w:rPr>
                <w:color w:val="auto"/>
                <w:highlight w:val="none"/>
              </w:rPr>
            </w:pPr>
            <w:r>
              <w:rPr>
                <w:color w:val="auto"/>
                <w:spacing w:val="7"/>
                <w:highlight w:val="none"/>
              </w:rPr>
              <w:t>证明材料</w:t>
            </w:r>
          </w:p>
          <w:p w14:paraId="11E415DE">
            <w:pPr>
              <w:pStyle w:val="15"/>
              <w:spacing w:before="95" w:line="228" w:lineRule="auto"/>
              <w:ind w:left="249"/>
              <w:rPr>
                <w:color w:val="auto"/>
                <w:highlight w:val="none"/>
              </w:rPr>
            </w:pPr>
            <w:r>
              <w:rPr>
                <w:color w:val="auto"/>
                <w:spacing w:val="5"/>
                <w:highlight w:val="none"/>
              </w:rPr>
              <w:t>索引号</w:t>
            </w:r>
          </w:p>
        </w:tc>
        <w:tc>
          <w:tcPr>
            <w:tcW w:w="1305" w:type="dxa"/>
            <w:vAlign w:val="top"/>
          </w:tcPr>
          <w:p w14:paraId="725A65D3">
            <w:pPr>
              <w:rPr>
                <w:rFonts w:ascii="Arial"/>
                <w:color w:val="auto"/>
                <w:sz w:val="21"/>
                <w:highlight w:val="none"/>
              </w:rPr>
            </w:pPr>
          </w:p>
        </w:tc>
      </w:tr>
      <w:tr w14:paraId="253B0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32" w:type="dxa"/>
            <w:gridSpan w:val="2"/>
            <w:vAlign w:val="top"/>
          </w:tcPr>
          <w:p w14:paraId="3D0EB010">
            <w:pPr>
              <w:pStyle w:val="15"/>
              <w:spacing w:before="163" w:line="227" w:lineRule="auto"/>
              <w:ind w:left="251"/>
              <w:rPr>
                <w:color w:val="auto"/>
                <w:highlight w:val="none"/>
              </w:rPr>
            </w:pPr>
            <w:r>
              <w:rPr>
                <w:color w:val="auto"/>
                <w:spacing w:val="7"/>
                <w:highlight w:val="none"/>
              </w:rPr>
              <w:t>证书名称</w:t>
            </w:r>
          </w:p>
        </w:tc>
        <w:tc>
          <w:tcPr>
            <w:tcW w:w="1327" w:type="dxa"/>
            <w:gridSpan w:val="2"/>
            <w:vAlign w:val="top"/>
          </w:tcPr>
          <w:p w14:paraId="55584685">
            <w:pPr>
              <w:pStyle w:val="15"/>
              <w:spacing w:before="163" w:line="228" w:lineRule="auto"/>
              <w:ind w:left="244"/>
              <w:rPr>
                <w:color w:val="auto"/>
                <w:highlight w:val="none"/>
              </w:rPr>
            </w:pPr>
            <w:r>
              <w:rPr>
                <w:color w:val="auto"/>
                <w:spacing w:val="7"/>
                <w:highlight w:val="none"/>
              </w:rPr>
              <w:t>注册专业</w:t>
            </w:r>
          </w:p>
        </w:tc>
        <w:tc>
          <w:tcPr>
            <w:tcW w:w="1326" w:type="dxa"/>
            <w:gridSpan w:val="3"/>
            <w:vAlign w:val="top"/>
          </w:tcPr>
          <w:p w14:paraId="4808653C">
            <w:pPr>
              <w:pStyle w:val="15"/>
              <w:spacing w:before="163" w:line="228" w:lineRule="auto"/>
              <w:ind w:left="457"/>
              <w:rPr>
                <w:color w:val="auto"/>
                <w:highlight w:val="none"/>
              </w:rPr>
            </w:pPr>
            <w:r>
              <w:rPr>
                <w:color w:val="auto"/>
                <w:spacing w:val="3"/>
                <w:highlight w:val="none"/>
              </w:rPr>
              <w:t>级别</w:t>
            </w:r>
          </w:p>
        </w:tc>
        <w:tc>
          <w:tcPr>
            <w:tcW w:w="1332" w:type="dxa"/>
            <w:gridSpan w:val="2"/>
            <w:vAlign w:val="top"/>
          </w:tcPr>
          <w:p w14:paraId="1C6BED69">
            <w:pPr>
              <w:pStyle w:val="15"/>
              <w:spacing w:before="163" w:line="227" w:lineRule="auto"/>
              <w:ind w:left="243"/>
              <w:rPr>
                <w:color w:val="auto"/>
                <w:highlight w:val="none"/>
              </w:rPr>
            </w:pPr>
            <w:r>
              <w:rPr>
                <w:color w:val="auto"/>
                <w:spacing w:val="7"/>
                <w:highlight w:val="none"/>
              </w:rPr>
              <w:t>证书编号</w:t>
            </w:r>
          </w:p>
        </w:tc>
        <w:tc>
          <w:tcPr>
            <w:tcW w:w="1322" w:type="dxa"/>
            <w:gridSpan w:val="2"/>
            <w:vAlign w:val="top"/>
          </w:tcPr>
          <w:p w14:paraId="4C614357">
            <w:pPr>
              <w:pStyle w:val="15"/>
              <w:spacing w:before="163" w:line="229" w:lineRule="auto"/>
              <w:ind w:left="238"/>
              <w:rPr>
                <w:color w:val="auto"/>
                <w:highlight w:val="none"/>
              </w:rPr>
            </w:pPr>
            <w:r>
              <w:rPr>
                <w:color w:val="auto"/>
                <w:spacing w:val="7"/>
                <w:highlight w:val="none"/>
              </w:rPr>
              <w:t>注册时间</w:t>
            </w:r>
          </w:p>
        </w:tc>
        <w:tc>
          <w:tcPr>
            <w:tcW w:w="1345" w:type="dxa"/>
            <w:gridSpan w:val="3"/>
            <w:vAlign w:val="top"/>
          </w:tcPr>
          <w:p w14:paraId="2CC8669E">
            <w:pPr>
              <w:pStyle w:val="15"/>
              <w:spacing w:before="163" w:line="228" w:lineRule="auto"/>
              <w:ind w:left="241"/>
              <w:rPr>
                <w:color w:val="auto"/>
                <w:highlight w:val="none"/>
              </w:rPr>
            </w:pPr>
            <w:r>
              <w:rPr>
                <w:color w:val="auto"/>
                <w:spacing w:val="7"/>
                <w:highlight w:val="none"/>
              </w:rPr>
              <w:t>注册单位</w:t>
            </w:r>
          </w:p>
        </w:tc>
        <w:tc>
          <w:tcPr>
            <w:tcW w:w="1305" w:type="dxa"/>
            <w:vAlign w:val="top"/>
          </w:tcPr>
          <w:p w14:paraId="30DABA08">
            <w:pPr>
              <w:pStyle w:val="15"/>
              <w:spacing w:before="163" w:line="228" w:lineRule="auto"/>
              <w:ind w:left="118"/>
              <w:rPr>
                <w:color w:val="auto"/>
                <w:highlight w:val="none"/>
              </w:rPr>
            </w:pPr>
            <w:r>
              <w:rPr>
                <w:color w:val="auto"/>
                <w:spacing w:val="8"/>
                <w:highlight w:val="none"/>
              </w:rPr>
              <w:t>注册有效期</w:t>
            </w:r>
          </w:p>
        </w:tc>
      </w:tr>
      <w:tr w14:paraId="2745D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332" w:type="dxa"/>
            <w:gridSpan w:val="2"/>
            <w:vAlign w:val="top"/>
          </w:tcPr>
          <w:p w14:paraId="58B9A55A">
            <w:pPr>
              <w:rPr>
                <w:rFonts w:ascii="Arial"/>
                <w:color w:val="auto"/>
                <w:sz w:val="21"/>
                <w:highlight w:val="none"/>
              </w:rPr>
            </w:pPr>
          </w:p>
        </w:tc>
        <w:tc>
          <w:tcPr>
            <w:tcW w:w="1327" w:type="dxa"/>
            <w:gridSpan w:val="2"/>
            <w:vAlign w:val="top"/>
          </w:tcPr>
          <w:p w14:paraId="3FE052D2">
            <w:pPr>
              <w:rPr>
                <w:rFonts w:ascii="Arial"/>
                <w:color w:val="auto"/>
                <w:sz w:val="21"/>
                <w:highlight w:val="none"/>
              </w:rPr>
            </w:pPr>
          </w:p>
        </w:tc>
        <w:tc>
          <w:tcPr>
            <w:tcW w:w="1326" w:type="dxa"/>
            <w:gridSpan w:val="3"/>
            <w:vAlign w:val="top"/>
          </w:tcPr>
          <w:p w14:paraId="7A2CC7A8">
            <w:pPr>
              <w:rPr>
                <w:rFonts w:ascii="Arial"/>
                <w:color w:val="auto"/>
                <w:sz w:val="21"/>
                <w:highlight w:val="none"/>
              </w:rPr>
            </w:pPr>
          </w:p>
        </w:tc>
        <w:tc>
          <w:tcPr>
            <w:tcW w:w="1332" w:type="dxa"/>
            <w:gridSpan w:val="2"/>
            <w:vAlign w:val="top"/>
          </w:tcPr>
          <w:p w14:paraId="1430297A">
            <w:pPr>
              <w:rPr>
                <w:rFonts w:ascii="Arial"/>
                <w:color w:val="auto"/>
                <w:sz w:val="21"/>
                <w:highlight w:val="none"/>
              </w:rPr>
            </w:pPr>
          </w:p>
        </w:tc>
        <w:tc>
          <w:tcPr>
            <w:tcW w:w="1322" w:type="dxa"/>
            <w:gridSpan w:val="2"/>
            <w:vAlign w:val="top"/>
          </w:tcPr>
          <w:p w14:paraId="3BC386E9">
            <w:pPr>
              <w:rPr>
                <w:rFonts w:ascii="Arial"/>
                <w:color w:val="auto"/>
                <w:sz w:val="21"/>
                <w:highlight w:val="none"/>
              </w:rPr>
            </w:pPr>
          </w:p>
        </w:tc>
        <w:tc>
          <w:tcPr>
            <w:tcW w:w="1345" w:type="dxa"/>
            <w:gridSpan w:val="3"/>
            <w:vAlign w:val="top"/>
          </w:tcPr>
          <w:p w14:paraId="7096AE11">
            <w:pPr>
              <w:rPr>
                <w:rFonts w:ascii="Arial"/>
                <w:color w:val="auto"/>
                <w:sz w:val="21"/>
                <w:highlight w:val="none"/>
              </w:rPr>
            </w:pPr>
          </w:p>
        </w:tc>
        <w:tc>
          <w:tcPr>
            <w:tcW w:w="1305" w:type="dxa"/>
            <w:vAlign w:val="top"/>
          </w:tcPr>
          <w:p w14:paraId="77F8367F">
            <w:pPr>
              <w:rPr>
                <w:rFonts w:ascii="Arial"/>
                <w:color w:val="auto"/>
                <w:sz w:val="21"/>
                <w:highlight w:val="none"/>
              </w:rPr>
            </w:pPr>
          </w:p>
        </w:tc>
      </w:tr>
      <w:tr w14:paraId="2CF0C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332" w:type="dxa"/>
            <w:gridSpan w:val="2"/>
            <w:vAlign w:val="top"/>
          </w:tcPr>
          <w:p w14:paraId="351EC698">
            <w:pPr>
              <w:pStyle w:val="15"/>
              <w:spacing w:before="35" w:line="295" w:lineRule="auto"/>
              <w:ind w:left="148" w:right="139" w:firstLine="1"/>
              <w:rPr>
                <w:color w:val="auto"/>
                <w:highlight w:val="none"/>
              </w:rPr>
            </w:pPr>
            <w:r>
              <w:rPr>
                <w:color w:val="auto"/>
                <w:spacing w:val="7"/>
                <w:highlight w:val="none"/>
              </w:rPr>
              <w:t>安全生产考</w:t>
            </w:r>
            <w:r>
              <w:rPr>
                <w:color w:val="auto"/>
                <w:highlight w:val="none"/>
              </w:rPr>
              <w:t xml:space="preserve"> </w:t>
            </w:r>
            <w:r>
              <w:rPr>
                <w:color w:val="auto"/>
                <w:spacing w:val="7"/>
                <w:highlight w:val="none"/>
              </w:rPr>
              <w:t>核合格证书</w:t>
            </w:r>
          </w:p>
        </w:tc>
        <w:tc>
          <w:tcPr>
            <w:tcW w:w="1327" w:type="dxa"/>
            <w:gridSpan w:val="2"/>
            <w:vAlign w:val="top"/>
          </w:tcPr>
          <w:p w14:paraId="63679635">
            <w:pPr>
              <w:rPr>
                <w:rFonts w:ascii="Arial"/>
                <w:color w:val="auto"/>
                <w:sz w:val="21"/>
                <w:highlight w:val="none"/>
              </w:rPr>
            </w:pPr>
          </w:p>
        </w:tc>
        <w:tc>
          <w:tcPr>
            <w:tcW w:w="1326" w:type="dxa"/>
            <w:gridSpan w:val="3"/>
            <w:vAlign w:val="top"/>
          </w:tcPr>
          <w:p w14:paraId="64B5E66B">
            <w:pPr>
              <w:pStyle w:val="15"/>
              <w:spacing w:before="202" w:line="228" w:lineRule="auto"/>
              <w:ind w:left="460"/>
              <w:rPr>
                <w:color w:val="auto"/>
                <w:highlight w:val="none"/>
              </w:rPr>
            </w:pPr>
            <w:r>
              <w:rPr>
                <w:rFonts w:ascii="Times New Roman" w:hAnsi="Times New Roman" w:eastAsia="Times New Roman" w:cs="Times New Roman"/>
                <w:color w:val="auto"/>
                <w:spacing w:val="-1"/>
                <w:highlight w:val="none"/>
              </w:rPr>
              <w:t>C</w:t>
            </w:r>
            <w:r>
              <w:rPr>
                <w:rFonts w:ascii="Times New Roman" w:hAnsi="Times New Roman" w:eastAsia="Times New Roman" w:cs="Times New Roman"/>
                <w:color w:val="auto"/>
                <w:spacing w:val="11"/>
                <w:highlight w:val="none"/>
              </w:rPr>
              <w:t xml:space="preserve"> </w:t>
            </w:r>
            <w:r>
              <w:rPr>
                <w:color w:val="auto"/>
                <w:spacing w:val="-1"/>
                <w:highlight w:val="none"/>
              </w:rPr>
              <w:t>类</w:t>
            </w:r>
          </w:p>
        </w:tc>
        <w:tc>
          <w:tcPr>
            <w:tcW w:w="1332" w:type="dxa"/>
            <w:gridSpan w:val="2"/>
            <w:vAlign w:val="top"/>
          </w:tcPr>
          <w:p w14:paraId="05F119FC">
            <w:pPr>
              <w:rPr>
                <w:rFonts w:ascii="Arial"/>
                <w:color w:val="auto"/>
                <w:sz w:val="21"/>
                <w:highlight w:val="none"/>
              </w:rPr>
            </w:pPr>
          </w:p>
        </w:tc>
        <w:tc>
          <w:tcPr>
            <w:tcW w:w="1322" w:type="dxa"/>
            <w:gridSpan w:val="2"/>
            <w:vAlign w:val="top"/>
          </w:tcPr>
          <w:p w14:paraId="23778F88">
            <w:pPr>
              <w:rPr>
                <w:rFonts w:ascii="Arial"/>
                <w:color w:val="auto"/>
                <w:sz w:val="21"/>
                <w:highlight w:val="none"/>
              </w:rPr>
            </w:pPr>
          </w:p>
        </w:tc>
        <w:tc>
          <w:tcPr>
            <w:tcW w:w="1345" w:type="dxa"/>
            <w:gridSpan w:val="3"/>
            <w:vAlign w:val="top"/>
          </w:tcPr>
          <w:p w14:paraId="52007457">
            <w:pPr>
              <w:rPr>
                <w:rFonts w:ascii="Arial"/>
                <w:color w:val="auto"/>
                <w:sz w:val="21"/>
                <w:highlight w:val="none"/>
              </w:rPr>
            </w:pPr>
          </w:p>
        </w:tc>
        <w:tc>
          <w:tcPr>
            <w:tcW w:w="1305" w:type="dxa"/>
            <w:vAlign w:val="top"/>
          </w:tcPr>
          <w:p w14:paraId="3A4B365A">
            <w:pPr>
              <w:rPr>
                <w:rFonts w:ascii="Arial"/>
                <w:color w:val="auto"/>
                <w:sz w:val="21"/>
                <w:highlight w:val="none"/>
              </w:rPr>
            </w:pPr>
          </w:p>
        </w:tc>
      </w:tr>
      <w:tr w14:paraId="7AE14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289" w:type="dxa"/>
            <w:gridSpan w:val="15"/>
            <w:vAlign w:val="top"/>
          </w:tcPr>
          <w:p w14:paraId="2DC500CD">
            <w:pPr>
              <w:pStyle w:val="15"/>
              <w:spacing w:before="175" w:line="228" w:lineRule="auto"/>
              <w:ind w:left="3493"/>
              <w:rPr>
                <w:color w:val="auto"/>
                <w:highlight w:val="none"/>
              </w:rPr>
            </w:pPr>
            <w:r>
              <w:rPr>
                <w:color w:val="auto"/>
                <w:spacing w:val="9"/>
                <w:highlight w:val="none"/>
              </w:rPr>
              <w:t>在建和已完工程项目情况</w:t>
            </w:r>
          </w:p>
        </w:tc>
      </w:tr>
      <w:tr w14:paraId="6F6E1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553" w:type="dxa"/>
            <w:gridSpan w:val="3"/>
            <w:vAlign w:val="top"/>
          </w:tcPr>
          <w:p w14:paraId="10111B39">
            <w:pPr>
              <w:pStyle w:val="15"/>
              <w:spacing w:before="165" w:line="228" w:lineRule="auto"/>
              <w:ind w:left="362"/>
              <w:rPr>
                <w:color w:val="auto"/>
                <w:highlight w:val="none"/>
              </w:rPr>
            </w:pPr>
            <w:r>
              <w:rPr>
                <w:color w:val="auto"/>
                <w:spacing w:val="6"/>
                <w:highlight w:val="none"/>
              </w:rPr>
              <w:t>建设单位</w:t>
            </w:r>
          </w:p>
        </w:tc>
        <w:tc>
          <w:tcPr>
            <w:tcW w:w="1549" w:type="dxa"/>
            <w:gridSpan w:val="2"/>
            <w:vAlign w:val="top"/>
          </w:tcPr>
          <w:p w14:paraId="0C3A74E0">
            <w:pPr>
              <w:pStyle w:val="15"/>
              <w:spacing w:before="165" w:line="228" w:lineRule="auto"/>
              <w:ind w:left="358"/>
              <w:rPr>
                <w:color w:val="auto"/>
                <w:highlight w:val="none"/>
              </w:rPr>
            </w:pPr>
            <w:r>
              <w:rPr>
                <w:color w:val="auto"/>
                <w:spacing w:val="6"/>
                <w:highlight w:val="none"/>
              </w:rPr>
              <w:t>项目名称</w:t>
            </w:r>
          </w:p>
        </w:tc>
        <w:tc>
          <w:tcPr>
            <w:tcW w:w="1547" w:type="dxa"/>
            <w:gridSpan w:val="3"/>
            <w:vAlign w:val="top"/>
          </w:tcPr>
          <w:p w14:paraId="70F0D92F">
            <w:pPr>
              <w:pStyle w:val="15"/>
              <w:spacing w:before="164" w:line="228" w:lineRule="auto"/>
              <w:ind w:left="356"/>
              <w:rPr>
                <w:color w:val="auto"/>
                <w:highlight w:val="none"/>
              </w:rPr>
            </w:pPr>
            <w:r>
              <w:rPr>
                <w:color w:val="auto"/>
                <w:spacing w:val="6"/>
                <w:highlight w:val="none"/>
              </w:rPr>
              <w:t>建设规模</w:t>
            </w:r>
          </w:p>
        </w:tc>
        <w:tc>
          <w:tcPr>
            <w:tcW w:w="1549" w:type="dxa"/>
            <w:gridSpan w:val="2"/>
            <w:vAlign w:val="top"/>
          </w:tcPr>
          <w:p w14:paraId="328624A4">
            <w:pPr>
              <w:pStyle w:val="15"/>
              <w:spacing w:before="164" w:line="228" w:lineRule="auto"/>
              <w:ind w:left="144"/>
              <w:rPr>
                <w:color w:val="auto"/>
                <w:highlight w:val="none"/>
              </w:rPr>
            </w:pPr>
            <w:r>
              <w:rPr>
                <w:color w:val="auto"/>
                <w:spacing w:val="8"/>
                <w:highlight w:val="none"/>
              </w:rPr>
              <w:t>开、竣工日期</w:t>
            </w:r>
          </w:p>
        </w:tc>
        <w:tc>
          <w:tcPr>
            <w:tcW w:w="1547" w:type="dxa"/>
            <w:gridSpan w:val="3"/>
            <w:vAlign w:val="top"/>
          </w:tcPr>
          <w:p w14:paraId="7A8A726B">
            <w:pPr>
              <w:pStyle w:val="15"/>
              <w:spacing w:before="164" w:line="228" w:lineRule="auto"/>
              <w:ind w:left="247"/>
              <w:rPr>
                <w:color w:val="auto"/>
                <w:highlight w:val="none"/>
              </w:rPr>
            </w:pPr>
            <w:r>
              <w:rPr>
                <w:color w:val="auto"/>
                <w:spacing w:val="8"/>
                <w:highlight w:val="none"/>
              </w:rPr>
              <w:t>在建或已完</w:t>
            </w:r>
          </w:p>
        </w:tc>
        <w:tc>
          <w:tcPr>
            <w:tcW w:w="1544" w:type="dxa"/>
            <w:gridSpan w:val="2"/>
            <w:vAlign w:val="top"/>
          </w:tcPr>
          <w:p w14:paraId="17B05513">
            <w:pPr>
              <w:pStyle w:val="15"/>
              <w:spacing w:before="165" w:line="228" w:lineRule="auto"/>
              <w:ind w:left="357"/>
              <w:rPr>
                <w:color w:val="auto"/>
                <w:highlight w:val="none"/>
              </w:rPr>
            </w:pPr>
            <w:r>
              <w:rPr>
                <w:color w:val="auto"/>
                <w:spacing w:val="6"/>
                <w:highlight w:val="none"/>
              </w:rPr>
              <w:t>工程质量</w:t>
            </w:r>
          </w:p>
        </w:tc>
      </w:tr>
      <w:tr w14:paraId="381D2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3" w:type="dxa"/>
            <w:gridSpan w:val="3"/>
            <w:vAlign w:val="top"/>
          </w:tcPr>
          <w:p w14:paraId="3C9429CD">
            <w:pPr>
              <w:rPr>
                <w:rFonts w:ascii="Arial"/>
                <w:color w:val="auto"/>
                <w:sz w:val="21"/>
                <w:highlight w:val="none"/>
              </w:rPr>
            </w:pPr>
          </w:p>
        </w:tc>
        <w:tc>
          <w:tcPr>
            <w:tcW w:w="1549" w:type="dxa"/>
            <w:gridSpan w:val="2"/>
            <w:vAlign w:val="top"/>
          </w:tcPr>
          <w:p w14:paraId="3218301A">
            <w:pPr>
              <w:rPr>
                <w:rFonts w:ascii="Arial"/>
                <w:color w:val="auto"/>
                <w:sz w:val="21"/>
                <w:highlight w:val="none"/>
              </w:rPr>
            </w:pPr>
          </w:p>
        </w:tc>
        <w:tc>
          <w:tcPr>
            <w:tcW w:w="1547" w:type="dxa"/>
            <w:gridSpan w:val="3"/>
            <w:vAlign w:val="top"/>
          </w:tcPr>
          <w:p w14:paraId="47EB3B6F">
            <w:pPr>
              <w:rPr>
                <w:rFonts w:ascii="Arial"/>
                <w:color w:val="auto"/>
                <w:sz w:val="21"/>
                <w:highlight w:val="none"/>
              </w:rPr>
            </w:pPr>
          </w:p>
        </w:tc>
        <w:tc>
          <w:tcPr>
            <w:tcW w:w="1549" w:type="dxa"/>
            <w:gridSpan w:val="2"/>
            <w:vAlign w:val="top"/>
          </w:tcPr>
          <w:p w14:paraId="1119D658">
            <w:pPr>
              <w:rPr>
                <w:rFonts w:ascii="Arial"/>
                <w:color w:val="auto"/>
                <w:sz w:val="21"/>
                <w:highlight w:val="none"/>
              </w:rPr>
            </w:pPr>
          </w:p>
        </w:tc>
        <w:tc>
          <w:tcPr>
            <w:tcW w:w="1547" w:type="dxa"/>
            <w:gridSpan w:val="3"/>
            <w:vAlign w:val="top"/>
          </w:tcPr>
          <w:p w14:paraId="5E8E83B9">
            <w:pPr>
              <w:rPr>
                <w:rFonts w:ascii="Arial"/>
                <w:color w:val="auto"/>
                <w:sz w:val="21"/>
                <w:highlight w:val="none"/>
              </w:rPr>
            </w:pPr>
          </w:p>
        </w:tc>
        <w:tc>
          <w:tcPr>
            <w:tcW w:w="1544" w:type="dxa"/>
            <w:gridSpan w:val="2"/>
            <w:vAlign w:val="top"/>
          </w:tcPr>
          <w:p w14:paraId="44E55526">
            <w:pPr>
              <w:rPr>
                <w:rFonts w:ascii="Arial"/>
                <w:color w:val="auto"/>
                <w:sz w:val="21"/>
                <w:highlight w:val="none"/>
              </w:rPr>
            </w:pPr>
          </w:p>
        </w:tc>
      </w:tr>
      <w:tr w14:paraId="1524AF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3" w:type="dxa"/>
            <w:gridSpan w:val="3"/>
            <w:vAlign w:val="top"/>
          </w:tcPr>
          <w:p w14:paraId="07EB4DE2">
            <w:pPr>
              <w:rPr>
                <w:rFonts w:ascii="Arial"/>
                <w:color w:val="auto"/>
                <w:sz w:val="21"/>
                <w:highlight w:val="none"/>
              </w:rPr>
            </w:pPr>
          </w:p>
        </w:tc>
        <w:tc>
          <w:tcPr>
            <w:tcW w:w="1549" w:type="dxa"/>
            <w:gridSpan w:val="2"/>
            <w:vAlign w:val="top"/>
          </w:tcPr>
          <w:p w14:paraId="74E5A008">
            <w:pPr>
              <w:rPr>
                <w:rFonts w:ascii="Arial"/>
                <w:color w:val="auto"/>
                <w:sz w:val="21"/>
                <w:highlight w:val="none"/>
              </w:rPr>
            </w:pPr>
          </w:p>
        </w:tc>
        <w:tc>
          <w:tcPr>
            <w:tcW w:w="1547" w:type="dxa"/>
            <w:gridSpan w:val="3"/>
            <w:vAlign w:val="top"/>
          </w:tcPr>
          <w:p w14:paraId="5D616A93">
            <w:pPr>
              <w:rPr>
                <w:rFonts w:ascii="Arial"/>
                <w:color w:val="auto"/>
                <w:sz w:val="21"/>
                <w:highlight w:val="none"/>
              </w:rPr>
            </w:pPr>
          </w:p>
        </w:tc>
        <w:tc>
          <w:tcPr>
            <w:tcW w:w="1549" w:type="dxa"/>
            <w:gridSpan w:val="2"/>
            <w:vAlign w:val="top"/>
          </w:tcPr>
          <w:p w14:paraId="20DC7352">
            <w:pPr>
              <w:rPr>
                <w:rFonts w:ascii="Arial"/>
                <w:color w:val="auto"/>
                <w:sz w:val="21"/>
                <w:highlight w:val="none"/>
              </w:rPr>
            </w:pPr>
          </w:p>
        </w:tc>
        <w:tc>
          <w:tcPr>
            <w:tcW w:w="1547" w:type="dxa"/>
            <w:gridSpan w:val="3"/>
            <w:vAlign w:val="top"/>
          </w:tcPr>
          <w:p w14:paraId="323DD6D9">
            <w:pPr>
              <w:rPr>
                <w:rFonts w:ascii="Arial"/>
                <w:color w:val="auto"/>
                <w:sz w:val="21"/>
                <w:highlight w:val="none"/>
              </w:rPr>
            </w:pPr>
          </w:p>
        </w:tc>
        <w:tc>
          <w:tcPr>
            <w:tcW w:w="1544" w:type="dxa"/>
            <w:gridSpan w:val="2"/>
            <w:vAlign w:val="top"/>
          </w:tcPr>
          <w:p w14:paraId="087AF86B">
            <w:pPr>
              <w:rPr>
                <w:rFonts w:ascii="Arial"/>
                <w:color w:val="auto"/>
                <w:sz w:val="21"/>
                <w:highlight w:val="none"/>
              </w:rPr>
            </w:pPr>
          </w:p>
        </w:tc>
      </w:tr>
      <w:tr w14:paraId="257719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553" w:type="dxa"/>
            <w:gridSpan w:val="3"/>
            <w:vAlign w:val="top"/>
          </w:tcPr>
          <w:p w14:paraId="03D216EF">
            <w:pPr>
              <w:rPr>
                <w:rFonts w:ascii="Arial"/>
                <w:color w:val="auto"/>
                <w:sz w:val="21"/>
                <w:highlight w:val="none"/>
              </w:rPr>
            </w:pPr>
          </w:p>
        </w:tc>
        <w:tc>
          <w:tcPr>
            <w:tcW w:w="1549" w:type="dxa"/>
            <w:gridSpan w:val="2"/>
            <w:vAlign w:val="top"/>
          </w:tcPr>
          <w:p w14:paraId="518924D9">
            <w:pPr>
              <w:rPr>
                <w:rFonts w:ascii="Arial"/>
                <w:color w:val="auto"/>
                <w:sz w:val="21"/>
                <w:highlight w:val="none"/>
              </w:rPr>
            </w:pPr>
          </w:p>
        </w:tc>
        <w:tc>
          <w:tcPr>
            <w:tcW w:w="1547" w:type="dxa"/>
            <w:gridSpan w:val="3"/>
            <w:vAlign w:val="top"/>
          </w:tcPr>
          <w:p w14:paraId="7FA1654B">
            <w:pPr>
              <w:rPr>
                <w:rFonts w:ascii="Arial"/>
                <w:color w:val="auto"/>
                <w:sz w:val="21"/>
                <w:highlight w:val="none"/>
              </w:rPr>
            </w:pPr>
          </w:p>
        </w:tc>
        <w:tc>
          <w:tcPr>
            <w:tcW w:w="1549" w:type="dxa"/>
            <w:gridSpan w:val="2"/>
            <w:vAlign w:val="top"/>
          </w:tcPr>
          <w:p w14:paraId="67FC2FD8">
            <w:pPr>
              <w:rPr>
                <w:rFonts w:ascii="Arial"/>
                <w:color w:val="auto"/>
                <w:sz w:val="21"/>
                <w:highlight w:val="none"/>
              </w:rPr>
            </w:pPr>
          </w:p>
        </w:tc>
        <w:tc>
          <w:tcPr>
            <w:tcW w:w="1547" w:type="dxa"/>
            <w:gridSpan w:val="3"/>
            <w:vAlign w:val="top"/>
          </w:tcPr>
          <w:p w14:paraId="31C87E52">
            <w:pPr>
              <w:rPr>
                <w:rFonts w:ascii="Arial"/>
                <w:color w:val="auto"/>
                <w:sz w:val="21"/>
                <w:highlight w:val="none"/>
              </w:rPr>
            </w:pPr>
          </w:p>
        </w:tc>
        <w:tc>
          <w:tcPr>
            <w:tcW w:w="1544" w:type="dxa"/>
            <w:gridSpan w:val="2"/>
            <w:vAlign w:val="top"/>
          </w:tcPr>
          <w:p w14:paraId="4CE3ECC4">
            <w:pPr>
              <w:rPr>
                <w:rFonts w:ascii="Arial"/>
                <w:color w:val="auto"/>
                <w:sz w:val="21"/>
                <w:highlight w:val="none"/>
              </w:rPr>
            </w:pPr>
          </w:p>
        </w:tc>
      </w:tr>
      <w:tr w14:paraId="0A00C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553" w:type="dxa"/>
            <w:gridSpan w:val="3"/>
            <w:vAlign w:val="top"/>
          </w:tcPr>
          <w:p w14:paraId="472C9338">
            <w:pPr>
              <w:rPr>
                <w:rFonts w:ascii="Arial"/>
                <w:color w:val="auto"/>
                <w:sz w:val="21"/>
                <w:highlight w:val="none"/>
              </w:rPr>
            </w:pPr>
          </w:p>
        </w:tc>
        <w:tc>
          <w:tcPr>
            <w:tcW w:w="1549" w:type="dxa"/>
            <w:gridSpan w:val="2"/>
            <w:vAlign w:val="top"/>
          </w:tcPr>
          <w:p w14:paraId="4F9E90E4">
            <w:pPr>
              <w:rPr>
                <w:rFonts w:ascii="Arial"/>
                <w:color w:val="auto"/>
                <w:sz w:val="21"/>
                <w:highlight w:val="none"/>
              </w:rPr>
            </w:pPr>
          </w:p>
        </w:tc>
        <w:tc>
          <w:tcPr>
            <w:tcW w:w="1547" w:type="dxa"/>
            <w:gridSpan w:val="3"/>
            <w:vAlign w:val="top"/>
          </w:tcPr>
          <w:p w14:paraId="27D46EB9">
            <w:pPr>
              <w:rPr>
                <w:rFonts w:ascii="Arial"/>
                <w:color w:val="auto"/>
                <w:sz w:val="21"/>
                <w:highlight w:val="none"/>
              </w:rPr>
            </w:pPr>
          </w:p>
        </w:tc>
        <w:tc>
          <w:tcPr>
            <w:tcW w:w="1549" w:type="dxa"/>
            <w:gridSpan w:val="2"/>
            <w:vAlign w:val="top"/>
          </w:tcPr>
          <w:p w14:paraId="0A96B365">
            <w:pPr>
              <w:rPr>
                <w:rFonts w:ascii="Arial"/>
                <w:color w:val="auto"/>
                <w:sz w:val="21"/>
                <w:highlight w:val="none"/>
              </w:rPr>
            </w:pPr>
          </w:p>
        </w:tc>
        <w:tc>
          <w:tcPr>
            <w:tcW w:w="1547" w:type="dxa"/>
            <w:gridSpan w:val="3"/>
            <w:vAlign w:val="top"/>
          </w:tcPr>
          <w:p w14:paraId="7AE15CA7">
            <w:pPr>
              <w:rPr>
                <w:rFonts w:ascii="Arial"/>
                <w:color w:val="auto"/>
                <w:sz w:val="21"/>
                <w:highlight w:val="none"/>
              </w:rPr>
            </w:pPr>
          </w:p>
        </w:tc>
        <w:tc>
          <w:tcPr>
            <w:tcW w:w="1544" w:type="dxa"/>
            <w:gridSpan w:val="2"/>
            <w:vAlign w:val="top"/>
          </w:tcPr>
          <w:p w14:paraId="20080B8F">
            <w:pPr>
              <w:rPr>
                <w:rFonts w:ascii="Arial"/>
                <w:color w:val="auto"/>
                <w:sz w:val="21"/>
                <w:highlight w:val="none"/>
              </w:rPr>
            </w:pPr>
          </w:p>
        </w:tc>
      </w:tr>
    </w:tbl>
    <w:p w14:paraId="4BB2F0EB">
      <w:pPr>
        <w:pStyle w:val="2"/>
        <w:spacing w:line="343" w:lineRule="auto"/>
        <w:rPr>
          <w:color w:val="auto"/>
          <w:highlight w:val="none"/>
        </w:rPr>
      </w:pPr>
    </w:p>
    <w:p w14:paraId="46D582B6">
      <w:pPr>
        <w:spacing w:before="78" w:line="219" w:lineRule="auto"/>
        <w:ind w:left="60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附：1、专职安全生产管理人员身份证复印件</w:t>
      </w:r>
    </w:p>
    <w:p w14:paraId="2F25D745">
      <w:pPr>
        <w:spacing w:before="104" w:line="219" w:lineRule="auto"/>
        <w:ind w:left="1069"/>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2、职称证书复印件</w:t>
      </w:r>
      <w:r>
        <w:rPr>
          <w:rFonts w:ascii="宋体" w:hAnsi="宋体" w:eastAsia="宋体" w:cs="宋体"/>
          <w:color w:val="auto"/>
          <w:sz w:val="24"/>
          <w:szCs w:val="24"/>
          <w:highlight w:val="none"/>
        </w:rPr>
        <w:t>（如有）</w:t>
      </w:r>
    </w:p>
    <w:p w14:paraId="12B16CDB">
      <w:pPr>
        <w:spacing w:before="105" w:line="219" w:lineRule="auto"/>
        <w:ind w:left="107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3、社保缴纳证明（开标时间截止前近半年内连续三个月）</w:t>
      </w:r>
    </w:p>
    <w:p w14:paraId="4003BBD9">
      <w:pPr>
        <w:spacing w:line="219" w:lineRule="auto"/>
        <w:rPr>
          <w:rFonts w:ascii="宋体" w:hAnsi="宋体" w:eastAsia="宋体" w:cs="宋体"/>
          <w:color w:val="auto"/>
          <w:sz w:val="24"/>
          <w:szCs w:val="24"/>
          <w:highlight w:val="none"/>
        </w:rPr>
      </w:pPr>
    </w:p>
    <w:p w14:paraId="29C6159D">
      <w:pPr>
        <w:pStyle w:val="16"/>
        <w:rPr>
          <w:rFonts w:ascii="宋体" w:hAnsi="宋体" w:eastAsia="宋体" w:cs="宋体"/>
          <w:color w:val="auto"/>
          <w:sz w:val="24"/>
          <w:szCs w:val="24"/>
          <w:highlight w:val="none"/>
        </w:rPr>
      </w:pPr>
    </w:p>
    <w:p w14:paraId="0B24D0D5">
      <w:pPr>
        <w:spacing w:before="0" w:line="240" w:lineRule="auto"/>
        <w:ind w:left="0" w:right="0" w:firstLine="0"/>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除竞争性磋商文件规定必须提供以外，供应</w:t>
      </w:r>
      <w:r>
        <w:rPr>
          <w:rFonts w:ascii="宋体" w:hAnsi="宋体" w:eastAsia="宋体" w:cs="宋体"/>
          <w:b/>
          <w:bCs/>
          <w:color w:val="auto"/>
          <w:spacing w:val="4"/>
          <w:sz w:val="31"/>
          <w:szCs w:val="31"/>
          <w:highlight w:val="none"/>
        </w:rPr>
        <w:t>商认为</w:t>
      </w:r>
      <w:r>
        <w:rPr>
          <w:rFonts w:hint="eastAsia" w:ascii="宋体" w:hAnsi="宋体" w:eastAsia="宋体" w:cs="宋体"/>
          <w:b/>
          <w:bCs/>
          <w:color w:val="auto"/>
          <w:spacing w:val="4"/>
          <w:sz w:val="31"/>
          <w:szCs w:val="31"/>
          <w:highlight w:val="none"/>
          <w:lang w:eastAsia="zh-CN"/>
        </w:rPr>
        <w:t>技术</w:t>
      </w:r>
      <w:r>
        <w:rPr>
          <w:rFonts w:ascii="宋体" w:hAnsi="宋体" w:eastAsia="宋体" w:cs="宋体"/>
          <w:b/>
          <w:bCs/>
          <w:color w:val="auto"/>
          <w:spacing w:val="4"/>
          <w:sz w:val="31"/>
          <w:szCs w:val="31"/>
          <w:highlight w:val="none"/>
        </w:rPr>
        <w:t>需要提供的</w:t>
      </w:r>
      <w:r>
        <w:rPr>
          <w:rFonts w:ascii="宋体" w:hAnsi="宋体" w:eastAsia="宋体" w:cs="宋体"/>
          <w:b/>
          <w:bCs/>
          <w:color w:val="auto"/>
          <w:spacing w:val="5"/>
          <w:sz w:val="31"/>
          <w:szCs w:val="31"/>
          <w:highlight w:val="none"/>
        </w:rPr>
        <w:t>其他证明材料</w:t>
      </w:r>
    </w:p>
    <w:p w14:paraId="41E53CA7">
      <w:pPr>
        <w:pStyle w:val="2"/>
        <w:spacing w:line="250" w:lineRule="auto"/>
        <w:rPr>
          <w:color w:val="auto"/>
          <w:highlight w:val="none"/>
        </w:rPr>
      </w:pPr>
    </w:p>
    <w:p w14:paraId="54B6C119">
      <w:pPr>
        <w:pStyle w:val="2"/>
        <w:rPr>
          <w:rFonts w:ascii="宋体" w:hAnsi="宋体" w:eastAsia="宋体" w:cs="宋体"/>
          <w:color w:val="auto"/>
          <w:sz w:val="20"/>
          <w:szCs w:val="20"/>
          <w:highlight w:val="none"/>
        </w:rPr>
        <w:sectPr>
          <w:footerReference r:id="rId43" w:type="default"/>
          <w:pgSz w:w="11910" w:h="16840"/>
          <w:pgMar w:top="1357" w:right="966" w:bottom="1019" w:left="998" w:header="0" w:footer="857" w:gutter="0"/>
          <w:pgNumType w:fmt="decimal"/>
          <w:cols w:space="720" w:num="1"/>
        </w:sectPr>
      </w:pPr>
    </w:p>
    <w:p w14:paraId="54C02D5B">
      <w:pPr>
        <w:spacing w:before="64" w:line="223" w:lineRule="auto"/>
        <w:outlineLvl w:val="1"/>
        <w:rPr>
          <w:rFonts w:ascii="宋体" w:hAnsi="宋体" w:eastAsia="宋体" w:cs="宋体"/>
          <w:color w:val="auto"/>
          <w:sz w:val="31"/>
          <w:szCs w:val="31"/>
          <w:highlight w:val="none"/>
        </w:rPr>
      </w:pPr>
      <w:r>
        <w:rPr>
          <w:rFonts w:hint="eastAsia" w:ascii="宋体" w:hAnsi="宋体" w:eastAsia="宋体" w:cs="宋体"/>
          <w:b/>
          <w:bCs/>
          <w:color w:val="auto"/>
          <w:spacing w:val="6"/>
          <w:sz w:val="31"/>
          <w:szCs w:val="31"/>
          <w:highlight w:val="none"/>
          <w:lang w:eastAsia="zh-CN"/>
        </w:rPr>
        <w:t>四</w:t>
      </w:r>
      <w:r>
        <w:rPr>
          <w:rFonts w:ascii="宋体" w:hAnsi="宋体" w:eastAsia="宋体" w:cs="宋体"/>
          <w:b/>
          <w:bCs/>
          <w:color w:val="auto"/>
          <w:spacing w:val="6"/>
          <w:sz w:val="31"/>
          <w:szCs w:val="31"/>
          <w:highlight w:val="none"/>
        </w:rPr>
        <w:t>、报价文件格式</w:t>
      </w:r>
    </w:p>
    <w:p w14:paraId="0AB5620A">
      <w:pPr>
        <w:spacing w:before="263" w:line="223" w:lineRule="auto"/>
        <w:ind w:left="23"/>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1.报价文件封面格式</w:t>
      </w:r>
    </w:p>
    <w:p w14:paraId="4F0D7336">
      <w:pPr>
        <w:spacing w:before="245" w:line="227" w:lineRule="auto"/>
        <w:ind w:left="623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正本/副本</w:t>
      </w:r>
    </w:p>
    <w:p w14:paraId="56131F18">
      <w:pPr>
        <w:pStyle w:val="2"/>
        <w:spacing w:line="271" w:lineRule="auto"/>
        <w:rPr>
          <w:color w:val="auto"/>
          <w:highlight w:val="none"/>
        </w:rPr>
      </w:pPr>
    </w:p>
    <w:p w14:paraId="30A2A047">
      <w:pPr>
        <w:pStyle w:val="2"/>
        <w:spacing w:line="271" w:lineRule="auto"/>
        <w:rPr>
          <w:color w:val="auto"/>
          <w:highlight w:val="none"/>
        </w:rPr>
      </w:pPr>
    </w:p>
    <w:p w14:paraId="000CCC77">
      <w:pPr>
        <w:pStyle w:val="2"/>
        <w:spacing w:line="271" w:lineRule="auto"/>
        <w:rPr>
          <w:color w:val="auto"/>
          <w:highlight w:val="none"/>
        </w:rPr>
      </w:pPr>
    </w:p>
    <w:p w14:paraId="6A7D04A2">
      <w:pPr>
        <w:pStyle w:val="2"/>
        <w:spacing w:line="271" w:lineRule="auto"/>
        <w:rPr>
          <w:color w:val="auto"/>
          <w:highlight w:val="none"/>
        </w:rPr>
      </w:pPr>
    </w:p>
    <w:p w14:paraId="3AE19201">
      <w:pPr>
        <w:pStyle w:val="2"/>
        <w:spacing w:line="271" w:lineRule="auto"/>
        <w:rPr>
          <w:color w:val="auto"/>
          <w:highlight w:val="none"/>
        </w:rPr>
      </w:pPr>
    </w:p>
    <w:p w14:paraId="3D5C047B">
      <w:pPr>
        <w:pStyle w:val="2"/>
        <w:spacing w:line="271" w:lineRule="auto"/>
        <w:rPr>
          <w:color w:val="auto"/>
          <w:highlight w:val="none"/>
        </w:rPr>
      </w:pPr>
    </w:p>
    <w:p w14:paraId="7C75DAA2">
      <w:pPr>
        <w:spacing w:before="140" w:line="222" w:lineRule="auto"/>
        <w:ind w:left="2770"/>
        <w:rPr>
          <w:rFonts w:ascii="宋体" w:hAnsi="宋体" w:eastAsia="宋体" w:cs="宋体"/>
          <w:color w:val="auto"/>
          <w:sz w:val="43"/>
          <w:szCs w:val="43"/>
          <w:highlight w:val="none"/>
        </w:rPr>
      </w:pPr>
      <w:r>
        <w:rPr>
          <w:rFonts w:ascii="宋体" w:hAnsi="宋体" w:eastAsia="宋体" w:cs="宋体"/>
          <w:color w:val="auto"/>
          <w:spacing w:val="-7"/>
          <w:sz w:val="43"/>
          <w:szCs w:val="43"/>
          <w:highlight w:val="none"/>
        </w:rPr>
        <w:t>报</w:t>
      </w:r>
      <w:r>
        <w:rPr>
          <w:rFonts w:ascii="宋体" w:hAnsi="宋体" w:eastAsia="宋体" w:cs="宋体"/>
          <w:color w:val="auto"/>
          <w:spacing w:val="15"/>
          <w:sz w:val="43"/>
          <w:szCs w:val="43"/>
          <w:highlight w:val="none"/>
        </w:rPr>
        <w:t xml:space="preserve">  </w:t>
      </w:r>
      <w:r>
        <w:rPr>
          <w:rFonts w:ascii="宋体" w:hAnsi="宋体" w:eastAsia="宋体" w:cs="宋体"/>
          <w:color w:val="auto"/>
          <w:spacing w:val="-7"/>
          <w:sz w:val="43"/>
          <w:szCs w:val="43"/>
          <w:highlight w:val="none"/>
        </w:rPr>
        <w:t>价</w:t>
      </w:r>
      <w:r>
        <w:rPr>
          <w:rFonts w:ascii="宋体" w:hAnsi="宋体" w:eastAsia="宋体" w:cs="宋体"/>
          <w:color w:val="auto"/>
          <w:spacing w:val="16"/>
          <w:sz w:val="43"/>
          <w:szCs w:val="43"/>
          <w:highlight w:val="none"/>
        </w:rPr>
        <w:t xml:space="preserve">  </w:t>
      </w:r>
      <w:r>
        <w:rPr>
          <w:rFonts w:ascii="宋体" w:hAnsi="宋体" w:eastAsia="宋体" w:cs="宋体"/>
          <w:color w:val="auto"/>
          <w:spacing w:val="-7"/>
          <w:sz w:val="43"/>
          <w:szCs w:val="43"/>
          <w:highlight w:val="none"/>
        </w:rPr>
        <w:t>文</w:t>
      </w:r>
      <w:r>
        <w:rPr>
          <w:rFonts w:ascii="宋体" w:hAnsi="宋体" w:eastAsia="宋体" w:cs="宋体"/>
          <w:color w:val="auto"/>
          <w:spacing w:val="13"/>
          <w:sz w:val="43"/>
          <w:szCs w:val="43"/>
          <w:highlight w:val="none"/>
        </w:rPr>
        <w:t xml:space="preserve">  </w:t>
      </w:r>
      <w:r>
        <w:rPr>
          <w:rFonts w:ascii="宋体" w:hAnsi="宋体" w:eastAsia="宋体" w:cs="宋体"/>
          <w:color w:val="auto"/>
          <w:spacing w:val="-7"/>
          <w:sz w:val="43"/>
          <w:szCs w:val="43"/>
          <w:highlight w:val="none"/>
        </w:rPr>
        <w:t>件</w:t>
      </w:r>
    </w:p>
    <w:p w14:paraId="196FDF6D">
      <w:pPr>
        <w:pStyle w:val="2"/>
        <w:spacing w:line="248" w:lineRule="auto"/>
        <w:rPr>
          <w:color w:val="auto"/>
          <w:highlight w:val="none"/>
        </w:rPr>
      </w:pPr>
    </w:p>
    <w:p w14:paraId="55691236">
      <w:pPr>
        <w:pStyle w:val="2"/>
        <w:spacing w:line="248" w:lineRule="auto"/>
        <w:rPr>
          <w:color w:val="auto"/>
          <w:highlight w:val="none"/>
        </w:rPr>
      </w:pPr>
    </w:p>
    <w:p w14:paraId="6CDA263F">
      <w:pPr>
        <w:pStyle w:val="2"/>
        <w:spacing w:line="248" w:lineRule="auto"/>
        <w:rPr>
          <w:color w:val="auto"/>
          <w:highlight w:val="none"/>
        </w:rPr>
      </w:pPr>
    </w:p>
    <w:p w14:paraId="3C7EE773">
      <w:pPr>
        <w:pStyle w:val="2"/>
        <w:spacing w:line="248" w:lineRule="auto"/>
        <w:rPr>
          <w:color w:val="auto"/>
          <w:highlight w:val="none"/>
        </w:rPr>
      </w:pPr>
    </w:p>
    <w:p w14:paraId="4AEDBFEC">
      <w:pPr>
        <w:pStyle w:val="2"/>
        <w:spacing w:line="248" w:lineRule="auto"/>
        <w:rPr>
          <w:color w:val="auto"/>
          <w:highlight w:val="none"/>
        </w:rPr>
      </w:pPr>
    </w:p>
    <w:p w14:paraId="2F0EE390">
      <w:pPr>
        <w:pStyle w:val="2"/>
        <w:spacing w:line="248" w:lineRule="auto"/>
        <w:rPr>
          <w:color w:val="auto"/>
          <w:highlight w:val="none"/>
        </w:rPr>
      </w:pPr>
    </w:p>
    <w:p w14:paraId="2AEE9C73">
      <w:pPr>
        <w:pStyle w:val="2"/>
        <w:spacing w:line="248" w:lineRule="auto"/>
        <w:rPr>
          <w:color w:val="auto"/>
          <w:highlight w:val="none"/>
        </w:rPr>
      </w:pPr>
    </w:p>
    <w:p w14:paraId="7D64F48A">
      <w:pPr>
        <w:pStyle w:val="2"/>
        <w:spacing w:line="248" w:lineRule="auto"/>
        <w:rPr>
          <w:color w:val="auto"/>
          <w:highlight w:val="none"/>
        </w:rPr>
      </w:pPr>
    </w:p>
    <w:p w14:paraId="3474C374">
      <w:pPr>
        <w:pStyle w:val="2"/>
        <w:spacing w:line="248" w:lineRule="auto"/>
        <w:rPr>
          <w:color w:val="auto"/>
          <w:highlight w:val="none"/>
        </w:rPr>
      </w:pPr>
    </w:p>
    <w:p w14:paraId="3DF785AB">
      <w:pPr>
        <w:pStyle w:val="2"/>
        <w:spacing w:line="248" w:lineRule="auto"/>
        <w:rPr>
          <w:color w:val="auto"/>
          <w:highlight w:val="none"/>
        </w:rPr>
      </w:pPr>
    </w:p>
    <w:p w14:paraId="3ACB573E">
      <w:pPr>
        <w:pStyle w:val="2"/>
        <w:spacing w:line="248" w:lineRule="auto"/>
        <w:rPr>
          <w:color w:val="auto"/>
          <w:highlight w:val="none"/>
        </w:rPr>
      </w:pPr>
    </w:p>
    <w:p w14:paraId="0DF5D294">
      <w:pPr>
        <w:spacing w:before="101" w:line="225" w:lineRule="auto"/>
        <w:ind w:left="645"/>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项目名称：</w:t>
      </w:r>
    </w:p>
    <w:p w14:paraId="4CB91B36">
      <w:pPr>
        <w:pStyle w:val="2"/>
        <w:spacing w:line="264" w:lineRule="auto"/>
        <w:rPr>
          <w:color w:val="auto"/>
          <w:highlight w:val="none"/>
        </w:rPr>
      </w:pPr>
    </w:p>
    <w:p w14:paraId="64C370D0">
      <w:pPr>
        <w:pStyle w:val="2"/>
        <w:spacing w:line="264" w:lineRule="auto"/>
        <w:rPr>
          <w:color w:val="auto"/>
          <w:highlight w:val="none"/>
        </w:rPr>
      </w:pPr>
    </w:p>
    <w:p w14:paraId="2F6E7D78">
      <w:pPr>
        <w:pStyle w:val="2"/>
        <w:spacing w:line="264" w:lineRule="auto"/>
        <w:rPr>
          <w:color w:val="auto"/>
          <w:highlight w:val="none"/>
        </w:rPr>
      </w:pPr>
    </w:p>
    <w:p w14:paraId="33E2EED4">
      <w:pPr>
        <w:spacing w:before="100" w:line="225" w:lineRule="auto"/>
        <w:ind w:left="645"/>
        <w:rPr>
          <w:rFonts w:ascii="宋体" w:hAnsi="宋体" w:eastAsia="宋体" w:cs="宋体"/>
          <w:color w:val="auto"/>
          <w:sz w:val="31"/>
          <w:szCs w:val="31"/>
          <w:highlight w:val="none"/>
        </w:rPr>
      </w:pPr>
      <w:r>
        <w:rPr>
          <w:rFonts w:ascii="宋体" w:hAnsi="宋体" w:eastAsia="宋体" w:cs="宋体"/>
          <w:color w:val="auto"/>
          <w:spacing w:val="4"/>
          <w:sz w:val="31"/>
          <w:szCs w:val="31"/>
          <w:highlight w:val="none"/>
        </w:rPr>
        <w:t>项目编号：</w:t>
      </w:r>
    </w:p>
    <w:p w14:paraId="2202967F">
      <w:pPr>
        <w:pStyle w:val="2"/>
        <w:spacing w:line="264" w:lineRule="auto"/>
        <w:rPr>
          <w:color w:val="auto"/>
          <w:highlight w:val="none"/>
        </w:rPr>
      </w:pPr>
    </w:p>
    <w:p w14:paraId="1A32FB9C">
      <w:pPr>
        <w:pStyle w:val="2"/>
        <w:spacing w:line="265" w:lineRule="auto"/>
        <w:rPr>
          <w:color w:val="auto"/>
          <w:highlight w:val="none"/>
        </w:rPr>
      </w:pPr>
    </w:p>
    <w:p w14:paraId="5AE6EABD">
      <w:pPr>
        <w:pStyle w:val="2"/>
        <w:spacing w:line="265" w:lineRule="auto"/>
        <w:rPr>
          <w:color w:val="auto"/>
          <w:highlight w:val="none"/>
        </w:rPr>
      </w:pPr>
    </w:p>
    <w:p w14:paraId="7C54D2D4">
      <w:pPr>
        <w:spacing w:before="102" w:line="225" w:lineRule="auto"/>
        <w:jc w:val="right"/>
        <w:rPr>
          <w:rFonts w:ascii="宋体" w:hAnsi="宋体" w:eastAsia="宋体" w:cs="宋体"/>
          <w:color w:val="auto"/>
          <w:sz w:val="31"/>
          <w:szCs w:val="31"/>
          <w:highlight w:val="none"/>
        </w:rPr>
      </w:pPr>
      <w:r>
        <w:rPr>
          <w:rFonts w:ascii="宋体" w:hAnsi="宋体" w:eastAsia="宋体" w:cs="宋体"/>
          <w:color w:val="auto"/>
          <w:spacing w:val="2"/>
          <w:sz w:val="31"/>
          <w:szCs w:val="31"/>
          <w:highlight w:val="none"/>
        </w:rPr>
        <w:t>所竞分标（如有则填写，无分标时填写“无</w:t>
      </w:r>
      <w:r>
        <w:rPr>
          <w:rFonts w:ascii="宋体" w:hAnsi="宋体" w:eastAsia="宋体" w:cs="宋体"/>
          <w:color w:val="auto"/>
          <w:spacing w:val="-109"/>
          <w:sz w:val="31"/>
          <w:szCs w:val="31"/>
          <w:highlight w:val="none"/>
        </w:rPr>
        <w:t xml:space="preserve"> </w:t>
      </w:r>
      <w:r>
        <w:rPr>
          <w:rFonts w:ascii="宋体" w:hAnsi="宋体" w:eastAsia="宋体" w:cs="宋体"/>
          <w:color w:val="auto"/>
          <w:spacing w:val="2"/>
          <w:sz w:val="31"/>
          <w:szCs w:val="31"/>
          <w:highlight w:val="none"/>
        </w:rPr>
        <w:t>”或者</w:t>
      </w:r>
      <w:r>
        <w:rPr>
          <w:rFonts w:ascii="宋体" w:hAnsi="宋体" w:eastAsia="宋体" w:cs="宋体"/>
          <w:color w:val="auto"/>
          <w:spacing w:val="1"/>
          <w:sz w:val="31"/>
          <w:szCs w:val="31"/>
          <w:highlight w:val="none"/>
        </w:rPr>
        <w:t>留空</w:t>
      </w:r>
      <w:r>
        <w:rPr>
          <w:rFonts w:ascii="宋体" w:hAnsi="宋体" w:eastAsia="宋体" w:cs="宋体"/>
          <w:color w:val="auto"/>
          <w:spacing w:val="-53"/>
          <w:sz w:val="31"/>
          <w:szCs w:val="31"/>
          <w:highlight w:val="none"/>
        </w:rPr>
        <w:t>）：</w:t>
      </w:r>
    </w:p>
    <w:p w14:paraId="06AB5685">
      <w:pPr>
        <w:pStyle w:val="2"/>
        <w:spacing w:line="241" w:lineRule="auto"/>
        <w:rPr>
          <w:color w:val="auto"/>
          <w:highlight w:val="none"/>
        </w:rPr>
      </w:pPr>
    </w:p>
    <w:p w14:paraId="489B9C15">
      <w:pPr>
        <w:pStyle w:val="2"/>
        <w:spacing w:line="242" w:lineRule="auto"/>
        <w:rPr>
          <w:color w:val="auto"/>
          <w:highlight w:val="none"/>
        </w:rPr>
      </w:pPr>
    </w:p>
    <w:p w14:paraId="691F6B4D">
      <w:pPr>
        <w:pStyle w:val="2"/>
        <w:spacing w:line="242" w:lineRule="auto"/>
        <w:rPr>
          <w:color w:val="auto"/>
          <w:highlight w:val="none"/>
        </w:rPr>
      </w:pPr>
    </w:p>
    <w:p w14:paraId="6086619B">
      <w:pPr>
        <w:spacing w:before="101" w:line="224" w:lineRule="auto"/>
        <w:ind w:left="640"/>
        <w:rPr>
          <w:rFonts w:ascii="宋体" w:hAnsi="宋体" w:eastAsia="宋体" w:cs="宋体"/>
          <w:color w:val="auto"/>
          <w:sz w:val="31"/>
          <w:szCs w:val="31"/>
          <w:highlight w:val="none"/>
        </w:rPr>
      </w:pPr>
      <w:r>
        <w:rPr>
          <w:rFonts w:ascii="宋体" w:hAnsi="宋体" w:eastAsia="宋体" w:cs="宋体"/>
          <w:color w:val="auto"/>
          <w:spacing w:val="5"/>
          <w:sz w:val="31"/>
          <w:szCs w:val="31"/>
          <w:highlight w:val="none"/>
        </w:rPr>
        <w:t>供应商名称：</w:t>
      </w:r>
    </w:p>
    <w:p w14:paraId="75329C62">
      <w:pPr>
        <w:pStyle w:val="2"/>
        <w:spacing w:line="265" w:lineRule="auto"/>
        <w:rPr>
          <w:color w:val="auto"/>
          <w:highlight w:val="none"/>
        </w:rPr>
      </w:pPr>
    </w:p>
    <w:p w14:paraId="499BF062">
      <w:pPr>
        <w:pStyle w:val="2"/>
        <w:spacing w:line="265" w:lineRule="auto"/>
        <w:rPr>
          <w:color w:val="auto"/>
          <w:highlight w:val="none"/>
        </w:rPr>
      </w:pPr>
    </w:p>
    <w:p w14:paraId="460CBD91">
      <w:pPr>
        <w:pStyle w:val="2"/>
        <w:spacing w:line="265" w:lineRule="auto"/>
        <w:rPr>
          <w:color w:val="auto"/>
          <w:highlight w:val="none"/>
        </w:rPr>
      </w:pPr>
    </w:p>
    <w:p w14:paraId="1B050391">
      <w:pPr>
        <w:pStyle w:val="2"/>
        <w:spacing w:line="265" w:lineRule="auto"/>
        <w:rPr>
          <w:color w:val="auto"/>
          <w:highlight w:val="none"/>
        </w:rPr>
      </w:pPr>
    </w:p>
    <w:p w14:paraId="583D473F">
      <w:pPr>
        <w:pStyle w:val="2"/>
        <w:spacing w:line="265" w:lineRule="auto"/>
        <w:rPr>
          <w:color w:val="auto"/>
          <w:highlight w:val="none"/>
        </w:rPr>
      </w:pPr>
    </w:p>
    <w:p w14:paraId="7229508A">
      <w:pPr>
        <w:pStyle w:val="2"/>
        <w:spacing w:line="265" w:lineRule="auto"/>
        <w:rPr>
          <w:color w:val="auto"/>
          <w:highlight w:val="none"/>
        </w:rPr>
      </w:pPr>
    </w:p>
    <w:p w14:paraId="7675431A">
      <w:pPr>
        <w:pStyle w:val="2"/>
        <w:spacing w:line="266" w:lineRule="auto"/>
        <w:rPr>
          <w:color w:val="auto"/>
          <w:highlight w:val="none"/>
        </w:rPr>
      </w:pPr>
    </w:p>
    <w:p w14:paraId="565DE1A9">
      <w:pPr>
        <w:spacing w:before="101" w:line="225" w:lineRule="auto"/>
        <w:ind w:left="3190"/>
        <w:rPr>
          <w:rFonts w:ascii="宋体" w:hAnsi="宋体" w:eastAsia="宋体" w:cs="宋体"/>
          <w:color w:val="auto"/>
          <w:sz w:val="31"/>
          <w:szCs w:val="31"/>
          <w:highlight w:val="none"/>
        </w:rPr>
      </w:pPr>
      <w:r>
        <w:rPr>
          <w:rFonts w:ascii="宋体" w:hAnsi="宋体" w:eastAsia="宋体" w:cs="宋体"/>
          <w:color w:val="auto"/>
          <w:spacing w:val="-6"/>
          <w:sz w:val="31"/>
          <w:szCs w:val="31"/>
          <w:highlight w:val="none"/>
        </w:rPr>
        <w:t>年</w:t>
      </w:r>
      <w:r>
        <w:rPr>
          <w:rFonts w:ascii="宋体" w:hAnsi="宋体" w:eastAsia="宋体" w:cs="宋体"/>
          <w:color w:val="auto"/>
          <w:spacing w:val="10"/>
          <w:sz w:val="31"/>
          <w:szCs w:val="31"/>
          <w:highlight w:val="none"/>
        </w:rPr>
        <w:t xml:space="preserve">    </w:t>
      </w:r>
      <w:r>
        <w:rPr>
          <w:rFonts w:ascii="宋体" w:hAnsi="宋体" w:eastAsia="宋体" w:cs="宋体"/>
          <w:color w:val="auto"/>
          <w:spacing w:val="-6"/>
          <w:sz w:val="31"/>
          <w:szCs w:val="31"/>
          <w:highlight w:val="none"/>
        </w:rPr>
        <w:t>月</w:t>
      </w:r>
      <w:r>
        <w:rPr>
          <w:rFonts w:ascii="宋体" w:hAnsi="宋体" w:eastAsia="宋体" w:cs="宋体"/>
          <w:color w:val="auto"/>
          <w:spacing w:val="22"/>
          <w:sz w:val="31"/>
          <w:szCs w:val="31"/>
          <w:highlight w:val="none"/>
        </w:rPr>
        <w:t xml:space="preserve">    </w:t>
      </w:r>
      <w:r>
        <w:rPr>
          <w:rFonts w:ascii="宋体" w:hAnsi="宋体" w:eastAsia="宋体" w:cs="宋体"/>
          <w:color w:val="auto"/>
          <w:spacing w:val="-6"/>
          <w:sz w:val="31"/>
          <w:szCs w:val="31"/>
          <w:highlight w:val="none"/>
        </w:rPr>
        <w:t>日</w:t>
      </w:r>
    </w:p>
    <w:p w14:paraId="5FCF4E64">
      <w:pPr>
        <w:spacing w:line="225" w:lineRule="auto"/>
        <w:rPr>
          <w:rFonts w:ascii="宋体" w:hAnsi="宋体" w:eastAsia="宋体" w:cs="宋体"/>
          <w:color w:val="auto"/>
          <w:sz w:val="31"/>
          <w:szCs w:val="31"/>
          <w:highlight w:val="none"/>
        </w:rPr>
        <w:sectPr>
          <w:footerReference r:id="rId44" w:type="default"/>
          <w:pgSz w:w="11910" w:h="16840"/>
          <w:pgMar w:top="1357" w:right="1548" w:bottom="1019" w:left="1673" w:header="0" w:footer="857" w:gutter="0"/>
          <w:pgNumType w:fmt="decimal"/>
          <w:cols w:space="720" w:num="1"/>
        </w:sectPr>
      </w:pPr>
    </w:p>
    <w:p w14:paraId="10580838">
      <w:pPr>
        <w:spacing w:before="64" w:line="223" w:lineRule="auto"/>
        <w:rPr>
          <w:rFonts w:ascii="宋体" w:hAnsi="宋体" w:eastAsia="宋体" w:cs="宋体"/>
          <w:color w:val="auto"/>
          <w:sz w:val="31"/>
          <w:szCs w:val="31"/>
          <w:highlight w:val="none"/>
        </w:rPr>
      </w:pPr>
      <w:r>
        <w:rPr>
          <w:rFonts w:ascii="宋体" w:hAnsi="宋体" w:eastAsia="宋体" w:cs="宋体"/>
          <w:b/>
          <w:bCs/>
          <w:color w:val="auto"/>
          <w:spacing w:val="4"/>
          <w:sz w:val="31"/>
          <w:szCs w:val="31"/>
          <w:highlight w:val="none"/>
        </w:rPr>
        <w:t>2.报价文件目录</w:t>
      </w:r>
    </w:p>
    <w:p w14:paraId="39991BD8">
      <w:pPr>
        <w:spacing w:before="194" w:line="294" w:lineRule="auto"/>
        <w:ind w:firstLine="636"/>
        <w:rPr>
          <w:rFonts w:ascii="宋体" w:hAnsi="宋体" w:eastAsia="宋体" w:cs="宋体"/>
          <w:color w:val="auto"/>
          <w:sz w:val="31"/>
          <w:szCs w:val="31"/>
          <w:highlight w:val="none"/>
        </w:rPr>
      </w:pPr>
      <w:r>
        <w:rPr>
          <w:rFonts w:ascii="宋体" w:hAnsi="宋体" w:eastAsia="宋体" w:cs="宋体"/>
          <w:color w:val="auto"/>
          <w:spacing w:val="8"/>
          <w:sz w:val="31"/>
          <w:szCs w:val="31"/>
          <w:highlight w:val="none"/>
        </w:rPr>
        <w:t>根据磋商文件规定及供应商提供的材料自行编写目录（部</w:t>
      </w:r>
      <w:r>
        <w:rPr>
          <w:rFonts w:ascii="宋体" w:hAnsi="宋体" w:eastAsia="宋体" w:cs="宋体"/>
          <w:color w:val="auto"/>
          <w:spacing w:val="4"/>
          <w:sz w:val="31"/>
          <w:szCs w:val="31"/>
          <w:highlight w:val="none"/>
        </w:rPr>
        <w:t>分格式后附）。</w:t>
      </w:r>
    </w:p>
    <w:p w14:paraId="38C057D2">
      <w:pPr>
        <w:spacing w:line="294" w:lineRule="auto"/>
        <w:rPr>
          <w:rFonts w:ascii="宋体" w:hAnsi="宋体" w:eastAsia="宋体" w:cs="宋体"/>
          <w:color w:val="auto"/>
          <w:sz w:val="31"/>
          <w:szCs w:val="31"/>
          <w:highlight w:val="none"/>
        </w:rPr>
        <w:sectPr>
          <w:footerReference r:id="rId45" w:type="default"/>
          <w:pgSz w:w="11910" w:h="16840"/>
          <w:pgMar w:top="1427" w:right="1630" w:bottom="1019" w:left="1677" w:header="0" w:footer="857" w:gutter="0"/>
          <w:pgNumType w:fmt="decimal"/>
          <w:cols w:space="720" w:num="1"/>
        </w:sectPr>
      </w:pPr>
    </w:p>
    <w:p w14:paraId="24408632">
      <w:pPr>
        <w:spacing w:before="63" w:line="226" w:lineRule="auto"/>
        <w:ind w:left="3849"/>
        <w:rPr>
          <w:rFonts w:ascii="宋体" w:hAnsi="宋体" w:eastAsia="宋体" w:cs="宋体"/>
          <w:color w:val="auto"/>
          <w:sz w:val="31"/>
          <w:szCs w:val="31"/>
          <w:highlight w:val="none"/>
        </w:rPr>
      </w:pPr>
      <w:r>
        <w:rPr>
          <w:rFonts w:ascii="宋体" w:hAnsi="宋体" w:eastAsia="宋体" w:cs="宋体"/>
          <w:b/>
          <w:bCs/>
          <w:color w:val="auto"/>
          <w:spacing w:val="-3"/>
          <w:sz w:val="31"/>
          <w:szCs w:val="31"/>
          <w:highlight w:val="none"/>
        </w:rPr>
        <w:t>响应函</w:t>
      </w:r>
    </w:p>
    <w:p w14:paraId="07C20BBF">
      <w:pPr>
        <w:pStyle w:val="2"/>
        <w:spacing w:line="257" w:lineRule="auto"/>
        <w:rPr>
          <w:color w:val="auto"/>
          <w:highlight w:val="none"/>
        </w:rPr>
      </w:pPr>
    </w:p>
    <w:p w14:paraId="0155998C">
      <w:pPr>
        <w:pStyle w:val="2"/>
        <w:spacing w:line="257" w:lineRule="auto"/>
        <w:rPr>
          <w:color w:val="auto"/>
          <w:highlight w:val="none"/>
        </w:rPr>
      </w:pPr>
    </w:p>
    <w:p w14:paraId="1C099754">
      <w:pPr>
        <w:spacing w:before="65" w:line="309" w:lineRule="auto"/>
        <w:ind w:right="77" w:firstLine="43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1、根据你方项目项目编号为</w:t>
      </w:r>
      <w:r>
        <w:rPr>
          <w:rFonts w:ascii="宋体" w:hAnsi="宋体" w:eastAsia="宋体" w:cs="宋体"/>
          <w:color w:val="auto"/>
          <w:spacing w:val="5"/>
          <w:sz w:val="20"/>
          <w:szCs w:val="20"/>
          <w:highlight w:val="none"/>
          <w:u w:val="single" w:color="auto"/>
        </w:rPr>
        <w:t xml:space="preserve">        （项目招标编号）  </w:t>
      </w:r>
      <w:r>
        <w:rPr>
          <w:rFonts w:ascii="宋体" w:hAnsi="宋体" w:eastAsia="宋体" w:cs="宋体"/>
          <w:color w:val="auto"/>
          <w:spacing w:val="-75"/>
          <w:sz w:val="20"/>
          <w:szCs w:val="20"/>
          <w:highlight w:val="none"/>
        </w:rPr>
        <w:t xml:space="preserve"> </w:t>
      </w:r>
      <w:r>
        <w:rPr>
          <w:rFonts w:ascii="宋体" w:hAnsi="宋体" w:eastAsia="宋体" w:cs="宋体"/>
          <w:color w:val="auto"/>
          <w:spacing w:val="5"/>
          <w:sz w:val="20"/>
          <w:szCs w:val="20"/>
          <w:highlight w:val="none"/>
        </w:rPr>
        <w:t>的</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4"/>
          <w:sz w:val="20"/>
          <w:szCs w:val="20"/>
          <w:highlight w:val="none"/>
          <w:u w:val="single" w:color="auto"/>
        </w:rPr>
        <w:t xml:space="preserve">   （项目名称）  </w:t>
      </w:r>
      <w:r>
        <w:rPr>
          <w:rFonts w:ascii="宋体" w:hAnsi="宋体" w:eastAsia="宋体" w:cs="宋体"/>
          <w:color w:val="auto"/>
          <w:spacing w:val="-89"/>
          <w:sz w:val="20"/>
          <w:szCs w:val="20"/>
          <w:highlight w:val="none"/>
        </w:rPr>
        <w:t xml:space="preserve"> </w:t>
      </w:r>
      <w:r>
        <w:rPr>
          <w:rFonts w:ascii="宋体" w:hAnsi="宋体" w:eastAsia="宋体" w:cs="宋体"/>
          <w:color w:val="auto"/>
          <w:spacing w:val="4"/>
          <w:sz w:val="20"/>
          <w:szCs w:val="20"/>
          <w:highlight w:val="none"/>
        </w:rPr>
        <w:t>竞争</w:t>
      </w:r>
      <w:r>
        <w:rPr>
          <w:rFonts w:ascii="宋体" w:hAnsi="宋体" w:eastAsia="宋体" w:cs="宋体"/>
          <w:color w:val="auto"/>
          <w:spacing w:val="10"/>
          <w:sz w:val="20"/>
          <w:szCs w:val="20"/>
          <w:highlight w:val="none"/>
        </w:rPr>
        <w:t>性磋商采购文件，遵照《中华人民共和国政府采购法》等有关规定，研</w:t>
      </w:r>
      <w:r>
        <w:rPr>
          <w:rFonts w:ascii="宋体" w:hAnsi="宋体" w:eastAsia="宋体" w:cs="宋体"/>
          <w:color w:val="auto"/>
          <w:spacing w:val="9"/>
          <w:sz w:val="20"/>
          <w:szCs w:val="20"/>
          <w:highlight w:val="none"/>
        </w:rPr>
        <w:t>究上述招标文件的供应</w:t>
      </w:r>
      <w:r>
        <w:rPr>
          <w:rFonts w:ascii="宋体" w:hAnsi="宋体" w:eastAsia="宋体" w:cs="宋体"/>
          <w:color w:val="auto"/>
          <w:spacing w:val="5"/>
          <w:sz w:val="20"/>
          <w:szCs w:val="20"/>
          <w:highlight w:val="none"/>
        </w:rPr>
        <w:t>商须知、合同条款、图纸、工程建设标准和工程量清单及其他有关文件后，我方愿以人民币（大</w:t>
      </w:r>
      <w:r>
        <w:rPr>
          <w:rFonts w:ascii="宋体" w:hAnsi="宋体" w:eastAsia="宋体" w:cs="宋体"/>
          <w:color w:val="auto"/>
          <w:spacing w:val="7"/>
          <w:sz w:val="20"/>
          <w:szCs w:val="20"/>
          <w:highlight w:val="none"/>
        </w:rPr>
        <w:t>写）</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83"/>
          <w:sz w:val="20"/>
          <w:szCs w:val="20"/>
          <w:highlight w:val="none"/>
        </w:rPr>
        <w:t xml:space="preserve"> </w:t>
      </w:r>
      <w:r>
        <w:rPr>
          <w:rFonts w:ascii="宋体" w:hAnsi="宋体" w:eastAsia="宋体" w:cs="宋体"/>
          <w:color w:val="auto"/>
          <w:spacing w:val="7"/>
          <w:sz w:val="20"/>
          <w:szCs w:val="20"/>
          <w:highlight w:val="none"/>
        </w:rPr>
        <w:t>元 (￥</w:t>
      </w:r>
      <w:r>
        <w:rPr>
          <w:rFonts w:ascii="宋体" w:hAnsi="宋体" w:eastAsia="宋体" w:cs="宋体"/>
          <w:color w:val="auto"/>
          <w:spacing w:val="-77"/>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1"/>
          <w:sz w:val="20"/>
          <w:szCs w:val="20"/>
          <w:highlight w:val="none"/>
        </w:rPr>
        <w:t xml:space="preserve"> </w:t>
      </w:r>
      <w:r>
        <w:rPr>
          <w:rFonts w:ascii="宋体" w:hAnsi="宋体" w:eastAsia="宋体" w:cs="宋体"/>
          <w:color w:val="auto"/>
          <w:spacing w:val="7"/>
          <w:sz w:val="20"/>
          <w:szCs w:val="20"/>
          <w:highlight w:val="none"/>
        </w:rPr>
        <w:t>元）的报价并按上述图纸、合同条款、工程建设标准和工</w:t>
      </w:r>
      <w:r>
        <w:rPr>
          <w:rFonts w:ascii="宋体" w:hAnsi="宋体" w:eastAsia="宋体" w:cs="宋体"/>
          <w:color w:val="auto"/>
          <w:spacing w:val="10"/>
          <w:sz w:val="20"/>
          <w:szCs w:val="20"/>
          <w:highlight w:val="none"/>
        </w:rPr>
        <w:t>程量清单（如有时）的条件要求承包上述工程的施工、竣工，并承担任何质量缺陷保修责任。</w:t>
      </w:r>
      <w:r>
        <w:rPr>
          <w:rFonts w:ascii="宋体" w:hAnsi="宋体" w:eastAsia="宋体" w:cs="宋体"/>
          <w:color w:val="auto"/>
          <w:spacing w:val="7"/>
          <w:sz w:val="20"/>
          <w:szCs w:val="20"/>
          <w:highlight w:val="none"/>
        </w:rPr>
        <w:t>我方保证工程质量达到</w:t>
      </w:r>
      <w:r>
        <w:rPr>
          <w:rFonts w:ascii="宋体" w:hAnsi="宋体" w:eastAsia="宋体" w:cs="宋体"/>
          <w:color w:val="auto"/>
          <w:spacing w:val="-93"/>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7"/>
          <w:sz w:val="20"/>
          <w:szCs w:val="20"/>
          <w:highlight w:val="none"/>
        </w:rPr>
        <w:t>等级。</w:t>
      </w:r>
    </w:p>
    <w:p w14:paraId="4902743E">
      <w:pPr>
        <w:spacing w:before="32" w:line="227" w:lineRule="auto"/>
        <w:ind w:left="423"/>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2、我方已详细审核全部竞争性磋商文件，包括修改文件（如有时）及有关附件。</w:t>
      </w:r>
    </w:p>
    <w:p w14:paraId="6C38C705">
      <w:pPr>
        <w:spacing w:before="95" w:line="226" w:lineRule="auto"/>
        <w:ind w:left="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3、我方承认报价函附录是我方报价函的组成部分。</w:t>
      </w:r>
    </w:p>
    <w:p w14:paraId="0C946A38">
      <w:pPr>
        <w:spacing w:before="95" w:line="227" w:lineRule="auto"/>
        <w:jc w:val="right"/>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4、一旦我方成交，我方保证按合同书中规定的工期</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2"/>
          <w:sz w:val="20"/>
          <w:szCs w:val="20"/>
          <w:highlight w:val="none"/>
        </w:rPr>
        <w:t>日历天内完成并移交全部工程。</w:t>
      </w:r>
    </w:p>
    <w:p w14:paraId="25CCBB4B">
      <w:pPr>
        <w:spacing w:before="95" w:line="228" w:lineRule="auto"/>
        <w:ind w:left="425"/>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5、如果我方中标，我方将按照文件规定提交履约保证金作为履约担保。</w:t>
      </w:r>
    </w:p>
    <w:p w14:paraId="4DA652F1">
      <w:pPr>
        <w:spacing w:before="92" w:line="271" w:lineRule="auto"/>
        <w:ind w:left="3" w:right="80" w:firstLine="41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6、我方同意所提交的响应文件在竞争性磋商采购文件的“供应商须知</w:t>
      </w:r>
      <w:r>
        <w:rPr>
          <w:rFonts w:ascii="宋体" w:hAnsi="宋体" w:eastAsia="宋体" w:cs="宋体"/>
          <w:color w:val="auto"/>
          <w:spacing w:val="-55"/>
          <w:sz w:val="20"/>
          <w:szCs w:val="20"/>
          <w:highlight w:val="none"/>
        </w:rPr>
        <w:t xml:space="preserve"> </w:t>
      </w:r>
      <w:r>
        <w:rPr>
          <w:rFonts w:ascii="宋体" w:hAnsi="宋体" w:eastAsia="宋体" w:cs="宋体"/>
          <w:color w:val="auto"/>
          <w:spacing w:val="6"/>
          <w:sz w:val="20"/>
          <w:szCs w:val="20"/>
          <w:highlight w:val="none"/>
        </w:rPr>
        <w:t>”中规定的投标有效</w:t>
      </w:r>
      <w:r>
        <w:rPr>
          <w:rFonts w:ascii="宋体" w:hAnsi="宋体" w:eastAsia="宋体" w:cs="宋体"/>
          <w:color w:val="auto"/>
          <w:spacing w:val="9"/>
          <w:sz w:val="20"/>
          <w:szCs w:val="20"/>
          <w:highlight w:val="none"/>
        </w:rPr>
        <w:t>期内有效，在此期间内如果成交，我方将受此约</w:t>
      </w:r>
      <w:r>
        <w:rPr>
          <w:rFonts w:ascii="宋体" w:hAnsi="宋体" w:eastAsia="宋体" w:cs="宋体"/>
          <w:color w:val="auto"/>
          <w:spacing w:val="8"/>
          <w:sz w:val="20"/>
          <w:szCs w:val="20"/>
          <w:highlight w:val="none"/>
        </w:rPr>
        <w:t>束。</w:t>
      </w:r>
    </w:p>
    <w:p w14:paraId="03B8E6B1">
      <w:pPr>
        <w:spacing w:before="94" w:line="271" w:lineRule="auto"/>
        <w:ind w:left="17" w:right="77" w:firstLine="40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7、除非另外达成协议并生效，你方的成交通知书和本响应文件将成为约束双方的合同文件</w:t>
      </w:r>
      <w:r>
        <w:rPr>
          <w:rFonts w:ascii="宋体" w:hAnsi="宋体" w:eastAsia="宋体" w:cs="宋体"/>
          <w:color w:val="auto"/>
          <w:spacing w:val="3"/>
          <w:sz w:val="20"/>
          <w:szCs w:val="20"/>
          <w:highlight w:val="none"/>
        </w:rPr>
        <w:t>的组成部分。</w:t>
      </w:r>
    </w:p>
    <w:p w14:paraId="003570C6">
      <w:pPr>
        <w:spacing w:before="95" w:line="271" w:lineRule="auto"/>
        <w:ind w:left="1"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8、我方将与本磋商标函一起，提交无条件保函（保证额度</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8"/>
          <w:sz w:val="20"/>
          <w:szCs w:val="20"/>
          <w:highlight w:val="none"/>
        </w:rPr>
        <w:t xml:space="preserve"> </w:t>
      </w:r>
      <w:r>
        <w:rPr>
          <w:rFonts w:ascii="宋体" w:hAnsi="宋体" w:eastAsia="宋体" w:cs="宋体"/>
          <w:color w:val="auto"/>
          <w:spacing w:val="8"/>
          <w:sz w:val="20"/>
          <w:szCs w:val="20"/>
          <w:highlight w:val="none"/>
        </w:rPr>
        <w:t>元</w:t>
      </w:r>
      <w:r>
        <w:rPr>
          <w:rFonts w:ascii="宋体" w:hAnsi="宋体" w:eastAsia="宋体" w:cs="宋体"/>
          <w:color w:val="auto"/>
          <w:spacing w:val="7"/>
          <w:sz w:val="20"/>
          <w:szCs w:val="20"/>
          <w:highlight w:val="none"/>
        </w:rPr>
        <w:t>或人民币</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7"/>
          <w:sz w:val="20"/>
          <w:szCs w:val="20"/>
          <w:highlight w:val="none"/>
        </w:rPr>
        <w:t>元）</w:t>
      </w:r>
      <w:r>
        <w:rPr>
          <w:rFonts w:ascii="宋体" w:hAnsi="宋体" w:eastAsia="宋体" w:cs="宋体"/>
          <w:color w:val="auto"/>
          <w:spacing w:val="8"/>
          <w:sz w:val="20"/>
          <w:szCs w:val="20"/>
          <w:highlight w:val="none"/>
        </w:rPr>
        <w:t>作为竞争性磋商保证金。</w:t>
      </w:r>
    </w:p>
    <w:p w14:paraId="42C919E6">
      <w:pPr>
        <w:pStyle w:val="2"/>
        <w:spacing w:line="244" w:lineRule="auto"/>
        <w:rPr>
          <w:color w:val="auto"/>
          <w:highlight w:val="none"/>
        </w:rPr>
      </w:pPr>
    </w:p>
    <w:p w14:paraId="289F3A6C">
      <w:pPr>
        <w:pStyle w:val="2"/>
        <w:spacing w:line="244" w:lineRule="auto"/>
        <w:rPr>
          <w:color w:val="auto"/>
          <w:highlight w:val="none"/>
        </w:rPr>
      </w:pPr>
    </w:p>
    <w:p w14:paraId="708C93BD">
      <w:pPr>
        <w:spacing w:before="65" w:line="421" w:lineRule="auto"/>
        <w:ind w:left="419" w:right="3657" w:firstLine="1"/>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供应商</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9"/>
          <w:sz w:val="20"/>
          <w:szCs w:val="20"/>
          <w:highlight w:val="none"/>
          <w:u w:val="single" w:color="auto"/>
        </w:rPr>
        <w:t>（</w:t>
      </w:r>
      <w:r>
        <w:rPr>
          <w:rFonts w:ascii="宋体" w:hAnsi="宋体" w:eastAsia="宋体" w:cs="宋体"/>
          <w:color w:val="auto"/>
          <w:spacing w:val="11"/>
          <w:sz w:val="20"/>
          <w:szCs w:val="20"/>
          <w:highlight w:val="none"/>
          <w:u w:val="single" w:color="auto"/>
        </w:rPr>
        <w:t>盖单位公章）</w:t>
      </w:r>
      <w:r>
        <w:rPr>
          <w:rFonts w:ascii="宋体" w:hAnsi="宋体" w:eastAsia="宋体" w:cs="宋体"/>
          <w:color w:val="auto"/>
          <w:spacing w:val="-23"/>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单位地址：</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6"/>
          <w:sz w:val="20"/>
          <w:szCs w:val="20"/>
          <w:highlight w:val="none"/>
        </w:rPr>
        <w:t xml:space="preserve"> </w:t>
      </w:r>
      <w:r>
        <w:rPr>
          <w:rFonts w:ascii="宋体" w:hAnsi="宋体" w:eastAsia="宋体" w:cs="宋体"/>
          <w:color w:val="auto"/>
          <w:spacing w:val="10"/>
          <w:sz w:val="20"/>
          <w:szCs w:val="20"/>
          <w:highlight w:val="none"/>
        </w:rPr>
        <w:t>法定代表人或其委托代理人</w:t>
      </w:r>
      <w:r>
        <w:rPr>
          <w:rFonts w:ascii="宋体" w:hAnsi="宋体" w:eastAsia="宋体" w:cs="宋体"/>
          <w:color w:val="auto"/>
          <w:spacing w:val="-2"/>
          <w:sz w:val="20"/>
          <w:szCs w:val="20"/>
          <w:highlight w:val="none"/>
        </w:rPr>
        <w:t>：</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2"/>
          <w:sz w:val="20"/>
          <w:szCs w:val="20"/>
          <w:highlight w:val="none"/>
          <w:u w:val="single" w:color="auto"/>
        </w:rPr>
        <w:t>（</w:t>
      </w:r>
      <w:r>
        <w:rPr>
          <w:rFonts w:ascii="宋体" w:hAnsi="宋体" w:eastAsia="宋体" w:cs="宋体"/>
          <w:color w:val="auto"/>
          <w:spacing w:val="10"/>
          <w:sz w:val="20"/>
          <w:szCs w:val="20"/>
          <w:highlight w:val="none"/>
          <w:u w:val="single" w:color="auto"/>
        </w:rPr>
        <w:t>签字或盖章）</w:t>
      </w:r>
      <w:r>
        <w:rPr>
          <w:rFonts w:ascii="宋体" w:hAnsi="宋体" w:eastAsia="宋体" w:cs="宋体"/>
          <w:color w:val="auto"/>
          <w:spacing w:val="-38"/>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邮政编码：</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6"/>
          <w:sz w:val="20"/>
          <w:szCs w:val="20"/>
          <w:highlight w:val="none"/>
        </w:rPr>
        <w:t xml:space="preserve"> </w:t>
      </w:r>
      <w:r>
        <w:rPr>
          <w:rFonts w:ascii="宋体" w:hAnsi="宋体" w:eastAsia="宋体" w:cs="宋体"/>
          <w:color w:val="auto"/>
          <w:spacing w:val="5"/>
          <w:sz w:val="20"/>
          <w:szCs w:val="20"/>
          <w:highlight w:val="none"/>
        </w:rPr>
        <w:t>电话：</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6"/>
          <w:sz w:val="20"/>
          <w:szCs w:val="20"/>
          <w:highlight w:val="none"/>
        </w:rPr>
        <w:t xml:space="preserve"> </w:t>
      </w:r>
      <w:r>
        <w:rPr>
          <w:rFonts w:ascii="宋体" w:hAnsi="宋体" w:eastAsia="宋体" w:cs="宋体"/>
          <w:color w:val="auto"/>
          <w:spacing w:val="5"/>
          <w:sz w:val="20"/>
          <w:szCs w:val="20"/>
          <w:highlight w:val="none"/>
        </w:rPr>
        <w:t>传真：</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3"/>
          <w:sz w:val="20"/>
          <w:szCs w:val="20"/>
          <w:highlight w:val="none"/>
        </w:rPr>
        <w:t xml:space="preserve">  </w:t>
      </w:r>
      <w:r>
        <w:rPr>
          <w:rFonts w:ascii="宋体" w:hAnsi="宋体" w:eastAsia="宋体" w:cs="宋体"/>
          <w:color w:val="auto"/>
          <w:spacing w:val="6"/>
          <w:sz w:val="20"/>
          <w:szCs w:val="20"/>
          <w:highlight w:val="none"/>
        </w:rPr>
        <w:t>开户银行名称：</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开户银行账号：</w:t>
      </w:r>
      <w:r>
        <w:rPr>
          <w:rFonts w:ascii="宋体" w:hAnsi="宋体" w:eastAsia="宋体" w:cs="宋体"/>
          <w:color w:val="auto"/>
          <w:sz w:val="20"/>
          <w:szCs w:val="20"/>
          <w:highlight w:val="none"/>
          <w:u w:val="single" w:color="auto"/>
        </w:rPr>
        <w:t xml:space="preserve">                              </w:t>
      </w:r>
    </w:p>
    <w:p w14:paraId="7DA03A43">
      <w:pPr>
        <w:spacing w:before="30" w:line="416" w:lineRule="auto"/>
        <w:ind w:left="421" w:right="386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开户银行地址：</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开户银行电话：</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日期：</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3"/>
          <w:sz w:val="20"/>
          <w:szCs w:val="20"/>
          <w:highlight w:val="none"/>
        </w:rPr>
        <w:t>年</w:t>
      </w:r>
      <w:r>
        <w:rPr>
          <w:rFonts w:ascii="宋体" w:hAnsi="宋体" w:eastAsia="宋体" w:cs="宋体"/>
          <w:color w:val="auto"/>
          <w:spacing w:val="-97"/>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3"/>
          <w:sz w:val="20"/>
          <w:szCs w:val="20"/>
          <w:highlight w:val="none"/>
        </w:rPr>
        <w:t>月</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3"/>
          <w:sz w:val="20"/>
          <w:szCs w:val="20"/>
          <w:highlight w:val="none"/>
        </w:rPr>
        <w:t>日</w:t>
      </w:r>
    </w:p>
    <w:p w14:paraId="2F942B8E">
      <w:pPr>
        <w:spacing w:line="416" w:lineRule="auto"/>
        <w:rPr>
          <w:rFonts w:ascii="宋体" w:hAnsi="宋体" w:eastAsia="宋体" w:cs="宋体"/>
          <w:color w:val="auto"/>
          <w:sz w:val="20"/>
          <w:szCs w:val="20"/>
          <w:highlight w:val="none"/>
        </w:rPr>
        <w:sectPr>
          <w:footerReference r:id="rId46" w:type="default"/>
          <w:pgSz w:w="11910" w:h="16840"/>
          <w:pgMar w:top="1357" w:right="1552" w:bottom="1019" w:left="1668" w:header="0" w:footer="857" w:gutter="0"/>
          <w:pgNumType w:fmt="decimal"/>
          <w:cols w:space="720" w:num="1"/>
        </w:sectPr>
      </w:pPr>
    </w:p>
    <w:p w14:paraId="2BD3722E">
      <w:pPr>
        <w:spacing w:before="63" w:line="224" w:lineRule="auto"/>
        <w:ind w:left="3409"/>
        <w:rPr>
          <w:rFonts w:ascii="宋体" w:hAnsi="宋体" w:eastAsia="宋体" w:cs="宋体"/>
          <w:color w:val="auto"/>
          <w:sz w:val="31"/>
          <w:szCs w:val="31"/>
          <w:highlight w:val="none"/>
        </w:rPr>
      </w:pPr>
      <w:r>
        <w:rPr>
          <w:rFonts w:ascii="宋体" w:hAnsi="宋体" w:eastAsia="宋体" w:cs="宋体"/>
          <w:b/>
          <w:bCs/>
          <w:color w:val="auto"/>
          <w:spacing w:val="2"/>
          <w:sz w:val="31"/>
          <w:szCs w:val="31"/>
          <w:highlight w:val="none"/>
        </w:rPr>
        <w:t>响应函附录</w:t>
      </w:r>
    </w:p>
    <w:p w14:paraId="2AEAD24E">
      <w:pPr>
        <w:pStyle w:val="2"/>
        <w:spacing w:line="257" w:lineRule="auto"/>
        <w:rPr>
          <w:color w:val="auto"/>
          <w:highlight w:val="none"/>
        </w:rPr>
      </w:pPr>
    </w:p>
    <w:p w14:paraId="265D25A1">
      <w:pPr>
        <w:pStyle w:val="2"/>
        <w:spacing w:line="258" w:lineRule="auto"/>
        <w:rPr>
          <w:color w:val="auto"/>
          <w:highlight w:val="none"/>
        </w:rPr>
      </w:pPr>
    </w:p>
    <w:p w14:paraId="47087EA0">
      <w:pPr>
        <w:spacing w:before="65" w:line="411" w:lineRule="auto"/>
        <w:ind w:left="1416" w:right="25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项目名称：</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项目编号：</w:t>
      </w:r>
      <w:r>
        <w:rPr>
          <w:rFonts w:ascii="宋体" w:hAnsi="宋体" w:eastAsia="宋体" w:cs="宋体"/>
          <w:color w:val="auto"/>
          <w:sz w:val="20"/>
          <w:szCs w:val="20"/>
          <w:highlight w:val="none"/>
          <w:u w:val="single" w:color="auto"/>
        </w:rPr>
        <w:t xml:space="preserve">                                  </w:t>
      </w:r>
    </w:p>
    <w:tbl>
      <w:tblPr>
        <w:tblStyle w:val="14"/>
        <w:tblW w:w="7782" w:type="dxa"/>
        <w:tblInd w:w="2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2266"/>
        <w:gridCol w:w="2995"/>
        <w:gridCol w:w="1403"/>
      </w:tblGrid>
      <w:tr w14:paraId="41A3C4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18" w:type="dxa"/>
            <w:vAlign w:val="top"/>
          </w:tcPr>
          <w:p w14:paraId="45A4CC61">
            <w:pPr>
              <w:pStyle w:val="15"/>
              <w:spacing w:before="184" w:line="229" w:lineRule="auto"/>
              <w:ind w:left="303"/>
              <w:rPr>
                <w:color w:val="auto"/>
                <w:highlight w:val="none"/>
              </w:rPr>
            </w:pPr>
            <w:r>
              <w:rPr>
                <w:color w:val="auto"/>
                <w:highlight w:val="none"/>
              </w:rPr>
              <w:t>序</w:t>
            </w:r>
            <w:r>
              <w:rPr>
                <w:color w:val="auto"/>
                <w:spacing w:val="19"/>
                <w:highlight w:val="none"/>
              </w:rPr>
              <w:t xml:space="preserve"> </w:t>
            </w:r>
            <w:r>
              <w:rPr>
                <w:color w:val="auto"/>
                <w:highlight w:val="none"/>
              </w:rPr>
              <w:t>号</w:t>
            </w:r>
          </w:p>
        </w:tc>
        <w:tc>
          <w:tcPr>
            <w:tcW w:w="2266" w:type="dxa"/>
            <w:vAlign w:val="top"/>
          </w:tcPr>
          <w:p w14:paraId="734E6160">
            <w:pPr>
              <w:pStyle w:val="15"/>
              <w:spacing w:before="183" w:line="228" w:lineRule="auto"/>
              <w:ind w:left="724"/>
              <w:rPr>
                <w:color w:val="auto"/>
                <w:highlight w:val="none"/>
              </w:rPr>
            </w:pPr>
            <w:r>
              <w:rPr>
                <w:color w:val="auto"/>
                <w:spacing w:val="6"/>
                <w:highlight w:val="none"/>
              </w:rPr>
              <w:t>条款内容</w:t>
            </w:r>
          </w:p>
        </w:tc>
        <w:tc>
          <w:tcPr>
            <w:tcW w:w="2995" w:type="dxa"/>
            <w:vAlign w:val="top"/>
          </w:tcPr>
          <w:p w14:paraId="01B35D5E">
            <w:pPr>
              <w:pStyle w:val="15"/>
              <w:spacing w:before="183" w:line="228" w:lineRule="auto"/>
              <w:ind w:left="1091"/>
              <w:rPr>
                <w:color w:val="auto"/>
                <w:highlight w:val="none"/>
              </w:rPr>
            </w:pPr>
            <w:r>
              <w:rPr>
                <w:color w:val="auto"/>
                <w:spacing w:val="6"/>
                <w:highlight w:val="none"/>
              </w:rPr>
              <w:t>约定内容</w:t>
            </w:r>
          </w:p>
        </w:tc>
        <w:tc>
          <w:tcPr>
            <w:tcW w:w="1403" w:type="dxa"/>
            <w:vAlign w:val="top"/>
          </w:tcPr>
          <w:p w14:paraId="4D095F6A">
            <w:pPr>
              <w:pStyle w:val="15"/>
              <w:spacing w:before="184" w:line="229" w:lineRule="auto"/>
              <w:ind w:left="501"/>
              <w:rPr>
                <w:color w:val="auto"/>
                <w:highlight w:val="none"/>
              </w:rPr>
            </w:pPr>
            <w:r>
              <w:rPr>
                <w:color w:val="auto"/>
                <w:spacing w:val="3"/>
                <w:highlight w:val="none"/>
              </w:rPr>
              <w:t>备注</w:t>
            </w:r>
          </w:p>
        </w:tc>
      </w:tr>
      <w:tr w14:paraId="7A545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8" w:type="dxa"/>
            <w:vAlign w:val="top"/>
          </w:tcPr>
          <w:p w14:paraId="2401C830">
            <w:pPr>
              <w:pStyle w:val="15"/>
              <w:spacing w:before="227" w:line="189" w:lineRule="auto"/>
              <w:ind w:left="532"/>
              <w:rPr>
                <w:color w:val="auto"/>
                <w:highlight w:val="none"/>
              </w:rPr>
            </w:pPr>
            <w:r>
              <w:rPr>
                <w:color w:val="auto"/>
                <w:highlight w:val="none"/>
              </w:rPr>
              <w:t>1</w:t>
            </w:r>
          </w:p>
        </w:tc>
        <w:tc>
          <w:tcPr>
            <w:tcW w:w="2266" w:type="dxa"/>
            <w:vAlign w:val="top"/>
          </w:tcPr>
          <w:p w14:paraId="13D059DA">
            <w:pPr>
              <w:pStyle w:val="15"/>
              <w:spacing w:before="180" w:line="228" w:lineRule="auto"/>
              <w:ind w:left="120"/>
              <w:rPr>
                <w:color w:val="auto"/>
                <w:highlight w:val="none"/>
              </w:rPr>
            </w:pPr>
            <w:r>
              <w:rPr>
                <w:color w:val="auto"/>
                <w:spacing w:val="6"/>
                <w:highlight w:val="none"/>
              </w:rPr>
              <w:t>项目经理</w:t>
            </w:r>
          </w:p>
        </w:tc>
        <w:tc>
          <w:tcPr>
            <w:tcW w:w="2995" w:type="dxa"/>
            <w:vAlign w:val="top"/>
          </w:tcPr>
          <w:p w14:paraId="2871CF1F">
            <w:pPr>
              <w:pStyle w:val="15"/>
              <w:spacing w:before="179" w:line="228" w:lineRule="auto"/>
              <w:ind w:left="119"/>
              <w:rPr>
                <w:color w:val="auto"/>
                <w:highlight w:val="none"/>
              </w:rPr>
            </w:pPr>
            <w:r>
              <w:rPr>
                <w:color w:val="auto"/>
                <w:spacing w:val="3"/>
                <w:highlight w:val="none"/>
              </w:rPr>
              <w:t>姓名：</w:t>
            </w:r>
          </w:p>
        </w:tc>
        <w:tc>
          <w:tcPr>
            <w:tcW w:w="1403" w:type="dxa"/>
            <w:vAlign w:val="top"/>
          </w:tcPr>
          <w:p w14:paraId="5DB2F217">
            <w:pPr>
              <w:rPr>
                <w:rFonts w:ascii="Arial"/>
                <w:color w:val="auto"/>
                <w:sz w:val="21"/>
                <w:highlight w:val="none"/>
              </w:rPr>
            </w:pPr>
          </w:p>
        </w:tc>
      </w:tr>
      <w:tr w14:paraId="677FB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8" w:type="dxa"/>
            <w:vAlign w:val="top"/>
          </w:tcPr>
          <w:p w14:paraId="5CF581EA">
            <w:pPr>
              <w:pStyle w:val="15"/>
              <w:spacing w:before="226" w:line="189" w:lineRule="auto"/>
              <w:ind w:left="520"/>
              <w:rPr>
                <w:color w:val="auto"/>
                <w:highlight w:val="none"/>
              </w:rPr>
            </w:pPr>
            <w:r>
              <w:rPr>
                <w:color w:val="auto"/>
                <w:highlight w:val="none"/>
              </w:rPr>
              <w:t>2</w:t>
            </w:r>
          </w:p>
        </w:tc>
        <w:tc>
          <w:tcPr>
            <w:tcW w:w="2266" w:type="dxa"/>
            <w:vAlign w:val="top"/>
          </w:tcPr>
          <w:p w14:paraId="34A1B4CD">
            <w:pPr>
              <w:pStyle w:val="15"/>
              <w:spacing w:before="179" w:line="228" w:lineRule="auto"/>
              <w:ind w:left="116"/>
              <w:rPr>
                <w:color w:val="auto"/>
                <w:highlight w:val="none"/>
              </w:rPr>
            </w:pPr>
            <w:r>
              <w:rPr>
                <w:color w:val="auto"/>
                <w:spacing w:val="8"/>
                <w:highlight w:val="none"/>
              </w:rPr>
              <w:t>磋商有效期</w:t>
            </w:r>
          </w:p>
        </w:tc>
        <w:tc>
          <w:tcPr>
            <w:tcW w:w="2995" w:type="dxa"/>
            <w:vAlign w:val="top"/>
          </w:tcPr>
          <w:p w14:paraId="24CEC773">
            <w:pPr>
              <w:pStyle w:val="15"/>
              <w:spacing w:before="179" w:line="228" w:lineRule="auto"/>
              <w:ind w:left="1062"/>
              <w:rPr>
                <w:color w:val="auto"/>
                <w:highlight w:val="none"/>
              </w:rPr>
            </w:pPr>
            <w:r>
              <w:rPr>
                <w:rFonts w:hint="eastAsia"/>
                <w:color w:val="auto"/>
                <w:spacing w:val="-4"/>
                <w:highlight w:val="none"/>
                <w:u w:val="single" w:color="auto"/>
                <w:lang w:val="en-US" w:eastAsia="zh-CN"/>
              </w:rPr>
              <w:t>9</w:t>
            </w:r>
            <w:r>
              <w:rPr>
                <w:color w:val="auto"/>
                <w:spacing w:val="-4"/>
                <w:highlight w:val="none"/>
                <w:u w:val="single" w:color="auto"/>
              </w:rPr>
              <w:t>0 日历天</w:t>
            </w:r>
          </w:p>
        </w:tc>
        <w:tc>
          <w:tcPr>
            <w:tcW w:w="1403" w:type="dxa"/>
            <w:vAlign w:val="top"/>
          </w:tcPr>
          <w:p w14:paraId="7BD68EFB">
            <w:pPr>
              <w:rPr>
                <w:rFonts w:ascii="Arial"/>
                <w:color w:val="auto"/>
                <w:sz w:val="21"/>
                <w:highlight w:val="none"/>
              </w:rPr>
            </w:pPr>
          </w:p>
        </w:tc>
      </w:tr>
      <w:tr w14:paraId="1CC2B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8" w:type="dxa"/>
            <w:vAlign w:val="top"/>
          </w:tcPr>
          <w:p w14:paraId="13674B71">
            <w:pPr>
              <w:pStyle w:val="15"/>
              <w:spacing w:before="228" w:line="189" w:lineRule="auto"/>
              <w:ind w:left="521"/>
              <w:rPr>
                <w:color w:val="auto"/>
                <w:highlight w:val="none"/>
              </w:rPr>
            </w:pPr>
            <w:r>
              <w:rPr>
                <w:color w:val="auto"/>
                <w:highlight w:val="none"/>
              </w:rPr>
              <w:t>3</w:t>
            </w:r>
          </w:p>
        </w:tc>
        <w:tc>
          <w:tcPr>
            <w:tcW w:w="2266" w:type="dxa"/>
            <w:vAlign w:val="top"/>
          </w:tcPr>
          <w:p w14:paraId="334AA377">
            <w:pPr>
              <w:pStyle w:val="15"/>
              <w:spacing w:before="182" w:line="228" w:lineRule="auto"/>
              <w:ind w:left="120"/>
              <w:rPr>
                <w:color w:val="auto"/>
                <w:highlight w:val="none"/>
              </w:rPr>
            </w:pPr>
            <w:r>
              <w:rPr>
                <w:color w:val="auto"/>
                <w:spacing w:val="3"/>
                <w:highlight w:val="none"/>
              </w:rPr>
              <w:t>工期</w:t>
            </w:r>
          </w:p>
        </w:tc>
        <w:tc>
          <w:tcPr>
            <w:tcW w:w="2995" w:type="dxa"/>
            <w:vAlign w:val="top"/>
          </w:tcPr>
          <w:p w14:paraId="319224C5">
            <w:pPr>
              <w:pStyle w:val="15"/>
              <w:tabs>
                <w:tab w:val="left" w:pos="1578"/>
              </w:tabs>
              <w:spacing w:before="182" w:line="228" w:lineRule="auto"/>
              <w:ind w:left="631"/>
              <w:rPr>
                <w:color w:val="auto"/>
                <w:highlight w:val="none"/>
              </w:rPr>
            </w:pPr>
            <w:r>
              <w:rPr>
                <w:color w:val="auto"/>
                <w:highlight w:val="none"/>
                <w:u w:val="single" w:color="auto"/>
              </w:rPr>
              <w:tab/>
            </w:r>
            <w:r>
              <w:rPr>
                <w:color w:val="auto"/>
                <w:spacing w:val="-53"/>
                <w:highlight w:val="none"/>
              </w:rPr>
              <w:t xml:space="preserve"> </w:t>
            </w:r>
            <w:r>
              <w:rPr>
                <w:color w:val="auto"/>
                <w:spacing w:val="-6"/>
                <w:highlight w:val="none"/>
              </w:rPr>
              <w:t>日历天</w:t>
            </w:r>
          </w:p>
        </w:tc>
        <w:tc>
          <w:tcPr>
            <w:tcW w:w="1403" w:type="dxa"/>
            <w:vAlign w:val="top"/>
          </w:tcPr>
          <w:p w14:paraId="28BDBCB1">
            <w:pPr>
              <w:rPr>
                <w:rFonts w:ascii="Arial"/>
                <w:color w:val="auto"/>
                <w:sz w:val="21"/>
                <w:highlight w:val="none"/>
              </w:rPr>
            </w:pPr>
          </w:p>
        </w:tc>
      </w:tr>
      <w:tr w14:paraId="20541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8" w:type="dxa"/>
            <w:vAlign w:val="top"/>
          </w:tcPr>
          <w:p w14:paraId="48A5BEDC">
            <w:pPr>
              <w:pStyle w:val="15"/>
              <w:spacing w:before="228" w:line="189" w:lineRule="auto"/>
              <w:ind w:left="516"/>
              <w:rPr>
                <w:color w:val="auto"/>
                <w:highlight w:val="none"/>
              </w:rPr>
            </w:pPr>
            <w:r>
              <w:rPr>
                <w:color w:val="auto"/>
                <w:highlight w:val="none"/>
              </w:rPr>
              <w:t>4</w:t>
            </w:r>
          </w:p>
        </w:tc>
        <w:tc>
          <w:tcPr>
            <w:tcW w:w="2266" w:type="dxa"/>
            <w:vAlign w:val="top"/>
          </w:tcPr>
          <w:p w14:paraId="536748DB">
            <w:pPr>
              <w:pStyle w:val="15"/>
              <w:spacing w:before="181" w:line="228" w:lineRule="auto"/>
              <w:ind w:left="117"/>
              <w:rPr>
                <w:color w:val="auto"/>
                <w:highlight w:val="none"/>
              </w:rPr>
            </w:pPr>
            <w:r>
              <w:rPr>
                <w:color w:val="auto"/>
                <w:spacing w:val="8"/>
                <w:highlight w:val="none"/>
              </w:rPr>
              <w:t>缺陷责任期</w:t>
            </w:r>
          </w:p>
        </w:tc>
        <w:tc>
          <w:tcPr>
            <w:tcW w:w="2995" w:type="dxa"/>
            <w:vAlign w:val="top"/>
          </w:tcPr>
          <w:p w14:paraId="37B7A41C">
            <w:pPr>
              <w:pStyle w:val="15"/>
              <w:tabs>
                <w:tab w:val="left" w:pos="1813"/>
              </w:tabs>
              <w:spacing w:before="181" w:line="228" w:lineRule="auto"/>
              <w:ind w:left="972"/>
              <w:rPr>
                <w:color w:val="auto"/>
                <w:highlight w:val="none"/>
              </w:rPr>
            </w:pPr>
          </w:p>
        </w:tc>
        <w:tc>
          <w:tcPr>
            <w:tcW w:w="1403" w:type="dxa"/>
            <w:vAlign w:val="top"/>
          </w:tcPr>
          <w:p w14:paraId="553B5A3A">
            <w:pPr>
              <w:rPr>
                <w:rFonts w:ascii="Arial"/>
                <w:color w:val="auto"/>
                <w:sz w:val="21"/>
                <w:highlight w:val="none"/>
              </w:rPr>
            </w:pPr>
          </w:p>
        </w:tc>
      </w:tr>
      <w:tr w14:paraId="4668F3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8" w:type="dxa"/>
            <w:vAlign w:val="top"/>
          </w:tcPr>
          <w:p w14:paraId="1ECC3698">
            <w:pPr>
              <w:pStyle w:val="15"/>
              <w:spacing w:before="232" w:line="187" w:lineRule="auto"/>
              <w:ind w:left="521"/>
              <w:rPr>
                <w:color w:val="auto"/>
                <w:highlight w:val="none"/>
              </w:rPr>
            </w:pPr>
            <w:r>
              <w:rPr>
                <w:color w:val="auto"/>
                <w:highlight w:val="none"/>
              </w:rPr>
              <w:t>5</w:t>
            </w:r>
          </w:p>
        </w:tc>
        <w:tc>
          <w:tcPr>
            <w:tcW w:w="2266" w:type="dxa"/>
            <w:vAlign w:val="top"/>
          </w:tcPr>
          <w:p w14:paraId="2D13E3FA">
            <w:pPr>
              <w:pStyle w:val="15"/>
              <w:spacing w:before="182" w:line="228" w:lineRule="auto"/>
              <w:ind w:left="120"/>
              <w:rPr>
                <w:color w:val="auto"/>
                <w:highlight w:val="none"/>
              </w:rPr>
            </w:pPr>
            <w:r>
              <w:rPr>
                <w:color w:val="auto"/>
                <w:spacing w:val="8"/>
                <w:highlight w:val="none"/>
              </w:rPr>
              <w:t>发包人支付担保</w:t>
            </w:r>
          </w:p>
        </w:tc>
        <w:tc>
          <w:tcPr>
            <w:tcW w:w="2995" w:type="dxa"/>
            <w:vAlign w:val="top"/>
          </w:tcPr>
          <w:p w14:paraId="72AC3AF1">
            <w:pPr>
              <w:pStyle w:val="15"/>
              <w:spacing w:before="183" w:line="228" w:lineRule="auto"/>
              <w:ind w:left="1405"/>
              <w:rPr>
                <w:color w:val="auto"/>
                <w:highlight w:val="none"/>
              </w:rPr>
            </w:pPr>
          </w:p>
        </w:tc>
        <w:tc>
          <w:tcPr>
            <w:tcW w:w="1403" w:type="dxa"/>
            <w:vAlign w:val="top"/>
          </w:tcPr>
          <w:p w14:paraId="382E7C3C">
            <w:pPr>
              <w:rPr>
                <w:rFonts w:ascii="Arial"/>
                <w:color w:val="auto"/>
                <w:sz w:val="21"/>
                <w:highlight w:val="none"/>
              </w:rPr>
            </w:pPr>
          </w:p>
        </w:tc>
      </w:tr>
      <w:tr w14:paraId="09E7C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8" w:type="dxa"/>
            <w:vAlign w:val="top"/>
          </w:tcPr>
          <w:p w14:paraId="2E0EF776">
            <w:pPr>
              <w:pStyle w:val="15"/>
              <w:spacing w:before="227" w:line="189" w:lineRule="auto"/>
              <w:ind w:left="519"/>
              <w:rPr>
                <w:color w:val="auto"/>
                <w:highlight w:val="none"/>
              </w:rPr>
            </w:pPr>
            <w:r>
              <w:rPr>
                <w:color w:val="auto"/>
                <w:highlight w:val="none"/>
              </w:rPr>
              <w:t>6</w:t>
            </w:r>
          </w:p>
        </w:tc>
        <w:tc>
          <w:tcPr>
            <w:tcW w:w="2266" w:type="dxa"/>
            <w:vAlign w:val="top"/>
          </w:tcPr>
          <w:p w14:paraId="3CA27115">
            <w:pPr>
              <w:pStyle w:val="15"/>
              <w:spacing w:before="181" w:line="228" w:lineRule="auto"/>
              <w:ind w:left="120"/>
              <w:rPr>
                <w:color w:val="auto"/>
                <w:highlight w:val="none"/>
              </w:rPr>
            </w:pPr>
            <w:r>
              <w:rPr>
                <w:color w:val="auto"/>
                <w:spacing w:val="3"/>
                <w:highlight w:val="none"/>
              </w:rPr>
              <w:t>分包</w:t>
            </w:r>
          </w:p>
        </w:tc>
        <w:tc>
          <w:tcPr>
            <w:tcW w:w="2995" w:type="dxa"/>
            <w:vAlign w:val="top"/>
          </w:tcPr>
          <w:p w14:paraId="61C9BDAB">
            <w:pPr>
              <w:pStyle w:val="15"/>
              <w:spacing w:before="180" w:line="228" w:lineRule="auto"/>
              <w:ind w:left="122"/>
              <w:rPr>
                <w:color w:val="auto"/>
                <w:highlight w:val="none"/>
              </w:rPr>
            </w:pPr>
          </w:p>
        </w:tc>
        <w:tc>
          <w:tcPr>
            <w:tcW w:w="1403" w:type="dxa"/>
            <w:vAlign w:val="top"/>
          </w:tcPr>
          <w:p w14:paraId="1F57A969">
            <w:pPr>
              <w:rPr>
                <w:rFonts w:ascii="Arial"/>
                <w:color w:val="auto"/>
                <w:sz w:val="21"/>
                <w:highlight w:val="none"/>
              </w:rPr>
            </w:pPr>
          </w:p>
        </w:tc>
      </w:tr>
      <w:tr w14:paraId="004B5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8" w:type="dxa"/>
            <w:vAlign w:val="top"/>
          </w:tcPr>
          <w:p w14:paraId="3CA0AB56">
            <w:pPr>
              <w:pStyle w:val="15"/>
              <w:spacing w:before="231" w:line="187" w:lineRule="auto"/>
              <w:ind w:left="522"/>
              <w:rPr>
                <w:color w:val="auto"/>
                <w:highlight w:val="none"/>
              </w:rPr>
            </w:pPr>
            <w:r>
              <w:rPr>
                <w:color w:val="auto"/>
                <w:highlight w:val="none"/>
              </w:rPr>
              <w:t>7</w:t>
            </w:r>
          </w:p>
        </w:tc>
        <w:tc>
          <w:tcPr>
            <w:tcW w:w="2266" w:type="dxa"/>
            <w:vAlign w:val="top"/>
          </w:tcPr>
          <w:p w14:paraId="74B27CBD">
            <w:pPr>
              <w:pStyle w:val="15"/>
              <w:spacing w:before="184" w:line="228" w:lineRule="auto"/>
              <w:ind w:left="115"/>
              <w:rPr>
                <w:color w:val="auto"/>
                <w:highlight w:val="none"/>
              </w:rPr>
            </w:pPr>
            <w:r>
              <w:rPr>
                <w:color w:val="auto"/>
                <w:spacing w:val="8"/>
                <w:highlight w:val="none"/>
              </w:rPr>
              <w:t>逾期竣工违约金</w:t>
            </w:r>
          </w:p>
        </w:tc>
        <w:tc>
          <w:tcPr>
            <w:tcW w:w="2995" w:type="dxa"/>
            <w:vAlign w:val="top"/>
          </w:tcPr>
          <w:p w14:paraId="200BBEAA">
            <w:pPr>
              <w:pStyle w:val="15"/>
              <w:spacing w:before="184" w:line="226" w:lineRule="auto"/>
              <w:ind w:left="122"/>
              <w:rPr>
                <w:color w:val="auto"/>
                <w:highlight w:val="none"/>
              </w:rPr>
            </w:pPr>
          </w:p>
        </w:tc>
        <w:tc>
          <w:tcPr>
            <w:tcW w:w="1403" w:type="dxa"/>
            <w:vAlign w:val="top"/>
          </w:tcPr>
          <w:p w14:paraId="72ADE184">
            <w:pPr>
              <w:rPr>
                <w:rFonts w:ascii="Arial"/>
                <w:color w:val="auto"/>
                <w:sz w:val="21"/>
                <w:highlight w:val="none"/>
              </w:rPr>
            </w:pPr>
          </w:p>
        </w:tc>
      </w:tr>
      <w:tr w14:paraId="209B7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118" w:type="dxa"/>
            <w:vAlign w:val="top"/>
          </w:tcPr>
          <w:p w14:paraId="4C165401">
            <w:pPr>
              <w:pStyle w:val="15"/>
              <w:spacing w:before="228" w:line="189" w:lineRule="auto"/>
              <w:ind w:left="518"/>
              <w:rPr>
                <w:color w:val="auto"/>
                <w:highlight w:val="none"/>
              </w:rPr>
            </w:pPr>
            <w:r>
              <w:rPr>
                <w:color w:val="auto"/>
                <w:highlight w:val="none"/>
              </w:rPr>
              <w:t>8</w:t>
            </w:r>
          </w:p>
        </w:tc>
        <w:tc>
          <w:tcPr>
            <w:tcW w:w="2266" w:type="dxa"/>
            <w:vAlign w:val="top"/>
          </w:tcPr>
          <w:p w14:paraId="5C3CCF63">
            <w:pPr>
              <w:pStyle w:val="15"/>
              <w:spacing w:before="43" w:line="296" w:lineRule="auto"/>
              <w:ind w:left="131" w:right="99" w:hanging="16"/>
              <w:rPr>
                <w:color w:val="auto"/>
                <w:highlight w:val="none"/>
              </w:rPr>
            </w:pPr>
            <w:r>
              <w:rPr>
                <w:color w:val="auto"/>
                <w:spacing w:val="27"/>
                <w:highlight w:val="none"/>
              </w:rPr>
              <w:t>逾期竣工违约金最高</w:t>
            </w:r>
            <w:r>
              <w:rPr>
                <w:color w:val="auto"/>
                <w:spacing w:val="1"/>
                <w:highlight w:val="none"/>
              </w:rPr>
              <w:t xml:space="preserve"> </w:t>
            </w:r>
            <w:r>
              <w:rPr>
                <w:color w:val="auto"/>
                <w:spacing w:val="-3"/>
                <w:highlight w:val="none"/>
              </w:rPr>
              <w:t>限额</w:t>
            </w:r>
          </w:p>
        </w:tc>
        <w:tc>
          <w:tcPr>
            <w:tcW w:w="2995" w:type="dxa"/>
            <w:vAlign w:val="top"/>
          </w:tcPr>
          <w:p w14:paraId="467A38C2">
            <w:pPr>
              <w:pStyle w:val="15"/>
              <w:spacing w:before="183" w:line="226" w:lineRule="auto"/>
              <w:ind w:left="122"/>
              <w:rPr>
                <w:rFonts w:hint="eastAsia" w:eastAsia="宋体"/>
                <w:color w:val="auto"/>
                <w:highlight w:val="none"/>
                <w:lang w:eastAsia="zh-CN"/>
              </w:rPr>
            </w:pPr>
          </w:p>
        </w:tc>
        <w:tc>
          <w:tcPr>
            <w:tcW w:w="1403" w:type="dxa"/>
            <w:vAlign w:val="top"/>
          </w:tcPr>
          <w:p w14:paraId="440900B1">
            <w:pPr>
              <w:rPr>
                <w:rFonts w:ascii="Arial"/>
                <w:color w:val="auto"/>
                <w:sz w:val="21"/>
                <w:highlight w:val="none"/>
              </w:rPr>
            </w:pPr>
          </w:p>
        </w:tc>
      </w:tr>
      <w:tr w14:paraId="5F376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118" w:type="dxa"/>
            <w:vAlign w:val="top"/>
          </w:tcPr>
          <w:p w14:paraId="6F62D5FE">
            <w:pPr>
              <w:pStyle w:val="15"/>
              <w:spacing w:before="229" w:line="189" w:lineRule="auto"/>
              <w:ind w:left="518"/>
              <w:rPr>
                <w:color w:val="auto"/>
                <w:highlight w:val="none"/>
              </w:rPr>
            </w:pPr>
            <w:r>
              <w:rPr>
                <w:color w:val="auto"/>
                <w:highlight w:val="none"/>
              </w:rPr>
              <w:t>9</w:t>
            </w:r>
          </w:p>
        </w:tc>
        <w:tc>
          <w:tcPr>
            <w:tcW w:w="2266" w:type="dxa"/>
            <w:vAlign w:val="top"/>
          </w:tcPr>
          <w:p w14:paraId="57FF1709">
            <w:pPr>
              <w:pStyle w:val="15"/>
              <w:spacing w:before="182" w:line="228" w:lineRule="auto"/>
              <w:ind w:left="118"/>
              <w:rPr>
                <w:color w:val="auto"/>
                <w:highlight w:val="none"/>
              </w:rPr>
            </w:pPr>
            <w:r>
              <w:rPr>
                <w:color w:val="auto"/>
                <w:spacing w:val="7"/>
                <w:highlight w:val="none"/>
              </w:rPr>
              <w:t>质量标准</w:t>
            </w:r>
          </w:p>
        </w:tc>
        <w:tc>
          <w:tcPr>
            <w:tcW w:w="2995" w:type="dxa"/>
            <w:vAlign w:val="top"/>
          </w:tcPr>
          <w:p w14:paraId="3ABCA4A7">
            <w:pPr>
              <w:pStyle w:val="15"/>
              <w:spacing w:before="181" w:line="228" w:lineRule="auto"/>
              <w:ind w:left="1298"/>
              <w:rPr>
                <w:color w:val="auto"/>
                <w:highlight w:val="none"/>
              </w:rPr>
            </w:pPr>
          </w:p>
        </w:tc>
        <w:tc>
          <w:tcPr>
            <w:tcW w:w="1403" w:type="dxa"/>
            <w:vAlign w:val="top"/>
          </w:tcPr>
          <w:p w14:paraId="242BC820">
            <w:pPr>
              <w:rPr>
                <w:rFonts w:ascii="Arial"/>
                <w:color w:val="auto"/>
                <w:sz w:val="21"/>
                <w:highlight w:val="none"/>
              </w:rPr>
            </w:pPr>
          </w:p>
        </w:tc>
      </w:tr>
      <w:tr w14:paraId="060B9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8" w:type="dxa"/>
            <w:vAlign w:val="top"/>
          </w:tcPr>
          <w:p w14:paraId="76F96114">
            <w:pPr>
              <w:pStyle w:val="15"/>
              <w:spacing w:before="228" w:line="190" w:lineRule="auto"/>
              <w:ind w:left="480"/>
              <w:rPr>
                <w:color w:val="auto"/>
                <w:highlight w:val="none"/>
              </w:rPr>
            </w:pPr>
            <w:r>
              <w:rPr>
                <w:color w:val="auto"/>
                <w:spacing w:val="-7"/>
                <w:highlight w:val="none"/>
              </w:rPr>
              <w:t>10</w:t>
            </w:r>
          </w:p>
        </w:tc>
        <w:tc>
          <w:tcPr>
            <w:tcW w:w="2266" w:type="dxa"/>
            <w:vAlign w:val="top"/>
          </w:tcPr>
          <w:p w14:paraId="5678E249">
            <w:pPr>
              <w:pStyle w:val="15"/>
              <w:spacing w:before="182" w:line="228" w:lineRule="auto"/>
              <w:ind w:left="119"/>
              <w:rPr>
                <w:color w:val="auto"/>
                <w:highlight w:val="none"/>
              </w:rPr>
            </w:pPr>
            <w:r>
              <w:rPr>
                <w:color w:val="auto"/>
                <w:spacing w:val="7"/>
                <w:highlight w:val="none"/>
              </w:rPr>
              <w:t>预付款额度</w:t>
            </w:r>
          </w:p>
        </w:tc>
        <w:tc>
          <w:tcPr>
            <w:tcW w:w="2995" w:type="dxa"/>
            <w:vAlign w:val="top"/>
          </w:tcPr>
          <w:p w14:paraId="0748B344">
            <w:pPr>
              <w:pStyle w:val="15"/>
              <w:spacing w:before="65" w:line="25" w:lineRule="exact"/>
              <w:ind w:left="1881"/>
              <w:rPr>
                <w:color w:val="auto"/>
                <w:highlight w:val="none"/>
              </w:rPr>
            </w:pPr>
          </w:p>
        </w:tc>
        <w:tc>
          <w:tcPr>
            <w:tcW w:w="1403" w:type="dxa"/>
            <w:vAlign w:val="top"/>
          </w:tcPr>
          <w:p w14:paraId="79076D7E">
            <w:pPr>
              <w:rPr>
                <w:rFonts w:ascii="Arial"/>
                <w:color w:val="auto"/>
                <w:sz w:val="21"/>
                <w:highlight w:val="none"/>
              </w:rPr>
            </w:pPr>
          </w:p>
        </w:tc>
      </w:tr>
      <w:tr w14:paraId="1D059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8" w:type="dxa"/>
            <w:vAlign w:val="top"/>
          </w:tcPr>
          <w:p w14:paraId="49E06C68">
            <w:pPr>
              <w:pStyle w:val="15"/>
              <w:spacing w:before="228" w:line="189" w:lineRule="auto"/>
              <w:ind w:left="480"/>
              <w:rPr>
                <w:color w:val="auto"/>
                <w:highlight w:val="none"/>
              </w:rPr>
            </w:pPr>
            <w:r>
              <w:rPr>
                <w:color w:val="auto"/>
                <w:spacing w:val="-7"/>
                <w:highlight w:val="none"/>
              </w:rPr>
              <w:t>11</w:t>
            </w:r>
          </w:p>
        </w:tc>
        <w:tc>
          <w:tcPr>
            <w:tcW w:w="2266" w:type="dxa"/>
            <w:vAlign w:val="top"/>
          </w:tcPr>
          <w:p w14:paraId="3FA6373E">
            <w:pPr>
              <w:pStyle w:val="15"/>
              <w:spacing w:before="181" w:line="228" w:lineRule="auto"/>
              <w:ind w:left="119"/>
              <w:rPr>
                <w:color w:val="auto"/>
                <w:highlight w:val="none"/>
              </w:rPr>
            </w:pPr>
            <w:r>
              <w:rPr>
                <w:color w:val="auto"/>
                <w:spacing w:val="8"/>
                <w:highlight w:val="none"/>
              </w:rPr>
              <w:t>预付款保函金额</w:t>
            </w:r>
          </w:p>
        </w:tc>
        <w:tc>
          <w:tcPr>
            <w:tcW w:w="2995" w:type="dxa"/>
            <w:vAlign w:val="top"/>
          </w:tcPr>
          <w:p w14:paraId="7A73576C">
            <w:pPr>
              <w:pStyle w:val="15"/>
              <w:spacing w:before="65" w:line="25" w:lineRule="exact"/>
              <w:ind w:left="1881"/>
              <w:rPr>
                <w:color w:val="auto"/>
                <w:highlight w:val="none"/>
              </w:rPr>
            </w:pPr>
          </w:p>
        </w:tc>
        <w:tc>
          <w:tcPr>
            <w:tcW w:w="1403" w:type="dxa"/>
            <w:vAlign w:val="top"/>
          </w:tcPr>
          <w:p w14:paraId="7ED4E381">
            <w:pPr>
              <w:rPr>
                <w:rFonts w:ascii="Arial"/>
                <w:color w:val="auto"/>
                <w:sz w:val="21"/>
                <w:highlight w:val="none"/>
              </w:rPr>
            </w:pPr>
          </w:p>
        </w:tc>
      </w:tr>
      <w:tr w14:paraId="7D450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8" w:type="dxa"/>
            <w:vAlign w:val="top"/>
          </w:tcPr>
          <w:p w14:paraId="12DDCF33">
            <w:pPr>
              <w:pStyle w:val="15"/>
              <w:spacing w:before="231" w:line="189" w:lineRule="auto"/>
              <w:ind w:left="480"/>
              <w:rPr>
                <w:color w:val="auto"/>
                <w:highlight w:val="none"/>
              </w:rPr>
            </w:pPr>
            <w:r>
              <w:rPr>
                <w:color w:val="auto"/>
                <w:spacing w:val="-7"/>
                <w:highlight w:val="none"/>
              </w:rPr>
              <w:t>12</w:t>
            </w:r>
          </w:p>
        </w:tc>
        <w:tc>
          <w:tcPr>
            <w:tcW w:w="2266" w:type="dxa"/>
            <w:vAlign w:val="top"/>
          </w:tcPr>
          <w:p w14:paraId="5D4183CC">
            <w:pPr>
              <w:pStyle w:val="15"/>
              <w:spacing w:before="183" w:line="228" w:lineRule="auto"/>
              <w:ind w:left="118"/>
              <w:rPr>
                <w:color w:val="auto"/>
                <w:highlight w:val="none"/>
              </w:rPr>
            </w:pPr>
            <w:r>
              <w:rPr>
                <w:color w:val="auto"/>
                <w:spacing w:val="8"/>
                <w:highlight w:val="none"/>
              </w:rPr>
              <w:t>质量保证金额度</w:t>
            </w:r>
          </w:p>
        </w:tc>
        <w:tc>
          <w:tcPr>
            <w:tcW w:w="2995" w:type="dxa"/>
            <w:vAlign w:val="top"/>
          </w:tcPr>
          <w:p w14:paraId="07F326CA">
            <w:pPr>
              <w:pStyle w:val="15"/>
              <w:spacing w:before="184" w:line="226" w:lineRule="auto"/>
              <w:ind w:left="400"/>
              <w:rPr>
                <w:color w:val="auto"/>
                <w:highlight w:val="none"/>
              </w:rPr>
            </w:pPr>
          </w:p>
        </w:tc>
        <w:tc>
          <w:tcPr>
            <w:tcW w:w="1403" w:type="dxa"/>
            <w:vAlign w:val="top"/>
          </w:tcPr>
          <w:p w14:paraId="7336198A">
            <w:pPr>
              <w:rPr>
                <w:rFonts w:ascii="Arial"/>
                <w:color w:val="auto"/>
                <w:sz w:val="21"/>
                <w:highlight w:val="none"/>
              </w:rPr>
            </w:pPr>
          </w:p>
        </w:tc>
      </w:tr>
      <w:tr w14:paraId="250F84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18" w:type="dxa"/>
            <w:vAlign w:val="top"/>
          </w:tcPr>
          <w:p w14:paraId="30B7E6B5">
            <w:pPr>
              <w:pStyle w:val="15"/>
              <w:spacing w:before="197" w:line="324" w:lineRule="exact"/>
              <w:ind w:left="370"/>
              <w:rPr>
                <w:color w:val="auto"/>
                <w:highlight w:val="none"/>
              </w:rPr>
            </w:pPr>
            <w:r>
              <w:rPr>
                <w:color w:val="auto"/>
                <w:spacing w:val="-2"/>
                <w:position w:val="2"/>
                <w:highlight w:val="none"/>
              </w:rPr>
              <w:t>……</w:t>
            </w:r>
          </w:p>
        </w:tc>
        <w:tc>
          <w:tcPr>
            <w:tcW w:w="2266" w:type="dxa"/>
            <w:vAlign w:val="top"/>
          </w:tcPr>
          <w:p w14:paraId="2F4D1DC7">
            <w:pPr>
              <w:pStyle w:val="15"/>
              <w:spacing w:before="197" w:line="324" w:lineRule="exact"/>
              <w:ind w:left="944"/>
              <w:rPr>
                <w:color w:val="auto"/>
                <w:highlight w:val="none"/>
              </w:rPr>
            </w:pPr>
            <w:r>
              <w:rPr>
                <w:color w:val="auto"/>
                <w:spacing w:val="-2"/>
                <w:position w:val="2"/>
                <w:highlight w:val="none"/>
              </w:rPr>
              <w:t>……</w:t>
            </w:r>
          </w:p>
        </w:tc>
        <w:tc>
          <w:tcPr>
            <w:tcW w:w="2995" w:type="dxa"/>
            <w:vAlign w:val="top"/>
          </w:tcPr>
          <w:p w14:paraId="4DFFCF98">
            <w:pPr>
              <w:rPr>
                <w:rFonts w:ascii="Arial"/>
                <w:color w:val="auto"/>
                <w:sz w:val="21"/>
                <w:highlight w:val="none"/>
              </w:rPr>
            </w:pPr>
          </w:p>
        </w:tc>
        <w:tc>
          <w:tcPr>
            <w:tcW w:w="1403" w:type="dxa"/>
            <w:vAlign w:val="top"/>
          </w:tcPr>
          <w:p w14:paraId="03030897">
            <w:pPr>
              <w:rPr>
                <w:rFonts w:ascii="Arial"/>
                <w:color w:val="auto"/>
                <w:sz w:val="21"/>
                <w:highlight w:val="none"/>
              </w:rPr>
            </w:pPr>
          </w:p>
        </w:tc>
      </w:tr>
    </w:tbl>
    <w:p w14:paraId="642BD1C8">
      <w:pPr>
        <w:pStyle w:val="2"/>
        <w:spacing w:line="345" w:lineRule="auto"/>
        <w:rPr>
          <w:color w:val="auto"/>
          <w:highlight w:val="none"/>
        </w:rPr>
      </w:pPr>
    </w:p>
    <w:p w14:paraId="42E966FD">
      <w:pPr>
        <w:spacing w:before="65" w:line="227" w:lineRule="auto"/>
        <w:ind w:left="13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供应商（盖单位公章</w:t>
      </w:r>
      <w:r>
        <w:rPr>
          <w:rFonts w:ascii="宋体" w:hAnsi="宋体" w:eastAsia="宋体" w:cs="宋体"/>
          <w:color w:val="auto"/>
          <w:spacing w:val="2"/>
          <w:sz w:val="20"/>
          <w:szCs w:val="20"/>
          <w:highlight w:val="none"/>
        </w:rPr>
        <w:t>）：</w:t>
      </w:r>
    </w:p>
    <w:p w14:paraId="654636C3">
      <w:pPr>
        <w:pStyle w:val="2"/>
        <w:spacing w:line="262" w:lineRule="auto"/>
        <w:rPr>
          <w:color w:val="auto"/>
          <w:highlight w:val="none"/>
        </w:rPr>
      </w:pPr>
    </w:p>
    <w:p w14:paraId="53B43ABB">
      <w:pPr>
        <w:pStyle w:val="2"/>
        <w:spacing w:line="263" w:lineRule="auto"/>
        <w:rPr>
          <w:color w:val="auto"/>
          <w:highlight w:val="none"/>
        </w:rPr>
      </w:pPr>
    </w:p>
    <w:p w14:paraId="77CA034C">
      <w:pPr>
        <w:spacing w:before="66" w:line="227" w:lineRule="auto"/>
        <w:ind w:left="132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法人代表或委托代理人（签字或盖章</w:t>
      </w:r>
      <w:r>
        <w:rPr>
          <w:rFonts w:ascii="宋体" w:hAnsi="宋体" w:eastAsia="宋体" w:cs="宋体"/>
          <w:color w:val="auto"/>
          <w:spacing w:val="1"/>
          <w:sz w:val="20"/>
          <w:szCs w:val="20"/>
          <w:highlight w:val="none"/>
        </w:rPr>
        <w:t>）：</w:t>
      </w:r>
    </w:p>
    <w:p w14:paraId="01C3E63E">
      <w:pPr>
        <w:spacing w:before="212" w:line="228" w:lineRule="auto"/>
        <w:ind w:left="327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日期：</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4"/>
          <w:sz w:val="20"/>
          <w:szCs w:val="20"/>
          <w:highlight w:val="none"/>
        </w:rPr>
        <w:t>年</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4"/>
          <w:sz w:val="20"/>
          <w:szCs w:val="20"/>
          <w:highlight w:val="none"/>
        </w:rPr>
        <w:t>月</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4"/>
          <w:sz w:val="20"/>
          <w:szCs w:val="20"/>
          <w:highlight w:val="none"/>
        </w:rPr>
        <w:t>日</w:t>
      </w:r>
    </w:p>
    <w:p w14:paraId="6D3EE2EB">
      <w:pPr>
        <w:spacing w:line="228" w:lineRule="auto"/>
        <w:rPr>
          <w:rFonts w:ascii="宋体" w:hAnsi="宋体" w:eastAsia="宋体" w:cs="宋体"/>
          <w:color w:val="auto"/>
          <w:sz w:val="20"/>
          <w:szCs w:val="20"/>
          <w:highlight w:val="none"/>
        </w:rPr>
        <w:sectPr>
          <w:footerReference r:id="rId47" w:type="default"/>
          <w:pgSz w:w="11910" w:h="16840"/>
          <w:pgMar w:top="1357" w:right="1786" w:bottom="1019" w:left="1786" w:header="0" w:footer="857" w:gutter="0"/>
          <w:pgNumType w:fmt="decimal"/>
          <w:cols w:space="720" w:num="1"/>
        </w:sectPr>
      </w:pPr>
    </w:p>
    <w:p w14:paraId="586E58D4">
      <w:pPr>
        <w:spacing w:before="160" w:line="223" w:lineRule="auto"/>
        <w:ind w:left="4077"/>
        <w:rPr>
          <w:rFonts w:ascii="宋体" w:hAnsi="宋体" w:eastAsia="宋体" w:cs="宋体"/>
          <w:color w:val="auto"/>
          <w:sz w:val="31"/>
          <w:szCs w:val="31"/>
          <w:highlight w:val="none"/>
        </w:rPr>
      </w:pPr>
      <w:r>
        <w:rPr>
          <w:rFonts w:ascii="宋体" w:hAnsi="宋体" w:eastAsia="宋体" w:cs="宋体"/>
          <w:b/>
          <w:bCs/>
          <w:color w:val="auto"/>
          <w:spacing w:val="2"/>
          <w:sz w:val="31"/>
          <w:szCs w:val="31"/>
          <w:highlight w:val="none"/>
        </w:rPr>
        <w:t>响应报价表</w:t>
      </w:r>
    </w:p>
    <w:p w14:paraId="507217EB">
      <w:pPr>
        <w:pStyle w:val="2"/>
        <w:spacing w:line="300" w:lineRule="auto"/>
        <w:rPr>
          <w:color w:val="auto"/>
          <w:highlight w:val="none"/>
        </w:rPr>
      </w:pPr>
    </w:p>
    <w:p w14:paraId="3E4A0C0A">
      <w:pPr>
        <w:spacing w:before="65" w:line="227" w:lineRule="auto"/>
        <w:ind w:left="64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工程规模：</w:t>
      </w:r>
      <w:r>
        <w:rPr>
          <w:rFonts w:ascii="宋体" w:hAnsi="宋体" w:eastAsia="宋体" w:cs="宋体"/>
          <w:color w:val="auto"/>
          <w:spacing w:val="2"/>
          <w:sz w:val="20"/>
          <w:szCs w:val="20"/>
          <w:highlight w:val="none"/>
        </w:rPr>
        <w:t xml:space="preserve">                                                 </w:t>
      </w:r>
      <w:r>
        <w:rPr>
          <w:rFonts w:ascii="宋体" w:hAnsi="宋体" w:eastAsia="宋体" w:cs="宋体"/>
          <w:color w:val="auto"/>
          <w:spacing w:val="1"/>
          <w:sz w:val="20"/>
          <w:szCs w:val="20"/>
          <w:highlight w:val="none"/>
        </w:rPr>
        <w:t xml:space="preserve">   </w:t>
      </w:r>
      <w:r>
        <w:rPr>
          <w:rFonts w:ascii="宋体" w:hAnsi="宋体" w:eastAsia="宋体" w:cs="宋体"/>
          <w:color w:val="auto"/>
          <w:spacing w:val="4"/>
          <w:sz w:val="20"/>
          <w:szCs w:val="20"/>
          <w:highlight w:val="none"/>
        </w:rPr>
        <w:t>币种：人民币</w:t>
      </w:r>
    </w:p>
    <w:p w14:paraId="6E9C169A">
      <w:pPr>
        <w:spacing w:line="62" w:lineRule="exact"/>
        <w:rPr>
          <w:color w:val="auto"/>
          <w:highlight w:val="none"/>
        </w:rPr>
      </w:pPr>
    </w:p>
    <w:tbl>
      <w:tblPr>
        <w:tblStyle w:val="14"/>
        <w:tblW w:w="8797" w:type="dxa"/>
        <w:tblInd w:w="1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7"/>
        <w:gridCol w:w="3117"/>
        <w:gridCol w:w="1984"/>
        <w:gridCol w:w="1709"/>
      </w:tblGrid>
      <w:tr w14:paraId="3E469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5104" w:type="dxa"/>
            <w:gridSpan w:val="2"/>
            <w:vAlign w:val="top"/>
          </w:tcPr>
          <w:p w14:paraId="0293C766">
            <w:pPr>
              <w:pStyle w:val="15"/>
              <w:spacing w:before="130" w:line="226" w:lineRule="auto"/>
              <w:ind w:left="2138"/>
              <w:rPr>
                <w:color w:val="auto"/>
                <w:highlight w:val="none"/>
              </w:rPr>
            </w:pPr>
            <w:r>
              <w:rPr>
                <w:color w:val="auto"/>
                <w:spacing w:val="7"/>
                <w:highlight w:val="none"/>
              </w:rPr>
              <w:t>磋商报价</w:t>
            </w:r>
          </w:p>
        </w:tc>
        <w:tc>
          <w:tcPr>
            <w:tcW w:w="1984" w:type="dxa"/>
            <w:vAlign w:val="top"/>
          </w:tcPr>
          <w:p w14:paraId="586D05DE">
            <w:pPr>
              <w:pStyle w:val="15"/>
              <w:spacing w:before="130" w:line="228" w:lineRule="auto"/>
              <w:ind w:left="1468"/>
              <w:rPr>
                <w:color w:val="auto"/>
                <w:highlight w:val="none"/>
              </w:rPr>
            </w:pPr>
            <w:r>
              <w:rPr>
                <w:color w:val="auto"/>
                <w:spacing w:val="2"/>
                <w:highlight w:val="none"/>
              </w:rPr>
              <w:t>万元</w:t>
            </w:r>
          </w:p>
        </w:tc>
        <w:tc>
          <w:tcPr>
            <w:tcW w:w="1709" w:type="dxa"/>
            <w:vAlign w:val="top"/>
          </w:tcPr>
          <w:p w14:paraId="5D8C3C2F">
            <w:pPr>
              <w:pStyle w:val="15"/>
              <w:spacing w:before="130" w:line="229" w:lineRule="auto"/>
              <w:ind w:left="652"/>
              <w:rPr>
                <w:color w:val="auto"/>
                <w:highlight w:val="none"/>
              </w:rPr>
            </w:pPr>
            <w:r>
              <w:rPr>
                <w:color w:val="auto"/>
                <w:spacing w:val="3"/>
                <w:highlight w:val="none"/>
              </w:rPr>
              <w:t>备注</w:t>
            </w:r>
          </w:p>
        </w:tc>
      </w:tr>
      <w:tr w14:paraId="65FD4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987" w:type="dxa"/>
            <w:vMerge w:val="restart"/>
            <w:tcBorders>
              <w:bottom w:val="nil"/>
            </w:tcBorders>
            <w:vAlign w:val="top"/>
          </w:tcPr>
          <w:p w14:paraId="4291D2B3">
            <w:pPr>
              <w:spacing w:line="265" w:lineRule="auto"/>
              <w:rPr>
                <w:rFonts w:ascii="Arial"/>
                <w:color w:val="auto"/>
                <w:sz w:val="21"/>
                <w:highlight w:val="none"/>
              </w:rPr>
            </w:pPr>
          </w:p>
          <w:p w14:paraId="460C8D8F">
            <w:pPr>
              <w:spacing w:line="265" w:lineRule="auto"/>
              <w:rPr>
                <w:rFonts w:ascii="Arial"/>
                <w:color w:val="auto"/>
                <w:sz w:val="21"/>
                <w:highlight w:val="none"/>
              </w:rPr>
            </w:pPr>
          </w:p>
          <w:p w14:paraId="3FA627E3">
            <w:pPr>
              <w:spacing w:line="265" w:lineRule="auto"/>
              <w:rPr>
                <w:rFonts w:ascii="Arial"/>
                <w:color w:val="auto"/>
                <w:sz w:val="21"/>
                <w:highlight w:val="none"/>
              </w:rPr>
            </w:pPr>
          </w:p>
          <w:p w14:paraId="2F3EF381">
            <w:pPr>
              <w:spacing w:line="265" w:lineRule="auto"/>
              <w:rPr>
                <w:rFonts w:ascii="Arial"/>
                <w:color w:val="auto"/>
                <w:sz w:val="21"/>
                <w:highlight w:val="none"/>
              </w:rPr>
            </w:pPr>
          </w:p>
          <w:p w14:paraId="14ECD580">
            <w:pPr>
              <w:spacing w:line="265" w:lineRule="auto"/>
              <w:rPr>
                <w:rFonts w:ascii="Arial"/>
                <w:color w:val="auto"/>
                <w:sz w:val="21"/>
                <w:highlight w:val="none"/>
              </w:rPr>
            </w:pPr>
          </w:p>
          <w:p w14:paraId="23CED379">
            <w:pPr>
              <w:spacing w:line="266" w:lineRule="auto"/>
              <w:rPr>
                <w:rFonts w:ascii="Arial"/>
                <w:color w:val="auto"/>
                <w:sz w:val="21"/>
                <w:highlight w:val="none"/>
              </w:rPr>
            </w:pPr>
          </w:p>
          <w:p w14:paraId="5E526E53">
            <w:pPr>
              <w:pStyle w:val="15"/>
              <w:spacing w:before="65" w:line="228" w:lineRule="auto"/>
              <w:ind w:left="791"/>
              <w:rPr>
                <w:color w:val="auto"/>
                <w:highlight w:val="none"/>
              </w:rPr>
            </w:pPr>
            <w:r>
              <w:rPr>
                <w:color w:val="auto"/>
                <w:spacing w:val="4"/>
                <w:highlight w:val="none"/>
              </w:rPr>
              <w:t>其中</w:t>
            </w:r>
          </w:p>
        </w:tc>
        <w:tc>
          <w:tcPr>
            <w:tcW w:w="3117" w:type="dxa"/>
            <w:vAlign w:val="top"/>
          </w:tcPr>
          <w:p w14:paraId="51900BB5">
            <w:pPr>
              <w:pStyle w:val="15"/>
              <w:spacing w:before="131" w:line="228" w:lineRule="auto"/>
              <w:ind w:left="833"/>
              <w:rPr>
                <w:color w:val="auto"/>
                <w:highlight w:val="none"/>
              </w:rPr>
            </w:pPr>
            <w:r>
              <w:rPr>
                <w:color w:val="auto"/>
                <w:spacing w:val="8"/>
                <w:highlight w:val="none"/>
              </w:rPr>
              <w:t>安全文明施工费</w:t>
            </w:r>
          </w:p>
        </w:tc>
        <w:tc>
          <w:tcPr>
            <w:tcW w:w="1984" w:type="dxa"/>
            <w:vAlign w:val="top"/>
          </w:tcPr>
          <w:p w14:paraId="0C7038B1">
            <w:pPr>
              <w:pStyle w:val="15"/>
              <w:spacing w:before="132" w:line="228" w:lineRule="auto"/>
              <w:ind w:left="1468"/>
              <w:rPr>
                <w:color w:val="auto"/>
                <w:highlight w:val="none"/>
              </w:rPr>
            </w:pPr>
            <w:r>
              <w:rPr>
                <w:color w:val="auto"/>
                <w:spacing w:val="2"/>
                <w:highlight w:val="none"/>
              </w:rPr>
              <w:t>万元</w:t>
            </w:r>
          </w:p>
        </w:tc>
        <w:tc>
          <w:tcPr>
            <w:tcW w:w="1709" w:type="dxa"/>
            <w:vAlign w:val="top"/>
          </w:tcPr>
          <w:p w14:paraId="094073B6">
            <w:pPr>
              <w:rPr>
                <w:rFonts w:ascii="Arial"/>
                <w:color w:val="auto"/>
                <w:sz w:val="21"/>
                <w:highlight w:val="none"/>
              </w:rPr>
            </w:pPr>
          </w:p>
        </w:tc>
      </w:tr>
      <w:tr w14:paraId="1F17AC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987" w:type="dxa"/>
            <w:vMerge w:val="continue"/>
            <w:tcBorders>
              <w:top w:val="nil"/>
              <w:bottom w:val="nil"/>
            </w:tcBorders>
            <w:vAlign w:val="top"/>
          </w:tcPr>
          <w:p w14:paraId="1004B51B">
            <w:pPr>
              <w:rPr>
                <w:rFonts w:ascii="Arial"/>
                <w:color w:val="auto"/>
                <w:sz w:val="21"/>
                <w:highlight w:val="none"/>
              </w:rPr>
            </w:pPr>
          </w:p>
        </w:tc>
        <w:tc>
          <w:tcPr>
            <w:tcW w:w="3117" w:type="dxa"/>
            <w:vAlign w:val="top"/>
          </w:tcPr>
          <w:p w14:paraId="6915F51E">
            <w:pPr>
              <w:pStyle w:val="15"/>
              <w:spacing w:before="31" w:line="297" w:lineRule="auto"/>
              <w:ind w:left="410" w:right="193" w:hanging="212"/>
              <w:rPr>
                <w:color w:val="auto"/>
                <w:highlight w:val="none"/>
              </w:rPr>
            </w:pPr>
            <w:r>
              <w:rPr>
                <w:color w:val="auto"/>
                <w:spacing w:val="9"/>
                <w:highlight w:val="none"/>
              </w:rPr>
              <w:t>规费中按规定向建安劳保费管</w:t>
            </w:r>
            <w:r>
              <w:rPr>
                <w:color w:val="auto"/>
                <w:spacing w:val="1"/>
                <w:highlight w:val="none"/>
              </w:rPr>
              <w:t xml:space="preserve"> </w:t>
            </w:r>
            <w:r>
              <w:rPr>
                <w:color w:val="auto"/>
                <w:spacing w:val="8"/>
                <w:highlight w:val="none"/>
              </w:rPr>
              <w:t>理机构缴纳的建安劳保费</w:t>
            </w:r>
          </w:p>
        </w:tc>
        <w:tc>
          <w:tcPr>
            <w:tcW w:w="1984" w:type="dxa"/>
            <w:vAlign w:val="top"/>
          </w:tcPr>
          <w:p w14:paraId="46CDD6DF">
            <w:pPr>
              <w:pStyle w:val="15"/>
              <w:spacing w:before="199" w:line="228" w:lineRule="auto"/>
              <w:ind w:left="1468"/>
              <w:rPr>
                <w:color w:val="auto"/>
                <w:highlight w:val="none"/>
              </w:rPr>
            </w:pPr>
            <w:r>
              <w:rPr>
                <w:color w:val="auto"/>
                <w:spacing w:val="2"/>
                <w:highlight w:val="none"/>
              </w:rPr>
              <w:t>万元</w:t>
            </w:r>
          </w:p>
        </w:tc>
        <w:tc>
          <w:tcPr>
            <w:tcW w:w="1709" w:type="dxa"/>
            <w:vAlign w:val="top"/>
          </w:tcPr>
          <w:p w14:paraId="05FE2715">
            <w:pPr>
              <w:rPr>
                <w:rFonts w:ascii="Arial"/>
                <w:color w:val="auto"/>
                <w:sz w:val="21"/>
                <w:highlight w:val="none"/>
              </w:rPr>
            </w:pPr>
          </w:p>
        </w:tc>
      </w:tr>
      <w:tr w14:paraId="1801C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87" w:type="dxa"/>
            <w:vMerge w:val="continue"/>
            <w:tcBorders>
              <w:top w:val="nil"/>
              <w:bottom w:val="nil"/>
            </w:tcBorders>
            <w:vAlign w:val="top"/>
          </w:tcPr>
          <w:p w14:paraId="4F19BADF">
            <w:pPr>
              <w:rPr>
                <w:rFonts w:ascii="Arial"/>
                <w:color w:val="auto"/>
                <w:sz w:val="21"/>
                <w:highlight w:val="none"/>
              </w:rPr>
            </w:pPr>
          </w:p>
        </w:tc>
        <w:tc>
          <w:tcPr>
            <w:tcW w:w="3117" w:type="dxa"/>
            <w:vAlign w:val="top"/>
          </w:tcPr>
          <w:p w14:paraId="751CF596">
            <w:pPr>
              <w:pStyle w:val="15"/>
              <w:spacing w:before="138" w:line="227" w:lineRule="auto"/>
              <w:ind w:left="412"/>
              <w:rPr>
                <w:color w:val="auto"/>
                <w:highlight w:val="none"/>
              </w:rPr>
            </w:pPr>
            <w:r>
              <w:rPr>
                <w:color w:val="auto"/>
                <w:spacing w:val="7"/>
                <w:highlight w:val="none"/>
              </w:rPr>
              <w:t>发包人提供材料（如有）</w:t>
            </w:r>
          </w:p>
        </w:tc>
        <w:tc>
          <w:tcPr>
            <w:tcW w:w="1984" w:type="dxa"/>
            <w:vAlign w:val="top"/>
          </w:tcPr>
          <w:p w14:paraId="0992091C">
            <w:pPr>
              <w:pStyle w:val="15"/>
              <w:spacing w:before="138" w:line="228" w:lineRule="auto"/>
              <w:ind w:left="1468"/>
              <w:rPr>
                <w:color w:val="auto"/>
                <w:highlight w:val="none"/>
              </w:rPr>
            </w:pPr>
            <w:r>
              <w:rPr>
                <w:color w:val="auto"/>
                <w:spacing w:val="2"/>
                <w:highlight w:val="none"/>
              </w:rPr>
              <w:t>万元</w:t>
            </w:r>
          </w:p>
        </w:tc>
        <w:tc>
          <w:tcPr>
            <w:tcW w:w="1709" w:type="dxa"/>
            <w:vAlign w:val="top"/>
          </w:tcPr>
          <w:p w14:paraId="531877E5">
            <w:pPr>
              <w:rPr>
                <w:rFonts w:ascii="Arial"/>
                <w:color w:val="auto"/>
                <w:sz w:val="21"/>
                <w:highlight w:val="none"/>
              </w:rPr>
            </w:pPr>
          </w:p>
        </w:tc>
      </w:tr>
      <w:tr w14:paraId="02A03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987" w:type="dxa"/>
            <w:vMerge w:val="continue"/>
            <w:tcBorders>
              <w:top w:val="nil"/>
              <w:bottom w:val="nil"/>
            </w:tcBorders>
            <w:vAlign w:val="top"/>
          </w:tcPr>
          <w:p w14:paraId="2E54C130">
            <w:pPr>
              <w:rPr>
                <w:rFonts w:ascii="Arial"/>
                <w:color w:val="auto"/>
                <w:sz w:val="21"/>
                <w:highlight w:val="none"/>
              </w:rPr>
            </w:pPr>
          </w:p>
        </w:tc>
        <w:tc>
          <w:tcPr>
            <w:tcW w:w="3117" w:type="dxa"/>
            <w:vAlign w:val="top"/>
          </w:tcPr>
          <w:p w14:paraId="5FD1B32E">
            <w:pPr>
              <w:pStyle w:val="15"/>
              <w:spacing w:before="33" w:line="226" w:lineRule="auto"/>
              <w:ind w:left="113"/>
              <w:rPr>
                <w:color w:val="auto"/>
                <w:highlight w:val="none"/>
              </w:rPr>
            </w:pPr>
            <w:r>
              <w:rPr>
                <w:color w:val="auto"/>
                <w:spacing w:val="6"/>
                <w:highlight w:val="none"/>
              </w:rPr>
              <w:t>承包人提供材料（设备）暂估价</w:t>
            </w:r>
          </w:p>
          <w:p w14:paraId="7375CF9A">
            <w:pPr>
              <w:pStyle w:val="15"/>
              <w:spacing w:before="96" w:line="228" w:lineRule="auto"/>
              <w:ind w:left="1153"/>
              <w:rPr>
                <w:color w:val="auto"/>
                <w:highlight w:val="none"/>
              </w:rPr>
            </w:pPr>
            <w:r>
              <w:rPr>
                <w:color w:val="auto"/>
                <w:spacing w:val="2"/>
                <w:highlight w:val="none"/>
              </w:rPr>
              <w:t>（如有）</w:t>
            </w:r>
          </w:p>
        </w:tc>
        <w:tc>
          <w:tcPr>
            <w:tcW w:w="1984" w:type="dxa"/>
            <w:vAlign w:val="top"/>
          </w:tcPr>
          <w:p w14:paraId="1634DF4D">
            <w:pPr>
              <w:pStyle w:val="15"/>
              <w:spacing w:before="201" w:line="228" w:lineRule="auto"/>
              <w:ind w:left="1468"/>
              <w:rPr>
                <w:color w:val="auto"/>
                <w:highlight w:val="none"/>
              </w:rPr>
            </w:pPr>
            <w:r>
              <w:rPr>
                <w:color w:val="auto"/>
                <w:spacing w:val="2"/>
                <w:highlight w:val="none"/>
              </w:rPr>
              <w:t>万元</w:t>
            </w:r>
          </w:p>
        </w:tc>
        <w:tc>
          <w:tcPr>
            <w:tcW w:w="1709" w:type="dxa"/>
            <w:vAlign w:val="top"/>
          </w:tcPr>
          <w:p w14:paraId="236974B5">
            <w:pPr>
              <w:rPr>
                <w:rFonts w:ascii="Arial"/>
                <w:color w:val="auto"/>
                <w:sz w:val="21"/>
                <w:highlight w:val="none"/>
              </w:rPr>
            </w:pPr>
          </w:p>
        </w:tc>
      </w:tr>
      <w:tr w14:paraId="3F51C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1987" w:type="dxa"/>
            <w:vMerge w:val="continue"/>
            <w:tcBorders>
              <w:top w:val="nil"/>
              <w:bottom w:val="nil"/>
            </w:tcBorders>
            <w:vAlign w:val="top"/>
          </w:tcPr>
          <w:p w14:paraId="54A121B3">
            <w:pPr>
              <w:rPr>
                <w:rFonts w:ascii="Arial"/>
                <w:color w:val="auto"/>
                <w:sz w:val="21"/>
                <w:highlight w:val="none"/>
              </w:rPr>
            </w:pPr>
          </w:p>
        </w:tc>
        <w:tc>
          <w:tcPr>
            <w:tcW w:w="3117" w:type="dxa"/>
            <w:vAlign w:val="top"/>
          </w:tcPr>
          <w:p w14:paraId="3E6D084A">
            <w:pPr>
              <w:pStyle w:val="15"/>
              <w:spacing w:before="141" w:line="226" w:lineRule="auto"/>
              <w:ind w:left="521"/>
              <w:rPr>
                <w:color w:val="auto"/>
                <w:highlight w:val="none"/>
              </w:rPr>
            </w:pPr>
            <w:r>
              <w:rPr>
                <w:color w:val="auto"/>
                <w:spacing w:val="7"/>
                <w:highlight w:val="none"/>
              </w:rPr>
              <w:t>暂估专业工程（如有）</w:t>
            </w:r>
          </w:p>
        </w:tc>
        <w:tc>
          <w:tcPr>
            <w:tcW w:w="1984" w:type="dxa"/>
            <w:vAlign w:val="top"/>
          </w:tcPr>
          <w:p w14:paraId="665DD96F">
            <w:pPr>
              <w:pStyle w:val="15"/>
              <w:spacing w:before="141" w:line="228" w:lineRule="auto"/>
              <w:ind w:left="1468"/>
              <w:rPr>
                <w:color w:val="auto"/>
                <w:highlight w:val="none"/>
              </w:rPr>
            </w:pPr>
            <w:r>
              <w:rPr>
                <w:color w:val="auto"/>
                <w:spacing w:val="2"/>
                <w:highlight w:val="none"/>
              </w:rPr>
              <w:t>万元</w:t>
            </w:r>
          </w:p>
        </w:tc>
        <w:tc>
          <w:tcPr>
            <w:tcW w:w="1709" w:type="dxa"/>
            <w:vAlign w:val="top"/>
          </w:tcPr>
          <w:p w14:paraId="07855E04">
            <w:pPr>
              <w:rPr>
                <w:rFonts w:ascii="Arial"/>
                <w:color w:val="auto"/>
                <w:sz w:val="21"/>
                <w:highlight w:val="none"/>
              </w:rPr>
            </w:pPr>
          </w:p>
        </w:tc>
      </w:tr>
      <w:tr w14:paraId="3885A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987" w:type="dxa"/>
            <w:vMerge w:val="continue"/>
            <w:tcBorders>
              <w:top w:val="nil"/>
            </w:tcBorders>
            <w:vAlign w:val="top"/>
          </w:tcPr>
          <w:p w14:paraId="1C314017">
            <w:pPr>
              <w:rPr>
                <w:rFonts w:ascii="Arial"/>
                <w:color w:val="auto"/>
                <w:sz w:val="21"/>
                <w:highlight w:val="none"/>
              </w:rPr>
            </w:pPr>
          </w:p>
        </w:tc>
        <w:tc>
          <w:tcPr>
            <w:tcW w:w="3117" w:type="dxa"/>
            <w:vAlign w:val="top"/>
          </w:tcPr>
          <w:p w14:paraId="6EB0B2E5">
            <w:pPr>
              <w:pStyle w:val="15"/>
              <w:spacing w:before="141" w:line="228" w:lineRule="auto"/>
              <w:ind w:left="729"/>
              <w:rPr>
                <w:color w:val="auto"/>
                <w:highlight w:val="none"/>
              </w:rPr>
            </w:pPr>
            <w:r>
              <w:rPr>
                <w:color w:val="auto"/>
                <w:spacing w:val="6"/>
                <w:highlight w:val="none"/>
              </w:rPr>
              <w:t>暂列金额（如有）</w:t>
            </w:r>
          </w:p>
        </w:tc>
        <w:tc>
          <w:tcPr>
            <w:tcW w:w="1984" w:type="dxa"/>
            <w:vAlign w:val="top"/>
          </w:tcPr>
          <w:p w14:paraId="594F27DC">
            <w:pPr>
              <w:pStyle w:val="15"/>
              <w:spacing w:before="142" w:line="228" w:lineRule="auto"/>
              <w:ind w:left="1468"/>
              <w:rPr>
                <w:color w:val="auto"/>
                <w:highlight w:val="none"/>
              </w:rPr>
            </w:pPr>
            <w:r>
              <w:rPr>
                <w:color w:val="auto"/>
                <w:spacing w:val="2"/>
                <w:highlight w:val="none"/>
              </w:rPr>
              <w:t>万元</w:t>
            </w:r>
          </w:p>
        </w:tc>
        <w:tc>
          <w:tcPr>
            <w:tcW w:w="1709" w:type="dxa"/>
            <w:vAlign w:val="top"/>
          </w:tcPr>
          <w:p w14:paraId="0F058397">
            <w:pPr>
              <w:rPr>
                <w:rFonts w:ascii="Arial"/>
                <w:color w:val="auto"/>
                <w:sz w:val="21"/>
                <w:highlight w:val="none"/>
              </w:rPr>
            </w:pPr>
          </w:p>
        </w:tc>
      </w:tr>
    </w:tbl>
    <w:p w14:paraId="7B396FF3">
      <w:pPr>
        <w:pStyle w:val="2"/>
        <w:spacing w:line="351" w:lineRule="auto"/>
        <w:rPr>
          <w:color w:val="auto"/>
          <w:highlight w:val="none"/>
        </w:rPr>
      </w:pPr>
    </w:p>
    <w:p w14:paraId="5E20BFF3">
      <w:pPr>
        <w:spacing w:before="66" w:line="300" w:lineRule="auto"/>
        <w:ind w:left="12" w:firstLine="597"/>
        <w:rPr>
          <w:rFonts w:ascii="宋体" w:hAnsi="宋体" w:eastAsia="宋体" w:cs="宋体"/>
          <w:color w:val="auto"/>
          <w:sz w:val="20"/>
          <w:szCs w:val="20"/>
          <w:highlight w:val="none"/>
        </w:rPr>
      </w:pPr>
      <w:r>
        <w:rPr>
          <w:rFonts w:ascii="宋体" w:hAnsi="宋体" w:eastAsia="宋体" w:cs="宋体"/>
          <w:color w:val="auto"/>
          <w:spacing w:val="15"/>
          <w:sz w:val="20"/>
          <w:szCs w:val="20"/>
          <w:highlight w:val="none"/>
        </w:rPr>
        <w:t>【备注：磋商报价规费中含按规定向建安劳保费管理机构缴纳的建安劳保费（依据为桂政发</w:t>
      </w:r>
      <w:r>
        <w:rPr>
          <w:rFonts w:ascii="宋体" w:hAnsi="宋体" w:eastAsia="宋体" w:cs="宋体"/>
          <w:color w:val="auto"/>
          <w:spacing w:val="7"/>
          <w:sz w:val="20"/>
          <w:szCs w:val="20"/>
          <w:highlight w:val="none"/>
        </w:rPr>
        <w:t>〔2012〕42</w:t>
      </w:r>
      <w:r>
        <w:rPr>
          <w:rFonts w:ascii="宋体" w:hAnsi="宋体" w:eastAsia="宋体" w:cs="宋体"/>
          <w:color w:val="auto"/>
          <w:spacing w:val="-35"/>
          <w:sz w:val="20"/>
          <w:szCs w:val="20"/>
          <w:highlight w:val="none"/>
        </w:rPr>
        <w:t xml:space="preserve"> </w:t>
      </w:r>
      <w:r>
        <w:rPr>
          <w:rFonts w:ascii="宋体" w:hAnsi="宋体" w:eastAsia="宋体" w:cs="宋体"/>
          <w:color w:val="auto"/>
          <w:spacing w:val="7"/>
          <w:sz w:val="20"/>
          <w:szCs w:val="20"/>
          <w:highlight w:val="none"/>
        </w:rPr>
        <w:t>号、桂建计〔2000〕48</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号</w:t>
      </w:r>
      <w:r>
        <w:rPr>
          <w:rFonts w:ascii="宋体" w:hAnsi="宋体" w:eastAsia="宋体" w:cs="宋体"/>
          <w:color w:val="auto"/>
          <w:spacing w:val="20"/>
          <w:sz w:val="20"/>
          <w:szCs w:val="20"/>
          <w:highlight w:val="none"/>
        </w:rPr>
        <w:t>），</w:t>
      </w:r>
      <w:r>
        <w:rPr>
          <w:rFonts w:ascii="宋体" w:hAnsi="宋体" w:eastAsia="宋体" w:cs="宋体"/>
          <w:color w:val="auto"/>
          <w:spacing w:val="7"/>
          <w:sz w:val="20"/>
          <w:szCs w:val="20"/>
          <w:highlight w:val="none"/>
        </w:rPr>
        <w:t>现行收取标准依据桂建计字〔2000〕48</w:t>
      </w:r>
      <w:r>
        <w:rPr>
          <w:rFonts w:ascii="宋体" w:hAnsi="宋体" w:eastAsia="宋体" w:cs="宋体"/>
          <w:color w:val="auto"/>
          <w:spacing w:val="-33"/>
          <w:sz w:val="20"/>
          <w:szCs w:val="20"/>
          <w:highlight w:val="none"/>
        </w:rPr>
        <w:t xml:space="preserve"> </w:t>
      </w:r>
      <w:r>
        <w:rPr>
          <w:rFonts w:ascii="宋体" w:hAnsi="宋体" w:eastAsia="宋体" w:cs="宋体"/>
          <w:color w:val="auto"/>
          <w:spacing w:val="7"/>
          <w:sz w:val="20"/>
          <w:szCs w:val="20"/>
          <w:highlight w:val="none"/>
        </w:rPr>
        <w:t>号有关规定执行，</w:t>
      </w:r>
    </w:p>
    <w:p w14:paraId="63C5F396">
      <w:pPr>
        <w:spacing w:before="32" w:line="226" w:lineRule="auto"/>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即按建筑安装工程造价的</w:t>
      </w:r>
      <w:r>
        <w:rPr>
          <w:rFonts w:ascii="宋体" w:hAnsi="宋体" w:eastAsia="宋体" w:cs="宋体"/>
          <w:color w:val="auto"/>
          <w:spacing w:val="-26"/>
          <w:sz w:val="20"/>
          <w:szCs w:val="20"/>
          <w:highlight w:val="none"/>
        </w:rPr>
        <w:t xml:space="preserve"> </w:t>
      </w:r>
      <w:r>
        <w:rPr>
          <w:rFonts w:ascii="宋体" w:hAnsi="宋体" w:eastAsia="宋体" w:cs="宋体"/>
          <w:color w:val="auto"/>
          <w:spacing w:val="6"/>
          <w:sz w:val="20"/>
          <w:szCs w:val="20"/>
          <w:highlight w:val="none"/>
        </w:rPr>
        <w:t>2%收取】</w:t>
      </w:r>
    </w:p>
    <w:p w14:paraId="2DCFCDD3">
      <w:pPr>
        <w:pStyle w:val="2"/>
        <w:spacing w:line="261" w:lineRule="auto"/>
        <w:rPr>
          <w:color w:val="auto"/>
          <w:highlight w:val="none"/>
        </w:rPr>
      </w:pPr>
    </w:p>
    <w:p w14:paraId="3B831AB1">
      <w:pPr>
        <w:pStyle w:val="2"/>
        <w:spacing w:line="261" w:lineRule="auto"/>
        <w:rPr>
          <w:color w:val="auto"/>
          <w:highlight w:val="none"/>
        </w:rPr>
      </w:pPr>
    </w:p>
    <w:p w14:paraId="046D08BA">
      <w:pPr>
        <w:pStyle w:val="2"/>
        <w:spacing w:line="262" w:lineRule="auto"/>
        <w:rPr>
          <w:color w:val="auto"/>
          <w:highlight w:val="none"/>
        </w:rPr>
      </w:pPr>
    </w:p>
    <w:p w14:paraId="5337A8BC">
      <w:pPr>
        <w:pStyle w:val="2"/>
        <w:spacing w:line="262" w:lineRule="auto"/>
        <w:rPr>
          <w:color w:val="auto"/>
          <w:highlight w:val="none"/>
        </w:rPr>
      </w:pPr>
    </w:p>
    <w:p w14:paraId="46F27CE5">
      <w:pPr>
        <w:spacing w:before="66" w:line="227" w:lineRule="auto"/>
        <w:ind w:left="1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供应商（盖单位公章</w:t>
      </w:r>
      <w:r>
        <w:rPr>
          <w:rFonts w:ascii="宋体" w:hAnsi="宋体" w:eastAsia="宋体" w:cs="宋体"/>
          <w:color w:val="auto"/>
          <w:spacing w:val="2"/>
          <w:sz w:val="20"/>
          <w:szCs w:val="20"/>
          <w:highlight w:val="none"/>
        </w:rPr>
        <w:t>）：</w:t>
      </w:r>
    </w:p>
    <w:p w14:paraId="79D7EAF0">
      <w:pPr>
        <w:pStyle w:val="2"/>
        <w:spacing w:line="261" w:lineRule="auto"/>
        <w:rPr>
          <w:color w:val="auto"/>
          <w:highlight w:val="none"/>
        </w:rPr>
      </w:pPr>
    </w:p>
    <w:p w14:paraId="7942B3D8">
      <w:pPr>
        <w:pStyle w:val="2"/>
        <w:spacing w:line="262" w:lineRule="auto"/>
        <w:rPr>
          <w:color w:val="auto"/>
          <w:highlight w:val="none"/>
        </w:rPr>
      </w:pPr>
    </w:p>
    <w:p w14:paraId="16E735FD">
      <w:pPr>
        <w:spacing w:before="65" w:line="227" w:lineRule="auto"/>
        <w:ind w:left="142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法人代表或委托代理人（签字或盖章</w:t>
      </w:r>
      <w:r>
        <w:rPr>
          <w:rFonts w:ascii="宋体" w:hAnsi="宋体" w:eastAsia="宋体" w:cs="宋体"/>
          <w:color w:val="auto"/>
          <w:spacing w:val="1"/>
          <w:sz w:val="20"/>
          <w:szCs w:val="20"/>
          <w:highlight w:val="none"/>
        </w:rPr>
        <w:t>）：</w:t>
      </w:r>
    </w:p>
    <w:p w14:paraId="4E8B8E62">
      <w:pPr>
        <w:spacing w:before="215" w:line="228" w:lineRule="auto"/>
        <w:ind w:left="337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日期：</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4"/>
          <w:sz w:val="20"/>
          <w:szCs w:val="20"/>
          <w:highlight w:val="none"/>
        </w:rPr>
        <w:t>年</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4"/>
          <w:sz w:val="20"/>
          <w:szCs w:val="20"/>
          <w:highlight w:val="none"/>
        </w:rPr>
        <w:t>月</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4"/>
          <w:sz w:val="20"/>
          <w:szCs w:val="20"/>
          <w:highlight w:val="none"/>
        </w:rPr>
        <w:t>日</w:t>
      </w:r>
    </w:p>
    <w:p w14:paraId="042D190F">
      <w:pPr>
        <w:spacing w:line="228" w:lineRule="auto"/>
        <w:rPr>
          <w:rFonts w:ascii="宋体" w:hAnsi="宋体" w:eastAsia="宋体" w:cs="宋体"/>
          <w:color w:val="auto"/>
          <w:sz w:val="20"/>
          <w:szCs w:val="20"/>
          <w:highlight w:val="none"/>
        </w:rPr>
        <w:sectPr>
          <w:footerReference r:id="rId48" w:type="default"/>
          <w:pgSz w:w="11910" w:h="16840"/>
          <w:pgMar w:top="1431" w:right="1009" w:bottom="1021" w:left="1684" w:header="0" w:footer="859" w:gutter="0"/>
          <w:pgNumType w:fmt="decimal"/>
          <w:cols w:space="720" w:num="1"/>
        </w:sectPr>
      </w:pPr>
    </w:p>
    <w:p w14:paraId="085F87AB">
      <w:pPr>
        <w:spacing w:before="64" w:line="223" w:lineRule="auto"/>
        <w:ind w:left="3109"/>
        <w:rPr>
          <w:rFonts w:ascii="宋体" w:hAnsi="宋体" w:eastAsia="宋体" w:cs="宋体"/>
          <w:color w:val="auto"/>
          <w:sz w:val="31"/>
          <w:szCs w:val="31"/>
          <w:highlight w:val="none"/>
        </w:rPr>
      </w:pPr>
      <w:r>
        <w:rPr>
          <w:rFonts w:ascii="宋体" w:hAnsi="宋体" w:eastAsia="宋体" w:cs="宋体"/>
          <w:b/>
          <w:bCs/>
          <w:color w:val="auto"/>
          <w:spacing w:val="1"/>
          <w:sz w:val="31"/>
          <w:szCs w:val="31"/>
          <w:highlight w:val="none"/>
        </w:rPr>
        <w:t>已标价工程量清单</w:t>
      </w:r>
    </w:p>
    <w:p w14:paraId="5B586F15">
      <w:pPr>
        <w:spacing w:before="134" w:line="219" w:lineRule="auto"/>
        <w:ind w:left="2684"/>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（附已标价的工程量清单）</w:t>
      </w:r>
    </w:p>
    <w:p w14:paraId="76B9B653">
      <w:pPr>
        <w:spacing w:line="219" w:lineRule="auto"/>
        <w:rPr>
          <w:rFonts w:ascii="宋体" w:hAnsi="宋体" w:eastAsia="宋体" w:cs="宋体"/>
          <w:color w:val="auto"/>
          <w:sz w:val="28"/>
          <w:szCs w:val="28"/>
          <w:highlight w:val="none"/>
        </w:rPr>
        <w:sectPr>
          <w:footerReference r:id="rId49" w:type="default"/>
          <w:pgSz w:w="11907" w:h="16840"/>
          <w:pgMar w:top="1424" w:right="1786" w:bottom="1014" w:left="1786" w:header="0" w:footer="852" w:gutter="0"/>
          <w:pgNumType w:fmt="decimal"/>
          <w:cols w:space="720" w:num="1"/>
        </w:sectPr>
      </w:pPr>
    </w:p>
    <w:p w14:paraId="1655B465">
      <w:pPr>
        <w:spacing w:before="63" w:line="224" w:lineRule="auto"/>
        <w:ind w:left="3074"/>
        <w:outlineLvl w:val="0"/>
        <w:rPr>
          <w:rFonts w:ascii="宋体" w:hAnsi="宋体" w:eastAsia="宋体" w:cs="宋体"/>
          <w:color w:val="auto"/>
          <w:sz w:val="31"/>
          <w:szCs w:val="31"/>
          <w:highlight w:val="none"/>
        </w:rPr>
      </w:pPr>
      <w:bookmarkStart w:id="88" w:name="bookmark11"/>
      <w:bookmarkEnd w:id="88"/>
      <w:bookmarkStart w:id="89" w:name="_Toc10184"/>
      <w:bookmarkStart w:id="90" w:name="_Toc1578"/>
      <w:bookmarkStart w:id="91" w:name="_Toc10376"/>
      <w:bookmarkStart w:id="92" w:name="_Toc19046"/>
      <w:r>
        <w:rPr>
          <w:rFonts w:ascii="宋体" w:hAnsi="宋体" w:eastAsia="宋体" w:cs="宋体"/>
          <w:b/>
          <w:bCs/>
          <w:color w:val="auto"/>
          <w:spacing w:val="5"/>
          <w:sz w:val="31"/>
          <w:szCs w:val="31"/>
          <w:highlight w:val="none"/>
        </w:rPr>
        <w:t>第六章</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合同文本</w:t>
      </w:r>
      <w:bookmarkEnd w:id="89"/>
      <w:bookmarkEnd w:id="90"/>
      <w:bookmarkEnd w:id="91"/>
      <w:bookmarkEnd w:id="92"/>
    </w:p>
    <w:p w14:paraId="4C822E41">
      <w:pPr>
        <w:pStyle w:val="2"/>
        <w:spacing w:line="387" w:lineRule="auto"/>
        <w:rPr>
          <w:color w:val="auto"/>
          <w:highlight w:val="none"/>
        </w:rPr>
      </w:pPr>
    </w:p>
    <w:p w14:paraId="0A9D14DE">
      <w:pPr>
        <w:spacing w:before="65" w:line="227" w:lineRule="auto"/>
        <w:ind w:left="149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（此合同条款仅做参考，具体内容由成交人与采购人自行协商拟定）</w:t>
      </w:r>
    </w:p>
    <w:p w14:paraId="39BF7539">
      <w:pPr>
        <w:pStyle w:val="2"/>
        <w:spacing w:line="353" w:lineRule="auto"/>
        <w:rPr>
          <w:color w:val="auto"/>
          <w:highlight w:val="none"/>
        </w:rPr>
      </w:pPr>
    </w:p>
    <w:p w14:paraId="0A0883F9">
      <w:pPr>
        <w:spacing w:before="91" w:line="219" w:lineRule="auto"/>
        <w:ind w:left="3022"/>
        <w:outlineLvl w:val="0"/>
        <w:rPr>
          <w:rFonts w:ascii="宋体" w:hAnsi="宋体" w:eastAsia="宋体" w:cs="宋体"/>
          <w:color w:val="auto"/>
          <w:sz w:val="28"/>
          <w:szCs w:val="28"/>
          <w:highlight w:val="none"/>
        </w:rPr>
      </w:pPr>
      <w:bookmarkStart w:id="93" w:name="_Toc22935"/>
      <w:bookmarkStart w:id="94" w:name="_Toc28067"/>
      <w:bookmarkStart w:id="95" w:name="_Toc10299"/>
      <w:bookmarkStart w:id="96" w:name="_Toc11353"/>
      <w:r>
        <w:rPr>
          <w:rFonts w:ascii="宋体" w:hAnsi="宋体" w:eastAsia="宋体" w:cs="宋体"/>
          <w:b/>
          <w:bCs/>
          <w:color w:val="auto"/>
          <w:spacing w:val="-4"/>
          <w:sz w:val="28"/>
          <w:szCs w:val="28"/>
          <w:highlight w:val="none"/>
        </w:rPr>
        <w:t>第一部分</w:t>
      </w:r>
      <w:r>
        <w:rPr>
          <w:rFonts w:ascii="宋体" w:hAnsi="宋体" w:eastAsia="宋体" w:cs="宋体"/>
          <w:color w:val="auto"/>
          <w:spacing w:val="-4"/>
          <w:sz w:val="28"/>
          <w:szCs w:val="28"/>
          <w:highlight w:val="none"/>
        </w:rPr>
        <w:t xml:space="preserve"> </w:t>
      </w:r>
      <w:r>
        <w:rPr>
          <w:rFonts w:ascii="宋体" w:hAnsi="宋体" w:eastAsia="宋体" w:cs="宋体"/>
          <w:b/>
          <w:bCs/>
          <w:color w:val="auto"/>
          <w:spacing w:val="-4"/>
          <w:sz w:val="28"/>
          <w:szCs w:val="28"/>
          <w:highlight w:val="none"/>
        </w:rPr>
        <w:t>合同协议书</w:t>
      </w:r>
      <w:bookmarkEnd w:id="93"/>
      <w:bookmarkEnd w:id="94"/>
      <w:bookmarkEnd w:id="95"/>
      <w:bookmarkEnd w:id="96"/>
    </w:p>
    <w:p w14:paraId="7AFBE130">
      <w:pPr>
        <w:pStyle w:val="2"/>
        <w:spacing w:line="372" w:lineRule="auto"/>
        <w:rPr>
          <w:color w:val="auto"/>
          <w:highlight w:val="none"/>
        </w:rPr>
      </w:pPr>
    </w:p>
    <w:p w14:paraId="539E660B">
      <w:pPr>
        <w:spacing w:before="65" w:line="300" w:lineRule="auto"/>
        <w:ind w:left="19" w:right="2857" w:firstLine="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发包人（全称</w:t>
      </w:r>
      <w:r>
        <w:rPr>
          <w:rFonts w:ascii="宋体" w:hAnsi="宋体" w:eastAsia="宋体" w:cs="宋体"/>
          <w:color w:val="auto"/>
          <w:spacing w:val="12"/>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8"/>
          <w:sz w:val="20"/>
          <w:szCs w:val="20"/>
          <w:highlight w:val="none"/>
        </w:rPr>
        <w:t xml:space="preserve"> </w:t>
      </w:r>
      <w:r>
        <w:rPr>
          <w:rFonts w:ascii="宋体" w:hAnsi="宋体" w:eastAsia="宋体" w:cs="宋体"/>
          <w:color w:val="auto"/>
          <w:spacing w:val="8"/>
          <w:sz w:val="20"/>
          <w:szCs w:val="20"/>
          <w:highlight w:val="none"/>
        </w:rPr>
        <w:t>承包人（全称</w:t>
      </w:r>
      <w:r>
        <w:rPr>
          <w:rFonts w:ascii="宋体" w:hAnsi="宋体" w:eastAsia="宋体" w:cs="宋体"/>
          <w:color w:val="auto"/>
          <w:spacing w:val="11"/>
          <w:sz w:val="20"/>
          <w:szCs w:val="20"/>
          <w:highlight w:val="none"/>
        </w:rPr>
        <w:t>）：</w:t>
      </w:r>
      <w:r>
        <w:rPr>
          <w:rFonts w:ascii="宋体" w:hAnsi="宋体" w:eastAsia="宋体" w:cs="宋体"/>
          <w:color w:val="auto"/>
          <w:sz w:val="20"/>
          <w:szCs w:val="20"/>
          <w:highlight w:val="none"/>
          <w:u w:val="single" w:color="auto"/>
        </w:rPr>
        <w:t xml:space="preserve">                                          </w:t>
      </w:r>
    </w:p>
    <w:p w14:paraId="4FE5BEC3">
      <w:pPr>
        <w:spacing w:before="30" w:line="304" w:lineRule="auto"/>
        <w:ind w:left="18" w:firstLine="420"/>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根据《中华人民共和国合同法》、《中华人民共和国建筑法》及</w:t>
      </w:r>
      <w:r>
        <w:rPr>
          <w:rFonts w:ascii="宋体" w:hAnsi="宋体" w:eastAsia="宋体" w:cs="宋体"/>
          <w:color w:val="auto"/>
          <w:spacing w:val="7"/>
          <w:sz w:val="20"/>
          <w:szCs w:val="20"/>
          <w:highlight w:val="none"/>
        </w:rPr>
        <w:t>有关法律规定，遵循平等、</w:t>
      </w:r>
      <w:r>
        <w:rPr>
          <w:rFonts w:ascii="宋体" w:hAnsi="宋体" w:eastAsia="宋体" w:cs="宋体"/>
          <w:color w:val="auto"/>
          <w:spacing w:val="3"/>
          <w:sz w:val="20"/>
          <w:szCs w:val="20"/>
          <w:highlight w:val="none"/>
        </w:rPr>
        <w:t>自愿、公平和诚实信用的原则，双方就</w:t>
      </w:r>
      <w:r>
        <w:rPr>
          <w:rFonts w:ascii="宋体" w:hAnsi="宋体" w:eastAsia="宋体" w:cs="宋体"/>
          <w:color w:val="auto"/>
          <w:spacing w:val="-90"/>
          <w:sz w:val="20"/>
          <w:szCs w:val="20"/>
          <w:highlight w:val="none"/>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74"/>
          <w:sz w:val="20"/>
          <w:szCs w:val="20"/>
          <w:highlight w:val="none"/>
        </w:rPr>
        <w:t xml:space="preserve"> </w:t>
      </w:r>
      <w:r>
        <w:rPr>
          <w:rFonts w:ascii="宋体" w:hAnsi="宋体" w:eastAsia="宋体" w:cs="宋体"/>
          <w:color w:val="auto"/>
          <w:spacing w:val="3"/>
          <w:sz w:val="20"/>
          <w:szCs w:val="20"/>
          <w:highlight w:val="none"/>
        </w:rPr>
        <w:t>工程施工及有关事项协商一致，</w:t>
      </w:r>
      <w:r>
        <w:rPr>
          <w:rFonts w:ascii="宋体" w:hAnsi="宋体" w:eastAsia="宋体" w:cs="宋体"/>
          <w:color w:val="auto"/>
          <w:spacing w:val="7"/>
          <w:sz w:val="20"/>
          <w:szCs w:val="20"/>
          <w:highlight w:val="none"/>
        </w:rPr>
        <w:t>共同达成如下协议：</w:t>
      </w:r>
    </w:p>
    <w:p w14:paraId="1BCE2165">
      <w:pPr>
        <w:spacing w:before="33" w:line="228" w:lineRule="auto"/>
        <w:ind w:left="443"/>
        <w:outlineLvl w:val="0"/>
        <w:rPr>
          <w:rFonts w:ascii="宋体" w:hAnsi="宋体" w:eastAsia="宋体" w:cs="宋体"/>
          <w:color w:val="auto"/>
          <w:sz w:val="20"/>
          <w:szCs w:val="20"/>
          <w:highlight w:val="none"/>
        </w:rPr>
      </w:pPr>
      <w:bookmarkStart w:id="97" w:name="_Toc16649"/>
      <w:bookmarkStart w:id="98" w:name="_Toc26313"/>
      <w:bookmarkStart w:id="99" w:name="_Toc12593"/>
      <w:r>
        <w:rPr>
          <w:rFonts w:ascii="宋体" w:hAnsi="宋体" w:eastAsia="宋体" w:cs="宋体"/>
          <w:b/>
          <w:bCs/>
          <w:color w:val="auto"/>
          <w:spacing w:val="6"/>
          <w:sz w:val="20"/>
          <w:szCs w:val="20"/>
          <w:highlight w:val="none"/>
        </w:rPr>
        <w:t>一、工程概况</w:t>
      </w:r>
      <w:bookmarkEnd w:id="97"/>
      <w:bookmarkEnd w:id="98"/>
      <w:bookmarkEnd w:id="99"/>
    </w:p>
    <w:p w14:paraId="1F1E5F7A">
      <w:pPr>
        <w:spacing w:before="94" w:line="228" w:lineRule="auto"/>
        <w:ind w:left="44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w:t>
      </w:r>
      <w:r>
        <w:rPr>
          <w:rFonts w:ascii="宋体" w:hAnsi="宋体" w:eastAsia="宋体" w:cs="宋体"/>
          <w:color w:val="auto"/>
          <w:spacing w:val="34"/>
          <w:sz w:val="20"/>
          <w:szCs w:val="20"/>
          <w:highlight w:val="none"/>
        </w:rPr>
        <w:t xml:space="preserve"> </w:t>
      </w:r>
      <w:r>
        <w:rPr>
          <w:rFonts w:ascii="宋体" w:hAnsi="宋体" w:eastAsia="宋体" w:cs="宋体"/>
          <w:color w:val="auto"/>
          <w:spacing w:val="2"/>
          <w:sz w:val="20"/>
          <w:szCs w:val="20"/>
          <w:highlight w:val="none"/>
        </w:rPr>
        <w:t>工程名称：</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w:t>
      </w:r>
    </w:p>
    <w:p w14:paraId="4B0F8FFC">
      <w:pPr>
        <w:spacing w:before="94" w:line="228" w:lineRule="auto"/>
        <w:ind w:left="43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2.</w:t>
      </w:r>
      <w:r>
        <w:rPr>
          <w:rFonts w:ascii="宋体" w:hAnsi="宋体" w:eastAsia="宋体" w:cs="宋体"/>
          <w:color w:val="auto"/>
          <w:spacing w:val="21"/>
          <w:sz w:val="20"/>
          <w:szCs w:val="20"/>
          <w:highlight w:val="none"/>
        </w:rPr>
        <w:t xml:space="preserve"> </w:t>
      </w:r>
      <w:r>
        <w:rPr>
          <w:rFonts w:ascii="宋体" w:hAnsi="宋体" w:eastAsia="宋体" w:cs="宋体"/>
          <w:color w:val="auto"/>
          <w:spacing w:val="4"/>
          <w:sz w:val="20"/>
          <w:szCs w:val="20"/>
          <w:highlight w:val="none"/>
        </w:rPr>
        <w:t>工程地点：</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4"/>
          <w:sz w:val="20"/>
          <w:szCs w:val="20"/>
          <w:highlight w:val="none"/>
        </w:rPr>
        <w:t>。</w:t>
      </w:r>
    </w:p>
    <w:p w14:paraId="6AA91C15">
      <w:pPr>
        <w:spacing w:before="94" w:line="228" w:lineRule="auto"/>
        <w:ind w:left="43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 工程立项批准文号：</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7"/>
          <w:sz w:val="20"/>
          <w:szCs w:val="20"/>
          <w:highlight w:val="none"/>
        </w:rPr>
        <w:t>。</w:t>
      </w:r>
    </w:p>
    <w:p w14:paraId="4F111DE5">
      <w:pPr>
        <w:spacing w:before="90" w:line="228" w:lineRule="auto"/>
        <w:ind w:left="42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4.</w:t>
      </w:r>
      <w:r>
        <w:rPr>
          <w:rFonts w:ascii="宋体" w:hAnsi="宋体" w:eastAsia="宋体" w:cs="宋体"/>
          <w:color w:val="auto"/>
          <w:spacing w:val="24"/>
          <w:sz w:val="20"/>
          <w:szCs w:val="20"/>
          <w:highlight w:val="none"/>
        </w:rPr>
        <w:t xml:space="preserve"> </w:t>
      </w:r>
      <w:r>
        <w:rPr>
          <w:rFonts w:ascii="宋体" w:hAnsi="宋体" w:eastAsia="宋体" w:cs="宋体"/>
          <w:color w:val="auto"/>
          <w:spacing w:val="4"/>
          <w:sz w:val="20"/>
          <w:szCs w:val="20"/>
          <w:highlight w:val="none"/>
        </w:rPr>
        <w:t>资金来源：</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4"/>
          <w:sz w:val="20"/>
          <w:szCs w:val="20"/>
          <w:highlight w:val="none"/>
        </w:rPr>
        <w:t>。</w:t>
      </w:r>
    </w:p>
    <w:p w14:paraId="3C5E0C94">
      <w:pPr>
        <w:spacing w:before="96" w:line="270" w:lineRule="auto"/>
        <w:ind w:left="430" w:right="2901" w:firstLine="4"/>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5.</w:t>
      </w:r>
      <w:r>
        <w:rPr>
          <w:rFonts w:ascii="宋体" w:hAnsi="宋体" w:eastAsia="宋体" w:cs="宋体"/>
          <w:color w:val="auto"/>
          <w:spacing w:val="18"/>
          <w:sz w:val="20"/>
          <w:szCs w:val="20"/>
          <w:highlight w:val="none"/>
        </w:rPr>
        <w:t xml:space="preserve"> </w:t>
      </w:r>
      <w:r>
        <w:rPr>
          <w:rFonts w:ascii="宋体" w:hAnsi="宋体" w:eastAsia="宋体" w:cs="宋体"/>
          <w:color w:val="auto"/>
          <w:spacing w:val="1"/>
          <w:sz w:val="20"/>
          <w:szCs w:val="20"/>
          <w:highlight w:val="none"/>
        </w:rPr>
        <w:t>工程内容：</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rPr>
        <w:t>。</w:t>
      </w:r>
      <w:r>
        <w:rPr>
          <w:rFonts w:ascii="宋体" w:hAnsi="宋体" w:eastAsia="宋体" w:cs="宋体"/>
          <w:color w:val="auto"/>
          <w:spacing w:val="10"/>
          <w:sz w:val="20"/>
          <w:szCs w:val="20"/>
          <w:highlight w:val="none"/>
        </w:rPr>
        <w:t xml:space="preserve"> </w:t>
      </w:r>
      <w:r>
        <w:rPr>
          <w:rFonts w:ascii="宋体" w:hAnsi="宋体" w:eastAsia="宋体" w:cs="宋体"/>
          <w:color w:val="auto"/>
          <w:spacing w:val="7"/>
          <w:sz w:val="20"/>
          <w:szCs w:val="20"/>
          <w:highlight w:val="none"/>
        </w:rPr>
        <w:t>群体工程应附《承包人承揽工程项目一览表》（附件</w:t>
      </w:r>
      <w:r>
        <w:rPr>
          <w:rFonts w:ascii="宋体" w:hAnsi="宋体" w:eastAsia="宋体" w:cs="宋体"/>
          <w:color w:val="auto"/>
          <w:spacing w:val="-3"/>
          <w:sz w:val="20"/>
          <w:szCs w:val="20"/>
          <w:highlight w:val="none"/>
        </w:rPr>
        <w:t xml:space="preserve"> </w:t>
      </w:r>
      <w:r>
        <w:rPr>
          <w:rFonts w:ascii="宋体" w:hAnsi="宋体" w:eastAsia="宋体" w:cs="宋体"/>
          <w:color w:val="auto"/>
          <w:spacing w:val="7"/>
          <w:sz w:val="20"/>
          <w:szCs w:val="20"/>
          <w:highlight w:val="none"/>
        </w:rPr>
        <w:t>1）。</w:t>
      </w:r>
    </w:p>
    <w:p w14:paraId="10D6C5D9">
      <w:pPr>
        <w:spacing w:before="95" w:line="228" w:lineRule="auto"/>
        <w:ind w:left="43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6. 工程承包范围：</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w:t>
      </w:r>
    </w:p>
    <w:p w14:paraId="78441C66">
      <w:pPr>
        <w:spacing w:before="94" w:line="228" w:lineRule="auto"/>
        <w:ind w:left="426"/>
        <w:outlineLvl w:val="0"/>
        <w:rPr>
          <w:rFonts w:ascii="宋体" w:hAnsi="宋体" w:eastAsia="宋体" w:cs="宋体"/>
          <w:color w:val="auto"/>
          <w:sz w:val="20"/>
          <w:szCs w:val="20"/>
          <w:highlight w:val="none"/>
        </w:rPr>
      </w:pPr>
      <w:bookmarkStart w:id="100" w:name="_Toc18178"/>
      <w:bookmarkStart w:id="101" w:name="_Toc25671"/>
      <w:bookmarkStart w:id="102" w:name="_Toc22220"/>
      <w:r>
        <w:rPr>
          <w:rFonts w:ascii="宋体" w:hAnsi="宋体" w:eastAsia="宋体" w:cs="宋体"/>
          <w:b/>
          <w:bCs/>
          <w:color w:val="auto"/>
          <w:spacing w:val="6"/>
          <w:sz w:val="20"/>
          <w:szCs w:val="20"/>
          <w:highlight w:val="none"/>
        </w:rPr>
        <w:t>二、合同工期</w:t>
      </w:r>
      <w:bookmarkEnd w:id="100"/>
      <w:bookmarkEnd w:id="101"/>
      <w:bookmarkEnd w:id="102"/>
    </w:p>
    <w:p w14:paraId="12E616E8">
      <w:pPr>
        <w:spacing w:before="94" w:line="227" w:lineRule="auto"/>
        <w:ind w:left="478"/>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计划开工日期：</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6"/>
          <w:sz w:val="20"/>
          <w:szCs w:val="20"/>
          <w:highlight w:val="none"/>
        </w:rPr>
        <w:t xml:space="preserve"> </w:t>
      </w:r>
      <w:r>
        <w:rPr>
          <w:rFonts w:ascii="宋体" w:hAnsi="宋体" w:eastAsia="宋体" w:cs="宋体"/>
          <w:color w:val="auto"/>
          <w:spacing w:val="6"/>
          <w:sz w:val="20"/>
          <w:szCs w:val="20"/>
          <w:highlight w:val="none"/>
        </w:rPr>
        <w:t>日。（具体以发</w:t>
      </w:r>
      <w:r>
        <w:rPr>
          <w:rFonts w:ascii="宋体" w:hAnsi="宋体" w:eastAsia="宋体" w:cs="宋体"/>
          <w:color w:val="auto"/>
          <w:spacing w:val="5"/>
          <w:sz w:val="20"/>
          <w:szCs w:val="20"/>
          <w:highlight w:val="none"/>
        </w:rPr>
        <w:t>包人书面通知为准）</w:t>
      </w:r>
    </w:p>
    <w:p w14:paraId="12600506">
      <w:pPr>
        <w:spacing w:before="94" w:line="228" w:lineRule="auto"/>
        <w:ind w:left="478"/>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计划竣工日期：</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1"/>
          <w:sz w:val="20"/>
          <w:szCs w:val="20"/>
          <w:highlight w:val="none"/>
        </w:rPr>
        <w:t>年</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1"/>
          <w:sz w:val="20"/>
          <w:szCs w:val="20"/>
          <w:highlight w:val="none"/>
        </w:rPr>
        <w:t>月</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1"/>
          <w:sz w:val="20"/>
          <w:szCs w:val="20"/>
          <w:highlight w:val="none"/>
        </w:rPr>
        <w:t>日。</w:t>
      </w:r>
    </w:p>
    <w:p w14:paraId="6EDB89FC">
      <w:pPr>
        <w:spacing w:before="92" w:line="300" w:lineRule="auto"/>
        <w:ind w:left="23" w:right="71" w:firstLine="456"/>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工期总日历天数：</w:t>
      </w:r>
      <w:r>
        <w:rPr>
          <w:rFonts w:ascii="宋体" w:hAnsi="宋体" w:eastAsia="宋体" w:cs="宋体"/>
          <w:color w:val="auto"/>
          <w:spacing w:val="9"/>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9"/>
          <w:sz w:val="20"/>
          <w:szCs w:val="20"/>
          <w:highlight w:val="none"/>
        </w:rPr>
        <w:t>天。工期总日历天数与根据前</w:t>
      </w:r>
      <w:r>
        <w:rPr>
          <w:rFonts w:ascii="宋体" w:hAnsi="宋体" w:eastAsia="宋体" w:cs="宋体"/>
          <w:color w:val="auto"/>
          <w:spacing w:val="8"/>
          <w:sz w:val="20"/>
          <w:szCs w:val="20"/>
          <w:highlight w:val="none"/>
        </w:rPr>
        <w:t>述计划开竣工日期计算的工期天数不一致的，以工期总日历天数为准。</w:t>
      </w:r>
    </w:p>
    <w:p w14:paraId="599F9B7F">
      <w:pPr>
        <w:spacing w:before="32" w:line="228" w:lineRule="auto"/>
        <w:ind w:left="478"/>
        <w:outlineLvl w:val="0"/>
        <w:rPr>
          <w:rFonts w:ascii="宋体" w:hAnsi="宋体" w:eastAsia="宋体" w:cs="宋体"/>
          <w:color w:val="auto"/>
          <w:sz w:val="20"/>
          <w:szCs w:val="20"/>
          <w:highlight w:val="none"/>
        </w:rPr>
      </w:pPr>
      <w:bookmarkStart w:id="103" w:name="_Toc20414"/>
      <w:bookmarkStart w:id="104" w:name="_Toc5568"/>
      <w:bookmarkStart w:id="105" w:name="_Toc14567"/>
      <w:r>
        <w:rPr>
          <w:rFonts w:ascii="宋体" w:hAnsi="宋体" w:eastAsia="宋体" w:cs="宋体"/>
          <w:b/>
          <w:bCs/>
          <w:color w:val="auto"/>
          <w:spacing w:val="6"/>
          <w:sz w:val="20"/>
          <w:szCs w:val="20"/>
          <w:highlight w:val="none"/>
        </w:rPr>
        <w:t>三、质量标准</w:t>
      </w:r>
      <w:bookmarkEnd w:id="103"/>
      <w:bookmarkEnd w:id="104"/>
      <w:bookmarkEnd w:id="105"/>
    </w:p>
    <w:p w14:paraId="00C2833B">
      <w:pPr>
        <w:spacing w:before="93" w:line="228" w:lineRule="auto"/>
        <w:ind w:left="48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工程质量符合</w:t>
      </w:r>
      <w:r>
        <w:rPr>
          <w:rFonts w:ascii="宋体" w:hAnsi="宋体" w:eastAsia="宋体" w:cs="宋体"/>
          <w:color w:val="auto"/>
          <w:spacing w:val="-97"/>
          <w:sz w:val="20"/>
          <w:szCs w:val="20"/>
          <w:highlight w:val="none"/>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6"/>
          <w:sz w:val="20"/>
          <w:szCs w:val="20"/>
          <w:highlight w:val="none"/>
        </w:rPr>
        <w:t>标准。</w:t>
      </w:r>
    </w:p>
    <w:p w14:paraId="3E4BD4B1">
      <w:pPr>
        <w:spacing w:before="95" w:line="226" w:lineRule="auto"/>
        <w:ind w:left="497"/>
        <w:outlineLvl w:val="0"/>
        <w:rPr>
          <w:rFonts w:ascii="宋体" w:hAnsi="宋体" w:eastAsia="宋体" w:cs="宋体"/>
          <w:color w:val="auto"/>
          <w:sz w:val="20"/>
          <w:szCs w:val="20"/>
          <w:highlight w:val="none"/>
        </w:rPr>
      </w:pPr>
      <w:bookmarkStart w:id="106" w:name="_Toc14557"/>
      <w:bookmarkStart w:id="107" w:name="_Toc30701"/>
      <w:bookmarkStart w:id="108" w:name="_Toc21799"/>
      <w:r>
        <w:rPr>
          <w:rFonts w:ascii="宋体" w:hAnsi="宋体" w:eastAsia="宋体" w:cs="宋体"/>
          <w:b/>
          <w:bCs/>
          <w:color w:val="auto"/>
          <w:spacing w:val="6"/>
          <w:sz w:val="20"/>
          <w:szCs w:val="20"/>
          <w:highlight w:val="none"/>
        </w:rPr>
        <w:t>四、签约合同价与合同价格形式</w:t>
      </w:r>
      <w:bookmarkEnd w:id="106"/>
      <w:bookmarkEnd w:id="107"/>
      <w:bookmarkEnd w:id="108"/>
    </w:p>
    <w:p w14:paraId="477AEB01">
      <w:pPr>
        <w:spacing w:before="96" w:line="226" w:lineRule="auto"/>
        <w:ind w:left="493"/>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 签约合同价为：</w:t>
      </w:r>
    </w:p>
    <w:p w14:paraId="6785FECA">
      <w:pPr>
        <w:spacing w:before="95" w:line="298" w:lineRule="auto"/>
        <w:ind w:left="543" w:right="280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人民币（大写）</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6"/>
          <w:sz w:val="20"/>
          <w:szCs w:val="20"/>
          <w:highlight w:val="none"/>
        </w:rPr>
        <w:t xml:space="preserve"> (¥</w:t>
      </w:r>
      <w:r>
        <w:rPr>
          <w:rFonts w:ascii="宋体" w:hAnsi="宋体" w:eastAsia="宋体" w:cs="宋体"/>
          <w:color w:val="auto"/>
          <w:spacing w:val="-99"/>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6"/>
          <w:sz w:val="20"/>
          <w:szCs w:val="20"/>
          <w:highlight w:val="none"/>
        </w:rPr>
        <w:t>元</w:t>
      </w:r>
      <w:r>
        <w:rPr>
          <w:rFonts w:ascii="宋体" w:hAnsi="宋体" w:eastAsia="宋体" w:cs="宋体"/>
          <w:color w:val="auto"/>
          <w:spacing w:val="-13"/>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其中：</w:t>
      </w:r>
    </w:p>
    <w:p w14:paraId="5F82E7CA">
      <w:pPr>
        <w:spacing w:before="33" w:line="228" w:lineRule="auto"/>
        <w:ind w:left="44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（1）安全文明施工费：</w:t>
      </w:r>
    </w:p>
    <w:p w14:paraId="768BD234">
      <w:pPr>
        <w:spacing w:before="95" w:line="227" w:lineRule="auto"/>
        <w:ind w:left="96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人民币（大写）</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2"/>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5"/>
          <w:sz w:val="20"/>
          <w:szCs w:val="20"/>
          <w:highlight w:val="none"/>
        </w:rPr>
        <w:t>元</w:t>
      </w:r>
      <w:r>
        <w:rPr>
          <w:rFonts w:ascii="宋体" w:hAnsi="宋体" w:eastAsia="宋体" w:cs="宋体"/>
          <w:color w:val="auto"/>
          <w:spacing w:val="2"/>
          <w:sz w:val="20"/>
          <w:szCs w:val="20"/>
          <w:highlight w:val="none"/>
        </w:rPr>
        <w:t>）；</w:t>
      </w:r>
    </w:p>
    <w:p w14:paraId="6C568BDE">
      <w:pPr>
        <w:spacing w:before="94" w:line="228" w:lineRule="auto"/>
        <w:ind w:left="44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（2）建安劳保费：</w:t>
      </w:r>
    </w:p>
    <w:p w14:paraId="07798F77">
      <w:pPr>
        <w:spacing w:before="94" w:line="227" w:lineRule="auto"/>
        <w:ind w:left="96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人民币（大写）</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2"/>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5"/>
          <w:sz w:val="20"/>
          <w:szCs w:val="20"/>
          <w:highlight w:val="none"/>
        </w:rPr>
        <w:t>元</w:t>
      </w:r>
      <w:r>
        <w:rPr>
          <w:rFonts w:ascii="宋体" w:hAnsi="宋体" w:eastAsia="宋体" w:cs="宋体"/>
          <w:color w:val="auto"/>
          <w:spacing w:val="2"/>
          <w:sz w:val="20"/>
          <w:szCs w:val="20"/>
          <w:highlight w:val="none"/>
        </w:rPr>
        <w:t>）；</w:t>
      </w:r>
    </w:p>
    <w:p w14:paraId="1E334FE1">
      <w:pPr>
        <w:spacing w:before="95" w:line="226" w:lineRule="auto"/>
        <w:ind w:left="44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（3）材料和工程设备暂估价金额：</w:t>
      </w:r>
    </w:p>
    <w:p w14:paraId="34A973AE">
      <w:pPr>
        <w:spacing w:before="96" w:line="227" w:lineRule="auto"/>
        <w:ind w:left="96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人民币（大写）</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2"/>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5"/>
          <w:sz w:val="20"/>
          <w:szCs w:val="20"/>
          <w:highlight w:val="none"/>
        </w:rPr>
        <w:t>元</w:t>
      </w:r>
      <w:r>
        <w:rPr>
          <w:rFonts w:ascii="宋体" w:hAnsi="宋体" w:eastAsia="宋体" w:cs="宋体"/>
          <w:color w:val="auto"/>
          <w:spacing w:val="2"/>
          <w:sz w:val="20"/>
          <w:szCs w:val="20"/>
          <w:highlight w:val="none"/>
        </w:rPr>
        <w:t>）；</w:t>
      </w:r>
    </w:p>
    <w:p w14:paraId="6320129D">
      <w:pPr>
        <w:spacing w:before="93" w:line="226" w:lineRule="auto"/>
        <w:ind w:left="44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（4）专业工程暂估价金额：</w:t>
      </w:r>
    </w:p>
    <w:p w14:paraId="48AF9F18">
      <w:pPr>
        <w:spacing w:before="95" w:line="227" w:lineRule="auto"/>
        <w:ind w:left="96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人民币（大写）</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2"/>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5"/>
          <w:sz w:val="20"/>
          <w:szCs w:val="20"/>
          <w:highlight w:val="none"/>
        </w:rPr>
        <w:t>元</w:t>
      </w:r>
      <w:r>
        <w:rPr>
          <w:rFonts w:ascii="宋体" w:hAnsi="宋体" w:eastAsia="宋体" w:cs="宋体"/>
          <w:color w:val="auto"/>
          <w:spacing w:val="2"/>
          <w:sz w:val="20"/>
          <w:szCs w:val="20"/>
          <w:highlight w:val="none"/>
        </w:rPr>
        <w:t>）；</w:t>
      </w:r>
    </w:p>
    <w:p w14:paraId="6341D477">
      <w:pPr>
        <w:spacing w:before="95" w:line="228" w:lineRule="auto"/>
        <w:ind w:left="44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（5）暂列金额：</w:t>
      </w:r>
    </w:p>
    <w:p w14:paraId="562FD82B">
      <w:pPr>
        <w:spacing w:before="94" w:line="227" w:lineRule="auto"/>
        <w:ind w:left="96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人民币（大写）</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12"/>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4"/>
          <w:sz w:val="20"/>
          <w:szCs w:val="20"/>
          <w:highlight w:val="none"/>
        </w:rPr>
        <w:t>元）。</w:t>
      </w:r>
    </w:p>
    <w:p w14:paraId="1BCF311A">
      <w:pPr>
        <w:spacing w:line="227" w:lineRule="auto"/>
        <w:rPr>
          <w:rFonts w:ascii="宋体" w:hAnsi="宋体" w:eastAsia="宋体" w:cs="宋体"/>
          <w:color w:val="auto"/>
          <w:sz w:val="20"/>
          <w:szCs w:val="20"/>
          <w:highlight w:val="none"/>
        </w:rPr>
        <w:sectPr>
          <w:footerReference r:id="rId50" w:type="default"/>
          <w:pgSz w:w="11907" w:h="16840"/>
          <w:pgMar w:top="1424" w:right="1372" w:bottom="1014" w:left="1786" w:header="0" w:footer="852" w:gutter="0"/>
          <w:pgNumType w:fmt="decimal"/>
          <w:cols w:space="720" w:num="1"/>
        </w:sectPr>
      </w:pPr>
    </w:p>
    <w:p w14:paraId="6B7DA4BC">
      <w:pPr>
        <w:spacing w:before="41" w:line="228" w:lineRule="auto"/>
        <w:ind w:left="387"/>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（6）增值税额：</w:t>
      </w:r>
    </w:p>
    <w:p w14:paraId="5755F5B5">
      <w:pPr>
        <w:spacing w:before="94" w:line="227" w:lineRule="auto"/>
        <w:ind w:left="964"/>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人民币（大写）</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12"/>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4"/>
          <w:sz w:val="20"/>
          <w:szCs w:val="20"/>
          <w:highlight w:val="none"/>
        </w:rPr>
        <w:t>元）。</w:t>
      </w:r>
    </w:p>
    <w:p w14:paraId="08567E93">
      <w:pPr>
        <w:spacing w:before="94" w:line="228" w:lineRule="auto"/>
        <w:ind w:left="100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增值税率：</w:t>
      </w:r>
      <w:r>
        <w:rPr>
          <w:rFonts w:ascii="宋体" w:hAnsi="宋体" w:eastAsia="宋体" w:cs="宋体"/>
          <w:color w:val="auto"/>
          <w:sz w:val="20"/>
          <w:szCs w:val="20"/>
          <w:highlight w:val="none"/>
          <w:u w:val="single" w:color="auto"/>
        </w:rPr>
        <w:t xml:space="preserve">                 </w:t>
      </w:r>
    </w:p>
    <w:p w14:paraId="4AB6B008">
      <w:pPr>
        <w:spacing w:before="94" w:line="226" w:lineRule="auto"/>
        <w:ind w:left="44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 合同价格形式：</w:t>
      </w:r>
      <w:r>
        <w:rPr>
          <w:rFonts w:ascii="宋体" w:hAnsi="宋体" w:eastAsia="宋体" w:cs="宋体"/>
          <w:color w:val="auto"/>
          <w:spacing w:val="10"/>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1487ED7E">
      <w:pPr>
        <w:spacing w:before="96" w:line="228" w:lineRule="auto"/>
        <w:ind w:left="443"/>
        <w:outlineLvl w:val="0"/>
        <w:rPr>
          <w:rFonts w:ascii="宋体" w:hAnsi="宋体" w:eastAsia="宋体" w:cs="宋体"/>
          <w:color w:val="auto"/>
          <w:sz w:val="20"/>
          <w:szCs w:val="20"/>
          <w:highlight w:val="none"/>
        </w:rPr>
      </w:pPr>
      <w:bookmarkStart w:id="109" w:name="_Toc10486"/>
      <w:bookmarkStart w:id="110" w:name="_Toc22367"/>
      <w:bookmarkStart w:id="111" w:name="_Toc20554"/>
      <w:r>
        <w:rPr>
          <w:rFonts w:ascii="宋体" w:hAnsi="宋体" w:eastAsia="宋体" w:cs="宋体"/>
          <w:b/>
          <w:bCs/>
          <w:color w:val="auto"/>
          <w:spacing w:val="6"/>
          <w:sz w:val="20"/>
          <w:szCs w:val="20"/>
          <w:highlight w:val="none"/>
        </w:rPr>
        <w:t>五、项目经理</w:t>
      </w:r>
      <w:bookmarkEnd w:id="109"/>
      <w:bookmarkEnd w:id="110"/>
      <w:bookmarkEnd w:id="111"/>
    </w:p>
    <w:p w14:paraId="6D32D684">
      <w:pPr>
        <w:spacing w:before="93" w:line="228" w:lineRule="auto"/>
        <w:ind w:left="43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承包人项目经理：</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699B11F9">
      <w:pPr>
        <w:spacing w:before="91" w:line="228" w:lineRule="auto"/>
        <w:ind w:left="441"/>
        <w:outlineLvl w:val="0"/>
        <w:rPr>
          <w:rFonts w:ascii="宋体" w:hAnsi="宋体" w:eastAsia="宋体" w:cs="宋体"/>
          <w:color w:val="auto"/>
          <w:sz w:val="20"/>
          <w:szCs w:val="20"/>
          <w:highlight w:val="none"/>
        </w:rPr>
      </w:pPr>
      <w:bookmarkStart w:id="112" w:name="_Toc30192"/>
      <w:bookmarkStart w:id="113" w:name="_Toc12238"/>
      <w:bookmarkStart w:id="114" w:name="_Toc25205"/>
      <w:r>
        <w:rPr>
          <w:rFonts w:ascii="宋体" w:hAnsi="宋体" w:eastAsia="宋体" w:cs="宋体"/>
          <w:b/>
          <w:bCs/>
          <w:color w:val="auto"/>
          <w:spacing w:val="7"/>
          <w:sz w:val="20"/>
          <w:szCs w:val="20"/>
          <w:highlight w:val="none"/>
        </w:rPr>
        <w:t>六、合同文件构成</w:t>
      </w:r>
      <w:bookmarkEnd w:id="112"/>
      <w:bookmarkEnd w:id="113"/>
      <w:bookmarkEnd w:id="114"/>
    </w:p>
    <w:p w14:paraId="27A02CD8">
      <w:pPr>
        <w:spacing w:before="94" w:line="227" w:lineRule="auto"/>
        <w:ind w:left="44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本协议书与下列文件一起构成合同文件：</w:t>
      </w:r>
    </w:p>
    <w:p w14:paraId="0E8C31B9">
      <w:pPr>
        <w:spacing w:before="94" w:line="227" w:lineRule="auto"/>
        <w:ind w:left="44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（1）中标通知书（如有</w:t>
      </w:r>
      <w:r>
        <w:rPr>
          <w:rFonts w:ascii="宋体" w:hAnsi="宋体" w:eastAsia="宋体" w:cs="宋体"/>
          <w:color w:val="auto"/>
          <w:spacing w:val="3"/>
          <w:sz w:val="20"/>
          <w:szCs w:val="20"/>
          <w:highlight w:val="none"/>
        </w:rPr>
        <w:t>）；</w:t>
      </w:r>
    </w:p>
    <w:p w14:paraId="3CA2A501">
      <w:pPr>
        <w:spacing w:before="95" w:line="227" w:lineRule="auto"/>
        <w:ind w:left="44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（2）投标函及其附录（如有</w:t>
      </w:r>
      <w:r>
        <w:rPr>
          <w:rFonts w:ascii="宋体" w:hAnsi="宋体" w:eastAsia="宋体" w:cs="宋体"/>
          <w:color w:val="auto"/>
          <w:sz w:val="20"/>
          <w:szCs w:val="20"/>
          <w:highlight w:val="none"/>
        </w:rPr>
        <w:t>）；</w:t>
      </w:r>
    </w:p>
    <w:p w14:paraId="6F4F71E4">
      <w:pPr>
        <w:spacing w:before="95" w:line="227" w:lineRule="auto"/>
        <w:ind w:left="449"/>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（3）专用合同条款及其附件；</w:t>
      </w:r>
    </w:p>
    <w:p w14:paraId="45BD10C3">
      <w:pPr>
        <w:spacing w:before="92" w:line="228" w:lineRule="auto"/>
        <w:ind w:left="44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（4）通用合同条款；</w:t>
      </w:r>
    </w:p>
    <w:p w14:paraId="69603732">
      <w:pPr>
        <w:spacing w:before="97" w:line="228" w:lineRule="auto"/>
        <w:ind w:left="44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（5）技术标准和要求；</w:t>
      </w:r>
    </w:p>
    <w:p w14:paraId="7A8E86F9">
      <w:pPr>
        <w:spacing w:before="92" w:line="226" w:lineRule="auto"/>
        <w:ind w:left="44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w:t>
      </w:r>
      <w:r>
        <w:rPr>
          <w:rFonts w:ascii="宋体" w:hAnsi="宋体" w:eastAsia="宋体" w:cs="宋体"/>
          <w:color w:val="auto"/>
          <w:spacing w:val="-56"/>
          <w:sz w:val="20"/>
          <w:szCs w:val="20"/>
          <w:highlight w:val="none"/>
        </w:rPr>
        <w:t xml:space="preserve"> </w:t>
      </w:r>
      <w:r>
        <w:rPr>
          <w:rFonts w:ascii="宋体" w:hAnsi="宋体" w:eastAsia="宋体" w:cs="宋体"/>
          <w:color w:val="auto"/>
          <w:spacing w:val="5"/>
          <w:sz w:val="20"/>
          <w:szCs w:val="20"/>
          <w:highlight w:val="none"/>
        </w:rPr>
        <w:t>已标价工程量清单或预算书；</w:t>
      </w:r>
    </w:p>
    <w:p w14:paraId="10DBC73F">
      <w:pPr>
        <w:spacing w:before="95" w:line="229" w:lineRule="auto"/>
        <w:ind w:left="44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（7）图纸；</w:t>
      </w:r>
    </w:p>
    <w:p w14:paraId="71385D4C">
      <w:pPr>
        <w:spacing w:before="93" w:line="228" w:lineRule="auto"/>
        <w:ind w:left="44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（8）其他合同文件：</w:t>
      </w:r>
    </w:p>
    <w:p w14:paraId="736F9F1D">
      <w:pPr>
        <w:spacing w:before="94" w:line="227" w:lineRule="auto"/>
        <w:ind w:left="44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招标文件及附件（含所有补充通知</w:t>
      </w:r>
      <w:r>
        <w:rPr>
          <w:rFonts w:ascii="宋体" w:hAnsi="宋体" w:eastAsia="宋体" w:cs="宋体"/>
          <w:color w:val="auto"/>
          <w:spacing w:val="1"/>
          <w:sz w:val="20"/>
          <w:szCs w:val="20"/>
          <w:highlight w:val="none"/>
        </w:rPr>
        <w:t>）；</w:t>
      </w:r>
    </w:p>
    <w:p w14:paraId="6BE56BA4">
      <w:pPr>
        <w:spacing w:before="94" w:line="228" w:lineRule="auto"/>
        <w:ind w:left="43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在合同订立及履行过程中形成的与合同有关的文件均构成合同文件组成部分。</w:t>
      </w:r>
    </w:p>
    <w:p w14:paraId="3953FB19">
      <w:pPr>
        <w:spacing w:before="91" w:line="300" w:lineRule="auto"/>
        <w:ind w:left="36" w:right="60" w:firstLine="404"/>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上述各项合同文件包括合同当事人就该项合同文件所作出的</w:t>
      </w:r>
      <w:r>
        <w:rPr>
          <w:rFonts w:ascii="宋体" w:hAnsi="宋体" w:eastAsia="宋体" w:cs="宋体"/>
          <w:color w:val="auto"/>
          <w:spacing w:val="9"/>
          <w:sz w:val="20"/>
          <w:szCs w:val="20"/>
          <w:highlight w:val="none"/>
        </w:rPr>
        <w:t>补充和修改，属于同一类内容的文件，应以最新签署的为准。专用合同条款及其附件须经合同当事人签字或盖</w:t>
      </w:r>
      <w:r>
        <w:rPr>
          <w:rFonts w:ascii="宋体" w:hAnsi="宋体" w:eastAsia="宋体" w:cs="宋体"/>
          <w:color w:val="auto"/>
          <w:spacing w:val="8"/>
          <w:sz w:val="20"/>
          <w:szCs w:val="20"/>
          <w:highlight w:val="none"/>
        </w:rPr>
        <w:t>章。</w:t>
      </w:r>
    </w:p>
    <w:p w14:paraId="7F286B2D">
      <w:pPr>
        <w:spacing w:before="32" w:line="228" w:lineRule="auto"/>
        <w:ind w:left="438"/>
        <w:outlineLvl w:val="0"/>
        <w:rPr>
          <w:rFonts w:ascii="宋体" w:hAnsi="宋体" w:eastAsia="宋体" w:cs="宋体"/>
          <w:color w:val="auto"/>
          <w:sz w:val="20"/>
          <w:szCs w:val="20"/>
          <w:highlight w:val="none"/>
        </w:rPr>
      </w:pPr>
      <w:bookmarkStart w:id="115" w:name="_Toc1515"/>
      <w:bookmarkStart w:id="116" w:name="_Toc12199"/>
      <w:bookmarkStart w:id="117" w:name="_Toc21090"/>
      <w:r>
        <w:rPr>
          <w:rFonts w:ascii="宋体" w:hAnsi="宋体" w:eastAsia="宋体" w:cs="宋体"/>
          <w:b/>
          <w:bCs/>
          <w:color w:val="auto"/>
          <w:spacing w:val="6"/>
          <w:sz w:val="20"/>
          <w:szCs w:val="20"/>
          <w:highlight w:val="none"/>
        </w:rPr>
        <w:t>七、承诺</w:t>
      </w:r>
      <w:bookmarkEnd w:id="115"/>
      <w:bookmarkEnd w:id="116"/>
      <w:bookmarkEnd w:id="117"/>
    </w:p>
    <w:p w14:paraId="262908AF">
      <w:pPr>
        <w:spacing w:before="95" w:line="270" w:lineRule="auto"/>
        <w:ind w:left="20" w:right="2" w:firstLine="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 发包人承诺按照法律规定履行项目审批手续、筹集工程建设资金并按照</w:t>
      </w:r>
      <w:r>
        <w:rPr>
          <w:rFonts w:ascii="宋体" w:hAnsi="宋体" w:eastAsia="宋体" w:cs="宋体"/>
          <w:color w:val="auto"/>
          <w:spacing w:val="7"/>
          <w:sz w:val="20"/>
          <w:szCs w:val="20"/>
          <w:highlight w:val="none"/>
        </w:rPr>
        <w:t>合同约定的期限和方式支付合同价款。</w:t>
      </w:r>
    </w:p>
    <w:p w14:paraId="184D9E7F">
      <w:pPr>
        <w:spacing w:before="96" w:line="271" w:lineRule="auto"/>
        <w:ind w:left="20" w:firstLine="421"/>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 承包人承诺按照法律规定及合同约定组织完成工程施工，确保工程质量和安全，不进行</w:t>
      </w:r>
      <w:r>
        <w:rPr>
          <w:rFonts w:ascii="宋体" w:hAnsi="宋体" w:eastAsia="宋体" w:cs="宋体"/>
          <w:color w:val="auto"/>
          <w:spacing w:val="9"/>
          <w:sz w:val="20"/>
          <w:szCs w:val="20"/>
          <w:highlight w:val="none"/>
        </w:rPr>
        <w:t>转包及违法分包，并在缺陷责任期及保修期内承担相应的工程维修责任。</w:t>
      </w:r>
    </w:p>
    <w:p w14:paraId="46808675">
      <w:pPr>
        <w:spacing w:before="92" w:line="271" w:lineRule="auto"/>
        <w:ind w:left="23" w:right="2" w:firstLine="4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 发包人和承包人通过招投标形式签订合同的，双方理解并承诺不再就同一工程另行签订与合同实质性内容相背离的协议。</w:t>
      </w:r>
    </w:p>
    <w:p w14:paraId="0C9F5550">
      <w:pPr>
        <w:spacing w:before="94" w:line="228" w:lineRule="auto"/>
        <w:ind w:left="443"/>
        <w:outlineLvl w:val="0"/>
        <w:rPr>
          <w:rFonts w:ascii="宋体" w:hAnsi="宋体" w:eastAsia="宋体" w:cs="宋体"/>
          <w:color w:val="auto"/>
          <w:sz w:val="20"/>
          <w:szCs w:val="20"/>
          <w:highlight w:val="none"/>
        </w:rPr>
      </w:pPr>
      <w:bookmarkStart w:id="118" w:name="_Toc12103"/>
      <w:bookmarkStart w:id="119" w:name="_Toc30527"/>
      <w:bookmarkStart w:id="120" w:name="_Toc26301"/>
      <w:r>
        <w:rPr>
          <w:rFonts w:ascii="宋体" w:hAnsi="宋体" w:eastAsia="宋体" w:cs="宋体"/>
          <w:b/>
          <w:bCs/>
          <w:color w:val="auto"/>
          <w:spacing w:val="6"/>
          <w:sz w:val="20"/>
          <w:szCs w:val="20"/>
          <w:highlight w:val="none"/>
        </w:rPr>
        <w:t>八、词语含义</w:t>
      </w:r>
      <w:bookmarkEnd w:id="118"/>
      <w:bookmarkEnd w:id="119"/>
      <w:bookmarkEnd w:id="120"/>
    </w:p>
    <w:p w14:paraId="4D86A0F4">
      <w:pPr>
        <w:spacing w:before="94" w:line="227" w:lineRule="auto"/>
        <w:ind w:left="44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本协议书中词语含义与第二部分通用合同条款中赋予的含义相同。</w:t>
      </w:r>
    </w:p>
    <w:p w14:paraId="5DC8DC94">
      <w:pPr>
        <w:spacing w:before="95" w:line="230" w:lineRule="auto"/>
        <w:ind w:left="444"/>
        <w:outlineLvl w:val="0"/>
        <w:rPr>
          <w:rFonts w:ascii="宋体" w:hAnsi="宋体" w:eastAsia="宋体" w:cs="宋体"/>
          <w:color w:val="auto"/>
          <w:sz w:val="20"/>
          <w:szCs w:val="20"/>
          <w:highlight w:val="none"/>
        </w:rPr>
      </w:pPr>
      <w:bookmarkStart w:id="121" w:name="_Toc32299"/>
      <w:bookmarkStart w:id="122" w:name="_Toc4682"/>
      <w:bookmarkStart w:id="123" w:name="_Toc14070"/>
      <w:r>
        <w:rPr>
          <w:rFonts w:ascii="宋体" w:hAnsi="宋体" w:eastAsia="宋体" w:cs="宋体"/>
          <w:b/>
          <w:bCs/>
          <w:color w:val="auto"/>
          <w:spacing w:val="6"/>
          <w:sz w:val="20"/>
          <w:szCs w:val="20"/>
          <w:highlight w:val="none"/>
        </w:rPr>
        <w:t>九、签订时间</w:t>
      </w:r>
      <w:bookmarkEnd w:id="121"/>
      <w:bookmarkEnd w:id="122"/>
      <w:bookmarkEnd w:id="123"/>
    </w:p>
    <w:p w14:paraId="6DECF1E6">
      <w:pPr>
        <w:spacing w:before="89" w:line="227" w:lineRule="auto"/>
        <w:ind w:left="44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本合同于</w:t>
      </w:r>
      <w:r>
        <w:rPr>
          <w:rFonts w:ascii="宋体" w:hAnsi="宋体" w:eastAsia="宋体" w:cs="宋体"/>
          <w:color w:val="auto"/>
          <w:spacing w:val="-99"/>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4"/>
          <w:sz w:val="20"/>
          <w:szCs w:val="20"/>
          <w:highlight w:val="none"/>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97"/>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2"/>
          <w:sz w:val="20"/>
          <w:szCs w:val="20"/>
          <w:highlight w:val="none"/>
        </w:rPr>
        <w:t>日签订。</w:t>
      </w:r>
    </w:p>
    <w:p w14:paraId="00FBE364">
      <w:pPr>
        <w:spacing w:before="98" w:line="229" w:lineRule="auto"/>
        <w:ind w:left="440"/>
        <w:outlineLvl w:val="0"/>
        <w:rPr>
          <w:rFonts w:ascii="宋体" w:hAnsi="宋体" w:eastAsia="宋体" w:cs="宋体"/>
          <w:color w:val="auto"/>
          <w:sz w:val="20"/>
          <w:szCs w:val="20"/>
          <w:highlight w:val="none"/>
        </w:rPr>
      </w:pPr>
      <w:bookmarkStart w:id="124" w:name="_Toc12643"/>
      <w:bookmarkStart w:id="125" w:name="_Toc25963"/>
      <w:bookmarkStart w:id="126" w:name="_Toc23672"/>
      <w:r>
        <w:rPr>
          <w:rFonts w:ascii="宋体" w:hAnsi="宋体" w:eastAsia="宋体" w:cs="宋体"/>
          <w:b/>
          <w:bCs/>
          <w:color w:val="auto"/>
          <w:spacing w:val="6"/>
          <w:sz w:val="20"/>
          <w:szCs w:val="20"/>
          <w:highlight w:val="none"/>
        </w:rPr>
        <w:t>十、签订地点</w:t>
      </w:r>
      <w:bookmarkEnd w:id="124"/>
      <w:bookmarkEnd w:id="125"/>
      <w:bookmarkEnd w:id="126"/>
    </w:p>
    <w:p w14:paraId="235141F2">
      <w:pPr>
        <w:spacing w:before="90" w:line="227" w:lineRule="auto"/>
        <w:ind w:left="44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本合同在</w:t>
      </w:r>
      <w:r>
        <w:rPr>
          <w:rFonts w:ascii="宋体" w:hAnsi="宋体" w:eastAsia="宋体" w:cs="宋体"/>
          <w:color w:val="auto"/>
          <w:spacing w:val="-96"/>
          <w:sz w:val="20"/>
          <w:szCs w:val="20"/>
          <w:highlight w:val="none"/>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5"/>
          <w:sz w:val="20"/>
          <w:szCs w:val="20"/>
          <w:highlight w:val="none"/>
        </w:rPr>
        <w:t>签订。</w:t>
      </w:r>
    </w:p>
    <w:p w14:paraId="4203B905">
      <w:pPr>
        <w:spacing w:before="95" w:line="228" w:lineRule="auto"/>
        <w:ind w:left="440"/>
        <w:outlineLvl w:val="0"/>
        <w:rPr>
          <w:rFonts w:ascii="宋体" w:hAnsi="宋体" w:eastAsia="宋体" w:cs="宋体"/>
          <w:color w:val="auto"/>
          <w:sz w:val="20"/>
          <w:szCs w:val="20"/>
          <w:highlight w:val="none"/>
        </w:rPr>
      </w:pPr>
      <w:bookmarkStart w:id="127" w:name="_Toc978"/>
      <w:bookmarkStart w:id="128" w:name="_Toc27453"/>
      <w:bookmarkStart w:id="129" w:name="_Toc2051"/>
      <w:r>
        <w:rPr>
          <w:rFonts w:ascii="宋体" w:hAnsi="宋体" w:eastAsia="宋体" w:cs="宋体"/>
          <w:b/>
          <w:bCs/>
          <w:color w:val="auto"/>
          <w:spacing w:val="7"/>
          <w:sz w:val="20"/>
          <w:szCs w:val="20"/>
          <w:highlight w:val="none"/>
        </w:rPr>
        <w:t>十一、补充协议</w:t>
      </w:r>
      <w:bookmarkEnd w:id="127"/>
      <w:bookmarkEnd w:id="128"/>
      <w:bookmarkEnd w:id="129"/>
    </w:p>
    <w:p w14:paraId="66505574">
      <w:pPr>
        <w:spacing w:before="93" w:line="228" w:lineRule="auto"/>
        <w:ind w:left="44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合同未尽事宜，合同当事人另行签订补充协议，补充协议是合同的组成部分。</w:t>
      </w:r>
    </w:p>
    <w:p w14:paraId="61445FBA">
      <w:pPr>
        <w:spacing w:before="95" w:line="228" w:lineRule="auto"/>
        <w:ind w:left="440"/>
        <w:outlineLvl w:val="0"/>
        <w:rPr>
          <w:rFonts w:ascii="宋体" w:hAnsi="宋体" w:eastAsia="宋体" w:cs="宋体"/>
          <w:color w:val="auto"/>
          <w:sz w:val="20"/>
          <w:szCs w:val="20"/>
          <w:highlight w:val="none"/>
        </w:rPr>
      </w:pPr>
      <w:bookmarkStart w:id="130" w:name="_Toc16666"/>
      <w:bookmarkStart w:id="131" w:name="_Toc23771"/>
      <w:bookmarkStart w:id="132" w:name="_Toc13491"/>
      <w:r>
        <w:rPr>
          <w:rFonts w:ascii="宋体" w:hAnsi="宋体" w:eastAsia="宋体" w:cs="宋体"/>
          <w:b/>
          <w:bCs/>
          <w:color w:val="auto"/>
          <w:spacing w:val="7"/>
          <w:sz w:val="20"/>
          <w:szCs w:val="20"/>
          <w:highlight w:val="none"/>
        </w:rPr>
        <w:t>十二、合同生效</w:t>
      </w:r>
      <w:bookmarkEnd w:id="130"/>
      <w:bookmarkEnd w:id="131"/>
      <w:bookmarkEnd w:id="132"/>
    </w:p>
    <w:p w14:paraId="438888F8">
      <w:pPr>
        <w:spacing w:before="93" w:line="227" w:lineRule="auto"/>
        <w:ind w:left="44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本合同自</w:t>
      </w:r>
      <w:r>
        <w:rPr>
          <w:rFonts w:ascii="宋体" w:hAnsi="宋体" w:eastAsia="宋体" w:cs="宋体"/>
          <w:color w:val="auto"/>
          <w:spacing w:val="-98"/>
          <w:sz w:val="20"/>
          <w:szCs w:val="20"/>
          <w:highlight w:val="none"/>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5"/>
          <w:sz w:val="20"/>
          <w:szCs w:val="20"/>
          <w:highlight w:val="none"/>
        </w:rPr>
        <w:t>生效。</w:t>
      </w:r>
    </w:p>
    <w:p w14:paraId="1DC0216E">
      <w:pPr>
        <w:spacing w:before="93" w:line="228" w:lineRule="auto"/>
        <w:ind w:left="440"/>
        <w:outlineLvl w:val="0"/>
        <w:rPr>
          <w:rFonts w:ascii="宋体" w:hAnsi="宋体" w:eastAsia="宋体" w:cs="宋体"/>
          <w:color w:val="auto"/>
          <w:sz w:val="20"/>
          <w:szCs w:val="20"/>
          <w:highlight w:val="none"/>
        </w:rPr>
      </w:pPr>
      <w:bookmarkStart w:id="133" w:name="_Toc5338"/>
      <w:bookmarkStart w:id="134" w:name="_Toc6842"/>
      <w:bookmarkStart w:id="135" w:name="_Toc9262"/>
      <w:r>
        <w:rPr>
          <w:rFonts w:ascii="宋体" w:hAnsi="宋体" w:eastAsia="宋体" w:cs="宋体"/>
          <w:b/>
          <w:bCs/>
          <w:color w:val="auto"/>
          <w:spacing w:val="7"/>
          <w:sz w:val="20"/>
          <w:szCs w:val="20"/>
          <w:highlight w:val="none"/>
        </w:rPr>
        <w:t>十三、合同份数</w:t>
      </w:r>
      <w:bookmarkEnd w:id="133"/>
      <w:bookmarkEnd w:id="134"/>
      <w:bookmarkEnd w:id="135"/>
    </w:p>
    <w:p w14:paraId="492491EB">
      <w:pPr>
        <w:spacing w:before="94" w:line="227" w:lineRule="auto"/>
        <w:ind w:left="44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本合同一式</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92"/>
          <w:sz w:val="20"/>
          <w:szCs w:val="20"/>
          <w:highlight w:val="none"/>
        </w:rPr>
        <w:t xml:space="preserve"> </w:t>
      </w:r>
      <w:r>
        <w:rPr>
          <w:rFonts w:ascii="宋体" w:hAnsi="宋体" w:eastAsia="宋体" w:cs="宋体"/>
          <w:color w:val="auto"/>
          <w:spacing w:val="8"/>
          <w:sz w:val="20"/>
          <w:szCs w:val="20"/>
          <w:highlight w:val="none"/>
        </w:rPr>
        <w:t>份，均具有同等法律效力，发包人执</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8"/>
          <w:sz w:val="20"/>
          <w:szCs w:val="20"/>
          <w:highlight w:val="none"/>
        </w:rPr>
        <w:t>份，</w:t>
      </w:r>
      <w:r>
        <w:rPr>
          <w:rFonts w:ascii="宋体" w:hAnsi="宋体" w:eastAsia="宋体" w:cs="宋体"/>
          <w:color w:val="auto"/>
          <w:spacing w:val="7"/>
          <w:sz w:val="20"/>
          <w:szCs w:val="20"/>
          <w:highlight w:val="none"/>
        </w:rPr>
        <w:t>承包人执</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2"/>
          <w:sz w:val="20"/>
          <w:szCs w:val="20"/>
          <w:highlight w:val="none"/>
        </w:rPr>
        <w:t xml:space="preserve"> </w:t>
      </w:r>
      <w:r>
        <w:rPr>
          <w:rFonts w:ascii="宋体" w:hAnsi="宋体" w:eastAsia="宋体" w:cs="宋体"/>
          <w:color w:val="auto"/>
          <w:spacing w:val="7"/>
          <w:sz w:val="20"/>
          <w:szCs w:val="20"/>
          <w:highlight w:val="none"/>
        </w:rPr>
        <w:t>份。</w:t>
      </w:r>
    </w:p>
    <w:p w14:paraId="71FB6651">
      <w:pPr>
        <w:spacing w:line="227" w:lineRule="auto"/>
        <w:rPr>
          <w:rFonts w:ascii="宋体" w:hAnsi="宋体" w:eastAsia="宋体" w:cs="宋体"/>
          <w:color w:val="auto"/>
          <w:sz w:val="20"/>
          <w:szCs w:val="20"/>
          <w:highlight w:val="none"/>
        </w:rPr>
        <w:sectPr>
          <w:footerReference r:id="rId51" w:type="default"/>
          <w:pgSz w:w="11907" w:h="16840"/>
          <w:pgMar w:top="1428" w:right="1440" w:bottom="1014" w:left="1786" w:header="0" w:footer="852" w:gutter="0"/>
          <w:pgNumType w:fmt="decimal"/>
          <w:cols w:space="720" w:num="1"/>
        </w:sectPr>
      </w:pPr>
    </w:p>
    <w:p w14:paraId="29A98BEE">
      <w:pPr>
        <w:spacing w:before="41" w:line="227" w:lineRule="auto"/>
        <w:ind w:left="23"/>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发包人</w:t>
      </w:r>
      <w:r>
        <w:rPr>
          <w:rFonts w:ascii="宋体" w:hAnsi="宋体" w:eastAsia="宋体" w:cs="宋体"/>
          <w:color w:val="auto"/>
          <w:spacing w:val="-12"/>
          <w:sz w:val="20"/>
          <w:szCs w:val="20"/>
          <w:highlight w:val="none"/>
        </w:rPr>
        <w:t>：</w:t>
      </w:r>
      <w:r>
        <w:rPr>
          <w:rFonts w:ascii="宋体" w:hAnsi="宋体" w:eastAsia="宋体" w:cs="宋体"/>
          <w:color w:val="auto"/>
          <w:spacing w:val="13"/>
          <w:sz w:val="20"/>
          <w:szCs w:val="20"/>
          <w:highlight w:val="none"/>
        </w:rPr>
        <w:t xml:space="preserve">  </w:t>
      </w:r>
      <w:r>
        <w:rPr>
          <w:rFonts w:ascii="宋体" w:hAnsi="宋体" w:eastAsia="宋体" w:cs="宋体"/>
          <w:color w:val="auto"/>
          <w:spacing w:val="-12"/>
          <w:sz w:val="20"/>
          <w:szCs w:val="20"/>
          <w:highlight w:val="none"/>
        </w:rPr>
        <w:t>（</w:t>
      </w:r>
      <w:r>
        <w:rPr>
          <w:rFonts w:ascii="宋体" w:hAnsi="宋体" w:eastAsia="宋体" w:cs="宋体"/>
          <w:color w:val="auto"/>
          <w:spacing w:val="11"/>
          <w:sz w:val="20"/>
          <w:szCs w:val="20"/>
          <w:highlight w:val="none"/>
        </w:rPr>
        <w:t>公章）</w:t>
      </w:r>
      <w:r>
        <w:rPr>
          <w:rFonts w:ascii="宋体" w:hAnsi="宋体" w:eastAsia="宋体" w:cs="宋体"/>
          <w:color w:val="auto"/>
          <w:spacing w:val="2"/>
          <w:sz w:val="20"/>
          <w:szCs w:val="20"/>
          <w:highlight w:val="none"/>
        </w:rPr>
        <w:t xml:space="preserve">                               </w:t>
      </w:r>
      <w:r>
        <w:rPr>
          <w:rFonts w:ascii="宋体" w:hAnsi="宋体" w:eastAsia="宋体" w:cs="宋体"/>
          <w:color w:val="auto"/>
          <w:spacing w:val="11"/>
          <w:sz w:val="20"/>
          <w:szCs w:val="20"/>
          <w:highlight w:val="none"/>
        </w:rPr>
        <w:t>承包人</w:t>
      </w:r>
      <w:r>
        <w:rPr>
          <w:rFonts w:ascii="宋体" w:hAnsi="宋体" w:eastAsia="宋体" w:cs="宋体"/>
          <w:color w:val="auto"/>
          <w:spacing w:val="-12"/>
          <w:sz w:val="20"/>
          <w:szCs w:val="20"/>
          <w:highlight w:val="none"/>
        </w:rPr>
        <w:t>：</w:t>
      </w:r>
      <w:r>
        <w:rPr>
          <w:rFonts w:ascii="宋体" w:hAnsi="宋体" w:eastAsia="宋体" w:cs="宋体"/>
          <w:color w:val="auto"/>
          <w:spacing w:val="16"/>
          <w:sz w:val="20"/>
          <w:szCs w:val="20"/>
          <w:highlight w:val="none"/>
        </w:rPr>
        <w:t xml:space="preserve">  </w:t>
      </w:r>
      <w:r>
        <w:rPr>
          <w:rFonts w:ascii="宋体" w:hAnsi="宋体" w:eastAsia="宋体" w:cs="宋体"/>
          <w:color w:val="auto"/>
          <w:spacing w:val="-12"/>
          <w:sz w:val="20"/>
          <w:szCs w:val="20"/>
          <w:highlight w:val="none"/>
        </w:rPr>
        <w:t>（</w:t>
      </w:r>
      <w:r>
        <w:rPr>
          <w:rFonts w:ascii="宋体" w:hAnsi="宋体" w:eastAsia="宋体" w:cs="宋体"/>
          <w:color w:val="auto"/>
          <w:spacing w:val="11"/>
          <w:sz w:val="20"/>
          <w:szCs w:val="20"/>
          <w:highlight w:val="none"/>
        </w:rPr>
        <w:t>公章）</w:t>
      </w:r>
    </w:p>
    <w:p w14:paraId="6B95B4B0">
      <w:pPr>
        <w:pStyle w:val="2"/>
        <w:spacing w:line="368" w:lineRule="auto"/>
        <w:rPr>
          <w:color w:val="auto"/>
          <w:highlight w:val="none"/>
        </w:rPr>
      </w:pPr>
    </w:p>
    <w:p w14:paraId="46E1FD79">
      <w:pPr>
        <w:spacing w:before="65" w:line="228" w:lineRule="auto"/>
        <w:ind w:left="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法定代表人或其委托代理人：                    法定代表人或其委托代理人：</w:t>
      </w:r>
    </w:p>
    <w:p w14:paraId="0C98D141">
      <w:pPr>
        <w:spacing w:before="93" w:line="228" w:lineRule="auto"/>
        <w:ind w:left="29"/>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（签字</w:t>
      </w:r>
      <w:r>
        <w:rPr>
          <w:rFonts w:ascii="宋体" w:hAnsi="宋体" w:eastAsia="宋体" w:cs="宋体"/>
          <w:color w:val="auto"/>
          <w:spacing w:val="-14"/>
          <w:sz w:val="20"/>
          <w:szCs w:val="20"/>
          <w:highlight w:val="none"/>
        </w:rPr>
        <w:t>）</w:t>
      </w:r>
      <w:r>
        <w:rPr>
          <w:rFonts w:ascii="宋体" w:hAnsi="宋体" w:eastAsia="宋体" w:cs="宋体"/>
          <w:color w:val="auto"/>
          <w:spacing w:val="3"/>
          <w:sz w:val="20"/>
          <w:szCs w:val="20"/>
          <w:highlight w:val="none"/>
        </w:rPr>
        <w:t xml:space="preserve">                       </w:t>
      </w:r>
      <w:r>
        <w:rPr>
          <w:rFonts w:ascii="宋体" w:hAnsi="宋体" w:eastAsia="宋体" w:cs="宋体"/>
          <w:color w:val="auto"/>
          <w:spacing w:val="2"/>
          <w:sz w:val="20"/>
          <w:szCs w:val="20"/>
          <w:highlight w:val="none"/>
        </w:rPr>
        <w:t xml:space="preserve">               </w:t>
      </w:r>
      <w:r>
        <w:rPr>
          <w:rFonts w:ascii="宋体" w:hAnsi="宋体" w:eastAsia="宋体" w:cs="宋体"/>
          <w:color w:val="auto"/>
          <w:spacing w:val="-14"/>
          <w:sz w:val="20"/>
          <w:szCs w:val="20"/>
          <w:highlight w:val="none"/>
        </w:rPr>
        <w:t>（</w:t>
      </w:r>
      <w:r>
        <w:rPr>
          <w:rFonts w:ascii="宋体" w:hAnsi="宋体" w:eastAsia="宋体" w:cs="宋体"/>
          <w:color w:val="auto"/>
          <w:spacing w:val="10"/>
          <w:sz w:val="20"/>
          <w:szCs w:val="20"/>
          <w:highlight w:val="none"/>
        </w:rPr>
        <w:t>签字）</w:t>
      </w:r>
    </w:p>
    <w:p w14:paraId="2C0FDC09">
      <w:pPr>
        <w:pStyle w:val="2"/>
        <w:spacing w:line="367" w:lineRule="auto"/>
        <w:rPr>
          <w:color w:val="auto"/>
          <w:highlight w:val="none"/>
        </w:rPr>
      </w:pPr>
    </w:p>
    <w:p w14:paraId="1E71E050">
      <w:pPr>
        <w:spacing w:before="65" w:line="227" w:lineRule="auto"/>
        <w:ind w:left="21"/>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社会信用代码：</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社会信用代码：</w:t>
      </w:r>
      <w:r>
        <w:rPr>
          <w:rFonts w:ascii="宋体" w:hAnsi="宋体" w:eastAsia="宋体" w:cs="宋体"/>
          <w:color w:val="auto"/>
          <w:spacing w:val="4"/>
          <w:sz w:val="20"/>
          <w:szCs w:val="20"/>
          <w:highlight w:val="none"/>
          <w:u w:val="single" w:color="auto"/>
        </w:rPr>
        <w:t xml:space="preserve">               </w:t>
      </w:r>
    </w:p>
    <w:p w14:paraId="6AB8F2B1">
      <w:pPr>
        <w:spacing w:before="92" w:line="237" w:lineRule="auto"/>
        <w:ind w:left="1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地</w:t>
      </w:r>
      <w:r>
        <w:rPr>
          <w:rFonts w:ascii="宋体" w:hAnsi="宋体" w:eastAsia="宋体" w:cs="宋体"/>
          <w:color w:val="auto"/>
          <w:spacing w:val="9"/>
          <w:sz w:val="20"/>
          <w:szCs w:val="20"/>
          <w:highlight w:val="none"/>
        </w:rPr>
        <w:t xml:space="preserve">  </w:t>
      </w:r>
      <w:r>
        <w:rPr>
          <w:rFonts w:ascii="宋体" w:hAnsi="宋体" w:eastAsia="宋体" w:cs="宋体"/>
          <w:color w:val="auto"/>
          <w:spacing w:val="-5"/>
          <w:sz w:val="20"/>
          <w:szCs w:val="20"/>
          <w:highlight w:val="none"/>
        </w:rPr>
        <w:t>址</w:t>
      </w:r>
      <w:r>
        <w:rPr>
          <w:rFonts w:ascii="宋体" w:hAnsi="宋体" w:eastAsia="宋体" w:cs="宋体"/>
          <w:color w:val="auto"/>
          <w:spacing w:val="-73"/>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rPr>
        <w:t>地</w:t>
      </w:r>
      <w:r>
        <w:rPr>
          <w:rFonts w:ascii="宋体" w:hAnsi="宋体" w:eastAsia="宋体" w:cs="宋体"/>
          <w:color w:val="auto"/>
          <w:spacing w:val="13"/>
          <w:sz w:val="20"/>
          <w:szCs w:val="20"/>
          <w:highlight w:val="none"/>
        </w:rPr>
        <w:t xml:space="preserve">  </w:t>
      </w:r>
      <w:r>
        <w:rPr>
          <w:rFonts w:ascii="宋体" w:hAnsi="宋体" w:eastAsia="宋体" w:cs="宋体"/>
          <w:color w:val="auto"/>
          <w:spacing w:val="-5"/>
          <w:sz w:val="20"/>
          <w:szCs w:val="20"/>
          <w:highlight w:val="none"/>
        </w:rPr>
        <w:t>址</w:t>
      </w:r>
      <w:r>
        <w:rPr>
          <w:rFonts w:ascii="宋体" w:hAnsi="宋体" w:eastAsia="宋体" w:cs="宋体"/>
          <w:color w:val="auto"/>
          <w:spacing w:val="-73"/>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color="auto"/>
        </w:rPr>
        <w:t xml:space="preserve">                        </w:t>
      </w:r>
    </w:p>
    <w:p w14:paraId="6FE76BD0">
      <w:pPr>
        <w:spacing w:before="84" w:line="228" w:lineRule="auto"/>
        <w:ind w:left="3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邮政编码：</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邮政编码：</w:t>
      </w:r>
      <w:r>
        <w:rPr>
          <w:rFonts w:ascii="宋体" w:hAnsi="宋体" w:eastAsia="宋体" w:cs="宋体"/>
          <w:color w:val="auto"/>
          <w:sz w:val="20"/>
          <w:szCs w:val="20"/>
          <w:highlight w:val="none"/>
          <w:u w:val="single" w:color="auto"/>
        </w:rPr>
        <w:t xml:space="preserve">                    </w:t>
      </w:r>
    </w:p>
    <w:p w14:paraId="04A2E051">
      <w:pPr>
        <w:spacing w:before="94" w:line="228" w:lineRule="auto"/>
        <w:ind w:left="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法定代表人：</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法定代表人：</w:t>
      </w:r>
      <w:r>
        <w:rPr>
          <w:rFonts w:ascii="宋体" w:hAnsi="宋体" w:eastAsia="宋体" w:cs="宋体"/>
          <w:color w:val="auto"/>
          <w:spacing w:val="4"/>
          <w:sz w:val="20"/>
          <w:szCs w:val="20"/>
          <w:highlight w:val="none"/>
          <w:u w:val="single" w:color="auto"/>
        </w:rPr>
        <w:t xml:space="preserve">                  </w:t>
      </w:r>
    </w:p>
    <w:p w14:paraId="6A064FBA">
      <w:pPr>
        <w:spacing w:before="94" w:line="228" w:lineRule="auto"/>
        <w:ind w:left="18"/>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委托代理人：</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委托代理人：</w:t>
      </w:r>
      <w:r>
        <w:rPr>
          <w:rFonts w:ascii="宋体" w:hAnsi="宋体" w:eastAsia="宋体" w:cs="宋体"/>
          <w:color w:val="auto"/>
          <w:spacing w:val="4"/>
          <w:sz w:val="20"/>
          <w:szCs w:val="20"/>
          <w:highlight w:val="none"/>
          <w:u w:val="single" w:color="auto"/>
        </w:rPr>
        <w:t xml:space="preserve">                  </w:t>
      </w:r>
    </w:p>
    <w:p w14:paraId="1586DE4A">
      <w:pPr>
        <w:spacing w:before="94" w:line="230" w:lineRule="auto"/>
        <w:ind w:left="4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电</w:t>
      </w:r>
      <w:r>
        <w:rPr>
          <w:rFonts w:ascii="宋体" w:hAnsi="宋体" w:eastAsia="宋体" w:cs="宋体"/>
          <w:color w:val="auto"/>
          <w:spacing w:val="9"/>
          <w:sz w:val="20"/>
          <w:szCs w:val="20"/>
          <w:highlight w:val="none"/>
        </w:rPr>
        <w:t xml:space="preserve">  </w:t>
      </w:r>
      <w:r>
        <w:rPr>
          <w:rFonts w:ascii="宋体" w:hAnsi="宋体" w:eastAsia="宋体" w:cs="宋体"/>
          <w:color w:val="auto"/>
          <w:spacing w:val="-7"/>
          <w:sz w:val="20"/>
          <w:szCs w:val="20"/>
          <w:highlight w:val="none"/>
        </w:rPr>
        <w:t>话</w:t>
      </w:r>
      <w:r>
        <w:rPr>
          <w:rFonts w:ascii="宋体" w:hAnsi="宋体" w:eastAsia="宋体" w:cs="宋体"/>
          <w:color w:val="auto"/>
          <w:spacing w:val="-73"/>
          <w:sz w:val="20"/>
          <w:szCs w:val="20"/>
          <w:highlight w:val="none"/>
        </w:rPr>
        <w:t xml:space="preserve"> </w:t>
      </w:r>
      <w:r>
        <w:rPr>
          <w:rFonts w:ascii="宋体" w:hAnsi="宋体" w:eastAsia="宋体" w:cs="宋体"/>
          <w:color w:val="auto"/>
          <w:spacing w:val="-7"/>
          <w:sz w:val="20"/>
          <w:szCs w:val="20"/>
          <w:highlight w:val="none"/>
        </w:rPr>
        <w:t>：</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1"/>
          <w:sz w:val="20"/>
          <w:szCs w:val="20"/>
          <w:highlight w:val="none"/>
        </w:rPr>
        <w:t xml:space="preserve">                   </w:t>
      </w:r>
      <w:r>
        <w:rPr>
          <w:rFonts w:ascii="宋体" w:hAnsi="宋体" w:eastAsia="宋体" w:cs="宋体"/>
          <w:color w:val="auto"/>
          <w:spacing w:val="-7"/>
          <w:sz w:val="20"/>
          <w:szCs w:val="20"/>
          <w:highlight w:val="none"/>
        </w:rPr>
        <w:t>电</w:t>
      </w:r>
      <w:r>
        <w:rPr>
          <w:rFonts w:ascii="宋体" w:hAnsi="宋体" w:eastAsia="宋体" w:cs="宋体"/>
          <w:color w:val="auto"/>
          <w:spacing w:val="10"/>
          <w:sz w:val="20"/>
          <w:szCs w:val="20"/>
          <w:highlight w:val="none"/>
        </w:rPr>
        <w:t xml:space="preserve">  </w:t>
      </w:r>
      <w:r>
        <w:rPr>
          <w:rFonts w:ascii="宋体" w:hAnsi="宋体" w:eastAsia="宋体" w:cs="宋体"/>
          <w:color w:val="auto"/>
          <w:spacing w:val="-7"/>
          <w:sz w:val="20"/>
          <w:szCs w:val="20"/>
          <w:highlight w:val="none"/>
        </w:rPr>
        <w:t>话</w:t>
      </w:r>
      <w:r>
        <w:rPr>
          <w:rFonts w:ascii="宋体" w:hAnsi="宋体" w:eastAsia="宋体" w:cs="宋体"/>
          <w:color w:val="auto"/>
          <w:spacing w:val="-73"/>
          <w:sz w:val="20"/>
          <w:szCs w:val="20"/>
          <w:highlight w:val="none"/>
        </w:rPr>
        <w:t xml:space="preserve"> </w:t>
      </w:r>
      <w:r>
        <w:rPr>
          <w:rFonts w:ascii="宋体" w:hAnsi="宋体" w:eastAsia="宋体" w:cs="宋体"/>
          <w:color w:val="auto"/>
          <w:spacing w:val="-7"/>
          <w:sz w:val="20"/>
          <w:szCs w:val="20"/>
          <w:highlight w:val="none"/>
        </w:rPr>
        <w:t>：</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8"/>
          <w:sz w:val="20"/>
          <w:szCs w:val="20"/>
          <w:highlight w:val="none"/>
          <w:u w:val="single" w:color="auto"/>
        </w:rPr>
        <w:t xml:space="preserve">                    </w:t>
      </w:r>
    </w:p>
    <w:p w14:paraId="28562286">
      <w:pPr>
        <w:spacing w:before="89" w:line="227" w:lineRule="auto"/>
        <w:ind w:left="18"/>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传</w:t>
      </w:r>
      <w:r>
        <w:rPr>
          <w:rFonts w:ascii="宋体" w:hAnsi="宋体" w:eastAsia="宋体" w:cs="宋体"/>
          <w:color w:val="auto"/>
          <w:spacing w:val="10"/>
          <w:sz w:val="20"/>
          <w:szCs w:val="20"/>
          <w:highlight w:val="none"/>
        </w:rPr>
        <w:t xml:space="preserve">  </w:t>
      </w:r>
      <w:r>
        <w:rPr>
          <w:rFonts w:ascii="宋体" w:hAnsi="宋体" w:eastAsia="宋体" w:cs="宋体"/>
          <w:color w:val="auto"/>
          <w:spacing w:val="-5"/>
          <w:sz w:val="20"/>
          <w:szCs w:val="20"/>
          <w:highlight w:val="none"/>
        </w:rPr>
        <w:t>真</w:t>
      </w:r>
      <w:r>
        <w:rPr>
          <w:rFonts w:ascii="宋体" w:hAnsi="宋体" w:eastAsia="宋体" w:cs="宋体"/>
          <w:color w:val="auto"/>
          <w:spacing w:val="-73"/>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 xml:space="preserve">                  </w:t>
      </w:r>
      <w:r>
        <w:rPr>
          <w:rFonts w:ascii="宋体" w:hAnsi="宋体" w:eastAsia="宋体" w:cs="宋体"/>
          <w:color w:val="auto"/>
          <w:spacing w:val="-5"/>
          <w:sz w:val="20"/>
          <w:szCs w:val="20"/>
          <w:highlight w:val="none"/>
        </w:rPr>
        <w:t>传</w:t>
      </w:r>
      <w:r>
        <w:rPr>
          <w:rFonts w:ascii="宋体" w:hAnsi="宋体" w:eastAsia="宋体" w:cs="宋体"/>
          <w:color w:val="auto"/>
          <w:spacing w:val="13"/>
          <w:sz w:val="20"/>
          <w:szCs w:val="20"/>
          <w:highlight w:val="none"/>
        </w:rPr>
        <w:t xml:space="preserve">  </w:t>
      </w:r>
      <w:r>
        <w:rPr>
          <w:rFonts w:ascii="宋体" w:hAnsi="宋体" w:eastAsia="宋体" w:cs="宋体"/>
          <w:color w:val="auto"/>
          <w:spacing w:val="-5"/>
          <w:sz w:val="20"/>
          <w:szCs w:val="20"/>
          <w:highlight w:val="none"/>
        </w:rPr>
        <w:t>真</w:t>
      </w:r>
      <w:r>
        <w:rPr>
          <w:rFonts w:ascii="宋体" w:hAnsi="宋体" w:eastAsia="宋体" w:cs="宋体"/>
          <w:color w:val="auto"/>
          <w:spacing w:val="-74"/>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color="auto"/>
        </w:rPr>
        <w:t xml:space="preserve">                       </w:t>
      </w:r>
    </w:p>
    <w:p w14:paraId="0197FE1D">
      <w:pPr>
        <w:spacing w:before="97" w:line="228" w:lineRule="auto"/>
        <w:ind w:left="44"/>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电子信箱：</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
          <w:sz w:val="20"/>
          <w:szCs w:val="20"/>
          <w:highlight w:val="none"/>
        </w:rPr>
        <w:t xml:space="preserve">                   </w:t>
      </w:r>
      <w:r>
        <w:rPr>
          <w:rFonts w:ascii="宋体" w:hAnsi="宋体" w:eastAsia="宋体" w:cs="宋体"/>
          <w:color w:val="auto"/>
          <w:spacing w:val="3"/>
          <w:sz w:val="20"/>
          <w:szCs w:val="20"/>
          <w:highlight w:val="none"/>
        </w:rPr>
        <w:t>电子信箱：</w:t>
      </w:r>
      <w:r>
        <w:rPr>
          <w:rFonts w:ascii="宋体" w:hAnsi="宋体" w:eastAsia="宋体" w:cs="宋体"/>
          <w:color w:val="auto"/>
          <w:sz w:val="20"/>
          <w:szCs w:val="20"/>
          <w:highlight w:val="none"/>
          <w:u w:val="single" w:color="auto"/>
        </w:rPr>
        <w:t xml:space="preserve">                    </w:t>
      </w:r>
    </w:p>
    <w:p w14:paraId="3D0FFA29">
      <w:pPr>
        <w:spacing w:before="92" w:line="228" w:lineRule="auto"/>
        <w:ind w:left="20"/>
        <w:outlineLvl w:val="9"/>
        <w:rPr>
          <w:rFonts w:ascii="宋体" w:hAnsi="宋体" w:eastAsia="宋体" w:cs="宋体"/>
          <w:color w:val="auto"/>
          <w:sz w:val="20"/>
          <w:szCs w:val="20"/>
          <w:highlight w:val="none"/>
        </w:rPr>
      </w:pPr>
      <w:bookmarkStart w:id="136" w:name="_Toc10904"/>
      <w:bookmarkStart w:id="137" w:name="_Toc2208"/>
      <w:bookmarkStart w:id="138" w:name="_Toc18234"/>
      <w:r>
        <w:rPr>
          <w:rFonts w:ascii="宋体" w:hAnsi="宋体" w:eastAsia="宋体" w:cs="宋体"/>
          <w:color w:val="auto"/>
          <w:spacing w:val="4"/>
          <w:sz w:val="20"/>
          <w:szCs w:val="20"/>
          <w:highlight w:val="none"/>
        </w:rPr>
        <w:t>开户银行：</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开户银行：</w:t>
      </w:r>
      <w:bookmarkEnd w:id="136"/>
      <w:bookmarkEnd w:id="137"/>
      <w:bookmarkEnd w:id="138"/>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5FBC0819">
      <w:pPr>
        <w:spacing w:before="94" w:line="229" w:lineRule="auto"/>
        <w:ind w:left="2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账</w:t>
      </w:r>
      <w:r>
        <w:rPr>
          <w:rFonts w:ascii="宋体" w:hAnsi="宋体" w:eastAsia="宋体" w:cs="宋体"/>
          <w:color w:val="auto"/>
          <w:spacing w:val="14"/>
          <w:sz w:val="20"/>
          <w:szCs w:val="20"/>
          <w:highlight w:val="none"/>
        </w:rPr>
        <w:t xml:space="preserve">  </w:t>
      </w:r>
      <w:r>
        <w:rPr>
          <w:rFonts w:ascii="宋体" w:hAnsi="宋体" w:eastAsia="宋体" w:cs="宋体"/>
          <w:color w:val="auto"/>
          <w:spacing w:val="-5"/>
          <w:sz w:val="20"/>
          <w:szCs w:val="20"/>
          <w:highlight w:val="none"/>
        </w:rPr>
        <w:t>号</w:t>
      </w:r>
      <w:r>
        <w:rPr>
          <w:rFonts w:ascii="宋体" w:hAnsi="宋体" w:eastAsia="宋体" w:cs="宋体"/>
          <w:color w:val="auto"/>
          <w:spacing w:val="-73"/>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账</w:t>
      </w:r>
      <w:r>
        <w:rPr>
          <w:rFonts w:ascii="宋体" w:hAnsi="宋体" w:eastAsia="宋体" w:cs="宋体"/>
          <w:color w:val="auto"/>
          <w:spacing w:val="12"/>
          <w:sz w:val="20"/>
          <w:szCs w:val="20"/>
          <w:highlight w:val="none"/>
        </w:rPr>
        <w:t xml:space="preserve">  </w:t>
      </w:r>
      <w:r>
        <w:rPr>
          <w:rFonts w:ascii="宋体" w:hAnsi="宋体" w:eastAsia="宋体" w:cs="宋体"/>
          <w:color w:val="auto"/>
          <w:spacing w:val="-5"/>
          <w:sz w:val="20"/>
          <w:szCs w:val="20"/>
          <w:highlight w:val="none"/>
        </w:rPr>
        <w:t>号</w:t>
      </w:r>
      <w:r>
        <w:rPr>
          <w:rFonts w:ascii="宋体" w:hAnsi="宋体" w:eastAsia="宋体" w:cs="宋体"/>
          <w:color w:val="auto"/>
          <w:spacing w:val="-74"/>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p>
    <w:p w14:paraId="234C2F8D">
      <w:pPr>
        <w:spacing w:line="229" w:lineRule="auto"/>
        <w:rPr>
          <w:rFonts w:ascii="宋体" w:hAnsi="宋体" w:eastAsia="宋体" w:cs="宋体"/>
          <w:color w:val="auto"/>
          <w:sz w:val="20"/>
          <w:szCs w:val="20"/>
          <w:highlight w:val="none"/>
        </w:rPr>
        <w:sectPr>
          <w:footerReference r:id="rId52" w:type="default"/>
          <w:pgSz w:w="11907" w:h="16840"/>
          <w:pgMar w:top="1428" w:right="1786" w:bottom="1014" w:left="1786" w:header="0" w:footer="852" w:gutter="0"/>
          <w:pgNumType w:fmt="decimal"/>
          <w:cols w:space="720" w:num="1"/>
        </w:sectPr>
      </w:pPr>
    </w:p>
    <w:p w14:paraId="19CC2E1A">
      <w:pPr>
        <w:spacing w:before="56" w:line="360" w:lineRule="auto"/>
        <w:ind w:left="2880"/>
        <w:outlineLvl w:val="0"/>
        <w:rPr>
          <w:rFonts w:ascii="宋体" w:hAnsi="宋体" w:eastAsia="宋体" w:cs="宋体"/>
          <w:color w:val="auto"/>
          <w:sz w:val="28"/>
          <w:szCs w:val="28"/>
          <w:highlight w:val="none"/>
        </w:rPr>
      </w:pPr>
      <w:bookmarkStart w:id="139" w:name="_Toc7423"/>
      <w:r>
        <w:rPr>
          <w:rFonts w:ascii="宋体" w:hAnsi="宋体" w:eastAsia="宋体" w:cs="宋体"/>
          <w:b/>
          <w:bCs/>
          <w:color w:val="auto"/>
          <w:spacing w:val="-3"/>
          <w:sz w:val="28"/>
          <w:szCs w:val="28"/>
          <w:highlight w:val="none"/>
        </w:rPr>
        <w:t>第二部分</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通用合同条款</w:t>
      </w:r>
      <w:bookmarkEnd w:id="139"/>
    </w:p>
    <w:p w14:paraId="4C3BBE23">
      <w:pPr>
        <w:pStyle w:val="2"/>
        <w:spacing w:line="360" w:lineRule="auto"/>
        <w:rPr>
          <w:color w:val="auto"/>
          <w:highlight w:val="none"/>
        </w:rPr>
      </w:pPr>
    </w:p>
    <w:p w14:paraId="366AE624">
      <w:pPr>
        <w:pStyle w:val="2"/>
        <w:spacing w:line="360" w:lineRule="auto"/>
        <w:rPr>
          <w:color w:val="auto"/>
          <w:highlight w:val="none"/>
        </w:rPr>
      </w:pPr>
    </w:p>
    <w:p w14:paraId="5634D725">
      <w:pPr>
        <w:spacing w:before="78" w:line="360" w:lineRule="auto"/>
        <w:ind w:left="21"/>
        <w:outlineLvl w:val="9"/>
        <w:rPr>
          <w:rFonts w:ascii="宋体" w:hAnsi="宋体" w:eastAsia="宋体" w:cs="宋体"/>
          <w:color w:val="auto"/>
          <w:sz w:val="24"/>
          <w:szCs w:val="24"/>
          <w:highlight w:val="none"/>
        </w:rPr>
      </w:pPr>
      <w:bookmarkStart w:id="140" w:name="_Toc26953"/>
      <w:bookmarkStart w:id="141" w:name="_Toc26421"/>
      <w:bookmarkStart w:id="142" w:name="_Toc18239"/>
      <w:r>
        <w:rPr>
          <w:rFonts w:ascii="宋体" w:hAnsi="宋体" w:eastAsia="宋体" w:cs="宋体"/>
          <w:b/>
          <w:bCs/>
          <w:color w:val="auto"/>
          <w:spacing w:val="-3"/>
          <w:sz w:val="24"/>
          <w:szCs w:val="24"/>
          <w:highlight w:val="none"/>
        </w:rPr>
        <w:t>本项目的“合同通用条款</w:t>
      </w:r>
      <w:r>
        <w:rPr>
          <w:rFonts w:ascii="宋体" w:hAnsi="宋体" w:eastAsia="宋体" w:cs="宋体"/>
          <w:color w:val="auto"/>
          <w:spacing w:val="-86"/>
          <w:sz w:val="24"/>
          <w:szCs w:val="24"/>
          <w:highlight w:val="none"/>
        </w:rPr>
        <w:t xml:space="preserve"> </w:t>
      </w:r>
      <w:r>
        <w:rPr>
          <w:rFonts w:ascii="宋体" w:hAnsi="宋体" w:eastAsia="宋体" w:cs="宋体"/>
          <w:b/>
          <w:bCs/>
          <w:color w:val="auto"/>
          <w:spacing w:val="-3"/>
          <w:sz w:val="24"/>
          <w:szCs w:val="24"/>
          <w:highlight w:val="none"/>
        </w:rPr>
        <w:t>”，采用国家工商行政管理局和建设部颁发的《建设工程</w:t>
      </w:r>
      <w:bookmarkEnd w:id="140"/>
      <w:bookmarkEnd w:id="141"/>
      <w:bookmarkEnd w:id="142"/>
    </w:p>
    <w:p w14:paraId="034A82E3">
      <w:pPr>
        <w:spacing w:before="107" w:line="360" w:lineRule="auto"/>
        <w:ind w:left="1579"/>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施工合同》</w:t>
      </w:r>
      <w:r>
        <w:rPr>
          <w:rFonts w:ascii="宋体" w:hAnsi="宋体" w:eastAsia="宋体" w:cs="宋体"/>
          <w:color w:val="auto"/>
          <w:spacing w:val="-54"/>
          <w:sz w:val="24"/>
          <w:szCs w:val="24"/>
          <w:highlight w:val="none"/>
        </w:rPr>
        <w:t xml:space="preserve"> </w:t>
      </w:r>
      <w:r>
        <w:rPr>
          <w:rFonts w:ascii="宋体" w:hAnsi="宋体" w:eastAsia="宋体" w:cs="宋体"/>
          <w:b/>
          <w:bCs/>
          <w:color w:val="auto"/>
          <w:spacing w:val="-4"/>
          <w:sz w:val="24"/>
          <w:szCs w:val="24"/>
          <w:highlight w:val="none"/>
        </w:rPr>
        <w:t>(GF-2017-0201)</w:t>
      </w:r>
      <w:r>
        <w:rPr>
          <w:rFonts w:ascii="宋体" w:hAnsi="宋体" w:eastAsia="宋体" w:cs="宋体"/>
          <w:color w:val="auto"/>
          <w:spacing w:val="-4"/>
          <w:sz w:val="24"/>
          <w:szCs w:val="24"/>
          <w:highlight w:val="none"/>
        </w:rPr>
        <w:t xml:space="preserve">  </w:t>
      </w:r>
      <w:r>
        <w:rPr>
          <w:rFonts w:ascii="宋体" w:hAnsi="宋体" w:eastAsia="宋体" w:cs="宋体"/>
          <w:b/>
          <w:bCs/>
          <w:color w:val="auto"/>
          <w:spacing w:val="-4"/>
          <w:sz w:val="24"/>
          <w:szCs w:val="24"/>
          <w:highlight w:val="none"/>
        </w:rPr>
        <w:t>的“合同通用条款</w:t>
      </w:r>
      <w:r>
        <w:rPr>
          <w:rFonts w:ascii="宋体" w:hAnsi="宋体" w:eastAsia="宋体" w:cs="宋体"/>
          <w:color w:val="auto"/>
          <w:spacing w:val="-86"/>
          <w:sz w:val="24"/>
          <w:szCs w:val="24"/>
          <w:highlight w:val="none"/>
        </w:rPr>
        <w:t xml:space="preserve"> </w:t>
      </w:r>
      <w:r>
        <w:rPr>
          <w:rFonts w:ascii="宋体" w:hAnsi="宋体" w:eastAsia="宋体" w:cs="宋体"/>
          <w:b/>
          <w:bCs/>
          <w:color w:val="auto"/>
          <w:spacing w:val="-4"/>
          <w:sz w:val="24"/>
          <w:szCs w:val="24"/>
          <w:highlight w:val="none"/>
        </w:rPr>
        <w:t>”。</w:t>
      </w:r>
    </w:p>
    <w:p w14:paraId="5D2A17BD">
      <w:pPr>
        <w:pStyle w:val="2"/>
        <w:spacing w:line="360" w:lineRule="auto"/>
        <w:rPr>
          <w:color w:val="auto"/>
          <w:highlight w:val="none"/>
        </w:rPr>
      </w:pPr>
    </w:p>
    <w:p w14:paraId="7D4D358F">
      <w:pPr>
        <w:pStyle w:val="2"/>
        <w:spacing w:line="360" w:lineRule="auto"/>
        <w:rPr>
          <w:color w:val="auto"/>
          <w:highlight w:val="none"/>
        </w:rPr>
      </w:pPr>
    </w:p>
    <w:p w14:paraId="1FB4BD81">
      <w:pPr>
        <w:spacing w:before="91" w:line="360" w:lineRule="auto"/>
        <w:ind w:left="2880"/>
        <w:outlineLvl w:val="0"/>
        <w:rPr>
          <w:rFonts w:ascii="宋体" w:hAnsi="宋体" w:eastAsia="宋体" w:cs="宋体"/>
          <w:color w:val="auto"/>
          <w:sz w:val="28"/>
          <w:szCs w:val="28"/>
          <w:highlight w:val="none"/>
        </w:rPr>
      </w:pPr>
      <w:bookmarkStart w:id="143" w:name="_Toc20318"/>
      <w:bookmarkStart w:id="144" w:name="_Toc5705"/>
      <w:bookmarkStart w:id="145" w:name="_Toc19154"/>
      <w:bookmarkStart w:id="146" w:name="_Toc14380"/>
      <w:r>
        <w:rPr>
          <w:rFonts w:ascii="宋体" w:hAnsi="宋体" w:eastAsia="宋体" w:cs="宋体"/>
          <w:b/>
          <w:bCs/>
          <w:color w:val="auto"/>
          <w:spacing w:val="-3"/>
          <w:sz w:val="28"/>
          <w:szCs w:val="28"/>
          <w:highlight w:val="none"/>
        </w:rPr>
        <w:t>第三部分</w:t>
      </w:r>
      <w:r>
        <w:rPr>
          <w:rFonts w:ascii="宋体" w:hAnsi="宋体" w:eastAsia="宋体" w:cs="宋体"/>
          <w:color w:val="auto"/>
          <w:spacing w:val="-3"/>
          <w:sz w:val="28"/>
          <w:szCs w:val="28"/>
          <w:highlight w:val="none"/>
        </w:rPr>
        <w:t xml:space="preserve"> </w:t>
      </w:r>
      <w:r>
        <w:rPr>
          <w:rFonts w:ascii="宋体" w:hAnsi="宋体" w:eastAsia="宋体" w:cs="宋体"/>
          <w:b/>
          <w:bCs/>
          <w:color w:val="auto"/>
          <w:spacing w:val="-3"/>
          <w:sz w:val="28"/>
          <w:szCs w:val="28"/>
          <w:highlight w:val="none"/>
        </w:rPr>
        <w:t>专用合同条款</w:t>
      </w:r>
      <w:bookmarkEnd w:id="143"/>
      <w:bookmarkEnd w:id="144"/>
      <w:bookmarkEnd w:id="145"/>
      <w:bookmarkEnd w:id="146"/>
    </w:p>
    <w:p w14:paraId="1A028BA6">
      <w:pPr>
        <w:pStyle w:val="2"/>
        <w:spacing w:line="360" w:lineRule="auto"/>
        <w:rPr>
          <w:color w:val="auto"/>
          <w:highlight w:val="none"/>
        </w:rPr>
      </w:pPr>
    </w:p>
    <w:p w14:paraId="18F9620D">
      <w:pPr>
        <w:spacing w:before="65" w:line="360" w:lineRule="auto"/>
        <w:ind w:left="2257"/>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（注：专用合同条款每一条均应填写完整</w:t>
      </w:r>
      <w:r>
        <w:rPr>
          <w:rFonts w:ascii="宋体" w:hAnsi="宋体" w:eastAsia="宋体" w:cs="宋体"/>
          <w:b/>
          <w:bCs/>
          <w:color w:val="auto"/>
          <w:spacing w:val="4"/>
          <w:sz w:val="20"/>
          <w:szCs w:val="20"/>
          <w:highlight w:val="none"/>
        </w:rPr>
        <w:t>！）</w:t>
      </w:r>
    </w:p>
    <w:p w14:paraId="29DAF4E9">
      <w:pPr>
        <w:autoSpaceDE/>
        <w:autoSpaceDN/>
        <w:spacing w:before="154" w:line="360" w:lineRule="auto"/>
        <w:ind w:left="35" w:firstLine="402" w:firstLineChars="200"/>
        <w:outlineLvl w:val="1"/>
        <w:rPr>
          <w:rFonts w:ascii="宋体" w:hAnsi="宋体" w:eastAsia="宋体" w:cs="宋体"/>
          <w:color w:val="auto"/>
          <w:sz w:val="20"/>
          <w:szCs w:val="20"/>
          <w:highlight w:val="none"/>
        </w:rPr>
      </w:pPr>
      <w:bookmarkStart w:id="147" w:name="_Toc13892"/>
      <w:bookmarkStart w:id="148" w:name="_Toc26905"/>
      <w:bookmarkStart w:id="149" w:name="_Toc23581"/>
      <w:r>
        <w:rPr>
          <w:rFonts w:ascii="宋体" w:hAnsi="宋体" w:eastAsia="宋体" w:cs="宋体"/>
          <w:b/>
          <w:bCs/>
          <w:color w:val="auto"/>
          <w:sz w:val="20"/>
          <w:szCs w:val="20"/>
          <w:highlight w:val="none"/>
        </w:rPr>
        <w:t>1.</w:t>
      </w:r>
      <w:r>
        <w:rPr>
          <w:rFonts w:ascii="宋体" w:hAnsi="宋体" w:eastAsia="宋体" w:cs="宋体"/>
          <w:color w:val="auto"/>
          <w:spacing w:val="22"/>
          <w:sz w:val="20"/>
          <w:szCs w:val="20"/>
          <w:highlight w:val="none"/>
        </w:rPr>
        <w:t xml:space="preserve"> </w:t>
      </w:r>
      <w:r>
        <w:rPr>
          <w:rFonts w:ascii="宋体" w:hAnsi="宋体" w:eastAsia="宋体" w:cs="宋体"/>
          <w:b/>
          <w:bCs/>
          <w:color w:val="auto"/>
          <w:sz w:val="20"/>
          <w:szCs w:val="20"/>
          <w:highlight w:val="none"/>
        </w:rPr>
        <w:t>一般约定</w:t>
      </w:r>
      <w:bookmarkEnd w:id="147"/>
      <w:bookmarkEnd w:id="148"/>
      <w:bookmarkEnd w:id="149"/>
    </w:p>
    <w:p w14:paraId="786CE8E1">
      <w:pPr>
        <w:autoSpaceDE/>
        <w:autoSpaceDN/>
        <w:spacing w:before="154" w:line="360" w:lineRule="auto"/>
        <w:ind w:left="35" w:firstLine="406" w:firstLineChars="200"/>
        <w:outlineLvl w:val="2"/>
        <w:rPr>
          <w:rFonts w:ascii="宋体" w:hAnsi="宋体" w:eastAsia="宋体" w:cs="宋体"/>
          <w:color w:val="auto"/>
          <w:sz w:val="20"/>
          <w:szCs w:val="20"/>
          <w:highlight w:val="none"/>
        </w:rPr>
      </w:pPr>
      <w:bookmarkStart w:id="150" w:name="_Toc31837"/>
      <w:bookmarkStart w:id="151" w:name="_Toc27907"/>
      <w:bookmarkStart w:id="152" w:name="_Toc19454"/>
      <w:r>
        <w:rPr>
          <w:rFonts w:ascii="宋体" w:hAnsi="宋体" w:eastAsia="宋体" w:cs="宋体"/>
          <w:b/>
          <w:bCs/>
          <w:color w:val="auto"/>
          <w:spacing w:val="1"/>
          <w:sz w:val="20"/>
          <w:szCs w:val="20"/>
          <w:highlight w:val="none"/>
        </w:rPr>
        <w:t>1.1</w:t>
      </w:r>
      <w:r>
        <w:rPr>
          <w:rFonts w:ascii="宋体" w:hAnsi="宋体" w:eastAsia="宋体" w:cs="宋体"/>
          <w:color w:val="auto"/>
          <w:spacing w:val="18"/>
          <w:sz w:val="20"/>
          <w:szCs w:val="20"/>
          <w:highlight w:val="none"/>
        </w:rPr>
        <w:t xml:space="preserve"> </w:t>
      </w:r>
      <w:r>
        <w:rPr>
          <w:rFonts w:ascii="宋体" w:hAnsi="宋体" w:eastAsia="宋体" w:cs="宋体"/>
          <w:b/>
          <w:bCs/>
          <w:color w:val="auto"/>
          <w:spacing w:val="1"/>
          <w:sz w:val="20"/>
          <w:szCs w:val="20"/>
          <w:highlight w:val="none"/>
        </w:rPr>
        <w:t>词语定义</w:t>
      </w:r>
      <w:bookmarkEnd w:id="150"/>
      <w:bookmarkEnd w:id="151"/>
      <w:bookmarkEnd w:id="152"/>
    </w:p>
    <w:p w14:paraId="14CF614B">
      <w:pPr>
        <w:autoSpaceDE/>
        <w:autoSpaceDN/>
        <w:spacing w:before="93" w:line="360" w:lineRule="auto"/>
        <w:ind w:left="0" w:firstLine="404" w:firstLineChars="200"/>
        <w:rPr>
          <w:rFonts w:ascii="宋体" w:hAnsi="宋体" w:eastAsia="宋体" w:cs="宋体"/>
          <w:color w:val="auto"/>
          <w:sz w:val="20"/>
          <w:szCs w:val="20"/>
          <w:highlight w:val="none"/>
        </w:rPr>
      </w:pPr>
      <w:r>
        <w:rPr>
          <w:rFonts w:ascii="宋体" w:hAnsi="宋体" w:eastAsia="宋体" w:cs="宋体"/>
          <w:color w:val="auto"/>
          <w:spacing w:val="1"/>
          <w:sz w:val="20"/>
          <w:szCs w:val="20"/>
          <w:highlight w:val="none"/>
        </w:rPr>
        <w:t>1.1.1</w:t>
      </w:r>
      <w:r>
        <w:rPr>
          <w:rFonts w:ascii="宋体" w:hAnsi="宋体" w:eastAsia="宋体" w:cs="宋体"/>
          <w:color w:val="auto"/>
          <w:spacing w:val="14"/>
          <w:sz w:val="20"/>
          <w:szCs w:val="20"/>
          <w:highlight w:val="none"/>
        </w:rPr>
        <w:t xml:space="preserve"> </w:t>
      </w:r>
      <w:r>
        <w:rPr>
          <w:rFonts w:ascii="宋体" w:hAnsi="宋体" w:eastAsia="宋体" w:cs="宋体"/>
          <w:color w:val="auto"/>
          <w:spacing w:val="1"/>
          <w:sz w:val="20"/>
          <w:szCs w:val="20"/>
          <w:highlight w:val="none"/>
        </w:rPr>
        <w:t>合同</w:t>
      </w:r>
    </w:p>
    <w:p w14:paraId="44A9053A">
      <w:pPr>
        <w:autoSpaceDE/>
        <w:autoSpaceDN/>
        <w:spacing w:before="92" w:line="360" w:lineRule="auto"/>
        <w:ind w:left="0" w:firstLine="420" w:firstLineChars="200"/>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"1.1.1.10" </w:instrText>
      </w:r>
      <w:r>
        <w:rPr>
          <w:color w:val="auto"/>
          <w:highlight w:val="none"/>
        </w:rPr>
        <w:fldChar w:fldCharType="separate"/>
      </w:r>
      <w:r>
        <w:rPr>
          <w:rFonts w:ascii="宋体" w:hAnsi="宋体" w:eastAsia="宋体" w:cs="宋体"/>
          <w:color w:val="auto"/>
          <w:spacing w:val="5"/>
          <w:sz w:val="20"/>
          <w:szCs w:val="20"/>
          <w:highlight w:val="none"/>
        </w:rPr>
        <w:t>1.1.1.10</w:t>
      </w:r>
      <w:r>
        <w:rPr>
          <w:rFonts w:ascii="宋体" w:hAnsi="宋体" w:eastAsia="宋体" w:cs="宋体"/>
          <w:color w:val="auto"/>
          <w:spacing w:val="5"/>
          <w:sz w:val="20"/>
          <w:szCs w:val="20"/>
          <w:highlight w:val="none"/>
        </w:rPr>
        <w:fldChar w:fldCharType="end"/>
      </w:r>
      <w:r>
        <w:rPr>
          <w:rFonts w:ascii="宋体" w:hAnsi="宋体" w:eastAsia="宋体" w:cs="宋体"/>
          <w:color w:val="auto"/>
          <w:spacing w:val="5"/>
          <w:sz w:val="20"/>
          <w:szCs w:val="20"/>
          <w:highlight w:val="none"/>
        </w:rPr>
        <w:t xml:space="preserve"> 其他合同文件包括：</w:t>
      </w:r>
      <w:r>
        <w:rPr>
          <w:rFonts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现行的国家法律和行政法规，工程所在地政府的有关法规和规章</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18513234">
      <w:pPr>
        <w:autoSpaceDE/>
        <w:autoSpaceDN/>
        <w:spacing w:before="92"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1.1.2 合同当事人及其他相关方</w:t>
      </w:r>
    </w:p>
    <w:p w14:paraId="4D3A60D0">
      <w:pPr>
        <w:autoSpaceDE/>
        <w:autoSpaceDN/>
        <w:spacing w:before="93" w:line="360" w:lineRule="auto"/>
        <w:ind w:left="0" w:firstLine="420" w:firstLineChars="200"/>
        <w:outlineLvl w:val="9"/>
        <w:rPr>
          <w:rFonts w:ascii="宋体" w:hAnsi="宋体" w:eastAsia="宋体" w:cs="宋体"/>
          <w:color w:val="auto"/>
          <w:sz w:val="20"/>
          <w:szCs w:val="20"/>
          <w:highlight w:val="none"/>
        </w:rPr>
      </w:pPr>
      <w:bookmarkStart w:id="153" w:name="_Toc28384"/>
      <w:bookmarkStart w:id="154" w:name="_Toc3810"/>
      <w:bookmarkStart w:id="155" w:name="_Toc27057"/>
      <w:r>
        <w:rPr>
          <w:color w:val="auto"/>
          <w:highlight w:val="none"/>
        </w:rPr>
        <w:fldChar w:fldCharType="begin"/>
      </w:r>
      <w:r>
        <w:rPr>
          <w:color w:val="auto"/>
          <w:highlight w:val="none"/>
        </w:rPr>
        <w:instrText xml:space="preserve"> HYPERLINK "1.1.2.4" </w:instrText>
      </w:r>
      <w:r>
        <w:rPr>
          <w:color w:val="auto"/>
          <w:highlight w:val="none"/>
        </w:rPr>
        <w:fldChar w:fldCharType="separate"/>
      </w:r>
      <w:r>
        <w:rPr>
          <w:rFonts w:ascii="宋体" w:hAnsi="宋体" w:eastAsia="宋体" w:cs="宋体"/>
          <w:color w:val="auto"/>
          <w:spacing w:val="3"/>
          <w:sz w:val="20"/>
          <w:szCs w:val="20"/>
          <w:highlight w:val="none"/>
        </w:rPr>
        <w:t>1.1.2.4</w:t>
      </w:r>
      <w:r>
        <w:rPr>
          <w:rFonts w:ascii="宋体" w:hAnsi="宋体" w:eastAsia="宋体" w:cs="宋体"/>
          <w:color w:val="auto"/>
          <w:spacing w:val="3"/>
          <w:sz w:val="20"/>
          <w:szCs w:val="20"/>
          <w:highlight w:val="none"/>
        </w:rPr>
        <w:fldChar w:fldCharType="end"/>
      </w:r>
      <w:r>
        <w:rPr>
          <w:rFonts w:ascii="宋体" w:hAnsi="宋体" w:eastAsia="宋体" w:cs="宋体"/>
          <w:color w:val="auto"/>
          <w:spacing w:val="3"/>
          <w:sz w:val="20"/>
          <w:szCs w:val="20"/>
          <w:highlight w:val="none"/>
        </w:rPr>
        <w:t xml:space="preserve"> 监理人：</w:t>
      </w:r>
      <w:bookmarkEnd w:id="153"/>
      <w:bookmarkEnd w:id="154"/>
      <w:bookmarkEnd w:id="155"/>
    </w:p>
    <w:p w14:paraId="7D5B07C4">
      <w:pPr>
        <w:autoSpaceDE/>
        <w:autoSpaceDN/>
        <w:spacing w:before="90" w:line="360" w:lineRule="auto"/>
        <w:ind w:left="0" w:right="2387" w:firstLine="400" w:firstLineChars="200"/>
        <w:rPr>
          <w:rFonts w:ascii="宋体" w:hAnsi="宋体" w:eastAsia="宋体" w:cs="宋体"/>
          <w:color w:val="auto"/>
          <w:sz w:val="20"/>
          <w:szCs w:val="20"/>
          <w:highlight w:val="none"/>
        </w:rPr>
      </w:pPr>
      <w:r>
        <w:rPr>
          <w:rFonts w:ascii="宋体" w:hAnsi="宋体" w:eastAsia="宋体" w:cs="宋体"/>
          <w:color w:val="auto"/>
          <w:sz w:val="20"/>
          <w:szCs w:val="20"/>
          <w:highlight w:val="none"/>
        </w:rPr>
        <w:t>名</w:t>
      </w:r>
      <w:r>
        <w:rPr>
          <w:rFonts w:ascii="宋体" w:hAnsi="宋体" w:eastAsia="宋体" w:cs="宋体"/>
          <w:color w:val="auto"/>
          <w:spacing w:val="6"/>
          <w:sz w:val="20"/>
          <w:szCs w:val="20"/>
          <w:highlight w:val="none"/>
        </w:rPr>
        <w:t xml:space="preserve">    </w:t>
      </w:r>
      <w:r>
        <w:rPr>
          <w:rFonts w:ascii="宋体" w:hAnsi="宋体" w:eastAsia="宋体" w:cs="宋体"/>
          <w:color w:val="auto"/>
          <w:sz w:val="20"/>
          <w:szCs w:val="20"/>
          <w:highlight w:val="none"/>
        </w:rPr>
        <w:t>称</w:t>
      </w:r>
      <w:r>
        <w:rPr>
          <w:rFonts w:ascii="宋体" w:hAnsi="宋体" w:eastAsia="宋体" w:cs="宋体"/>
          <w:color w:val="auto"/>
          <w:spacing w:val="-72"/>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72"/>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p>
    <w:p w14:paraId="6240127D">
      <w:pPr>
        <w:autoSpaceDE/>
        <w:autoSpaceDN/>
        <w:spacing w:before="90" w:line="360" w:lineRule="auto"/>
        <w:ind w:left="0" w:right="2387" w:firstLine="432" w:firstLineChars="200"/>
        <w:rPr>
          <w:rFonts w:ascii="宋体" w:hAnsi="宋体" w:eastAsia="宋体" w:cs="宋体"/>
          <w:color w:val="auto"/>
          <w:spacing w:val="16"/>
          <w:sz w:val="20"/>
          <w:szCs w:val="20"/>
          <w:highlight w:val="none"/>
        </w:rPr>
      </w:pPr>
      <w:r>
        <w:rPr>
          <w:rFonts w:ascii="宋体" w:hAnsi="宋体" w:eastAsia="宋体" w:cs="宋体"/>
          <w:color w:val="auto"/>
          <w:spacing w:val="8"/>
          <w:sz w:val="20"/>
          <w:szCs w:val="20"/>
          <w:highlight w:val="none"/>
        </w:rPr>
        <w:t>资质类别和等级</w:t>
      </w:r>
      <w:r>
        <w:rPr>
          <w:rFonts w:ascii="宋体" w:hAnsi="宋体" w:eastAsia="宋体" w:cs="宋体"/>
          <w:color w:val="auto"/>
          <w:spacing w:val="-16"/>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6"/>
          <w:sz w:val="20"/>
          <w:szCs w:val="20"/>
          <w:highlight w:val="none"/>
        </w:rPr>
        <w:t>；</w:t>
      </w:r>
      <w:r>
        <w:rPr>
          <w:rFonts w:ascii="宋体" w:hAnsi="宋体" w:eastAsia="宋体" w:cs="宋体"/>
          <w:color w:val="auto"/>
          <w:spacing w:val="16"/>
          <w:sz w:val="20"/>
          <w:szCs w:val="20"/>
          <w:highlight w:val="none"/>
        </w:rPr>
        <w:t xml:space="preserve"> </w:t>
      </w:r>
    </w:p>
    <w:p w14:paraId="3A1C5F71">
      <w:pPr>
        <w:autoSpaceDE/>
        <w:autoSpaceDN/>
        <w:spacing w:before="90" w:line="360" w:lineRule="auto"/>
        <w:ind w:left="0" w:right="2387"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联系电话</w:t>
      </w:r>
      <w:r>
        <w:rPr>
          <w:rFonts w:ascii="宋体" w:hAnsi="宋体" w:eastAsia="宋体" w:cs="宋体"/>
          <w:color w:val="auto"/>
          <w:spacing w:val="5"/>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73"/>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p>
    <w:p w14:paraId="0A329AB0">
      <w:pPr>
        <w:autoSpaceDE/>
        <w:autoSpaceDN/>
        <w:spacing w:before="90" w:line="360" w:lineRule="auto"/>
        <w:ind w:left="0" w:right="2387"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电子信箱</w:t>
      </w:r>
      <w:r>
        <w:rPr>
          <w:rFonts w:ascii="宋体" w:hAnsi="宋体" w:eastAsia="宋体" w:cs="宋体"/>
          <w:color w:val="auto"/>
          <w:spacing w:val="5"/>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73"/>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p>
    <w:p w14:paraId="2CD4EEA3">
      <w:pPr>
        <w:autoSpaceDE/>
        <w:autoSpaceDN/>
        <w:spacing w:before="90" w:line="360" w:lineRule="auto"/>
        <w:ind w:left="0" w:right="2387"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通信地址：</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6"/>
          <w:sz w:val="20"/>
          <w:szCs w:val="20"/>
          <w:highlight w:val="none"/>
        </w:rPr>
        <w:t>。</w:t>
      </w:r>
    </w:p>
    <w:p w14:paraId="3CFCB44F">
      <w:pPr>
        <w:autoSpaceDE/>
        <w:autoSpaceDN/>
        <w:spacing w:before="29" w:line="360" w:lineRule="auto"/>
        <w:ind w:left="0" w:firstLine="420" w:firstLineChars="200"/>
        <w:outlineLvl w:val="9"/>
        <w:rPr>
          <w:rFonts w:ascii="宋体" w:hAnsi="宋体" w:eastAsia="宋体" w:cs="宋体"/>
          <w:color w:val="auto"/>
          <w:sz w:val="20"/>
          <w:szCs w:val="20"/>
          <w:highlight w:val="none"/>
        </w:rPr>
      </w:pPr>
      <w:bookmarkStart w:id="156" w:name="_Toc26975"/>
      <w:bookmarkStart w:id="157" w:name="_Toc29761"/>
      <w:bookmarkStart w:id="158" w:name="_Toc2908"/>
      <w:r>
        <w:rPr>
          <w:color w:val="auto"/>
          <w:highlight w:val="none"/>
        </w:rPr>
        <w:fldChar w:fldCharType="begin"/>
      </w:r>
      <w:r>
        <w:rPr>
          <w:color w:val="auto"/>
          <w:highlight w:val="none"/>
        </w:rPr>
        <w:instrText xml:space="preserve"> HYPERLINK "1.1.2.5" </w:instrText>
      </w:r>
      <w:r>
        <w:rPr>
          <w:color w:val="auto"/>
          <w:highlight w:val="none"/>
        </w:rPr>
        <w:fldChar w:fldCharType="separate"/>
      </w:r>
      <w:r>
        <w:rPr>
          <w:rFonts w:ascii="宋体" w:hAnsi="宋体" w:eastAsia="宋体" w:cs="宋体"/>
          <w:color w:val="auto"/>
          <w:spacing w:val="3"/>
          <w:sz w:val="20"/>
          <w:szCs w:val="20"/>
          <w:highlight w:val="none"/>
        </w:rPr>
        <w:t>1.1.2.5</w:t>
      </w:r>
      <w:r>
        <w:rPr>
          <w:rFonts w:ascii="宋体" w:hAnsi="宋体" w:eastAsia="宋体" w:cs="宋体"/>
          <w:color w:val="auto"/>
          <w:spacing w:val="3"/>
          <w:sz w:val="20"/>
          <w:szCs w:val="20"/>
          <w:highlight w:val="none"/>
        </w:rPr>
        <w:fldChar w:fldCharType="end"/>
      </w:r>
      <w:r>
        <w:rPr>
          <w:rFonts w:ascii="宋体" w:hAnsi="宋体" w:eastAsia="宋体" w:cs="宋体"/>
          <w:color w:val="auto"/>
          <w:spacing w:val="3"/>
          <w:sz w:val="20"/>
          <w:szCs w:val="20"/>
          <w:highlight w:val="none"/>
        </w:rPr>
        <w:t xml:space="preserve"> 设计人：</w:t>
      </w:r>
      <w:bookmarkEnd w:id="156"/>
      <w:bookmarkEnd w:id="157"/>
      <w:bookmarkEnd w:id="158"/>
    </w:p>
    <w:p w14:paraId="1CE719C1">
      <w:pPr>
        <w:autoSpaceDE/>
        <w:autoSpaceDN/>
        <w:spacing w:before="91" w:line="360" w:lineRule="auto"/>
        <w:ind w:left="0" w:right="2387" w:firstLine="400" w:firstLineChars="200"/>
        <w:rPr>
          <w:rFonts w:ascii="宋体" w:hAnsi="宋体" w:eastAsia="宋体" w:cs="宋体"/>
          <w:color w:val="auto"/>
          <w:spacing w:val="1"/>
          <w:sz w:val="20"/>
          <w:szCs w:val="20"/>
          <w:highlight w:val="none"/>
        </w:rPr>
      </w:pPr>
      <w:r>
        <w:rPr>
          <w:rFonts w:ascii="宋体" w:hAnsi="宋体" w:eastAsia="宋体" w:cs="宋体"/>
          <w:color w:val="auto"/>
          <w:sz w:val="20"/>
          <w:szCs w:val="20"/>
          <w:highlight w:val="none"/>
        </w:rPr>
        <w:t>名</w:t>
      </w:r>
      <w:r>
        <w:rPr>
          <w:rFonts w:ascii="宋体" w:hAnsi="宋体" w:eastAsia="宋体" w:cs="宋体"/>
          <w:color w:val="auto"/>
          <w:spacing w:val="6"/>
          <w:sz w:val="20"/>
          <w:szCs w:val="20"/>
          <w:highlight w:val="none"/>
        </w:rPr>
        <w:t xml:space="preserve">    </w:t>
      </w:r>
      <w:r>
        <w:rPr>
          <w:rFonts w:ascii="宋体" w:hAnsi="宋体" w:eastAsia="宋体" w:cs="宋体"/>
          <w:color w:val="auto"/>
          <w:sz w:val="20"/>
          <w:szCs w:val="20"/>
          <w:highlight w:val="none"/>
        </w:rPr>
        <w:t>称</w:t>
      </w:r>
      <w:r>
        <w:rPr>
          <w:rFonts w:ascii="宋体" w:hAnsi="宋体" w:eastAsia="宋体" w:cs="宋体"/>
          <w:color w:val="auto"/>
          <w:spacing w:val="-72"/>
          <w:sz w:val="20"/>
          <w:szCs w:val="20"/>
          <w:highlight w:val="none"/>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1"/>
          <w:sz w:val="20"/>
          <w:szCs w:val="20"/>
          <w:highlight w:val="none"/>
        </w:rPr>
        <w:t xml:space="preserve"> </w:t>
      </w:r>
    </w:p>
    <w:p w14:paraId="70AECB8C">
      <w:pPr>
        <w:autoSpaceDE/>
        <w:autoSpaceDN/>
        <w:spacing w:before="91" w:line="360" w:lineRule="auto"/>
        <w:ind w:left="0" w:right="2387" w:firstLine="432" w:firstLineChars="200"/>
        <w:rPr>
          <w:rFonts w:ascii="宋体" w:hAnsi="宋体" w:eastAsia="宋体" w:cs="宋体"/>
          <w:color w:val="auto"/>
          <w:spacing w:val="16"/>
          <w:sz w:val="20"/>
          <w:szCs w:val="20"/>
          <w:highlight w:val="none"/>
        </w:rPr>
      </w:pPr>
      <w:r>
        <w:rPr>
          <w:rFonts w:ascii="宋体" w:hAnsi="宋体" w:eastAsia="宋体" w:cs="宋体"/>
          <w:color w:val="auto"/>
          <w:spacing w:val="8"/>
          <w:sz w:val="20"/>
          <w:szCs w:val="20"/>
          <w:highlight w:val="none"/>
        </w:rPr>
        <w:t>资质类别和等级</w:t>
      </w:r>
      <w:r>
        <w:rPr>
          <w:rFonts w:ascii="宋体" w:hAnsi="宋体" w:eastAsia="宋体" w:cs="宋体"/>
          <w:color w:val="auto"/>
          <w:spacing w:val="-16"/>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6"/>
          <w:sz w:val="20"/>
          <w:szCs w:val="20"/>
          <w:highlight w:val="none"/>
        </w:rPr>
        <w:t>；</w:t>
      </w:r>
      <w:r>
        <w:rPr>
          <w:rFonts w:ascii="宋体" w:hAnsi="宋体" w:eastAsia="宋体" w:cs="宋体"/>
          <w:color w:val="auto"/>
          <w:spacing w:val="16"/>
          <w:sz w:val="20"/>
          <w:szCs w:val="20"/>
          <w:highlight w:val="none"/>
        </w:rPr>
        <w:t xml:space="preserve"> </w:t>
      </w:r>
    </w:p>
    <w:p w14:paraId="48A8A757">
      <w:pPr>
        <w:autoSpaceDE/>
        <w:autoSpaceDN/>
        <w:spacing w:before="91" w:line="360" w:lineRule="auto"/>
        <w:ind w:left="0" w:right="2387" w:firstLine="428" w:firstLineChars="200"/>
        <w:rPr>
          <w:rFonts w:ascii="宋体" w:hAnsi="宋体" w:eastAsia="宋体" w:cs="宋体"/>
          <w:color w:val="auto"/>
          <w:spacing w:val="1"/>
          <w:sz w:val="20"/>
          <w:szCs w:val="20"/>
          <w:highlight w:val="none"/>
        </w:rPr>
      </w:pPr>
      <w:r>
        <w:rPr>
          <w:rFonts w:ascii="宋体" w:hAnsi="宋体" w:eastAsia="宋体" w:cs="宋体"/>
          <w:color w:val="auto"/>
          <w:spacing w:val="7"/>
          <w:sz w:val="20"/>
          <w:szCs w:val="20"/>
          <w:highlight w:val="none"/>
        </w:rPr>
        <w:t>联系电话</w:t>
      </w:r>
      <w:r>
        <w:rPr>
          <w:rFonts w:ascii="宋体" w:hAnsi="宋体" w:eastAsia="宋体" w:cs="宋体"/>
          <w:color w:val="auto"/>
          <w:spacing w:val="-17"/>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
          <w:sz w:val="20"/>
          <w:szCs w:val="20"/>
          <w:highlight w:val="none"/>
        </w:rPr>
        <w:t xml:space="preserve"> </w:t>
      </w:r>
    </w:p>
    <w:p w14:paraId="0F38038C">
      <w:pPr>
        <w:autoSpaceDE/>
        <w:autoSpaceDN/>
        <w:spacing w:before="91" w:line="360" w:lineRule="auto"/>
        <w:ind w:left="0" w:right="2387"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电子信箱</w:t>
      </w:r>
      <w:r>
        <w:rPr>
          <w:rFonts w:ascii="宋体" w:hAnsi="宋体" w:eastAsia="宋体" w:cs="宋体"/>
          <w:color w:val="auto"/>
          <w:spacing w:val="5"/>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73"/>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p>
    <w:p w14:paraId="7345AE5A">
      <w:pPr>
        <w:autoSpaceDE/>
        <w:autoSpaceDN/>
        <w:spacing w:before="91" w:line="360" w:lineRule="auto"/>
        <w:ind w:left="0" w:right="2387"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通信地址：</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6"/>
          <w:sz w:val="20"/>
          <w:szCs w:val="20"/>
          <w:highlight w:val="none"/>
        </w:rPr>
        <w:t>。</w:t>
      </w:r>
    </w:p>
    <w:p w14:paraId="5EFFDE1F">
      <w:pPr>
        <w:autoSpaceDE/>
        <w:autoSpaceDN/>
        <w:spacing w:before="32"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1.1.3 工程和设备</w:t>
      </w:r>
    </w:p>
    <w:p w14:paraId="29C4E328">
      <w:pPr>
        <w:autoSpaceDE/>
        <w:autoSpaceDN/>
        <w:spacing w:before="91" w:line="360" w:lineRule="auto"/>
        <w:ind w:left="0" w:firstLine="420" w:firstLineChars="200"/>
        <w:outlineLvl w:val="9"/>
        <w:rPr>
          <w:rFonts w:ascii="宋体" w:hAnsi="宋体" w:eastAsia="宋体" w:cs="宋体"/>
          <w:color w:val="auto"/>
          <w:sz w:val="20"/>
          <w:szCs w:val="20"/>
          <w:highlight w:val="none"/>
        </w:rPr>
      </w:pPr>
      <w:bookmarkStart w:id="159" w:name="_Toc28379"/>
      <w:bookmarkStart w:id="160" w:name="_Toc25212"/>
      <w:bookmarkStart w:id="161" w:name="_Toc26242"/>
      <w:r>
        <w:rPr>
          <w:color w:val="auto"/>
          <w:highlight w:val="none"/>
        </w:rPr>
        <w:fldChar w:fldCharType="begin"/>
      </w:r>
      <w:r>
        <w:rPr>
          <w:color w:val="auto"/>
          <w:highlight w:val="none"/>
        </w:rPr>
        <w:instrText xml:space="preserve"> HYPERLINK "1.1.3.7" </w:instrText>
      </w:r>
      <w:r>
        <w:rPr>
          <w:color w:val="auto"/>
          <w:highlight w:val="none"/>
        </w:rPr>
        <w:fldChar w:fldCharType="separate"/>
      </w:r>
      <w:r>
        <w:rPr>
          <w:rFonts w:ascii="宋体" w:hAnsi="宋体" w:eastAsia="宋体" w:cs="宋体"/>
          <w:color w:val="auto"/>
          <w:spacing w:val="6"/>
          <w:sz w:val="20"/>
          <w:szCs w:val="20"/>
          <w:highlight w:val="none"/>
        </w:rPr>
        <w:t>1.1.3.7</w:t>
      </w:r>
      <w:r>
        <w:rPr>
          <w:rFonts w:ascii="宋体" w:hAnsi="宋体" w:eastAsia="宋体" w:cs="宋体"/>
          <w:color w:val="auto"/>
          <w:spacing w:val="6"/>
          <w:sz w:val="20"/>
          <w:szCs w:val="20"/>
          <w:highlight w:val="none"/>
        </w:rPr>
        <w:fldChar w:fldCharType="end"/>
      </w:r>
      <w:r>
        <w:rPr>
          <w:rFonts w:ascii="宋体" w:hAnsi="宋体" w:eastAsia="宋体" w:cs="宋体"/>
          <w:color w:val="auto"/>
          <w:spacing w:val="6"/>
          <w:sz w:val="20"/>
          <w:szCs w:val="20"/>
          <w:highlight w:val="none"/>
        </w:rPr>
        <w:t xml:space="preserve"> 作为施工现场组成部分的其他场所包括：</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发包人提交的本合同工程所涉地块土地范围内所包括的场所</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bookmarkEnd w:id="159"/>
      <w:bookmarkEnd w:id="160"/>
      <w:bookmarkEnd w:id="161"/>
    </w:p>
    <w:p w14:paraId="5C199891">
      <w:pPr>
        <w:autoSpaceDE/>
        <w:autoSpaceDN/>
        <w:spacing w:before="94" w:line="360" w:lineRule="auto"/>
        <w:ind w:left="0" w:firstLine="420" w:firstLineChars="200"/>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"1.1.3.9" </w:instrText>
      </w:r>
      <w:r>
        <w:rPr>
          <w:color w:val="auto"/>
          <w:highlight w:val="none"/>
        </w:rPr>
        <w:fldChar w:fldCharType="separate"/>
      </w:r>
      <w:r>
        <w:rPr>
          <w:rFonts w:ascii="宋体" w:hAnsi="宋体" w:eastAsia="宋体" w:cs="宋体"/>
          <w:color w:val="auto"/>
          <w:spacing w:val="5"/>
          <w:sz w:val="20"/>
          <w:szCs w:val="20"/>
          <w:highlight w:val="none"/>
        </w:rPr>
        <w:t>1.1.3.9</w:t>
      </w:r>
      <w:r>
        <w:rPr>
          <w:rFonts w:ascii="宋体" w:hAnsi="宋体" w:eastAsia="宋体" w:cs="宋体"/>
          <w:color w:val="auto"/>
          <w:spacing w:val="5"/>
          <w:sz w:val="20"/>
          <w:szCs w:val="20"/>
          <w:highlight w:val="none"/>
        </w:rPr>
        <w:fldChar w:fldCharType="end"/>
      </w:r>
      <w:r>
        <w:rPr>
          <w:rFonts w:ascii="宋体" w:hAnsi="宋体" w:eastAsia="宋体" w:cs="宋体"/>
          <w:color w:val="auto"/>
          <w:spacing w:val="5"/>
          <w:sz w:val="20"/>
          <w:szCs w:val="20"/>
          <w:highlight w:val="none"/>
        </w:rPr>
        <w:t xml:space="preserve"> 永久占地包括：</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施工图所示占地线范围，范围、坐标详见施工图</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5"/>
          <w:sz w:val="20"/>
          <w:szCs w:val="20"/>
          <w:highlight w:val="none"/>
        </w:rPr>
        <w:t>。</w:t>
      </w:r>
    </w:p>
    <w:p w14:paraId="0EAC269E">
      <w:pPr>
        <w:autoSpaceDE/>
        <w:autoSpaceDN/>
        <w:spacing w:before="92" w:line="360" w:lineRule="auto"/>
        <w:ind w:left="0" w:firstLine="420" w:firstLineChars="200"/>
        <w:rPr>
          <w:rFonts w:ascii="宋体" w:hAnsi="宋体" w:eastAsia="宋体" w:cs="宋体"/>
          <w:color w:val="auto"/>
          <w:sz w:val="20"/>
          <w:szCs w:val="20"/>
          <w:highlight w:val="none"/>
        </w:rPr>
      </w:pPr>
      <w:r>
        <w:rPr>
          <w:color w:val="auto"/>
          <w:highlight w:val="none"/>
        </w:rPr>
        <w:fldChar w:fldCharType="begin"/>
      </w:r>
      <w:r>
        <w:rPr>
          <w:color w:val="auto"/>
          <w:highlight w:val="none"/>
        </w:rPr>
        <w:instrText xml:space="preserve"> HYPERLINK "1.1.3.10" </w:instrText>
      </w:r>
      <w:r>
        <w:rPr>
          <w:color w:val="auto"/>
          <w:highlight w:val="none"/>
        </w:rPr>
        <w:fldChar w:fldCharType="separate"/>
      </w:r>
      <w:r>
        <w:rPr>
          <w:rFonts w:ascii="宋体" w:hAnsi="宋体" w:eastAsia="宋体" w:cs="宋体"/>
          <w:color w:val="auto"/>
          <w:spacing w:val="5"/>
          <w:sz w:val="20"/>
          <w:szCs w:val="20"/>
          <w:highlight w:val="none"/>
        </w:rPr>
        <w:t>1.1.3.10</w:t>
      </w:r>
      <w:r>
        <w:rPr>
          <w:rFonts w:ascii="宋体" w:hAnsi="宋体" w:eastAsia="宋体" w:cs="宋体"/>
          <w:color w:val="auto"/>
          <w:spacing w:val="5"/>
          <w:sz w:val="20"/>
          <w:szCs w:val="20"/>
          <w:highlight w:val="none"/>
        </w:rPr>
        <w:fldChar w:fldCharType="end"/>
      </w:r>
      <w:r>
        <w:rPr>
          <w:rFonts w:ascii="宋体" w:hAnsi="宋体" w:eastAsia="宋体" w:cs="宋体"/>
          <w:color w:val="auto"/>
          <w:spacing w:val="5"/>
          <w:sz w:val="20"/>
          <w:szCs w:val="20"/>
          <w:highlight w:val="none"/>
        </w:rPr>
        <w:t xml:space="preserve"> 临时占地包括：</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发包人用地红线内双方指定的用于承包人堆放施工材料、设备及办公生活等临时用地，超出指定用地范围须不得影响其它项目施工和通行等，且须报经建设单位同意</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5"/>
          <w:sz w:val="20"/>
          <w:szCs w:val="20"/>
          <w:highlight w:val="none"/>
        </w:rPr>
        <w:t>。</w:t>
      </w:r>
    </w:p>
    <w:p w14:paraId="5D1D3B6F">
      <w:pPr>
        <w:autoSpaceDE/>
        <w:autoSpaceDN/>
        <w:spacing w:before="94" w:line="360" w:lineRule="auto"/>
        <w:ind w:left="35" w:firstLine="394" w:firstLineChars="200"/>
        <w:outlineLvl w:val="1"/>
        <w:rPr>
          <w:rFonts w:ascii="宋体" w:hAnsi="宋体" w:eastAsia="宋体" w:cs="宋体"/>
          <w:color w:val="auto"/>
          <w:sz w:val="20"/>
          <w:szCs w:val="20"/>
          <w:highlight w:val="none"/>
        </w:rPr>
      </w:pPr>
      <w:bookmarkStart w:id="162" w:name="_Toc31749"/>
      <w:bookmarkStart w:id="163" w:name="_Toc25373"/>
      <w:bookmarkStart w:id="164" w:name="_Toc24908"/>
      <w:r>
        <w:rPr>
          <w:rFonts w:ascii="宋体" w:hAnsi="宋体" w:eastAsia="宋体" w:cs="宋体"/>
          <w:b/>
          <w:bCs/>
          <w:color w:val="auto"/>
          <w:spacing w:val="-2"/>
          <w:sz w:val="20"/>
          <w:szCs w:val="20"/>
          <w:highlight w:val="none"/>
        </w:rPr>
        <w:t>1.3</w:t>
      </w:r>
      <w:r>
        <w:rPr>
          <w:rFonts w:ascii="宋体" w:hAnsi="宋体" w:eastAsia="宋体" w:cs="宋体"/>
          <w:color w:val="auto"/>
          <w:spacing w:val="17"/>
          <w:sz w:val="20"/>
          <w:szCs w:val="20"/>
          <w:highlight w:val="none"/>
        </w:rPr>
        <w:t xml:space="preserve"> </w:t>
      </w:r>
      <w:r>
        <w:rPr>
          <w:rFonts w:ascii="宋体" w:hAnsi="宋体" w:eastAsia="宋体" w:cs="宋体"/>
          <w:b/>
          <w:bCs/>
          <w:color w:val="auto"/>
          <w:spacing w:val="-2"/>
          <w:sz w:val="20"/>
          <w:szCs w:val="20"/>
          <w:highlight w:val="none"/>
        </w:rPr>
        <w:t>法律</w:t>
      </w:r>
      <w:bookmarkEnd w:id="162"/>
      <w:bookmarkEnd w:id="163"/>
      <w:bookmarkEnd w:id="164"/>
    </w:p>
    <w:p w14:paraId="3C530942">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适用于合同的其他规范性文件：</w:t>
      </w:r>
      <w:r>
        <w:rPr>
          <w:rFonts w:hint="eastAsia" w:ascii="宋体" w:hAnsi="宋体" w:eastAsia="宋体" w:cs="宋体"/>
          <w:color w:val="auto"/>
          <w:spacing w:val="6"/>
          <w:sz w:val="20"/>
          <w:szCs w:val="20"/>
          <w:highlight w:val="none"/>
          <w:u w:val="single"/>
        </w:rPr>
        <w:t>我国现行法律、行政法规、部门规章，以及工程所在地的地方性法规、单行条例、地方政府规章、规范性文件</w:t>
      </w:r>
      <w:r>
        <w:rPr>
          <w:rFonts w:ascii="宋体" w:hAnsi="宋体" w:eastAsia="宋体" w:cs="宋体"/>
          <w:color w:val="auto"/>
          <w:spacing w:val="5"/>
          <w:sz w:val="20"/>
          <w:szCs w:val="20"/>
          <w:highlight w:val="none"/>
        </w:rPr>
        <w:t>。</w:t>
      </w:r>
    </w:p>
    <w:p w14:paraId="40BF04FD">
      <w:pPr>
        <w:autoSpaceDE/>
        <w:autoSpaceDN/>
        <w:spacing w:before="92" w:line="360" w:lineRule="auto"/>
        <w:ind w:left="0" w:firstLine="410" w:firstLineChars="200"/>
        <w:outlineLvl w:val="1"/>
        <w:rPr>
          <w:rFonts w:ascii="宋体" w:hAnsi="宋体" w:eastAsia="宋体" w:cs="宋体"/>
          <w:color w:val="auto"/>
          <w:sz w:val="20"/>
          <w:szCs w:val="20"/>
          <w:highlight w:val="none"/>
        </w:rPr>
      </w:pPr>
      <w:bookmarkStart w:id="165" w:name="_Toc6050"/>
      <w:bookmarkStart w:id="166" w:name="_Toc31381"/>
      <w:bookmarkStart w:id="167" w:name="_Toc9797"/>
      <w:r>
        <w:rPr>
          <w:rFonts w:ascii="宋体" w:hAnsi="宋体" w:eastAsia="宋体" w:cs="宋体"/>
          <w:b/>
          <w:bCs/>
          <w:color w:val="auto"/>
          <w:spacing w:val="2"/>
          <w:sz w:val="20"/>
          <w:szCs w:val="20"/>
          <w:highlight w:val="none"/>
        </w:rPr>
        <w:t>1.4</w:t>
      </w:r>
      <w:r>
        <w:rPr>
          <w:rFonts w:ascii="宋体" w:hAnsi="宋体" w:eastAsia="宋体" w:cs="宋体"/>
          <w:color w:val="auto"/>
          <w:spacing w:val="16"/>
          <w:sz w:val="20"/>
          <w:szCs w:val="20"/>
          <w:highlight w:val="none"/>
        </w:rPr>
        <w:t xml:space="preserve"> </w:t>
      </w:r>
      <w:r>
        <w:rPr>
          <w:rFonts w:ascii="宋体" w:hAnsi="宋体" w:eastAsia="宋体" w:cs="宋体"/>
          <w:b/>
          <w:bCs/>
          <w:color w:val="auto"/>
          <w:spacing w:val="2"/>
          <w:sz w:val="20"/>
          <w:szCs w:val="20"/>
          <w:highlight w:val="none"/>
        </w:rPr>
        <w:t>标准和规范</w:t>
      </w:r>
      <w:bookmarkEnd w:id="165"/>
      <w:bookmarkEnd w:id="166"/>
      <w:bookmarkEnd w:id="167"/>
    </w:p>
    <w:p w14:paraId="5366FF7F">
      <w:pPr>
        <w:autoSpaceDE/>
        <w:autoSpaceDN/>
        <w:spacing w:before="97" w:line="360" w:lineRule="auto"/>
        <w:ind w:left="0" w:firstLine="412" w:firstLineChars="200"/>
        <w:rPr>
          <w:rFonts w:ascii="宋体" w:hAnsi="宋体" w:eastAsia="宋体" w:cs="宋体"/>
          <w:color w:val="auto"/>
          <w:spacing w:val="2"/>
          <w:sz w:val="20"/>
          <w:szCs w:val="20"/>
          <w:highlight w:val="none"/>
        </w:rPr>
      </w:pPr>
      <w:r>
        <w:rPr>
          <w:rFonts w:ascii="宋体" w:hAnsi="宋体" w:eastAsia="宋体" w:cs="宋体"/>
          <w:color w:val="auto"/>
          <w:spacing w:val="3"/>
          <w:sz w:val="20"/>
          <w:szCs w:val="20"/>
          <w:highlight w:val="none"/>
        </w:rPr>
        <w:t>1.4.1 适用于工程的标准规范包括：</w:t>
      </w:r>
      <w:r>
        <w:rPr>
          <w:rFonts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《中华人民共和国民法典》、《中华人民共和国建筑法》、《中华人民共和国安全生产法》、《建筑工程质量管理条例》及合同签订时国家现行法律、行政法规及工程所在地政府的有关现行法规和规章</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w:t>
      </w:r>
    </w:p>
    <w:p w14:paraId="50CA0A90">
      <w:pPr>
        <w:autoSpaceDE/>
        <w:autoSpaceDN/>
        <w:spacing w:before="97"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1.4.2 发包人提供国外标准、规范的名称</w:t>
      </w:r>
      <w:r>
        <w:rPr>
          <w:rFonts w:ascii="宋体" w:hAnsi="宋体" w:eastAsia="宋体" w:cs="宋体"/>
          <w:color w:val="auto"/>
          <w:spacing w:val="8"/>
          <w:sz w:val="20"/>
          <w:szCs w:val="20"/>
          <w:highlight w:val="none"/>
        </w:rPr>
        <w:t>：</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无</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8"/>
          <w:sz w:val="20"/>
          <w:szCs w:val="20"/>
          <w:highlight w:val="none"/>
        </w:rPr>
        <w:t>；</w:t>
      </w:r>
    </w:p>
    <w:p w14:paraId="257163C6">
      <w:pPr>
        <w:autoSpaceDE/>
        <w:autoSpaceDN/>
        <w:spacing w:before="35" w:line="360" w:lineRule="auto"/>
        <w:ind w:left="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发包人提供国外标准、规范的份数</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u w:val="single" w:color="auto"/>
        </w:rPr>
        <w:t>无</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5"/>
          <w:sz w:val="20"/>
          <w:szCs w:val="20"/>
          <w:highlight w:val="none"/>
        </w:rPr>
        <w:t>；</w:t>
      </w:r>
    </w:p>
    <w:p w14:paraId="2493C514">
      <w:pPr>
        <w:autoSpaceDE/>
        <w:autoSpaceDN/>
        <w:spacing w:before="41"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发包人提供国外标准、规范的名称：</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无</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7E851FD7">
      <w:pPr>
        <w:autoSpaceDE/>
        <w:autoSpaceDN/>
        <w:spacing w:before="94"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1.4.3 发包人对工程的技术标准和功能要求的特殊</w:t>
      </w:r>
      <w:r>
        <w:rPr>
          <w:rFonts w:ascii="宋体" w:hAnsi="宋体" w:eastAsia="宋体" w:cs="宋体"/>
          <w:color w:val="auto"/>
          <w:spacing w:val="6"/>
          <w:sz w:val="20"/>
          <w:szCs w:val="20"/>
          <w:highlight w:val="none"/>
        </w:rPr>
        <w:t>要求：</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无</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5A6ACE3B">
      <w:pPr>
        <w:autoSpaceDE/>
        <w:autoSpaceDN/>
        <w:spacing w:before="93" w:line="360" w:lineRule="auto"/>
        <w:ind w:left="0" w:firstLine="422" w:firstLineChars="200"/>
        <w:outlineLvl w:val="1"/>
        <w:rPr>
          <w:rFonts w:ascii="宋体" w:hAnsi="宋体" w:eastAsia="宋体" w:cs="宋体"/>
          <w:color w:val="auto"/>
          <w:sz w:val="20"/>
          <w:szCs w:val="20"/>
          <w:highlight w:val="none"/>
        </w:rPr>
      </w:pPr>
      <w:bookmarkStart w:id="168" w:name="_Toc12541"/>
      <w:bookmarkStart w:id="169" w:name="_Toc19910"/>
      <w:bookmarkStart w:id="170" w:name="_Toc2110"/>
      <w:r>
        <w:rPr>
          <w:rFonts w:ascii="宋体" w:hAnsi="宋体" w:eastAsia="宋体" w:cs="宋体"/>
          <w:b/>
          <w:bCs/>
          <w:color w:val="auto"/>
          <w:spacing w:val="5"/>
          <w:sz w:val="20"/>
          <w:szCs w:val="20"/>
          <w:highlight w:val="none"/>
        </w:rPr>
        <w:t>1.5</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合同文件的优先顺序</w:t>
      </w:r>
      <w:bookmarkEnd w:id="168"/>
      <w:bookmarkEnd w:id="169"/>
      <w:bookmarkEnd w:id="170"/>
    </w:p>
    <w:p w14:paraId="64CDA1E7">
      <w:pPr>
        <w:autoSpaceDE/>
        <w:autoSpaceDN/>
        <w:spacing w:before="93"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合同文件组成及优先顺序为：</w:t>
      </w:r>
    </w:p>
    <w:p w14:paraId="0E2BC38B">
      <w:pPr>
        <w:autoSpaceDE/>
        <w:autoSpaceDN/>
        <w:spacing w:before="94"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（1）合同协议书；</w:t>
      </w:r>
    </w:p>
    <w:p w14:paraId="5C5CEC31">
      <w:pPr>
        <w:autoSpaceDE/>
        <w:autoSpaceDN/>
        <w:spacing w:before="95"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w:t>
      </w:r>
      <w:r>
        <w:rPr>
          <w:rFonts w:hint="eastAsia" w:ascii="宋体" w:hAnsi="宋体" w:eastAsia="宋体" w:cs="宋体"/>
          <w:color w:val="auto"/>
          <w:spacing w:val="7"/>
          <w:sz w:val="20"/>
          <w:szCs w:val="20"/>
          <w:highlight w:val="none"/>
          <w:lang w:val="en-US" w:eastAsia="zh-CN"/>
        </w:rPr>
        <w:t>成交</w:t>
      </w:r>
      <w:r>
        <w:rPr>
          <w:rFonts w:ascii="宋体" w:hAnsi="宋体" w:eastAsia="宋体" w:cs="宋体"/>
          <w:color w:val="auto"/>
          <w:spacing w:val="7"/>
          <w:sz w:val="20"/>
          <w:szCs w:val="20"/>
          <w:highlight w:val="none"/>
        </w:rPr>
        <w:t>通知书（如有</w:t>
      </w:r>
      <w:r>
        <w:rPr>
          <w:rFonts w:ascii="宋体" w:hAnsi="宋体" w:eastAsia="宋体" w:cs="宋体"/>
          <w:color w:val="auto"/>
          <w:spacing w:val="3"/>
          <w:sz w:val="20"/>
          <w:szCs w:val="20"/>
          <w:highlight w:val="none"/>
        </w:rPr>
        <w:t>）；</w:t>
      </w:r>
    </w:p>
    <w:p w14:paraId="7F646F14">
      <w:pPr>
        <w:autoSpaceDE/>
        <w:autoSpaceDN/>
        <w:spacing w:before="93"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w:t>
      </w:r>
      <w:r>
        <w:rPr>
          <w:rFonts w:hint="eastAsia" w:ascii="宋体" w:hAnsi="宋体" w:eastAsia="宋体" w:cs="宋体"/>
          <w:color w:val="auto"/>
          <w:spacing w:val="8"/>
          <w:sz w:val="20"/>
          <w:szCs w:val="20"/>
          <w:highlight w:val="none"/>
          <w:lang w:val="en-US" w:eastAsia="zh-CN"/>
        </w:rPr>
        <w:t>响应</w:t>
      </w:r>
      <w:r>
        <w:rPr>
          <w:rFonts w:ascii="宋体" w:hAnsi="宋体" w:eastAsia="宋体" w:cs="宋体"/>
          <w:color w:val="auto"/>
          <w:spacing w:val="8"/>
          <w:sz w:val="20"/>
          <w:szCs w:val="20"/>
          <w:highlight w:val="none"/>
        </w:rPr>
        <w:t>函及其附录（如有</w:t>
      </w:r>
      <w:r>
        <w:rPr>
          <w:rFonts w:ascii="宋体" w:hAnsi="宋体" w:eastAsia="宋体" w:cs="宋体"/>
          <w:color w:val="auto"/>
          <w:sz w:val="20"/>
          <w:szCs w:val="20"/>
          <w:highlight w:val="none"/>
        </w:rPr>
        <w:t>）；</w:t>
      </w:r>
    </w:p>
    <w:p w14:paraId="2F68598A">
      <w:pPr>
        <w:autoSpaceDE/>
        <w:autoSpaceDN/>
        <w:spacing w:before="95"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（4）专用合同条款及其附件；</w:t>
      </w:r>
    </w:p>
    <w:p w14:paraId="1D45166A">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（5）通用合同条款；</w:t>
      </w:r>
    </w:p>
    <w:p w14:paraId="0C6A70B9">
      <w:pPr>
        <w:autoSpaceDE/>
        <w:autoSpaceDN/>
        <w:spacing w:before="96" w:line="360" w:lineRule="auto"/>
        <w:ind w:left="0" w:right="4994" w:firstLine="388" w:firstLineChars="200"/>
        <w:jc w:val="both"/>
        <w:rPr>
          <w:rFonts w:ascii="宋体" w:hAnsi="宋体" w:eastAsia="宋体" w:cs="宋体"/>
          <w:color w:val="auto"/>
          <w:spacing w:val="1"/>
          <w:sz w:val="20"/>
          <w:szCs w:val="20"/>
          <w:highlight w:val="none"/>
        </w:rPr>
      </w:pPr>
      <w:r>
        <w:rPr>
          <w:rFonts w:ascii="宋体" w:hAnsi="宋体" w:eastAsia="宋体" w:cs="宋体"/>
          <w:color w:val="auto"/>
          <w:spacing w:val="-3"/>
          <w:sz w:val="20"/>
          <w:szCs w:val="20"/>
          <w:highlight w:val="none"/>
        </w:rPr>
        <w:t>（6</w:t>
      </w:r>
      <w:r>
        <w:rPr>
          <w:rFonts w:ascii="宋体" w:hAnsi="宋体" w:eastAsia="宋体" w:cs="宋体"/>
          <w:color w:val="auto"/>
          <w:spacing w:val="-9"/>
          <w:sz w:val="20"/>
          <w:szCs w:val="20"/>
          <w:highlight w:val="none"/>
        </w:rPr>
        <w:t>）</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技术标准和要求</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9"/>
          <w:sz w:val="20"/>
          <w:szCs w:val="20"/>
          <w:highlight w:val="none"/>
        </w:rPr>
        <w:t>；</w:t>
      </w:r>
      <w:r>
        <w:rPr>
          <w:rFonts w:ascii="宋体" w:hAnsi="宋体" w:eastAsia="宋体" w:cs="宋体"/>
          <w:color w:val="auto"/>
          <w:spacing w:val="1"/>
          <w:sz w:val="20"/>
          <w:szCs w:val="20"/>
          <w:highlight w:val="none"/>
        </w:rPr>
        <w:t xml:space="preserve"> </w:t>
      </w:r>
    </w:p>
    <w:p w14:paraId="53307755">
      <w:pPr>
        <w:autoSpaceDE/>
        <w:autoSpaceDN/>
        <w:spacing w:before="96" w:line="360" w:lineRule="auto"/>
        <w:ind w:left="0" w:right="4994" w:firstLine="388" w:firstLineChars="200"/>
        <w:jc w:val="both"/>
        <w:rPr>
          <w:rFonts w:ascii="宋体" w:hAnsi="宋体" w:eastAsia="宋体" w:cs="宋体"/>
          <w:color w:val="auto"/>
          <w:spacing w:val="1"/>
          <w:sz w:val="20"/>
          <w:szCs w:val="20"/>
          <w:highlight w:val="none"/>
        </w:rPr>
      </w:pPr>
      <w:r>
        <w:rPr>
          <w:rFonts w:ascii="宋体" w:hAnsi="宋体" w:eastAsia="宋体" w:cs="宋体"/>
          <w:color w:val="auto"/>
          <w:spacing w:val="-3"/>
          <w:sz w:val="20"/>
          <w:szCs w:val="20"/>
          <w:highlight w:val="none"/>
        </w:rPr>
        <w:t>（7</w:t>
      </w:r>
      <w:r>
        <w:rPr>
          <w:rFonts w:ascii="宋体" w:hAnsi="宋体" w:eastAsia="宋体" w:cs="宋体"/>
          <w:color w:val="auto"/>
          <w:spacing w:val="-9"/>
          <w:sz w:val="20"/>
          <w:szCs w:val="20"/>
          <w:highlight w:val="none"/>
        </w:rPr>
        <w:t>）</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图纸</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9"/>
          <w:sz w:val="20"/>
          <w:szCs w:val="20"/>
          <w:highlight w:val="none"/>
        </w:rPr>
        <w:t>；</w:t>
      </w:r>
      <w:r>
        <w:rPr>
          <w:rFonts w:ascii="宋体" w:hAnsi="宋体" w:eastAsia="宋体" w:cs="宋体"/>
          <w:color w:val="auto"/>
          <w:spacing w:val="1"/>
          <w:sz w:val="20"/>
          <w:szCs w:val="20"/>
          <w:highlight w:val="none"/>
        </w:rPr>
        <w:t xml:space="preserve"> </w:t>
      </w:r>
    </w:p>
    <w:p w14:paraId="4A282C1F">
      <w:pPr>
        <w:autoSpaceDE/>
        <w:autoSpaceDN/>
        <w:spacing w:before="96" w:line="360" w:lineRule="auto"/>
        <w:ind w:left="0" w:right="4994" w:firstLine="388" w:firstLineChars="200"/>
        <w:jc w:val="both"/>
        <w:rPr>
          <w:rFonts w:ascii="宋体" w:hAnsi="宋体" w:eastAsia="宋体" w:cs="宋体"/>
          <w:color w:val="auto"/>
          <w:spacing w:val="1"/>
          <w:sz w:val="20"/>
          <w:szCs w:val="20"/>
          <w:highlight w:val="none"/>
        </w:rPr>
      </w:pPr>
      <w:r>
        <w:rPr>
          <w:rFonts w:ascii="宋体" w:hAnsi="宋体" w:eastAsia="宋体" w:cs="宋体"/>
          <w:color w:val="auto"/>
          <w:spacing w:val="-3"/>
          <w:sz w:val="20"/>
          <w:szCs w:val="20"/>
          <w:highlight w:val="none"/>
        </w:rPr>
        <w:t>（8</w:t>
      </w:r>
      <w:r>
        <w:rPr>
          <w:rFonts w:ascii="宋体" w:hAnsi="宋体" w:eastAsia="宋体" w:cs="宋体"/>
          <w:color w:val="auto"/>
          <w:spacing w:val="-9"/>
          <w:sz w:val="20"/>
          <w:szCs w:val="20"/>
          <w:highlight w:val="none"/>
        </w:rPr>
        <w:t>）</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已标价工程量清单</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9"/>
          <w:sz w:val="20"/>
          <w:szCs w:val="20"/>
          <w:highlight w:val="none"/>
        </w:rPr>
        <w:t>；</w:t>
      </w:r>
      <w:r>
        <w:rPr>
          <w:rFonts w:ascii="宋体" w:hAnsi="宋体" w:eastAsia="宋体" w:cs="宋体"/>
          <w:color w:val="auto"/>
          <w:spacing w:val="1"/>
          <w:sz w:val="20"/>
          <w:szCs w:val="20"/>
          <w:highlight w:val="none"/>
        </w:rPr>
        <w:t xml:space="preserve"> </w:t>
      </w:r>
    </w:p>
    <w:p w14:paraId="225E1D59">
      <w:pPr>
        <w:autoSpaceDE/>
        <w:autoSpaceDN/>
        <w:spacing w:before="0" w:line="360" w:lineRule="auto"/>
        <w:ind w:left="0" w:right="0" w:firstLine="388" w:firstLineChars="200"/>
        <w:jc w:val="left"/>
        <w:rPr>
          <w:rFonts w:hint="eastAsia" w:ascii="Arial" w:hAnsi="Arial" w:eastAsia="Arial" w:cs="Arial"/>
          <w:color w:val="auto"/>
          <w:sz w:val="21"/>
          <w:szCs w:val="21"/>
          <w:highlight w:val="none"/>
        </w:rPr>
      </w:pPr>
      <w:r>
        <w:rPr>
          <w:rFonts w:ascii="宋体" w:hAnsi="宋体" w:eastAsia="宋体" w:cs="宋体"/>
          <w:color w:val="auto"/>
          <w:spacing w:val="-3"/>
          <w:sz w:val="20"/>
          <w:szCs w:val="20"/>
          <w:highlight w:val="none"/>
        </w:rPr>
        <w:t>（9）</w:t>
      </w:r>
      <w:r>
        <w:rPr>
          <w:rFonts w:hint="eastAsia" w:ascii="Arial" w:hAnsi="Arial" w:eastAsia="Arial" w:cs="Arial"/>
          <w:color w:val="auto"/>
          <w:spacing w:val="0"/>
          <w:sz w:val="21"/>
          <w:szCs w:val="21"/>
          <w:highlight w:val="none"/>
          <w:u w:val="none"/>
        </w:rPr>
        <w:t xml:space="preserve"> </w:t>
      </w:r>
      <w:r>
        <w:rPr>
          <w:rFonts w:hint="eastAsia" w:eastAsia="宋体" w:cs="Arial"/>
          <w:color w:val="auto"/>
          <w:spacing w:val="0"/>
          <w:sz w:val="21"/>
          <w:szCs w:val="21"/>
          <w:highlight w:val="none"/>
          <w:u w:val="none"/>
          <w:lang w:eastAsia="zh-CN"/>
        </w:rPr>
        <w:t>采购</w:t>
      </w:r>
      <w:r>
        <w:rPr>
          <w:rFonts w:hint="default" w:ascii="Arial" w:hAnsi="Arial" w:eastAsia="Arial" w:cs="Arial"/>
          <w:color w:val="auto"/>
          <w:spacing w:val="0"/>
          <w:sz w:val="21"/>
          <w:szCs w:val="21"/>
          <w:highlight w:val="none"/>
          <w:u w:val="none"/>
        </w:rPr>
        <w:t>文件及附件 (含所有补充通知)及合同履行中 ，发包人与承包 人有关工程的洽商 、变更等书面协议或文件视为本合同文件的构成部分</w:t>
      </w:r>
      <w:r>
        <w:rPr>
          <w:rFonts w:hint="eastAsia" w:ascii="Arial" w:hAnsi="Arial" w:eastAsia="Arial" w:cs="Arial"/>
          <w:color w:val="auto"/>
          <w:spacing w:val="0"/>
          <w:sz w:val="21"/>
          <w:szCs w:val="21"/>
          <w:highlight w:val="none"/>
          <w:u w:val="none"/>
        </w:rPr>
        <w:t xml:space="preserve">  </w:t>
      </w:r>
      <w:r>
        <w:rPr>
          <w:rFonts w:hint="eastAsia" w:ascii="Arial" w:hAnsi="Arial" w:eastAsia="Arial" w:cs="Arial"/>
          <w:color w:val="auto"/>
          <w:spacing w:val="0"/>
          <w:sz w:val="21"/>
          <w:szCs w:val="21"/>
          <w:highlight w:val="none"/>
        </w:rPr>
        <w:t>。</w:t>
      </w:r>
    </w:p>
    <w:p w14:paraId="30030F43">
      <w:pPr>
        <w:autoSpaceDE/>
        <w:autoSpaceDN/>
        <w:spacing w:before="15"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（10）《建设工程工程量清单计价规范（</w:t>
      </w:r>
      <w:r>
        <w:rPr>
          <w:rFonts w:ascii="宋体" w:hAnsi="宋体" w:eastAsia="宋体" w:cs="宋体"/>
          <w:color w:val="auto"/>
          <w:sz w:val="20"/>
          <w:szCs w:val="20"/>
          <w:highlight w:val="none"/>
        </w:rPr>
        <w:t>GB</w:t>
      </w:r>
      <w:r>
        <w:rPr>
          <w:rFonts w:ascii="宋体" w:hAnsi="宋体" w:eastAsia="宋体" w:cs="宋体"/>
          <w:color w:val="auto"/>
          <w:spacing w:val="7"/>
          <w:sz w:val="20"/>
          <w:szCs w:val="20"/>
          <w:highlight w:val="none"/>
        </w:rPr>
        <w:t>5050-2013）》及其广西实施细则及《关于建筑</w:t>
      </w:r>
      <w:r>
        <w:rPr>
          <w:rFonts w:ascii="宋体" w:hAnsi="宋体" w:eastAsia="宋体" w:cs="宋体"/>
          <w:color w:val="auto"/>
          <w:spacing w:val="9"/>
          <w:sz w:val="20"/>
          <w:szCs w:val="20"/>
          <w:highlight w:val="none"/>
        </w:rPr>
        <w:t>业实施营业税改征增值税后广西壮族自治区建设工程计价依据调整的通知》</w:t>
      </w:r>
      <w:r>
        <w:rPr>
          <w:rFonts w:ascii="宋体" w:hAnsi="宋体" w:eastAsia="宋体" w:cs="宋体"/>
          <w:color w:val="auto"/>
          <w:spacing w:val="-66"/>
          <w:sz w:val="20"/>
          <w:szCs w:val="20"/>
          <w:highlight w:val="none"/>
        </w:rPr>
        <w:t xml:space="preserve"> </w:t>
      </w:r>
      <w:r>
        <w:rPr>
          <w:rFonts w:ascii="宋体" w:hAnsi="宋体" w:eastAsia="宋体" w:cs="宋体"/>
          <w:color w:val="auto"/>
          <w:spacing w:val="9"/>
          <w:sz w:val="20"/>
          <w:szCs w:val="20"/>
          <w:highlight w:val="none"/>
        </w:rPr>
        <w:t>（桂建标〔2016〕</w:t>
      </w:r>
      <w:r>
        <w:rPr>
          <w:rFonts w:ascii="宋体" w:hAnsi="宋体" w:eastAsia="宋体" w:cs="宋体"/>
          <w:color w:val="auto"/>
          <w:spacing w:val="-1"/>
          <w:sz w:val="20"/>
          <w:szCs w:val="20"/>
          <w:highlight w:val="none"/>
        </w:rPr>
        <w:t>17</w:t>
      </w:r>
      <w:r>
        <w:rPr>
          <w:rFonts w:ascii="宋体" w:hAnsi="宋体" w:eastAsia="宋体" w:cs="宋体"/>
          <w:color w:val="auto"/>
          <w:spacing w:val="-18"/>
          <w:sz w:val="20"/>
          <w:szCs w:val="20"/>
          <w:highlight w:val="none"/>
        </w:rPr>
        <w:t xml:space="preserve"> </w:t>
      </w:r>
      <w:r>
        <w:rPr>
          <w:rFonts w:ascii="宋体" w:hAnsi="宋体" w:eastAsia="宋体" w:cs="宋体"/>
          <w:color w:val="auto"/>
          <w:spacing w:val="-1"/>
          <w:sz w:val="20"/>
          <w:szCs w:val="20"/>
          <w:highlight w:val="none"/>
        </w:rPr>
        <w:t>号）、《建设工程工程量清单计算规范（GB5854~50862-2013）》及其广西实施细则（修订本）。</w:t>
      </w:r>
    </w:p>
    <w:p w14:paraId="371B611C">
      <w:pPr>
        <w:autoSpaceDE/>
        <w:autoSpaceDN/>
        <w:spacing w:before="32" w:line="360" w:lineRule="auto"/>
        <w:ind w:left="0" w:right="68" w:firstLine="444" w:firstLineChars="200"/>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说明</w:t>
      </w:r>
      <w:r>
        <w:rPr>
          <w:rFonts w:ascii="宋体" w:hAnsi="宋体" w:eastAsia="宋体" w:cs="宋体"/>
          <w:color w:val="auto"/>
          <w:spacing w:val="4"/>
          <w:sz w:val="20"/>
          <w:szCs w:val="20"/>
          <w:highlight w:val="none"/>
        </w:rPr>
        <w:t>：（</w:t>
      </w:r>
      <w:r>
        <w:rPr>
          <w:rFonts w:ascii="宋体" w:hAnsi="宋体" w:eastAsia="宋体" w:cs="宋体"/>
          <w:color w:val="auto"/>
          <w:spacing w:val="11"/>
          <w:sz w:val="20"/>
          <w:szCs w:val="20"/>
          <w:highlight w:val="none"/>
        </w:rPr>
        <w:t>6）、（7）、（8）、（9）填空内容分别限于技术标准和要求、图纸、已标价工程量清单或预算书、其他合同文件四者之一，其优先顺序可根据采取的不同合同方式由双方约</w:t>
      </w:r>
      <w:r>
        <w:rPr>
          <w:rFonts w:ascii="宋体" w:hAnsi="宋体" w:eastAsia="宋体" w:cs="宋体"/>
          <w:color w:val="auto"/>
          <w:sz w:val="20"/>
          <w:szCs w:val="20"/>
          <w:highlight w:val="none"/>
        </w:rPr>
        <w:t>定。</w:t>
      </w:r>
    </w:p>
    <w:p w14:paraId="47C8940D">
      <w:pPr>
        <w:autoSpaceDE/>
        <w:autoSpaceDN/>
        <w:spacing w:before="32" w:line="360" w:lineRule="auto"/>
        <w:ind w:left="0" w:firstLine="410" w:firstLineChars="200"/>
        <w:outlineLvl w:val="1"/>
        <w:rPr>
          <w:rFonts w:ascii="宋体" w:hAnsi="宋体" w:eastAsia="宋体" w:cs="宋体"/>
          <w:color w:val="auto"/>
          <w:sz w:val="20"/>
          <w:szCs w:val="20"/>
          <w:highlight w:val="none"/>
        </w:rPr>
      </w:pPr>
      <w:bookmarkStart w:id="171" w:name="_Toc31919"/>
      <w:bookmarkStart w:id="172" w:name="_Toc32343"/>
      <w:bookmarkStart w:id="173" w:name="_Toc30774"/>
      <w:r>
        <w:rPr>
          <w:rFonts w:ascii="宋体" w:hAnsi="宋体" w:eastAsia="宋体" w:cs="宋体"/>
          <w:b/>
          <w:bCs/>
          <w:color w:val="auto"/>
          <w:spacing w:val="2"/>
          <w:sz w:val="20"/>
          <w:szCs w:val="20"/>
          <w:highlight w:val="none"/>
        </w:rPr>
        <w:t>1.6</w:t>
      </w:r>
      <w:r>
        <w:rPr>
          <w:rFonts w:ascii="宋体" w:hAnsi="宋体" w:eastAsia="宋体" w:cs="宋体"/>
          <w:color w:val="auto"/>
          <w:spacing w:val="37"/>
          <w:sz w:val="20"/>
          <w:szCs w:val="20"/>
          <w:highlight w:val="none"/>
        </w:rPr>
        <w:t xml:space="preserve"> </w:t>
      </w:r>
      <w:r>
        <w:rPr>
          <w:rFonts w:ascii="宋体" w:hAnsi="宋体" w:eastAsia="宋体" w:cs="宋体"/>
          <w:b/>
          <w:bCs/>
          <w:color w:val="auto"/>
          <w:spacing w:val="2"/>
          <w:sz w:val="20"/>
          <w:szCs w:val="20"/>
          <w:highlight w:val="none"/>
        </w:rPr>
        <w:t>图纸和承包人文件</w:t>
      </w:r>
      <w:bookmarkEnd w:id="171"/>
      <w:bookmarkEnd w:id="172"/>
      <w:bookmarkEnd w:id="173"/>
    </w:p>
    <w:p w14:paraId="511F038A">
      <w:pPr>
        <w:autoSpaceDE/>
        <w:autoSpaceDN/>
        <w:spacing w:before="94" w:line="360" w:lineRule="auto"/>
        <w:ind w:left="0" w:firstLine="408" w:firstLineChars="20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1.6.1</w:t>
      </w:r>
      <w:r>
        <w:rPr>
          <w:rFonts w:ascii="宋体" w:hAnsi="宋体" w:eastAsia="宋体" w:cs="宋体"/>
          <w:color w:val="auto"/>
          <w:spacing w:val="33"/>
          <w:sz w:val="20"/>
          <w:szCs w:val="20"/>
          <w:highlight w:val="none"/>
        </w:rPr>
        <w:t xml:space="preserve"> </w:t>
      </w:r>
      <w:r>
        <w:rPr>
          <w:rFonts w:ascii="宋体" w:hAnsi="宋体" w:eastAsia="宋体" w:cs="宋体"/>
          <w:color w:val="auto"/>
          <w:spacing w:val="2"/>
          <w:sz w:val="20"/>
          <w:szCs w:val="20"/>
          <w:highlight w:val="none"/>
        </w:rPr>
        <w:t>图纸的提供</w:t>
      </w:r>
    </w:p>
    <w:p w14:paraId="276DEF91">
      <w:pPr>
        <w:autoSpaceDE/>
        <w:autoSpaceDN/>
        <w:spacing w:before="32" w:line="360" w:lineRule="auto"/>
        <w:ind w:left="0" w:right="68" w:firstLine="444" w:firstLineChars="200"/>
        <w:jc w:val="both"/>
        <w:rPr>
          <w:rFonts w:ascii="宋体" w:hAnsi="宋体" w:eastAsia="宋体" w:cs="宋体"/>
          <w:color w:val="auto"/>
          <w:spacing w:val="11"/>
          <w:sz w:val="20"/>
          <w:szCs w:val="20"/>
          <w:highlight w:val="none"/>
          <w:u w:val="single"/>
        </w:rPr>
      </w:pPr>
      <w:r>
        <w:rPr>
          <w:rFonts w:ascii="宋体" w:hAnsi="宋体" w:eastAsia="宋体" w:cs="宋体"/>
          <w:color w:val="auto"/>
          <w:spacing w:val="11"/>
          <w:sz w:val="20"/>
          <w:szCs w:val="20"/>
          <w:highlight w:val="none"/>
        </w:rPr>
        <w:t>发包人向承包人提供图纸的期限：</w:t>
      </w:r>
      <w:r>
        <w:rPr>
          <w:rFonts w:ascii="宋体" w:hAnsi="宋体" w:eastAsia="宋体" w:cs="宋体"/>
          <w:color w:val="auto"/>
          <w:spacing w:val="11"/>
          <w:sz w:val="20"/>
          <w:szCs w:val="20"/>
          <w:highlight w:val="none"/>
          <w:u w:val="none"/>
        </w:rPr>
        <w:t xml:space="preserve"> </w:t>
      </w:r>
      <w:r>
        <w:rPr>
          <w:rFonts w:hint="default" w:ascii="宋体" w:hAnsi="宋体" w:eastAsia="宋体" w:cs="宋体"/>
          <w:color w:val="auto"/>
          <w:spacing w:val="11"/>
          <w:sz w:val="20"/>
          <w:szCs w:val="20"/>
          <w:highlight w:val="none"/>
          <w:u w:val="single"/>
        </w:rPr>
        <w:t>合同生效之日起七日内，施工图纸中利用的通用标准图集、规范、标准及国家和行业管理部门颁发的有关资料由承包人自行提供并承担相应费用</w:t>
      </w:r>
      <w:r>
        <w:rPr>
          <w:rFonts w:ascii="宋体" w:hAnsi="宋体" w:eastAsia="宋体" w:cs="宋体"/>
          <w:color w:val="auto"/>
          <w:spacing w:val="11"/>
          <w:sz w:val="20"/>
          <w:szCs w:val="20"/>
          <w:highlight w:val="none"/>
          <w:u w:val="single"/>
        </w:rPr>
        <w:t>；</w:t>
      </w:r>
    </w:p>
    <w:p w14:paraId="79B048E8">
      <w:pPr>
        <w:autoSpaceDE/>
        <w:autoSpaceDN/>
        <w:spacing w:before="32" w:line="360" w:lineRule="auto"/>
        <w:ind w:left="0" w:right="68" w:firstLine="444" w:firstLineChars="200"/>
        <w:jc w:val="both"/>
        <w:rPr>
          <w:rFonts w:ascii="宋体" w:hAnsi="宋体" w:eastAsia="宋体" w:cs="宋体"/>
          <w:color w:val="auto"/>
          <w:spacing w:val="11"/>
          <w:sz w:val="20"/>
          <w:szCs w:val="20"/>
          <w:highlight w:val="none"/>
        </w:rPr>
      </w:pPr>
      <w:r>
        <w:rPr>
          <w:rFonts w:ascii="宋体" w:hAnsi="宋体" w:eastAsia="宋体" w:cs="宋体"/>
          <w:color w:val="auto"/>
          <w:spacing w:val="11"/>
          <w:sz w:val="20"/>
          <w:szCs w:val="20"/>
          <w:highlight w:val="none"/>
        </w:rPr>
        <w:t>发包人向承包人提供图纸的数量：</w:t>
      </w:r>
      <w:r>
        <w:rPr>
          <w:rFonts w:ascii="宋体" w:hAnsi="宋体" w:eastAsia="宋体" w:cs="宋体"/>
          <w:color w:val="auto"/>
          <w:spacing w:val="11"/>
          <w:sz w:val="20"/>
          <w:szCs w:val="20"/>
          <w:highlight w:val="none"/>
          <w:u w:val="none"/>
        </w:rPr>
        <w:t xml:space="preserve"> </w:t>
      </w:r>
      <w:r>
        <w:rPr>
          <w:rFonts w:hint="eastAsia" w:ascii="宋体" w:hAnsi="宋体" w:eastAsia="宋体" w:cs="宋体"/>
          <w:color w:val="auto"/>
          <w:spacing w:val="11"/>
          <w:sz w:val="20"/>
          <w:szCs w:val="20"/>
          <w:highlight w:val="none"/>
          <w:u w:val="single"/>
          <w:lang w:eastAsia="zh-CN"/>
        </w:rPr>
        <w:t>贰</w:t>
      </w:r>
      <w:r>
        <w:rPr>
          <w:rFonts w:ascii="宋体" w:hAnsi="宋体" w:eastAsia="宋体" w:cs="宋体"/>
          <w:color w:val="auto"/>
          <w:spacing w:val="11"/>
          <w:sz w:val="20"/>
          <w:szCs w:val="20"/>
          <w:highlight w:val="none"/>
          <w:u w:val="none"/>
        </w:rPr>
        <w:t xml:space="preserve"> 套，承包人需要增加图纸套数的，发包人应代为复制，复制费用由承包人承担</w:t>
      </w:r>
      <w:r>
        <w:rPr>
          <w:rFonts w:ascii="宋体" w:hAnsi="宋体" w:eastAsia="宋体" w:cs="宋体"/>
          <w:color w:val="auto"/>
          <w:spacing w:val="11"/>
          <w:sz w:val="20"/>
          <w:szCs w:val="20"/>
          <w:highlight w:val="none"/>
        </w:rPr>
        <w:t>；</w:t>
      </w:r>
    </w:p>
    <w:p w14:paraId="20744185">
      <w:pPr>
        <w:autoSpaceDE/>
        <w:autoSpaceDN/>
        <w:spacing w:before="32"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发包人向承包人提供图纸的内容：</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完整并盖有经审图机构审核合格的施工图纸、设计变更后的变更图纸及相关的技术资料</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690ECF05">
      <w:pPr>
        <w:autoSpaceDE/>
        <w:autoSpaceDN/>
        <w:spacing w:before="92"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1.6.4 承包人文件</w:t>
      </w:r>
    </w:p>
    <w:p w14:paraId="12F3BD66">
      <w:pPr>
        <w:autoSpaceDE/>
        <w:autoSpaceDN/>
        <w:spacing w:before="95" w:line="360" w:lineRule="auto"/>
        <w:ind w:left="0" w:right="78" w:firstLine="432" w:firstLineChars="200"/>
        <w:rPr>
          <w:rFonts w:ascii="宋体" w:hAnsi="宋体" w:eastAsia="宋体" w:cs="宋体"/>
          <w:color w:val="auto"/>
          <w:spacing w:val="11"/>
          <w:sz w:val="20"/>
          <w:szCs w:val="20"/>
          <w:highlight w:val="none"/>
          <w:u w:val="single"/>
        </w:rPr>
      </w:pPr>
      <w:r>
        <w:rPr>
          <w:rFonts w:ascii="宋体" w:hAnsi="宋体" w:eastAsia="宋体" w:cs="宋体"/>
          <w:color w:val="auto"/>
          <w:spacing w:val="8"/>
          <w:sz w:val="20"/>
          <w:szCs w:val="20"/>
          <w:highlight w:val="none"/>
        </w:rPr>
        <w:t>需要由承包人提供的文件，包括</w:t>
      </w:r>
      <w:r>
        <w:rPr>
          <w:rFonts w:ascii="宋体" w:hAnsi="宋体" w:eastAsia="宋体" w:cs="宋体"/>
          <w:color w:val="auto"/>
          <w:spacing w:val="7"/>
          <w:sz w:val="20"/>
          <w:szCs w:val="20"/>
          <w:highlight w:val="none"/>
        </w:rPr>
        <w:t>：</w:t>
      </w:r>
      <w:r>
        <w:rPr>
          <w:rFonts w:ascii="宋体" w:hAnsi="宋体" w:eastAsia="宋体" w:cs="宋体"/>
          <w:color w:val="auto"/>
          <w:spacing w:val="1"/>
          <w:sz w:val="20"/>
          <w:szCs w:val="20"/>
          <w:highlight w:val="none"/>
          <w:u w:val="single" w:color="auto"/>
        </w:rPr>
        <w:t xml:space="preserve"> </w:t>
      </w:r>
      <w:r>
        <w:rPr>
          <w:rFonts w:hint="default" w:ascii="宋体" w:hAnsi="宋体" w:eastAsia="宋体" w:cs="宋体"/>
          <w:color w:val="auto"/>
          <w:spacing w:val="11"/>
          <w:sz w:val="20"/>
          <w:szCs w:val="20"/>
          <w:highlight w:val="none"/>
          <w:u w:val="single"/>
        </w:rPr>
        <w:t>资质证书、营业执照副本、安全生产许可证、组织机构代码证副本及税务登记证复印件并加章单位公章，项目部组成人员名单及身份证明、施工组织设计、施工技术方案、施工进度计划、工程进度表、签证、联系函、报价单等</w:t>
      </w:r>
      <w:r>
        <w:rPr>
          <w:rFonts w:ascii="宋体" w:hAnsi="宋体" w:eastAsia="宋体" w:cs="宋体"/>
          <w:color w:val="auto"/>
          <w:spacing w:val="11"/>
          <w:sz w:val="20"/>
          <w:szCs w:val="20"/>
          <w:highlight w:val="none"/>
          <w:u w:val="single"/>
        </w:rPr>
        <w:t>；</w:t>
      </w:r>
    </w:p>
    <w:p w14:paraId="77511453">
      <w:pPr>
        <w:autoSpaceDE/>
        <w:autoSpaceDN/>
        <w:spacing w:before="95" w:line="360" w:lineRule="auto"/>
        <w:ind w:left="0" w:right="78" w:firstLine="436" w:firstLineChars="200"/>
        <w:rPr>
          <w:rFonts w:ascii="宋体" w:hAnsi="宋体" w:eastAsia="宋体" w:cs="宋体"/>
          <w:color w:val="auto"/>
          <w:spacing w:val="-17"/>
          <w:sz w:val="20"/>
          <w:szCs w:val="20"/>
          <w:highlight w:val="none"/>
        </w:rPr>
      </w:pPr>
      <w:r>
        <w:rPr>
          <w:rFonts w:ascii="宋体" w:hAnsi="宋体" w:eastAsia="宋体" w:cs="宋体"/>
          <w:color w:val="auto"/>
          <w:spacing w:val="9"/>
          <w:sz w:val="20"/>
          <w:szCs w:val="20"/>
          <w:highlight w:val="none"/>
        </w:rPr>
        <w:t>承包人提供的文件的期限为</w:t>
      </w:r>
      <w:r>
        <w:rPr>
          <w:rFonts w:ascii="宋体" w:hAnsi="宋体" w:eastAsia="宋体" w:cs="宋体"/>
          <w:color w:val="auto"/>
          <w:spacing w:val="-17"/>
          <w:sz w:val="20"/>
          <w:szCs w:val="20"/>
          <w:highlight w:val="none"/>
        </w:rPr>
        <w:t>：</w:t>
      </w:r>
      <w:r>
        <w:rPr>
          <w:rFonts w:ascii="宋体" w:hAnsi="宋体" w:eastAsia="宋体" w:cs="宋体"/>
          <w:color w:val="auto"/>
          <w:spacing w:val="1"/>
          <w:sz w:val="20"/>
          <w:szCs w:val="20"/>
          <w:highlight w:val="none"/>
          <w:u w:val="single" w:color="auto"/>
        </w:rPr>
        <w:t xml:space="preserve"> </w:t>
      </w:r>
      <w:r>
        <w:rPr>
          <w:rFonts w:hint="default" w:ascii="宋体" w:hAnsi="宋体" w:eastAsia="宋体" w:cs="宋体"/>
          <w:color w:val="auto"/>
          <w:spacing w:val="11"/>
          <w:sz w:val="20"/>
          <w:szCs w:val="20"/>
          <w:highlight w:val="none"/>
          <w:u w:val="single"/>
        </w:rPr>
        <w:t>本合同签订后七日</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7"/>
          <w:sz w:val="20"/>
          <w:szCs w:val="20"/>
          <w:highlight w:val="none"/>
        </w:rPr>
        <w:t>；</w:t>
      </w:r>
    </w:p>
    <w:p w14:paraId="25EB909A">
      <w:pPr>
        <w:autoSpaceDE/>
        <w:autoSpaceDN/>
        <w:spacing w:before="95" w:line="360" w:lineRule="auto"/>
        <w:ind w:left="0" w:right="78" w:firstLine="436" w:firstLineChars="200"/>
        <w:rPr>
          <w:rFonts w:ascii="宋体" w:hAnsi="宋体" w:eastAsia="宋体" w:cs="宋体"/>
          <w:color w:val="auto"/>
          <w:spacing w:val="5"/>
          <w:sz w:val="20"/>
          <w:szCs w:val="20"/>
          <w:highlight w:val="none"/>
        </w:rPr>
      </w:pPr>
      <w:r>
        <w:rPr>
          <w:rFonts w:ascii="宋体" w:hAnsi="宋体" w:eastAsia="宋体" w:cs="宋体"/>
          <w:color w:val="auto"/>
          <w:spacing w:val="9"/>
          <w:sz w:val="20"/>
          <w:szCs w:val="20"/>
          <w:highlight w:val="none"/>
        </w:rPr>
        <w:t>承包人提供的文件的数量为</w:t>
      </w:r>
      <w:r>
        <w:rPr>
          <w:rFonts w:ascii="宋体" w:hAnsi="宋体" w:eastAsia="宋体" w:cs="宋体"/>
          <w:color w:val="auto"/>
          <w:spacing w:val="5"/>
          <w:sz w:val="20"/>
          <w:szCs w:val="20"/>
          <w:highlight w:val="none"/>
        </w:rPr>
        <w:t>：</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提供一式四份</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74"/>
          <w:sz w:val="20"/>
          <w:szCs w:val="20"/>
          <w:highlight w:val="none"/>
        </w:rPr>
        <w:t xml:space="preserve"> </w:t>
      </w:r>
      <w:r>
        <w:rPr>
          <w:rFonts w:ascii="宋体" w:hAnsi="宋体" w:eastAsia="宋体" w:cs="宋体"/>
          <w:color w:val="auto"/>
          <w:spacing w:val="5"/>
          <w:sz w:val="20"/>
          <w:szCs w:val="20"/>
          <w:highlight w:val="none"/>
        </w:rPr>
        <w:t>；</w:t>
      </w:r>
    </w:p>
    <w:p w14:paraId="2C651B53">
      <w:pPr>
        <w:autoSpaceDE/>
        <w:autoSpaceDN/>
        <w:spacing w:before="95" w:line="360" w:lineRule="auto"/>
        <w:ind w:left="0" w:right="78" w:firstLine="436" w:firstLineChars="200"/>
        <w:rPr>
          <w:rFonts w:ascii="宋体" w:hAnsi="宋体" w:eastAsia="宋体" w:cs="宋体"/>
          <w:color w:val="auto"/>
          <w:spacing w:val="5"/>
          <w:sz w:val="20"/>
          <w:szCs w:val="20"/>
          <w:highlight w:val="none"/>
        </w:rPr>
      </w:pPr>
      <w:r>
        <w:rPr>
          <w:rFonts w:ascii="宋体" w:hAnsi="宋体" w:eastAsia="宋体" w:cs="宋体"/>
          <w:color w:val="auto"/>
          <w:spacing w:val="9"/>
          <w:sz w:val="20"/>
          <w:szCs w:val="20"/>
          <w:highlight w:val="none"/>
        </w:rPr>
        <w:t>承包人提供的文件的形式为</w:t>
      </w:r>
      <w:r>
        <w:rPr>
          <w:rFonts w:ascii="宋体" w:hAnsi="宋体" w:eastAsia="宋体" w:cs="宋体"/>
          <w:color w:val="auto"/>
          <w:spacing w:val="5"/>
          <w:sz w:val="20"/>
          <w:szCs w:val="20"/>
          <w:highlight w:val="none"/>
        </w:rPr>
        <w:t>：</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符合发包人要求签章齐全的正式书面文件及电子版</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74"/>
          <w:sz w:val="20"/>
          <w:szCs w:val="20"/>
          <w:highlight w:val="none"/>
        </w:rPr>
        <w:t xml:space="preserve"> </w:t>
      </w:r>
      <w:r>
        <w:rPr>
          <w:rFonts w:ascii="宋体" w:hAnsi="宋体" w:eastAsia="宋体" w:cs="宋体"/>
          <w:color w:val="auto"/>
          <w:spacing w:val="5"/>
          <w:sz w:val="20"/>
          <w:szCs w:val="20"/>
          <w:highlight w:val="none"/>
        </w:rPr>
        <w:t>；</w:t>
      </w:r>
    </w:p>
    <w:p w14:paraId="0DCCA7B4">
      <w:pPr>
        <w:autoSpaceDE/>
        <w:autoSpaceDN/>
        <w:spacing w:before="95" w:line="360" w:lineRule="auto"/>
        <w:ind w:left="0" w:right="78"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发包人审批承包人文件的期限：</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收到承包人提交的文件之日起七日内</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7AEC7CCC">
      <w:pPr>
        <w:autoSpaceDE/>
        <w:autoSpaceDN/>
        <w:spacing w:before="36"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1.6.5 现场图纸准备</w:t>
      </w:r>
    </w:p>
    <w:p w14:paraId="602C3B61">
      <w:pPr>
        <w:autoSpaceDE/>
        <w:autoSpaceDN/>
        <w:spacing w:before="91"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关于现场图纸准备的约定：</w:t>
      </w:r>
      <w:r>
        <w:rPr>
          <w:rFonts w:hint="eastAsia" w:ascii="宋体" w:hAnsi="宋体" w:eastAsia="宋体" w:cs="宋体"/>
          <w:color w:val="auto"/>
          <w:spacing w:val="6"/>
          <w:sz w:val="20"/>
          <w:szCs w:val="20"/>
          <w:highlight w:val="none"/>
          <w:u w:val="single" w:color="auto"/>
        </w:rPr>
        <w:t>发包人向承包人提供图纸后在施工现场不够使用时由承包人自行复印，图纸未经发包人允许不得向第三人借阅；承包人应在施工现场另行保存一套完整的图纸供发包人、监理人及有关人员进行工程检查时使用。与施工无关的人员需出入现场须经承发包双方同意</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4035954E">
      <w:pPr>
        <w:autoSpaceDE/>
        <w:autoSpaceDN/>
        <w:spacing w:before="93" w:line="360" w:lineRule="auto"/>
        <w:ind w:left="0" w:firstLine="394" w:firstLineChars="200"/>
        <w:outlineLvl w:val="1"/>
        <w:rPr>
          <w:rFonts w:ascii="宋体" w:hAnsi="宋体" w:eastAsia="宋体" w:cs="宋体"/>
          <w:color w:val="auto"/>
          <w:sz w:val="20"/>
          <w:szCs w:val="20"/>
          <w:highlight w:val="none"/>
        </w:rPr>
      </w:pPr>
      <w:bookmarkStart w:id="174" w:name="_Toc19828"/>
      <w:bookmarkStart w:id="175" w:name="_Toc11209"/>
      <w:bookmarkStart w:id="176" w:name="_Toc31361"/>
      <w:r>
        <w:rPr>
          <w:rFonts w:ascii="宋体" w:hAnsi="宋体" w:eastAsia="宋体" w:cs="宋体"/>
          <w:b/>
          <w:bCs/>
          <w:color w:val="auto"/>
          <w:spacing w:val="-2"/>
          <w:sz w:val="20"/>
          <w:szCs w:val="20"/>
          <w:highlight w:val="none"/>
        </w:rPr>
        <w:t>1.7</w:t>
      </w:r>
      <w:r>
        <w:rPr>
          <w:rFonts w:ascii="宋体" w:hAnsi="宋体" w:eastAsia="宋体" w:cs="宋体"/>
          <w:color w:val="auto"/>
          <w:spacing w:val="17"/>
          <w:sz w:val="20"/>
          <w:szCs w:val="20"/>
          <w:highlight w:val="none"/>
        </w:rPr>
        <w:t xml:space="preserve"> </w:t>
      </w:r>
      <w:r>
        <w:rPr>
          <w:rFonts w:ascii="宋体" w:hAnsi="宋体" w:eastAsia="宋体" w:cs="宋体"/>
          <w:b/>
          <w:bCs/>
          <w:color w:val="auto"/>
          <w:spacing w:val="-2"/>
          <w:sz w:val="20"/>
          <w:szCs w:val="20"/>
          <w:highlight w:val="none"/>
        </w:rPr>
        <w:t>联络</w:t>
      </w:r>
      <w:bookmarkEnd w:id="174"/>
      <w:bookmarkEnd w:id="175"/>
      <w:bookmarkEnd w:id="176"/>
    </w:p>
    <w:p w14:paraId="2829033A">
      <w:pPr>
        <w:autoSpaceDE/>
        <w:autoSpaceDN/>
        <w:spacing w:before="91" w:line="360" w:lineRule="auto"/>
        <w:ind w:left="0" w:right="7"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1.7.1</w:t>
      </w:r>
      <w:r>
        <w:rPr>
          <w:rFonts w:ascii="宋体" w:hAnsi="宋体" w:eastAsia="宋体" w:cs="宋体"/>
          <w:color w:val="auto"/>
          <w:spacing w:val="-34"/>
          <w:sz w:val="20"/>
          <w:szCs w:val="20"/>
          <w:highlight w:val="none"/>
        </w:rPr>
        <w:t xml:space="preserve"> </w:t>
      </w:r>
      <w:r>
        <w:rPr>
          <w:rFonts w:ascii="宋体" w:hAnsi="宋体" w:eastAsia="宋体" w:cs="宋体"/>
          <w:color w:val="auto"/>
          <w:spacing w:val="7"/>
          <w:sz w:val="20"/>
          <w:szCs w:val="20"/>
          <w:highlight w:val="none"/>
        </w:rPr>
        <w:t>发包人和承包人应当在</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eastAsia="zh-CN"/>
        </w:rPr>
        <w:t>七</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7"/>
          <w:sz w:val="20"/>
          <w:szCs w:val="20"/>
          <w:highlight w:val="none"/>
        </w:rPr>
        <w:t>天内将与合同有关的通知、批准、证明、证书、指示、</w:t>
      </w:r>
      <w:r>
        <w:rPr>
          <w:rFonts w:ascii="宋体" w:hAnsi="宋体" w:eastAsia="宋体" w:cs="宋体"/>
          <w:color w:val="auto"/>
          <w:spacing w:val="9"/>
          <w:sz w:val="20"/>
          <w:szCs w:val="20"/>
          <w:highlight w:val="none"/>
        </w:rPr>
        <w:t>指令、要求、请求、同意、意见、确定和决定等书面函件送达对方当事人。</w:t>
      </w:r>
    </w:p>
    <w:p w14:paraId="7EF913AE">
      <w:pPr>
        <w:autoSpaceDE/>
        <w:autoSpaceDN/>
        <w:spacing w:before="0" w:line="360" w:lineRule="auto"/>
        <w:ind w:left="0" w:right="0" w:firstLine="424" w:firstLineChars="200"/>
        <w:rPr>
          <w:rFonts w:hint="eastAsia" w:ascii="宋体" w:hAnsi="宋体" w:eastAsia="宋体" w:cs="宋体"/>
          <w:color w:val="auto"/>
          <w:spacing w:val="6"/>
          <w:sz w:val="20"/>
          <w:szCs w:val="20"/>
          <w:highlight w:val="none"/>
          <w:u w:val="single" w:color="auto"/>
        </w:rPr>
      </w:pPr>
      <w:r>
        <w:rPr>
          <w:rFonts w:ascii="宋体" w:hAnsi="宋体" w:eastAsia="宋体" w:cs="宋体"/>
          <w:color w:val="auto"/>
          <w:spacing w:val="6"/>
          <w:sz w:val="20"/>
          <w:szCs w:val="20"/>
          <w:highlight w:val="none"/>
        </w:rPr>
        <w:t>1.7.2 发包人接收文件的地点</w:t>
      </w:r>
      <w:r>
        <w:rPr>
          <w:rFonts w:ascii="宋体" w:hAnsi="宋体" w:eastAsia="宋体" w:cs="宋体"/>
          <w:color w:val="auto"/>
          <w:spacing w:val="-13"/>
          <w:sz w:val="20"/>
          <w:szCs w:val="20"/>
          <w:highlight w:val="none"/>
        </w:rPr>
        <w:t>：</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发包人设在施工现场的业主办公</w:t>
      </w:r>
      <w:r>
        <w:rPr>
          <w:rFonts w:hint="eastAsia" w:ascii="宋体" w:hAnsi="宋体" w:eastAsia="宋体" w:cs="宋体"/>
          <w:color w:val="auto"/>
          <w:spacing w:val="6"/>
          <w:sz w:val="20"/>
          <w:szCs w:val="20"/>
          <w:highlight w:val="none"/>
          <w:u w:val="single" w:color="auto"/>
          <w:lang w:eastAsia="zh-CN"/>
        </w:rPr>
        <w:t>室</w:t>
      </w:r>
      <w:r>
        <w:rPr>
          <w:rFonts w:hint="eastAsia" w:ascii="宋体" w:hAnsi="宋体" w:eastAsia="宋体" w:cs="宋体"/>
          <w:color w:val="auto"/>
          <w:spacing w:val="6"/>
          <w:sz w:val="20"/>
          <w:szCs w:val="20"/>
          <w:highlight w:val="none"/>
          <w:u w:val="single" w:color="auto"/>
        </w:rPr>
        <w:t xml:space="preserve">； </w:t>
      </w:r>
    </w:p>
    <w:p w14:paraId="06A0C7E9">
      <w:pPr>
        <w:autoSpaceDE/>
        <w:autoSpaceDN/>
        <w:spacing w:before="94" w:line="360" w:lineRule="auto"/>
        <w:ind w:left="0" w:right="2493"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发包人指定的接收人为：</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发包人现场代表</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1"/>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rPr>
        <w:t xml:space="preserve"> </w:t>
      </w:r>
    </w:p>
    <w:p w14:paraId="5CD01E86">
      <w:pPr>
        <w:autoSpaceDE/>
        <w:autoSpaceDN/>
        <w:spacing w:before="94" w:line="360" w:lineRule="auto"/>
        <w:ind w:left="0" w:right="2493"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承包人接收文件的地点</w:t>
      </w:r>
      <w:r>
        <w:rPr>
          <w:rFonts w:ascii="宋体" w:hAnsi="宋体" w:eastAsia="宋体" w:cs="宋体"/>
          <w:color w:val="auto"/>
          <w:spacing w:val="9"/>
          <w:sz w:val="20"/>
          <w:szCs w:val="20"/>
          <w:highlight w:val="none"/>
        </w:rPr>
        <w:t>：</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项目经理部办公室</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72"/>
          <w:sz w:val="20"/>
          <w:szCs w:val="20"/>
          <w:highlight w:val="none"/>
        </w:rPr>
        <w:t xml:space="preserve"> </w:t>
      </w:r>
      <w:r>
        <w:rPr>
          <w:rFonts w:ascii="宋体" w:hAnsi="宋体" w:eastAsia="宋体" w:cs="宋体"/>
          <w:color w:val="auto"/>
          <w:spacing w:val="9"/>
          <w:sz w:val="20"/>
          <w:szCs w:val="20"/>
          <w:highlight w:val="none"/>
        </w:rPr>
        <w:t>；</w:t>
      </w:r>
      <w:r>
        <w:rPr>
          <w:rFonts w:ascii="宋体" w:hAnsi="宋体" w:eastAsia="宋体" w:cs="宋体"/>
          <w:color w:val="auto"/>
          <w:sz w:val="20"/>
          <w:szCs w:val="20"/>
          <w:highlight w:val="none"/>
        </w:rPr>
        <w:t xml:space="preserve"> </w:t>
      </w:r>
    </w:p>
    <w:p w14:paraId="0D5A54EA">
      <w:pPr>
        <w:autoSpaceDE/>
        <w:autoSpaceDN/>
        <w:spacing w:before="94" w:line="360" w:lineRule="auto"/>
        <w:ind w:left="0" w:right="2493" w:firstLine="424" w:firstLineChars="200"/>
        <w:rPr>
          <w:rFonts w:ascii="宋体" w:hAnsi="宋体" w:eastAsia="宋体" w:cs="宋体"/>
          <w:color w:val="auto"/>
          <w:spacing w:val="5"/>
          <w:sz w:val="20"/>
          <w:szCs w:val="20"/>
          <w:highlight w:val="none"/>
        </w:rPr>
      </w:pPr>
      <w:r>
        <w:rPr>
          <w:rFonts w:ascii="宋体" w:hAnsi="宋体" w:eastAsia="宋体" w:cs="宋体"/>
          <w:color w:val="auto"/>
          <w:spacing w:val="6"/>
          <w:sz w:val="20"/>
          <w:szCs w:val="20"/>
          <w:highlight w:val="none"/>
        </w:rPr>
        <w:t>承包人指定的接收人为：</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承包人现场项目经理</w:t>
      </w:r>
      <w:r>
        <w:rPr>
          <w:rFonts w:ascii="宋体" w:hAnsi="宋体" w:eastAsia="宋体" w:cs="宋体"/>
          <w:color w:val="auto"/>
          <w:spacing w:val="-71"/>
          <w:sz w:val="20"/>
          <w:szCs w:val="20"/>
          <w:highlight w:val="none"/>
        </w:rPr>
        <w:t xml:space="preserve"> </w:t>
      </w:r>
      <w:r>
        <w:rPr>
          <w:rFonts w:ascii="宋体" w:hAnsi="宋体" w:eastAsia="宋体" w:cs="宋体"/>
          <w:color w:val="auto"/>
          <w:spacing w:val="5"/>
          <w:sz w:val="20"/>
          <w:szCs w:val="20"/>
          <w:highlight w:val="none"/>
        </w:rPr>
        <w:t>。</w:t>
      </w:r>
    </w:p>
    <w:p w14:paraId="44306463">
      <w:pPr>
        <w:autoSpaceDE/>
        <w:autoSpaceDN/>
        <w:spacing w:before="94" w:line="360" w:lineRule="auto"/>
        <w:ind w:left="0" w:right="2493"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监理人接收文件的地点</w:t>
      </w:r>
      <w:r>
        <w:rPr>
          <w:rFonts w:ascii="宋体" w:hAnsi="宋体" w:eastAsia="宋体" w:cs="宋体"/>
          <w:color w:val="auto"/>
          <w:spacing w:val="9"/>
          <w:sz w:val="20"/>
          <w:szCs w:val="20"/>
          <w:highlight w:val="none"/>
        </w:rPr>
        <w:t>：</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项目监理办公室</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9"/>
          <w:sz w:val="20"/>
          <w:szCs w:val="20"/>
          <w:highlight w:val="none"/>
        </w:rPr>
        <w:t>；</w:t>
      </w:r>
    </w:p>
    <w:p w14:paraId="00D943B7">
      <w:pPr>
        <w:autoSpaceDE/>
        <w:autoSpaceDN/>
        <w:spacing w:before="41"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监理人指定的接收人为：</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现场监理工程师</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1E24AE85">
      <w:pPr>
        <w:autoSpaceDE/>
        <w:autoSpaceDN/>
        <w:spacing w:before="93" w:line="360" w:lineRule="auto"/>
        <w:ind w:left="0" w:firstLine="406" w:firstLineChars="200"/>
        <w:outlineLvl w:val="1"/>
        <w:rPr>
          <w:rFonts w:ascii="宋体" w:hAnsi="宋体" w:eastAsia="宋体" w:cs="宋体"/>
          <w:color w:val="auto"/>
          <w:sz w:val="20"/>
          <w:szCs w:val="20"/>
          <w:highlight w:val="none"/>
        </w:rPr>
      </w:pPr>
      <w:bookmarkStart w:id="177" w:name="_Toc31636"/>
      <w:bookmarkStart w:id="178" w:name="_Toc2846"/>
      <w:bookmarkStart w:id="179" w:name="_Toc30271"/>
      <w:r>
        <w:rPr>
          <w:rFonts w:ascii="宋体" w:hAnsi="宋体" w:eastAsia="宋体" w:cs="宋体"/>
          <w:b/>
          <w:bCs/>
          <w:color w:val="auto"/>
          <w:spacing w:val="1"/>
          <w:sz w:val="20"/>
          <w:szCs w:val="20"/>
          <w:highlight w:val="none"/>
        </w:rPr>
        <w:t>1.10</w:t>
      </w:r>
      <w:r>
        <w:rPr>
          <w:rFonts w:ascii="宋体" w:hAnsi="宋体" w:eastAsia="宋体" w:cs="宋体"/>
          <w:color w:val="auto"/>
          <w:spacing w:val="21"/>
          <w:sz w:val="20"/>
          <w:szCs w:val="20"/>
          <w:highlight w:val="none"/>
        </w:rPr>
        <w:t xml:space="preserve"> </w:t>
      </w:r>
      <w:r>
        <w:rPr>
          <w:rFonts w:ascii="宋体" w:hAnsi="宋体" w:eastAsia="宋体" w:cs="宋体"/>
          <w:b/>
          <w:bCs/>
          <w:color w:val="auto"/>
          <w:spacing w:val="1"/>
          <w:sz w:val="20"/>
          <w:szCs w:val="20"/>
          <w:highlight w:val="none"/>
        </w:rPr>
        <w:t>交通运输</w:t>
      </w:r>
      <w:bookmarkEnd w:id="177"/>
      <w:bookmarkEnd w:id="178"/>
      <w:bookmarkEnd w:id="179"/>
    </w:p>
    <w:p w14:paraId="6F91AA14">
      <w:pPr>
        <w:autoSpaceDE/>
        <w:autoSpaceDN/>
        <w:spacing w:before="93" w:line="360" w:lineRule="auto"/>
        <w:ind w:left="0" w:firstLine="412" w:firstLineChars="200"/>
        <w:rPr>
          <w:rFonts w:ascii="宋体" w:hAnsi="宋体" w:eastAsia="宋体" w:cs="宋体"/>
          <w:color w:val="auto"/>
          <w:spacing w:val="3"/>
          <w:sz w:val="20"/>
          <w:szCs w:val="20"/>
          <w:highlight w:val="none"/>
        </w:rPr>
      </w:pPr>
      <w:r>
        <w:rPr>
          <w:rFonts w:ascii="宋体" w:hAnsi="宋体" w:eastAsia="宋体" w:cs="宋体"/>
          <w:color w:val="auto"/>
          <w:spacing w:val="3"/>
          <w:sz w:val="20"/>
          <w:szCs w:val="20"/>
          <w:highlight w:val="none"/>
        </w:rPr>
        <w:t>1.10.1</w:t>
      </w:r>
      <w:r>
        <w:rPr>
          <w:rFonts w:ascii="宋体" w:hAnsi="宋体" w:eastAsia="宋体" w:cs="宋体"/>
          <w:color w:val="auto"/>
          <w:spacing w:val="39"/>
          <w:sz w:val="20"/>
          <w:szCs w:val="20"/>
          <w:highlight w:val="none"/>
        </w:rPr>
        <w:t xml:space="preserve"> </w:t>
      </w:r>
      <w:r>
        <w:rPr>
          <w:rFonts w:ascii="宋体" w:hAnsi="宋体" w:eastAsia="宋体" w:cs="宋体"/>
          <w:color w:val="auto"/>
          <w:spacing w:val="3"/>
          <w:sz w:val="20"/>
          <w:szCs w:val="20"/>
          <w:highlight w:val="none"/>
        </w:rPr>
        <w:t>出入现场的权利</w:t>
      </w:r>
    </w:p>
    <w:p w14:paraId="56E6DBBA">
      <w:pPr>
        <w:autoSpaceDE/>
        <w:autoSpaceDN/>
        <w:spacing w:before="93"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关于出入现场的权利的约定：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承包人负责办理取得道路通行权、场外设施修建权，其相关费用由承包人承担；负责施工所需的场内临时道路和交通设施的修建、维护、养护和管理，相关费用由承包人承担。发包人和监理人有权无偿使用承包人修建的临时道路和交通设施，不需要交纳任何费用</w:t>
      </w:r>
      <w:r>
        <w:rPr>
          <w:rFonts w:ascii="宋体" w:hAnsi="宋体" w:eastAsia="宋体" w:cs="宋体"/>
          <w:color w:val="auto"/>
          <w:spacing w:val="5"/>
          <w:sz w:val="20"/>
          <w:szCs w:val="20"/>
          <w:highlight w:val="none"/>
        </w:rPr>
        <w:t>。</w:t>
      </w:r>
    </w:p>
    <w:p w14:paraId="278950C0">
      <w:pPr>
        <w:autoSpaceDE/>
        <w:autoSpaceDN/>
        <w:spacing w:before="94"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1.10.3 场内交通</w:t>
      </w:r>
    </w:p>
    <w:p w14:paraId="267BCB79">
      <w:pPr>
        <w:autoSpaceDE/>
        <w:autoSpaceDN/>
        <w:spacing w:before="95" w:line="360" w:lineRule="auto"/>
        <w:ind w:left="0" w:right="60" w:firstLine="424" w:firstLineChars="200"/>
        <w:rPr>
          <w:rFonts w:ascii="宋体" w:hAnsi="宋体" w:eastAsia="宋体" w:cs="宋体"/>
          <w:color w:val="auto"/>
          <w:spacing w:val="6"/>
          <w:sz w:val="20"/>
          <w:szCs w:val="20"/>
          <w:highlight w:val="none"/>
        </w:rPr>
      </w:pPr>
      <w:r>
        <w:rPr>
          <w:rFonts w:ascii="宋体" w:hAnsi="宋体" w:eastAsia="宋体" w:cs="宋体"/>
          <w:color w:val="auto"/>
          <w:spacing w:val="6"/>
          <w:sz w:val="20"/>
          <w:szCs w:val="20"/>
          <w:highlight w:val="none"/>
        </w:rPr>
        <w:t>关于场外交通和场内交通的边界的约定：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规划批复工程用地红线</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470877B6">
      <w:pPr>
        <w:autoSpaceDE/>
        <w:autoSpaceDN/>
        <w:spacing w:before="95" w:line="360" w:lineRule="auto"/>
        <w:ind w:left="0" w:right="6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关于发包人向承包人免费提供满足工程施工需要的场内道路和交通设施的约定：</w:t>
      </w:r>
      <w:r>
        <w:rPr>
          <w:rFonts w:hint="eastAsia" w:ascii="宋体" w:hAnsi="宋体" w:eastAsia="宋体" w:cs="宋体"/>
          <w:color w:val="auto"/>
          <w:spacing w:val="8"/>
          <w:sz w:val="20"/>
          <w:szCs w:val="20"/>
          <w:highlight w:val="none"/>
          <w:u w:val="single" w:color="auto"/>
        </w:rPr>
        <w:t>由承包人根据现场实际自行考虑，费用自理。由承包人负责修改、维修、养护和管理施工所需的其他场内道路和交通设施，承包人不履行以上义务导致道路和交通设施不能正常使用造成施工延误的，应由承包人承担责任</w:t>
      </w:r>
      <w:r>
        <w:rPr>
          <w:rFonts w:ascii="宋体" w:hAnsi="宋体" w:eastAsia="宋体" w:cs="宋体"/>
          <w:color w:val="auto"/>
          <w:spacing w:val="8"/>
          <w:sz w:val="20"/>
          <w:szCs w:val="20"/>
          <w:highlight w:val="none"/>
        </w:rPr>
        <w:t>。</w:t>
      </w:r>
    </w:p>
    <w:p w14:paraId="44F05A80">
      <w:pPr>
        <w:autoSpaceDE/>
        <w:autoSpaceDN/>
        <w:spacing w:before="35"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1.10.4 超大件和超重件的运输</w:t>
      </w:r>
    </w:p>
    <w:p w14:paraId="6EE32384">
      <w:pPr>
        <w:autoSpaceDE/>
        <w:autoSpaceDN/>
        <w:spacing w:before="93" w:line="360" w:lineRule="auto"/>
        <w:ind w:left="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运输超大件或超重件所需的道路和桥梁临时加固改造</w:t>
      </w:r>
      <w:r>
        <w:rPr>
          <w:rFonts w:ascii="宋体" w:hAnsi="宋体" w:eastAsia="宋体" w:cs="宋体"/>
          <w:color w:val="auto"/>
          <w:spacing w:val="8"/>
          <w:sz w:val="20"/>
          <w:szCs w:val="20"/>
          <w:highlight w:val="none"/>
        </w:rPr>
        <w:t>费用和其他有关费用由</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rPr>
        <w:t>承包人</w:t>
      </w:r>
      <w:r>
        <w:rPr>
          <w:rFonts w:ascii="宋体" w:hAnsi="宋体" w:eastAsia="宋体" w:cs="宋体"/>
          <w:color w:val="auto"/>
          <w:spacing w:val="8"/>
          <w:sz w:val="20"/>
          <w:szCs w:val="20"/>
          <w:highlight w:val="none"/>
        </w:rPr>
        <w:t>承担。</w:t>
      </w:r>
    </w:p>
    <w:p w14:paraId="4CB2D0F4">
      <w:pPr>
        <w:autoSpaceDE/>
        <w:autoSpaceDN/>
        <w:spacing w:before="94" w:line="360" w:lineRule="auto"/>
        <w:ind w:left="0" w:firstLine="406" w:firstLineChars="200"/>
        <w:outlineLvl w:val="1"/>
        <w:rPr>
          <w:rFonts w:ascii="宋体" w:hAnsi="宋体" w:eastAsia="宋体" w:cs="宋体"/>
          <w:color w:val="auto"/>
          <w:sz w:val="20"/>
          <w:szCs w:val="20"/>
          <w:highlight w:val="none"/>
        </w:rPr>
      </w:pPr>
      <w:bookmarkStart w:id="180" w:name="_Toc32164"/>
      <w:bookmarkStart w:id="181" w:name="_Toc20413"/>
      <w:bookmarkStart w:id="182" w:name="_Toc9433"/>
      <w:r>
        <w:rPr>
          <w:rFonts w:ascii="宋体" w:hAnsi="宋体" w:eastAsia="宋体" w:cs="宋体"/>
          <w:b/>
          <w:bCs/>
          <w:color w:val="auto"/>
          <w:spacing w:val="1"/>
          <w:sz w:val="20"/>
          <w:szCs w:val="20"/>
          <w:highlight w:val="none"/>
        </w:rPr>
        <w:t>1.11</w:t>
      </w:r>
      <w:r>
        <w:rPr>
          <w:rFonts w:ascii="宋体" w:hAnsi="宋体" w:eastAsia="宋体" w:cs="宋体"/>
          <w:color w:val="auto"/>
          <w:spacing w:val="21"/>
          <w:sz w:val="20"/>
          <w:szCs w:val="20"/>
          <w:highlight w:val="none"/>
        </w:rPr>
        <w:t xml:space="preserve"> </w:t>
      </w:r>
      <w:r>
        <w:rPr>
          <w:rFonts w:ascii="宋体" w:hAnsi="宋体" w:eastAsia="宋体" w:cs="宋体"/>
          <w:b/>
          <w:bCs/>
          <w:color w:val="auto"/>
          <w:spacing w:val="1"/>
          <w:sz w:val="20"/>
          <w:szCs w:val="20"/>
          <w:highlight w:val="none"/>
        </w:rPr>
        <w:t>知识产权</w:t>
      </w:r>
      <w:bookmarkEnd w:id="180"/>
      <w:bookmarkEnd w:id="181"/>
      <w:bookmarkEnd w:id="182"/>
    </w:p>
    <w:p w14:paraId="7DDF4EA0">
      <w:pPr>
        <w:autoSpaceDE/>
        <w:autoSpaceDN/>
        <w:spacing w:before="94" w:line="360" w:lineRule="auto"/>
        <w:ind w:left="0" w:right="6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1.11.1 关于发包人提供给承包人的图纸、发</w:t>
      </w:r>
      <w:r>
        <w:rPr>
          <w:rFonts w:ascii="宋体" w:hAnsi="宋体" w:eastAsia="宋体" w:cs="宋体"/>
          <w:color w:val="auto"/>
          <w:spacing w:val="7"/>
          <w:sz w:val="20"/>
          <w:szCs w:val="20"/>
          <w:highlight w:val="none"/>
        </w:rPr>
        <w:t>包人为实施工程自行编制或委托编制的技术规范以及反映发包人关于合同要求或其他类似性质的文件的著作权的归属：</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发包人</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5445BE28">
      <w:pPr>
        <w:autoSpaceDE/>
        <w:autoSpaceDN/>
        <w:spacing w:before="38" w:line="360" w:lineRule="auto"/>
        <w:ind w:left="0" w:firstLine="428" w:firstLineChars="200"/>
        <w:jc w:val="both"/>
        <w:rPr>
          <w:rFonts w:ascii="宋体" w:hAnsi="宋体" w:eastAsia="宋体" w:cs="宋体"/>
          <w:color w:val="auto"/>
          <w:spacing w:val="6"/>
          <w:sz w:val="20"/>
          <w:szCs w:val="20"/>
          <w:highlight w:val="none"/>
        </w:rPr>
      </w:pPr>
      <w:r>
        <w:rPr>
          <w:rFonts w:ascii="宋体" w:hAnsi="宋体" w:eastAsia="宋体" w:cs="宋体"/>
          <w:color w:val="auto"/>
          <w:spacing w:val="7"/>
          <w:sz w:val="20"/>
          <w:szCs w:val="20"/>
          <w:highlight w:val="none"/>
        </w:rPr>
        <w:t>关于发包人提供的上述文件的使用限制的要求：</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发包人可因施工工程的运行、调试、维修、改造等目的而复制、使用此类文件。未经承包人书面同意，发包人不能为了合同以外的目的而复制、使用上述文件或将之提供给任何第三方</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51389531">
      <w:pPr>
        <w:autoSpaceDE/>
        <w:autoSpaceDN/>
        <w:spacing w:before="38" w:line="360" w:lineRule="auto"/>
        <w:ind w:left="0" w:firstLine="424" w:firstLineChars="200"/>
        <w:jc w:val="both"/>
        <w:rPr>
          <w:rFonts w:ascii="宋体" w:hAnsi="宋体" w:eastAsia="宋体" w:cs="宋体"/>
          <w:color w:val="auto"/>
          <w:spacing w:val="5"/>
          <w:sz w:val="20"/>
          <w:szCs w:val="20"/>
          <w:highlight w:val="none"/>
        </w:rPr>
      </w:pPr>
      <w:r>
        <w:rPr>
          <w:rFonts w:ascii="宋体" w:hAnsi="宋体" w:eastAsia="宋体" w:cs="宋体"/>
          <w:color w:val="auto"/>
          <w:spacing w:val="6"/>
          <w:sz w:val="20"/>
          <w:szCs w:val="20"/>
          <w:highlight w:val="none"/>
        </w:rPr>
        <w:t>1.11.2 关于承包人为实施工程所编制文件的著</w:t>
      </w:r>
      <w:r>
        <w:rPr>
          <w:rFonts w:ascii="宋体" w:hAnsi="宋体" w:eastAsia="宋体" w:cs="宋体"/>
          <w:color w:val="auto"/>
          <w:spacing w:val="5"/>
          <w:sz w:val="20"/>
          <w:szCs w:val="20"/>
          <w:highlight w:val="none"/>
        </w:rPr>
        <w:t>作权的归属：</w:t>
      </w:r>
      <w:r>
        <w:rPr>
          <w:rFonts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rPr>
        <w:t>发包人</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4881CB15">
      <w:pPr>
        <w:autoSpaceDE/>
        <w:autoSpaceDN/>
        <w:spacing w:before="38" w:line="360" w:lineRule="auto"/>
        <w:ind w:left="0" w:firstLine="428" w:firstLineChars="200"/>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关于承包人提供的上述文件的使用限制的要求：</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发包人可因施工工程的运行、调试、维修、改造等目的而复制、使用此类文件。未经承包人书面同意 ，发包人不能为了合同以外的目的而复制、使用上述文件或将之提供给任何第三方</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0AB73B7F">
      <w:pPr>
        <w:autoSpaceDE/>
        <w:autoSpaceDN/>
        <w:spacing w:before="33" w:line="360" w:lineRule="auto"/>
        <w:ind w:firstLine="416" w:firstLineChars="200"/>
        <w:jc w:val="both"/>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1.11.4 承包人在施工过程中所采用的专利、专有技术、技术秘密的使用费的承担方式：</w:t>
      </w:r>
      <w:r>
        <w:rPr>
          <w:rFonts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4"/>
          <w:sz w:val="20"/>
          <w:szCs w:val="20"/>
          <w:highlight w:val="none"/>
          <w:u w:val="single" w:color="auto"/>
        </w:rPr>
        <w:t>承包人自行承担，已包含在签约合同价中，发包人不再另行支付</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w:t>
      </w:r>
    </w:p>
    <w:p w14:paraId="3CB921A1">
      <w:pPr>
        <w:autoSpaceDE/>
        <w:autoSpaceDN/>
        <w:spacing w:before="95" w:line="360" w:lineRule="auto"/>
        <w:ind w:left="0" w:firstLine="418" w:firstLineChars="200"/>
        <w:outlineLvl w:val="1"/>
        <w:rPr>
          <w:rFonts w:ascii="宋体" w:hAnsi="宋体" w:eastAsia="宋体" w:cs="宋体"/>
          <w:color w:val="auto"/>
          <w:sz w:val="20"/>
          <w:szCs w:val="20"/>
          <w:highlight w:val="none"/>
        </w:rPr>
      </w:pPr>
      <w:bookmarkStart w:id="183" w:name="_Toc12588"/>
      <w:bookmarkStart w:id="184" w:name="_Toc25813"/>
      <w:bookmarkStart w:id="185" w:name="_Toc30335"/>
      <w:r>
        <w:rPr>
          <w:rFonts w:ascii="宋体" w:hAnsi="宋体" w:eastAsia="宋体" w:cs="宋体"/>
          <w:b/>
          <w:bCs/>
          <w:color w:val="auto"/>
          <w:spacing w:val="4"/>
          <w:sz w:val="20"/>
          <w:szCs w:val="20"/>
          <w:highlight w:val="none"/>
        </w:rPr>
        <w:t>1.13</w:t>
      </w:r>
      <w:r>
        <w:rPr>
          <w:rFonts w:ascii="宋体" w:hAnsi="宋体" w:eastAsia="宋体" w:cs="宋体"/>
          <w:color w:val="auto"/>
          <w:spacing w:val="-28"/>
          <w:sz w:val="20"/>
          <w:szCs w:val="20"/>
          <w:highlight w:val="none"/>
        </w:rPr>
        <w:t xml:space="preserve"> </w:t>
      </w:r>
      <w:r>
        <w:rPr>
          <w:rFonts w:ascii="宋体" w:hAnsi="宋体" w:eastAsia="宋体" w:cs="宋体"/>
          <w:b/>
          <w:bCs/>
          <w:color w:val="auto"/>
          <w:spacing w:val="4"/>
          <w:sz w:val="20"/>
          <w:szCs w:val="20"/>
          <w:highlight w:val="none"/>
        </w:rPr>
        <w:t>工程量清单错误的修正</w:t>
      </w:r>
      <w:bookmarkEnd w:id="183"/>
      <w:bookmarkEnd w:id="184"/>
      <w:bookmarkEnd w:id="185"/>
    </w:p>
    <w:p w14:paraId="26DB6ED2">
      <w:pPr>
        <w:autoSpaceDE/>
        <w:autoSpaceDN/>
        <w:spacing w:before="94"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出现工程量清单工程量偏差时，是否调整合同价格：</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 是</w:t>
      </w:r>
      <w:r>
        <w:rPr>
          <w:rFonts w:hint="eastAsia" w:ascii="宋体" w:hAnsi="宋体" w:eastAsia="宋体" w:cs="宋体"/>
          <w:color w:val="auto"/>
          <w:spacing w:val="7"/>
          <w:sz w:val="20"/>
          <w:szCs w:val="20"/>
          <w:highlight w:val="none"/>
          <w:u w:val="single" w:color="auto"/>
          <w:lang w:val="en-US" w:eastAsia="zh-CN"/>
        </w:rPr>
        <w:t xml:space="preserve">  </w:t>
      </w:r>
      <w:r>
        <w:rPr>
          <w:rFonts w:hint="eastAsia" w:ascii="宋体" w:hAnsi="宋体" w:eastAsia="宋体" w:cs="宋体"/>
          <w:color w:val="auto"/>
          <w:spacing w:val="7"/>
          <w:sz w:val="20"/>
          <w:szCs w:val="20"/>
          <w:highlight w:val="none"/>
          <w:u w:val="single" w:color="auto"/>
          <w:lang w:eastAsia="zh-CN"/>
        </w:rPr>
        <w:t>□</w:t>
      </w:r>
      <w:r>
        <w:rPr>
          <w:rFonts w:hint="eastAsia" w:ascii="宋体" w:hAnsi="宋体" w:eastAsia="宋体" w:cs="宋体"/>
          <w:color w:val="auto"/>
          <w:spacing w:val="7"/>
          <w:sz w:val="20"/>
          <w:szCs w:val="20"/>
          <w:highlight w:val="none"/>
          <w:u w:val="single" w:color="auto"/>
        </w:rPr>
        <w:t>否</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14857530">
      <w:pPr>
        <w:autoSpaceDE/>
        <w:autoSpaceDN/>
        <w:spacing w:before="94" w:line="360" w:lineRule="auto"/>
        <w:ind w:left="0" w:firstLine="428" w:firstLineChars="200"/>
        <w:rPr>
          <w:rFonts w:hint="eastAsia" w:ascii="宋体" w:hAnsi="宋体" w:eastAsia="宋体" w:cs="宋体"/>
          <w:color w:val="auto"/>
          <w:spacing w:val="7"/>
          <w:sz w:val="20"/>
          <w:szCs w:val="20"/>
          <w:highlight w:val="none"/>
          <w:u w:val="single" w:color="auto"/>
        </w:rPr>
      </w:pPr>
      <w:r>
        <w:rPr>
          <w:rFonts w:ascii="宋体" w:hAnsi="宋体" w:eastAsia="宋体" w:cs="宋体"/>
          <w:color w:val="auto"/>
          <w:spacing w:val="7"/>
          <w:sz w:val="20"/>
          <w:szCs w:val="20"/>
          <w:highlight w:val="none"/>
        </w:rPr>
        <w:t>允许调整合同价格的工程量偏差范围及其调整办法：</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除严重不平衡报价外，无论分部分项工程量清单项目中的工程量变化多少均不调整。</w:t>
      </w:r>
    </w:p>
    <w:p w14:paraId="1DA96A6E">
      <w:pPr>
        <w:autoSpaceDE/>
        <w:autoSpaceDN/>
        <w:spacing w:before="94" w:line="360" w:lineRule="auto"/>
        <w:ind w:left="0" w:firstLine="428" w:firstLineChars="200"/>
        <w:rPr>
          <w:rFonts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u w:val="single" w:color="auto"/>
        </w:rPr>
        <w:t>☑承包人实际完成的某单项清单项目工程量与招标工程量清单工程量偏差超过5%且该单项清单造价超过合同总价5%以上的，超过后增加部分工程量或减少后剩余部分工程量的综合单价按以下方法调整：合同履行期间，由于招标工程量清单缺项、漏项，新增分部分项工程清单项目的，按照以下规定确定单价，并调整合同价格：）合同中已有适用的综合单价，按合同中已有的综合单价确定；）合同中有类似的综合单价，参照类似的综合单价确定；）合同中没有适用或类似的综合单价，由承包人按施工图、设计变更及实际施工计算提出综合单价，经发包人确认。由于招标工程量清单项目多列或重复列项的，按照投标人投标综合单价确定单价，并调整合同价格。除以上情况之外出现工程量清单错误的，不调整合同价格</w:t>
      </w:r>
      <w:r>
        <w:rPr>
          <w:rFonts w:ascii="宋体" w:hAnsi="宋体" w:eastAsia="宋体" w:cs="宋体"/>
          <w:color w:val="auto"/>
          <w:spacing w:val="6"/>
          <w:sz w:val="20"/>
          <w:szCs w:val="20"/>
          <w:highlight w:val="none"/>
        </w:rPr>
        <w:t>。</w:t>
      </w:r>
    </w:p>
    <w:p w14:paraId="49411E96">
      <w:pPr>
        <w:autoSpaceDE/>
        <w:autoSpaceDN/>
        <w:spacing w:before="156" w:line="360" w:lineRule="auto"/>
        <w:ind w:left="0" w:firstLine="406" w:firstLineChars="200"/>
        <w:outlineLvl w:val="1"/>
        <w:rPr>
          <w:rFonts w:ascii="宋体" w:hAnsi="宋体" w:eastAsia="宋体" w:cs="宋体"/>
          <w:color w:val="auto"/>
          <w:sz w:val="20"/>
          <w:szCs w:val="20"/>
          <w:highlight w:val="none"/>
        </w:rPr>
      </w:pPr>
      <w:bookmarkStart w:id="186" w:name="_Toc10564"/>
      <w:bookmarkStart w:id="187" w:name="_Toc24671"/>
      <w:bookmarkStart w:id="188" w:name="_Toc32569"/>
      <w:r>
        <w:rPr>
          <w:rFonts w:ascii="宋体" w:hAnsi="宋体" w:eastAsia="宋体" w:cs="宋体"/>
          <w:b/>
          <w:bCs/>
          <w:color w:val="auto"/>
          <w:spacing w:val="1"/>
          <w:sz w:val="20"/>
          <w:szCs w:val="20"/>
          <w:highlight w:val="none"/>
        </w:rPr>
        <w:t>2.</w:t>
      </w:r>
      <w:r>
        <w:rPr>
          <w:rFonts w:ascii="宋体" w:hAnsi="宋体" w:eastAsia="宋体" w:cs="宋体"/>
          <w:color w:val="auto"/>
          <w:spacing w:val="21"/>
          <w:sz w:val="20"/>
          <w:szCs w:val="20"/>
          <w:highlight w:val="none"/>
        </w:rPr>
        <w:t xml:space="preserve"> </w:t>
      </w:r>
      <w:r>
        <w:rPr>
          <w:rFonts w:ascii="宋体" w:hAnsi="宋体" w:eastAsia="宋体" w:cs="宋体"/>
          <w:b/>
          <w:bCs/>
          <w:color w:val="auto"/>
          <w:spacing w:val="1"/>
          <w:sz w:val="20"/>
          <w:szCs w:val="20"/>
          <w:highlight w:val="none"/>
        </w:rPr>
        <w:t>发包人</w:t>
      </w:r>
      <w:bookmarkEnd w:id="186"/>
      <w:bookmarkEnd w:id="187"/>
      <w:bookmarkEnd w:id="188"/>
    </w:p>
    <w:p w14:paraId="50923680">
      <w:pPr>
        <w:autoSpaceDE/>
        <w:autoSpaceDN/>
        <w:spacing w:before="153" w:line="360" w:lineRule="auto"/>
        <w:ind w:left="0" w:firstLine="414" w:firstLineChars="200"/>
        <w:outlineLvl w:val="2"/>
        <w:rPr>
          <w:rFonts w:ascii="宋体" w:hAnsi="宋体" w:eastAsia="宋体" w:cs="宋体"/>
          <w:color w:val="auto"/>
          <w:sz w:val="20"/>
          <w:szCs w:val="20"/>
          <w:highlight w:val="none"/>
        </w:rPr>
      </w:pPr>
      <w:bookmarkStart w:id="189" w:name="_Toc32090"/>
      <w:bookmarkStart w:id="190" w:name="_Toc26502"/>
      <w:bookmarkStart w:id="191" w:name="_Toc24755"/>
      <w:r>
        <w:rPr>
          <w:rFonts w:ascii="宋体" w:hAnsi="宋体" w:eastAsia="宋体" w:cs="宋体"/>
          <w:b/>
          <w:bCs/>
          <w:color w:val="auto"/>
          <w:spacing w:val="3"/>
          <w:sz w:val="20"/>
          <w:szCs w:val="20"/>
          <w:highlight w:val="none"/>
        </w:rPr>
        <w:t>2.2</w:t>
      </w:r>
      <w:r>
        <w:rPr>
          <w:rFonts w:ascii="宋体" w:hAnsi="宋体" w:eastAsia="宋体" w:cs="宋体"/>
          <w:color w:val="auto"/>
          <w:spacing w:val="21"/>
          <w:sz w:val="20"/>
          <w:szCs w:val="20"/>
          <w:highlight w:val="none"/>
        </w:rPr>
        <w:t xml:space="preserve"> </w:t>
      </w:r>
      <w:r>
        <w:rPr>
          <w:rFonts w:ascii="宋体" w:hAnsi="宋体" w:eastAsia="宋体" w:cs="宋体"/>
          <w:b/>
          <w:bCs/>
          <w:color w:val="auto"/>
          <w:spacing w:val="3"/>
          <w:sz w:val="20"/>
          <w:szCs w:val="20"/>
          <w:highlight w:val="none"/>
        </w:rPr>
        <w:t>发包人代表</w:t>
      </w:r>
      <w:bookmarkEnd w:id="189"/>
      <w:bookmarkEnd w:id="190"/>
      <w:bookmarkEnd w:id="191"/>
    </w:p>
    <w:p w14:paraId="517A2747">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发包人代表：</w:t>
      </w:r>
    </w:p>
    <w:p w14:paraId="7DCE3DD6">
      <w:pPr>
        <w:autoSpaceDE/>
        <w:autoSpaceDN/>
        <w:spacing w:before="96" w:line="360" w:lineRule="auto"/>
        <w:ind w:left="0" w:right="3647" w:firstLine="396" w:firstLineChars="200"/>
        <w:rPr>
          <w:rFonts w:ascii="宋体" w:hAnsi="宋体" w:eastAsia="宋体" w:cs="宋体"/>
          <w:color w:val="auto"/>
          <w:spacing w:val="1"/>
          <w:sz w:val="20"/>
          <w:szCs w:val="20"/>
          <w:highlight w:val="none"/>
        </w:rPr>
      </w:pPr>
      <w:r>
        <w:rPr>
          <w:rFonts w:ascii="宋体" w:hAnsi="宋体" w:eastAsia="宋体" w:cs="宋体"/>
          <w:color w:val="auto"/>
          <w:spacing w:val="-1"/>
          <w:sz w:val="20"/>
          <w:szCs w:val="20"/>
          <w:highlight w:val="none"/>
        </w:rPr>
        <w:t>姓</w:t>
      </w:r>
      <w:r>
        <w:rPr>
          <w:rFonts w:ascii="宋体" w:hAnsi="宋体" w:eastAsia="宋体" w:cs="宋体"/>
          <w:color w:val="auto"/>
          <w:spacing w:val="7"/>
          <w:sz w:val="20"/>
          <w:szCs w:val="20"/>
          <w:highlight w:val="none"/>
        </w:rPr>
        <w:t xml:space="preserve">    </w:t>
      </w:r>
      <w:r>
        <w:rPr>
          <w:rFonts w:ascii="宋体" w:hAnsi="宋体" w:eastAsia="宋体" w:cs="宋体"/>
          <w:color w:val="auto"/>
          <w:spacing w:val="-1"/>
          <w:sz w:val="20"/>
          <w:szCs w:val="20"/>
          <w:highlight w:val="none"/>
        </w:rPr>
        <w:t>名</w:t>
      </w:r>
      <w:r>
        <w:rPr>
          <w:rFonts w:ascii="宋体" w:hAnsi="宋体" w:eastAsia="宋体" w:cs="宋体"/>
          <w:color w:val="auto"/>
          <w:spacing w:val="-72"/>
          <w:sz w:val="20"/>
          <w:szCs w:val="20"/>
          <w:highlight w:val="none"/>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1"/>
          <w:sz w:val="20"/>
          <w:szCs w:val="20"/>
          <w:highlight w:val="none"/>
        </w:rPr>
        <w:t xml:space="preserve"> </w:t>
      </w:r>
    </w:p>
    <w:p w14:paraId="3AFFDFFC">
      <w:pPr>
        <w:autoSpaceDE/>
        <w:autoSpaceDN/>
        <w:spacing w:before="96" w:line="360" w:lineRule="auto"/>
        <w:ind w:left="0" w:right="3647" w:firstLine="428" w:firstLineChars="200"/>
        <w:rPr>
          <w:rFonts w:ascii="宋体" w:hAnsi="宋体" w:eastAsia="宋体" w:cs="宋体"/>
          <w:color w:val="auto"/>
          <w:spacing w:val="5"/>
          <w:sz w:val="20"/>
          <w:szCs w:val="20"/>
          <w:highlight w:val="none"/>
        </w:rPr>
      </w:pPr>
      <w:r>
        <w:rPr>
          <w:rFonts w:ascii="宋体" w:hAnsi="宋体" w:eastAsia="宋体" w:cs="宋体"/>
          <w:color w:val="auto"/>
          <w:spacing w:val="7"/>
          <w:sz w:val="20"/>
          <w:szCs w:val="20"/>
          <w:highlight w:val="none"/>
        </w:rPr>
        <w:t>身份证号</w:t>
      </w:r>
      <w:r>
        <w:rPr>
          <w:rFonts w:ascii="宋体" w:hAnsi="宋体" w:eastAsia="宋体" w:cs="宋体"/>
          <w:color w:val="auto"/>
          <w:spacing w:val="5"/>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73"/>
          <w:sz w:val="20"/>
          <w:szCs w:val="20"/>
          <w:highlight w:val="none"/>
        </w:rPr>
        <w:t xml:space="preserve"> </w:t>
      </w:r>
      <w:r>
        <w:rPr>
          <w:rFonts w:ascii="宋体" w:hAnsi="宋体" w:eastAsia="宋体" w:cs="宋体"/>
          <w:color w:val="auto"/>
          <w:spacing w:val="5"/>
          <w:sz w:val="20"/>
          <w:szCs w:val="20"/>
          <w:highlight w:val="none"/>
        </w:rPr>
        <w:t>；</w:t>
      </w:r>
    </w:p>
    <w:p w14:paraId="20B464CC">
      <w:pPr>
        <w:autoSpaceDE/>
        <w:autoSpaceDN/>
        <w:spacing w:before="96" w:line="360" w:lineRule="auto"/>
        <w:ind w:left="0" w:right="3647" w:firstLine="400" w:firstLineChars="200"/>
        <w:rPr>
          <w:rFonts w:ascii="宋体" w:hAnsi="宋体" w:eastAsia="宋体" w:cs="宋体"/>
          <w:color w:val="auto"/>
          <w:sz w:val="20"/>
          <w:szCs w:val="20"/>
          <w:highlight w:val="none"/>
        </w:rPr>
      </w:pPr>
      <w:r>
        <w:rPr>
          <w:rFonts w:ascii="宋体" w:hAnsi="宋体" w:eastAsia="宋体" w:cs="宋体"/>
          <w:color w:val="auto"/>
          <w:sz w:val="20"/>
          <w:szCs w:val="20"/>
          <w:highlight w:val="none"/>
        </w:rPr>
        <w:t xml:space="preserve"> 职</w:t>
      </w:r>
      <w:r>
        <w:rPr>
          <w:rFonts w:ascii="宋体" w:hAnsi="宋体" w:eastAsia="宋体" w:cs="宋体"/>
          <w:color w:val="auto"/>
          <w:spacing w:val="7"/>
          <w:sz w:val="20"/>
          <w:szCs w:val="20"/>
          <w:highlight w:val="none"/>
        </w:rPr>
        <w:t xml:space="preserve">    </w:t>
      </w:r>
      <w:r>
        <w:rPr>
          <w:rFonts w:ascii="宋体" w:hAnsi="宋体" w:eastAsia="宋体" w:cs="宋体"/>
          <w:color w:val="auto"/>
          <w:sz w:val="20"/>
          <w:szCs w:val="20"/>
          <w:highlight w:val="none"/>
        </w:rPr>
        <w:t>务</w:t>
      </w:r>
      <w:r>
        <w:rPr>
          <w:rFonts w:ascii="宋体" w:hAnsi="宋体" w:eastAsia="宋体" w:cs="宋体"/>
          <w:color w:val="auto"/>
          <w:spacing w:val="-73"/>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73"/>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p>
    <w:p w14:paraId="68825DD0">
      <w:pPr>
        <w:autoSpaceDE/>
        <w:autoSpaceDN/>
        <w:spacing w:before="96" w:line="360" w:lineRule="auto"/>
        <w:ind w:left="0" w:right="3647" w:firstLine="428" w:firstLineChars="200"/>
        <w:rPr>
          <w:rFonts w:ascii="宋体" w:hAnsi="宋体" w:eastAsia="宋体" w:cs="宋体"/>
          <w:color w:val="auto"/>
          <w:spacing w:val="1"/>
          <w:sz w:val="20"/>
          <w:szCs w:val="20"/>
          <w:highlight w:val="none"/>
        </w:rPr>
      </w:pPr>
      <w:r>
        <w:rPr>
          <w:rFonts w:ascii="宋体" w:hAnsi="宋体" w:eastAsia="宋体" w:cs="宋体"/>
          <w:color w:val="auto"/>
          <w:spacing w:val="7"/>
          <w:sz w:val="20"/>
          <w:szCs w:val="20"/>
          <w:highlight w:val="none"/>
        </w:rPr>
        <w:t>联系电话</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
          <w:sz w:val="20"/>
          <w:szCs w:val="20"/>
          <w:highlight w:val="none"/>
        </w:rPr>
        <w:t xml:space="preserve"> </w:t>
      </w:r>
    </w:p>
    <w:p w14:paraId="597FE50C">
      <w:pPr>
        <w:autoSpaceDE/>
        <w:autoSpaceDN/>
        <w:spacing w:before="96" w:line="360" w:lineRule="auto"/>
        <w:ind w:left="0" w:right="3647" w:firstLine="428" w:firstLineChars="200"/>
        <w:rPr>
          <w:rFonts w:ascii="宋体" w:hAnsi="宋体" w:eastAsia="宋体" w:cs="宋体"/>
          <w:color w:val="auto"/>
          <w:spacing w:val="1"/>
          <w:sz w:val="20"/>
          <w:szCs w:val="20"/>
          <w:highlight w:val="none"/>
        </w:rPr>
      </w:pPr>
      <w:r>
        <w:rPr>
          <w:rFonts w:ascii="宋体" w:hAnsi="宋体" w:eastAsia="宋体" w:cs="宋体"/>
          <w:color w:val="auto"/>
          <w:spacing w:val="7"/>
          <w:sz w:val="20"/>
          <w:szCs w:val="20"/>
          <w:highlight w:val="none"/>
        </w:rPr>
        <w:t>电子信箱</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
          <w:sz w:val="20"/>
          <w:szCs w:val="20"/>
          <w:highlight w:val="none"/>
        </w:rPr>
        <w:t xml:space="preserve"> </w:t>
      </w:r>
    </w:p>
    <w:p w14:paraId="3F581316">
      <w:pPr>
        <w:autoSpaceDE/>
        <w:autoSpaceDN/>
        <w:spacing w:before="96" w:line="360" w:lineRule="auto"/>
        <w:ind w:left="0" w:right="3647"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通信地址：</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6"/>
          <w:sz w:val="20"/>
          <w:szCs w:val="20"/>
          <w:highlight w:val="none"/>
        </w:rPr>
        <w:t>。</w:t>
      </w:r>
    </w:p>
    <w:p w14:paraId="7345B717">
      <w:pPr>
        <w:autoSpaceDE/>
        <w:autoSpaceDN/>
        <w:spacing w:before="32"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发包人对发包人代表的授权范围如下：</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负责接收现场各单位递交的资料，督促指导监理工程师行使职权，协调施工现场各方面的关系，协调工程质量，进度和安全文明施工中存在的问题，解决有关设计和技术签证，办理、签认现场经济技术签证，审核工程进度报表</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6BDD4520">
      <w:pPr>
        <w:autoSpaceDE/>
        <w:autoSpaceDN/>
        <w:spacing w:before="94" w:line="360" w:lineRule="auto"/>
        <w:ind w:left="0" w:firstLine="430" w:firstLineChars="200"/>
        <w:outlineLvl w:val="2"/>
        <w:rPr>
          <w:rFonts w:ascii="宋体" w:hAnsi="宋体" w:eastAsia="宋体" w:cs="宋体"/>
          <w:color w:val="auto"/>
          <w:sz w:val="20"/>
          <w:szCs w:val="20"/>
          <w:highlight w:val="none"/>
        </w:rPr>
      </w:pPr>
      <w:bookmarkStart w:id="192" w:name="_Toc1541"/>
      <w:bookmarkStart w:id="193" w:name="_Toc9104"/>
      <w:bookmarkStart w:id="194" w:name="_Toc22155"/>
      <w:r>
        <w:rPr>
          <w:rFonts w:ascii="宋体" w:hAnsi="宋体" w:eastAsia="宋体" w:cs="宋体"/>
          <w:b/>
          <w:bCs/>
          <w:color w:val="auto"/>
          <w:spacing w:val="7"/>
          <w:sz w:val="20"/>
          <w:szCs w:val="20"/>
          <w:highlight w:val="none"/>
        </w:rPr>
        <w:t>2.4</w:t>
      </w:r>
      <w:r>
        <w:rPr>
          <w:rFonts w:ascii="宋体" w:hAnsi="宋体" w:eastAsia="宋体" w:cs="宋体"/>
          <w:color w:val="auto"/>
          <w:spacing w:val="7"/>
          <w:sz w:val="20"/>
          <w:szCs w:val="20"/>
          <w:highlight w:val="none"/>
        </w:rPr>
        <w:t xml:space="preserve"> </w:t>
      </w:r>
      <w:r>
        <w:rPr>
          <w:rFonts w:ascii="宋体" w:hAnsi="宋体" w:eastAsia="宋体" w:cs="宋体"/>
          <w:b/>
          <w:bCs/>
          <w:color w:val="auto"/>
          <w:spacing w:val="7"/>
          <w:sz w:val="20"/>
          <w:szCs w:val="20"/>
          <w:highlight w:val="none"/>
        </w:rPr>
        <w:t>施工现场、施工条件和基础资料的提供</w:t>
      </w:r>
      <w:bookmarkEnd w:id="192"/>
      <w:bookmarkEnd w:id="193"/>
      <w:bookmarkEnd w:id="194"/>
    </w:p>
    <w:p w14:paraId="5F363A83">
      <w:pPr>
        <w:autoSpaceDE/>
        <w:autoSpaceDN/>
        <w:spacing w:before="92"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2.4.1 提供施工现场</w:t>
      </w:r>
    </w:p>
    <w:p w14:paraId="167FABEC">
      <w:pPr>
        <w:autoSpaceDE/>
        <w:autoSpaceDN/>
        <w:spacing w:before="98"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关于发包人移交施工现场的期限要求：</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开工前七天</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64BA9B9A">
      <w:pPr>
        <w:autoSpaceDE/>
        <w:autoSpaceDN/>
        <w:spacing w:before="91"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2.4.2 提供施工条件</w:t>
      </w:r>
    </w:p>
    <w:p w14:paraId="410DDD9A">
      <w:pPr>
        <w:autoSpaceDE/>
        <w:autoSpaceDN/>
        <w:spacing w:before="95" w:line="360" w:lineRule="auto"/>
        <w:ind w:left="0" w:firstLine="428" w:firstLineChars="200"/>
        <w:rPr>
          <w:rFonts w:ascii="宋体" w:hAnsi="宋体" w:eastAsia="宋体" w:cs="宋体"/>
          <w:color w:val="auto"/>
          <w:spacing w:val="7"/>
          <w:sz w:val="20"/>
          <w:szCs w:val="20"/>
          <w:highlight w:val="none"/>
          <w:u w:val="single" w:color="auto"/>
        </w:rPr>
      </w:pPr>
      <w:r>
        <w:rPr>
          <w:rFonts w:ascii="宋体" w:hAnsi="宋体" w:eastAsia="宋体" w:cs="宋体"/>
          <w:color w:val="auto"/>
          <w:spacing w:val="7"/>
          <w:sz w:val="20"/>
          <w:szCs w:val="20"/>
          <w:highlight w:val="none"/>
        </w:rPr>
        <w:t>关于发包人应负责提供施工所需要的条件，包括：</w:t>
      </w:r>
    </w:p>
    <w:p w14:paraId="0A519CD5">
      <w:pPr>
        <w:autoSpaceDE/>
        <w:autoSpaceDN/>
        <w:spacing w:before="95" w:line="360" w:lineRule="auto"/>
        <w:ind w:left="0" w:firstLine="428" w:firstLineChars="200"/>
        <w:rPr>
          <w:rFonts w:hint="eastAsia" w:ascii="宋体" w:hAnsi="宋体" w:eastAsia="宋体" w:cs="宋体"/>
          <w:color w:val="auto"/>
          <w:spacing w:val="7"/>
          <w:sz w:val="20"/>
          <w:szCs w:val="20"/>
          <w:highlight w:val="none"/>
          <w:u w:val="single" w:color="auto"/>
        </w:rPr>
      </w:pPr>
      <w:r>
        <w:rPr>
          <w:rFonts w:hint="eastAsia" w:ascii="宋体" w:hAnsi="宋体" w:eastAsia="宋体" w:cs="宋体"/>
          <w:color w:val="auto"/>
          <w:spacing w:val="7"/>
          <w:sz w:val="20"/>
          <w:szCs w:val="20"/>
          <w:highlight w:val="none"/>
          <w:u w:val="single" w:color="auto"/>
        </w:rPr>
        <w:t>（1）将施工所需用的水、电、电讯线路接至施工场地的时间、地点和供应要求：开工前七天将施工所需的水、电、电讯线路从施工场地外部接至承包人的施工现场总平面布置图指定的位置，保证水电供应满足施工期间的需要。施工水电的使用费用由承包人承担。自行接用施工用电前承包人必须做好相关的用电安全技术交底，且接用人员需具备国家规定的资格，因自行接电而产生人员、财产损失及相应的的安全管理责任均为承包人自行承担。</w:t>
      </w:r>
    </w:p>
    <w:p w14:paraId="5F437679">
      <w:pPr>
        <w:autoSpaceDE/>
        <w:autoSpaceDN/>
        <w:spacing w:before="95" w:line="360" w:lineRule="auto"/>
        <w:ind w:left="0" w:firstLine="428" w:firstLineChars="200"/>
        <w:rPr>
          <w:rFonts w:hint="eastAsia" w:ascii="宋体" w:hAnsi="宋体" w:eastAsia="宋体" w:cs="宋体"/>
          <w:color w:val="auto"/>
          <w:spacing w:val="7"/>
          <w:sz w:val="20"/>
          <w:szCs w:val="20"/>
          <w:highlight w:val="none"/>
          <w:u w:val="single" w:color="auto"/>
        </w:rPr>
      </w:pPr>
      <w:r>
        <w:rPr>
          <w:rFonts w:hint="eastAsia" w:ascii="宋体" w:hAnsi="宋体" w:eastAsia="宋体" w:cs="宋体"/>
          <w:color w:val="auto"/>
          <w:spacing w:val="7"/>
          <w:sz w:val="20"/>
          <w:szCs w:val="20"/>
          <w:highlight w:val="none"/>
          <w:u w:val="single" w:color="auto"/>
        </w:rPr>
        <w:t>（2）施工场地与公共道路的通道开通时间和要求：工程开工前七天开通，施工中出现非承包方原因的阻障，由承包方告知发包方，由发包方负责协调解决，满足施工运输的需要，保证施工期间的畅通。</w:t>
      </w:r>
    </w:p>
    <w:p w14:paraId="04C7BF41">
      <w:pPr>
        <w:autoSpaceDE/>
        <w:autoSpaceDN/>
        <w:spacing w:before="95" w:line="360" w:lineRule="auto"/>
        <w:ind w:left="0" w:firstLine="428" w:firstLineChars="200"/>
        <w:rPr>
          <w:rFonts w:hint="eastAsia" w:ascii="宋体" w:hAnsi="宋体" w:eastAsia="宋体" w:cs="宋体"/>
          <w:color w:val="auto"/>
          <w:spacing w:val="7"/>
          <w:sz w:val="20"/>
          <w:szCs w:val="20"/>
          <w:highlight w:val="none"/>
          <w:u w:val="single" w:color="auto"/>
        </w:rPr>
      </w:pPr>
      <w:r>
        <w:rPr>
          <w:rFonts w:hint="eastAsia" w:ascii="宋体" w:hAnsi="宋体" w:eastAsia="宋体" w:cs="宋体"/>
          <w:color w:val="auto"/>
          <w:spacing w:val="7"/>
          <w:sz w:val="20"/>
          <w:szCs w:val="20"/>
          <w:highlight w:val="none"/>
          <w:u w:val="single" w:color="auto"/>
        </w:rPr>
        <w:t>（3）工程地质和地下管线资料的提供时间：开工前7天，随施工图一起配套提供给承包人，并对资料的真实性、准确性负责。</w:t>
      </w:r>
    </w:p>
    <w:p w14:paraId="4FE1518F">
      <w:pPr>
        <w:autoSpaceDE/>
        <w:autoSpaceDN/>
        <w:spacing w:before="95" w:line="360" w:lineRule="auto"/>
        <w:ind w:left="0" w:firstLine="428" w:firstLineChars="200"/>
        <w:rPr>
          <w:rFonts w:hint="eastAsia" w:ascii="宋体" w:hAnsi="宋体" w:eastAsia="宋体" w:cs="宋体"/>
          <w:color w:val="auto"/>
          <w:spacing w:val="7"/>
          <w:sz w:val="20"/>
          <w:szCs w:val="20"/>
          <w:highlight w:val="none"/>
          <w:u w:val="single" w:color="auto"/>
        </w:rPr>
      </w:pPr>
      <w:r>
        <w:rPr>
          <w:rFonts w:hint="eastAsia" w:ascii="宋体" w:hAnsi="宋体" w:eastAsia="宋体" w:cs="宋体"/>
          <w:color w:val="auto"/>
          <w:spacing w:val="7"/>
          <w:sz w:val="20"/>
          <w:szCs w:val="20"/>
          <w:highlight w:val="none"/>
          <w:u w:val="single" w:color="auto"/>
        </w:rPr>
        <w:t>（4）由发包人办理的施工所需证件、批件的名称和完成时间：开工前7天办好施工许可证及环保、消防等其它施工所需证件、批件；工程建设施工许可证、报建手续、投资许可证、用地许可证、施工图审查意见表等，费用由发包人承担。</w:t>
      </w:r>
    </w:p>
    <w:p w14:paraId="53F71BCA">
      <w:pPr>
        <w:autoSpaceDE/>
        <w:autoSpaceDN/>
        <w:spacing w:before="95" w:line="360" w:lineRule="auto"/>
        <w:ind w:left="0" w:firstLine="428" w:firstLineChars="200"/>
        <w:rPr>
          <w:rFonts w:hint="eastAsia" w:ascii="宋体" w:hAnsi="宋体" w:eastAsia="宋体" w:cs="宋体"/>
          <w:color w:val="auto"/>
          <w:spacing w:val="7"/>
          <w:sz w:val="20"/>
          <w:szCs w:val="20"/>
          <w:highlight w:val="none"/>
          <w:u w:val="single" w:color="auto"/>
        </w:rPr>
      </w:pPr>
      <w:r>
        <w:rPr>
          <w:rFonts w:hint="eastAsia" w:ascii="宋体" w:hAnsi="宋体" w:eastAsia="宋体" w:cs="宋体"/>
          <w:color w:val="auto"/>
          <w:spacing w:val="7"/>
          <w:sz w:val="20"/>
          <w:szCs w:val="20"/>
          <w:highlight w:val="none"/>
          <w:u w:val="single" w:color="auto"/>
        </w:rPr>
        <w:t>（5）水准点与坐标控制点交验要求：开工前7天发包人以书面形式交给承包人，并通知承包人，双方在现场进行交验，同时做好交验记录。</w:t>
      </w:r>
    </w:p>
    <w:p w14:paraId="6071840B">
      <w:pPr>
        <w:autoSpaceDE/>
        <w:autoSpaceDN/>
        <w:spacing w:before="95" w:line="360" w:lineRule="auto"/>
        <w:ind w:left="0" w:firstLine="428" w:firstLineChars="200"/>
        <w:rPr>
          <w:rFonts w:hint="eastAsia" w:ascii="宋体" w:hAnsi="宋体" w:eastAsia="宋体" w:cs="宋体"/>
          <w:color w:val="auto"/>
          <w:spacing w:val="7"/>
          <w:sz w:val="20"/>
          <w:szCs w:val="20"/>
          <w:highlight w:val="none"/>
          <w:u w:val="single" w:color="auto"/>
        </w:rPr>
      </w:pPr>
      <w:r>
        <w:rPr>
          <w:rFonts w:hint="eastAsia" w:ascii="宋体" w:hAnsi="宋体" w:eastAsia="宋体" w:cs="宋体"/>
          <w:color w:val="auto"/>
          <w:spacing w:val="7"/>
          <w:sz w:val="20"/>
          <w:szCs w:val="20"/>
          <w:highlight w:val="none"/>
          <w:u w:val="single" w:color="auto"/>
        </w:rPr>
        <w:t>（6）图纸会审和设计交底时间：开工前7天，由发包人组织承包人和设计单位进行图纸会审和设计交底。</w:t>
      </w:r>
    </w:p>
    <w:p w14:paraId="5743DBE3">
      <w:pPr>
        <w:autoSpaceDE/>
        <w:autoSpaceDN/>
        <w:spacing w:before="95" w:line="360" w:lineRule="auto"/>
        <w:ind w:left="0" w:firstLine="428" w:firstLineChars="200"/>
        <w:rPr>
          <w:rFonts w:hint="eastAsia" w:ascii="宋体" w:hAnsi="宋体" w:eastAsia="宋体" w:cs="宋体"/>
          <w:color w:val="auto"/>
          <w:spacing w:val="7"/>
          <w:sz w:val="20"/>
          <w:szCs w:val="20"/>
          <w:highlight w:val="none"/>
          <w:u w:val="single" w:color="auto"/>
        </w:rPr>
      </w:pPr>
      <w:r>
        <w:rPr>
          <w:rFonts w:hint="eastAsia" w:ascii="宋体" w:hAnsi="宋体" w:eastAsia="宋体" w:cs="宋体"/>
          <w:color w:val="auto"/>
          <w:spacing w:val="7"/>
          <w:sz w:val="20"/>
          <w:szCs w:val="20"/>
          <w:highlight w:val="none"/>
          <w:u w:val="single" w:color="auto"/>
        </w:rPr>
        <w:t>（7）协调处理施工场地周围地下管线和邻近建筑物、构筑物（含文物保护建筑）、古树名木的保护工作：按通用条款执行。若因地下管线，障碍物影响造成的费用增加及施工损失，由发包人承担。</w:t>
      </w:r>
    </w:p>
    <w:p w14:paraId="4193F1B4">
      <w:pPr>
        <w:autoSpaceDE/>
        <w:autoSpaceDN/>
        <w:spacing w:before="95" w:line="360" w:lineRule="auto"/>
        <w:ind w:left="0" w:firstLine="428" w:firstLineChars="200"/>
        <w:rPr>
          <w:rFonts w:hint="eastAsia" w:ascii="宋体" w:hAnsi="宋体" w:eastAsia="宋体" w:cs="宋体"/>
          <w:color w:val="auto"/>
          <w:spacing w:val="7"/>
          <w:sz w:val="20"/>
          <w:szCs w:val="20"/>
          <w:highlight w:val="none"/>
          <w:u w:val="single" w:color="auto"/>
        </w:rPr>
      </w:pPr>
      <w:r>
        <w:rPr>
          <w:rFonts w:hint="eastAsia" w:ascii="宋体" w:hAnsi="宋体" w:eastAsia="宋体" w:cs="宋体"/>
          <w:color w:val="auto"/>
          <w:spacing w:val="7"/>
          <w:sz w:val="20"/>
          <w:szCs w:val="20"/>
          <w:highlight w:val="none"/>
          <w:u w:val="single" w:color="auto"/>
        </w:rPr>
        <w:t>（8）土方作业时冲洗平台和密闭车辆的标准：要求密封，承包人负责完善，费用已含在单价中（施工现场必须设有“三池一设备”；要求车辆冲洗设施设置在工地出入口主便道上，按《关于规范施工现场渣土运输管理办法》执行）；未按要求执行的，发包人有权暂不予以支付安全文明施工费。</w:t>
      </w:r>
    </w:p>
    <w:p w14:paraId="14C9E617">
      <w:pPr>
        <w:autoSpaceDE/>
        <w:autoSpaceDN/>
        <w:spacing w:before="95" w:line="360" w:lineRule="auto"/>
        <w:ind w:left="0" w:firstLine="428" w:firstLineChars="200"/>
        <w:rPr>
          <w:rFonts w:hint="eastAsia" w:ascii="宋体" w:hAnsi="宋体" w:eastAsia="宋体" w:cs="宋体"/>
          <w:color w:val="auto"/>
          <w:spacing w:val="7"/>
          <w:sz w:val="20"/>
          <w:szCs w:val="20"/>
          <w:highlight w:val="none"/>
          <w:u w:val="single" w:color="auto"/>
        </w:rPr>
      </w:pPr>
      <w:r>
        <w:rPr>
          <w:rFonts w:hint="eastAsia" w:ascii="宋体" w:hAnsi="宋体" w:eastAsia="宋体" w:cs="宋体"/>
          <w:color w:val="auto"/>
          <w:spacing w:val="7"/>
          <w:sz w:val="20"/>
          <w:szCs w:val="20"/>
          <w:highlight w:val="none"/>
          <w:u w:val="single" w:color="auto"/>
        </w:rPr>
        <w:t>（9）消纳场的具体位置及其合理运距：按就近消纳、成本最小化的基本原则，发包人可优先指定具体在建项目进行消纳，合理调配土方平衡，控制投资成本，运输路线由各参建单位核准，消纳费以实际发生为准，且不得超出政府规定单价；如发包人未指定的，承包人需办理崇左市城市建筑垃圾处置许可证，按许可证批复的消纳场进行消纳，运输路线由各参建单位核准，消纳费按政府规定单价执行；施工过程中出现新开设的消纳场，且运距更短，则立即进行调整，按开设日期进行调整计价。承包人非法弃土的，则不予计量支付。非法弃土所产生的一切后果，由承包人自行负责和承担。</w:t>
      </w:r>
    </w:p>
    <w:p w14:paraId="29AB5F60">
      <w:pPr>
        <w:autoSpaceDE/>
        <w:autoSpaceDN/>
        <w:spacing w:before="95" w:line="360" w:lineRule="auto"/>
        <w:ind w:left="0" w:firstLine="428" w:firstLineChars="200"/>
        <w:rPr>
          <w:rFonts w:hint="eastAsia" w:ascii="宋体" w:hAnsi="宋体" w:eastAsia="宋体" w:cs="宋体"/>
          <w:color w:val="auto"/>
          <w:spacing w:val="7"/>
          <w:sz w:val="20"/>
          <w:szCs w:val="20"/>
          <w:highlight w:val="none"/>
          <w:u w:val="single" w:color="auto"/>
        </w:rPr>
      </w:pPr>
      <w:r>
        <w:rPr>
          <w:rFonts w:hint="eastAsia" w:ascii="宋体" w:hAnsi="宋体" w:eastAsia="宋体" w:cs="宋体"/>
          <w:color w:val="auto"/>
          <w:spacing w:val="7"/>
          <w:sz w:val="20"/>
          <w:szCs w:val="20"/>
          <w:highlight w:val="none"/>
          <w:u w:val="single" w:color="auto"/>
        </w:rPr>
        <w:t>（10）由于工地现场条件有限，由承包人自行考虑安排符合规范要求的办公场所及人员住宿场所。相关费用自行负责。</w:t>
      </w:r>
    </w:p>
    <w:p w14:paraId="35DE6F29">
      <w:pPr>
        <w:autoSpaceDE/>
        <w:autoSpaceDN/>
        <w:spacing w:before="95" w:line="360" w:lineRule="auto"/>
        <w:ind w:left="0" w:firstLine="428" w:firstLineChars="200"/>
        <w:rPr>
          <w:rFonts w:hint="eastAsia" w:ascii="宋体" w:hAnsi="宋体" w:eastAsia="宋体" w:cs="宋体"/>
          <w:color w:val="auto"/>
          <w:spacing w:val="7"/>
          <w:sz w:val="20"/>
          <w:szCs w:val="20"/>
          <w:highlight w:val="none"/>
          <w:u w:val="single" w:color="auto"/>
        </w:rPr>
      </w:pPr>
      <w:r>
        <w:rPr>
          <w:rFonts w:hint="eastAsia" w:ascii="宋体" w:hAnsi="宋体" w:eastAsia="宋体" w:cs="宋体"/>
          <w:color w:val="auto"/>
          <w:spacing w:val="7"/>
          <w:sz w:val="20"/>
          <w:szCs w:val="20"/>
          <w:highlight w:val="none"/>
          <w:u w:val="single" w:color="auto"/>
        </w:rPr>
        <w:t>（11）由承包人负责管线迁改（包括红线内及出入口）的实施，具体价格由双方协商并报发包人及发包人聘请的第三方审计机构确认。</w:t>
      </w:r>
    </w:p>
    <w:p w14:paraId="0D01EC31">
      <w:pPr>
        <w:autoSpaceDE/>
        <w:autoSpaceDN/>
        <w:spacing w:before="95" w:line="360" w:lineRule="auto"/>
        <w:ind w:left="0" w:firstLine="428" w:firstLineChars="200"/>
        <w:rPr>
          <w:rFonts w:hint="eastAsia" w:ascii="宋体" w:hAnsi="宋体" w:eastAsia="宋体" w:cs="宋体"/>
          <w:color w:val="auto"/>
          <w:spacing w:val="7"/>
          <w:sz w:val="20"/>
          <w:szCs w:val="20"/>
          <w:highlight w:val="none"/>
          <w:u w:val="single" w:color="auto"/>
        </w:rPr>
      </w:pPr>
      <w:r>
        <w:rPr>
          <w:rFonts w:hint="eastAsia" w:ascii="宋体" w:hAnsi="宋体" w:eastAsia="宋体" w:cs="宋体"/>
          <w:color w:val="auto"/>
          <w:spacing w:val="7"/>
          <w:sz w:val="20"/>
          <w:szCs w:val="20"/>
          <w:highlight w:val="none"/>
          <w:u w:val="single" w:color="auto"/>
        </w:rPr>
        <w:t>（12）施工现场存在交叉施工情况，承包人不得收取总包服务费，且不得以交叉施工作原因延长工期。</w:t>
      </w:r>
    </w:p>
    <w:p w14:paraId="5DC96F93">
      <w:pPr>
        <w:autoSpaceDE/>
        <w:autoSpaceDN/>
        <w:spacing w:before="95" w:line="360" w:lineRule="auto"/>
        <w:ind w:left="0" w:firstLine="428" w:firstLineChars="200"/>
        <w:rPr>
          <w:rFonts w:hint="eastAsia" w:ascii="宋体" w:hAnsi="宋体" w:eastAsia="宋体" w:cs="宋体"/>
          <w:color w:val="auto"/>
          <w:spacing w:val="7"/>
          <w:sz w:val="20"/>
          <w:szCs w:val="20"/>
          <w:highlight w:val="none"/>
          <w:u w:val="single" w:color="auto"/>
        </w:rPr>
      </w:pPr>
      <w:r>
        <w:rPr>
          <w:rFonts w:hint="eastAsia" w:ascii="宋体" w:hAnsi="宋体" w:eastAsia="宋体" w:cs="宋体"/>
          <w:color w:val="auto"/>
          <w:spacing w:val="7"/>
          <w:sz w:val="20"/>
          <w:szCs w:val="20"/>
          <w:highlight w:val="none"/>
          <w:u w:val="single" w:color="auto"/>
        </w:rPr>
        <w:t>（13）双方约定发包人应做的其他工作：在施工期间，负责理顺施工现场周围单位和个人之间的土地纠纷、财产纠纷等关系，并承担相关费用。</w:t>
      </w:r>
    </w:p>
    <w:p w14:paraId="6CB8FACA">
      <w:pPr>
        <w:autoSpaceDE/>
        <w:autoSpaceDN/>
        <w:spacing w:before="95" w:line="360" w:lineRule="auto"/>
        <w:ind w:left="0" w:firstLine="428" w:firstLineChars="200"/>
        <w:rPr>
          <w:rFonts w:ascii="宋体" w:hAnsi="宋体" w:eastAsia="宋体" w:cs="宋体"/>
          <w:color w:val="auto"/>
          <w:sz w:val="20"/>
          <w:szCs w:val="20"/>
          <w:highlight w:val="none"/>
        </w:rPr>
      </w:pPr>
      <w:r>
        <w:rPr>
          <w:rFonts w:hint="eastAsia" w:ascii="宋体" w:hAnsi="宋体" w:eastAsia="宋体" w:cs="宋体"/>
          <w:color w:val="auto"/>
          <w:spacing w:val="7"/>
          <w:sz w:val="20"/>
          <w:szCs w:val="20"/>
          <w:highlight w:val="none"/>
          <w:u w:val="single" w:color="auto"/>
        </w:rPr>
        <w:t>（14）发包人委托承包人办理的工作：配合、协助办理项目施工所需相关手续，各付相关费用</w:t>
      </w:r>
      <w:r>
        <w:rPr>
          <w:rFonts w:ascii="宋体" w:hAnsi="宋体" w:eastAsia="宋体" w:cs="宋体"/>
          <w:color w:val="auto"/>
          <w:spacing w:val="6"/>
          <w:sz w:val="20"/>
          <w:szCs w:val="20"/>
          <w:highlight w:val="none"/>
        </w:rPr>
        <w:t>。</w:t>
      </w:r>
    </w:p>
    <w:p w14:paraId="405FF983">
      <w:pPr>
        <w:autoSpaceDE/>
        <w:autoSpaceDN/>
        <w:spacing w:before="94"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*将</w:t>
      </w:r>
      <w:r>
        <w:rPr>
          <w:rFonts w:hint="eastAsia" w:ascii="宋体" w:hAnsi="宋体" w:eastAsia="宋体" w:cs="宋体"/>
          <w:color w:val="auto"/>
          <w:spacing w:val="4"/>
          <w:sz w:val="20"/>
          <w:szCs w:val="20"/>
          <w:highlight w:val="none"/>
          <w:lang w:eastAsia="zh-CN"/>
        </w:rPr>
        <w:t>施工</w:t>
      </w:r>
      <w:r>
        <w:rPr>
          <w:rFonts w:ascii="宋体" w:hAnsi="宋体" w:eastAsia="宋体" w:cs="宋体"/>
          <w:color w:val="auto"/>
          <w:spacing w:val="4"/>
          <w:sz w:val="20"/>
          <w:szCs w:val="20"/>
          <w:highlight w:val="none"/>
        </w:rPr>
        <w:t>所需的水、电、电讯线路接至</w:t>
      </w:r>
      <w:r>
        <w:rPr>
          <w:rFonts w:hint="eastAsia" w:ascii="宋体" w:hAnsi="宋体" w:eastAsia="宋体" w:cs="宋体"/>
          <w:color w:val="auto"/>
          <w:spacing w:val="4"/>
          <w:sz w:val="20"/>
          <w:szCs w:val="20"/>
          <w:highlight w:val="none"/>
        </w:rPr>
        <w:t>承包人的施工现场总平面布置图指定的位置，保证水电供应满足施工期间的需要。</w:t>
      </w:r>
    </w:p>
    <w:p w14:paraId="15C1C16B">
      <w:pPr>
        <w:autoSpaceDE/>
        <w:autoSpaceDN/>
        <w:spacing w:before="94" w:line="360" w:lineRule="auto"/>
        <w:ind w:left="0" w:firstLine="426" w:firstLineChars="200"/>
        <w:outlineLvl w:val="2"/>
        <w:rPr>
          <w:rFonts w:ascii="宋体" w:hAnsi="宋体" w:eastAsia="宋体" w:cs="宋体"/>
          <w:color w:val="auto"/>
          <w:sz w:val="20"/>
          <w:szCs w:val="20"/>
          <w:highlight w:val="none"/>
        </w:rPr>
      </w:pPr>
      <w:bookmarkStart w:id="195" w:name="_Toc15996"/>
      <w:bookmarkStart w:id="196" w:name="_Toc723"/>
      <w:bookmarkStart w:id="197" w:name="_Toc27368"/>
      <w:r>
        <w:rPr>
          <w:rFonts w:ascii="宋体" w:hAnsi="宋体" w:eastAsia="宋体" w:cs="宋体"/>
          <w:b/>
          <w:bCs/>
          <w:color w:val="auto"/>
          <w:spacing w:val="6"/>
          <w:sz w:val="20"/>
          <w:szCs w:val="20"/>
          <w:highlight w:val="none"/>
        </w:rPr>
        <w:t>2.5</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资金来源证明及支付担保</w:t>
      </w:r>
      <w:bookmarkEnd w:id="195"/>
      <w:bookmarkEnd w:id="196"/>
      <w:bookmarkEnd w:id="197"/>
    </w:p>
    <w:p w14:paraId="07226D11">
      <w:pPr>
        <w:autoSpaceDE/>
        <w:autoSpaceDN/>
        <w:spacing w:before="94"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发包人提供资金来源证明的期限要求：</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无</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501DD962">
      <w:pPr>
        <w:autoSpaceDE/>
        <w:autoSpaceDN/>
        <w:spacing w:before="93"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发包人是否提供支付担保：</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 xml:space="preserve">无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1354A301">
      <w:pPr>
        <w:autoSpaceDE/>
        <w:autoSpaceDN/>
        <w:spacing w:before="94" w:line="360" w:lineRule="auto"/>
        <w:ind w:left="0" w:right="2580" w:firstLine="424" w:firstLineChars="200"/>
        <w:rPr>
          <w:rFonts w:ascii="宋体" w:hAnsi="宋体" w:eastAsia="宋体" w:cs="宋体"/>
          <w:color w:val="auto"/>
          <w:spacing w:val="5"/>
          <w:sz w:val="20"/>
          <w:szCs w:val="20"/>
          <w:highlight w:val="none"/>
        </w:rPr>
      </w:pPr>
      <w:r>
        <w:rPr>
          <w:rFonts w:ascii="宋体" w:hAnsi="宋体" w:eastAsia="宋体" w:cs="宋体"/>
          <w:color w:val="auto"/>
          <w:spacing w:val="6"/>
          <w:sz w:val="20"/>
          <w:szCs w:val="20"/>
          <w:highlight w:val="none"/>
        </w:rPr>
        <w:t>发包人提供支付担保的形式：</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19EC7AE6">
      <w:pPr>
        <w:autoSpaceDE/>
        <w:autoSpaceDN/>
        <w:spacing w:before="94" w:line="360" w:lineRule="auto"/>
        <w:ind w:left="0" w:right="2580" w:firstLine="428" w:firstLineChars="200"/>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发包人提供的支付担保格式见合同附件</w:t>
      </w:r>
      <w:r>
        <w:rPr>
          <w:rFonts w:ascii="宋体" w:hAnsi="宋体" w:eastAsia="宋体" w:cs="宋体"/>
          <w:color w:val="auto"/>
          <w:spacing w:val="-20"/>
          <w:sz w:val="20"/>
          <w:szCs w:val="20"/>
          <w:highlight w:val="none"/>
        </w:rPr>
        <w:t xml:space="preserve"> </w:t>
      </w:r>
      <w:r>
        <w:rPr>
          <w:rFonts w:hint="eastAsia" w:ascii="宋体" w:hAnsi="宋体" w:eastAsia="宋体" w:cs="宋体"/>
          <w:color w:val="auto"/>
          <w:spacing w:val="7"/>
          <w:sz w:val="20"/>
          <w:szCs w:val="20"/>
          <w:highlight w:val="none"/>
          <w:lang w:val="en-US" w:eastAsia="zh-CN"/>
        </w:rPr>
        <w:t>3</w:t>
      </w:r>
      <w:r>
        <w:rPr>
          <w:rFonts w:ascii="宋体" w:hAnsi="宋体" w:eastAsia="宋体" w:cs="宋体"/>
          <w:color w:val="auto"/>
          <w:spacing w:val="7"/>
          <w:sz w:val="20"/>
          <w:szCs w:val="20"/>
          <w:highlight w:val="none"/>
        </w:rPr>
        <w:t>。</w:t>
      </w:r>
    </w:p>
    <w:p w14:paraId="378E9418">
      <w:pPr>
        <w:autoSpaceDE/>
        <w:autoSpaceDN/>
        <w:spacing w:before="41" w:line="360" w:lineRule="auto"/>
        <w:ind w:left="0" w:firstLine="410" w:firstLineChars="200"/>
        <w:outlineLvl w:val="1"/>
        <w:rPr>
          <w:rFonts w:ascii="宋体" w:hAnsi="宋体" w:eastAsia="宋体" w:cs="宋体"/>
          <w:color w:val="auto"/>
          <w:sz w:val="20"/>
          <w:szCs w:val="20"/>
          <w:highlight w:val="none"/>
        </w:rPr>
      </w:pPr>
      <w:bookmarkStart w:id="198" w:name="_Toc22158"/>
      <w:bookmarkStart w:id="199" w:name="_Toc24689"/>
      <w:bookmarkStart w:id="200" w:name="_Toc5196"/>
      <w:r>
        <w:rPr>
          <w:rFonts w:ascii="宋体" w:hAnsi="宋体" w:eastAsia="宋体" w:cs="宋体"/>
          <w:b/>
          <w:bCs/>
          <w:color w:val="auto"/>
          <w:spacing w:val="2"/>
          <w:sz w:val="20"/>
          <w:szCs w:val="20"/>
          <w:highlight w:val="none"/>
        </w:rPr>
        <w:t>3.</w:t>
      </w:r>
      <w:r>
        <w:rPr>
          <w:rFonts w:ascii="宋体" w:hAnsi="宋体" w:eastAsia="宋体" w:cs="宋体"/>
          <w:color w:val="auto"/>
          <w:spacing w:val="14"/>
          <w:sz w:val="20"/>
          <w:szCs w:val="20"/>
          <w:highlight w:val="none"/>
        </w:rPr>
        <w:t xml:space="preserve"> </w:t>
      </w:r>
      <w:r>
        <w:rPr>
          <w:rFonts w:ascii="宋体" w:hAnsi="宋体" w:eastAsia="宋体" w:cs="宋体"/>
          <w:b/>
          <w:bCs/>
          <w:color w:val="auto"/>
          <w:spacing w:val="2"/>
          <w:sz w:val="20"/>
          <w:szCs w:val="20"/>
          <w:highlight w:val="none"/>
        </w:rPr>
        <w:t>承包人</w:t>
      </w:r>
      <w:bookmarkEnd w:id="198"/>
      <w:bookmarkEnd w:id="199"/>
      <w:bookmarkEnd w:id="200"/>
    </w:p>
    <w:p w14:paraId="28098518">
      <w:pPr>
        <w:autoSpaceDE/>
        <w:autoSpaceDN/>
        <w:spacing w:before="153" w:line="360" w:lineRule="auto"/>
        <w:ind w:left="0" w:firstLine="422" w:firstLineChars="200"/>
        <w:outlineLvl w:val="2"/>
        <w:rPr>
          <w:rFonts w:ascii="宋体" w:hAnsi="宋体" w:eastAsia="宋体" w:cs="宋体"/>
          <w:color w:val="auto"/>
          <w:sz w:val="20"/>
          <w:szCs w:val="20"/>
          <w:highlight w:val="none"/>
        </w:rPr>
      </w:pPr>
      <w:bookmarkStart w:id="201" w:name="_Toc2728"/>
      <w:bookmarkStart w:id="202" w:name="_Toc29276"/>
      <w:bookmarkStart w:id="203" w:name="_Toc9032"/>
      <w:r>
        <w:rPr>
          <w:rFonts w:ascii="宋体" w:hAnsi="宋体" w:eastAsia="宋体" w:cs="宋体"/>
          <w:b/>
          <w:bCs/>
          <w:color w:val="auto"/>
          <w:spacing w:val="5"/>
          <w:sz w:val="20"/>
          <w:szCs w:val="20"/>
          <w:highlight w:val="none"/>
        </w:rPr>
        <w:t>3.1</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承包人的一般义务</w:t>
      </w:r>
      <w:bookmarkEnd w:id="201"/>
      <w:bookmarkEnd w:id="202"/>
      <w:bookmarkEnd w:id="203"/>
    </w:p>
    <w:p w14:paraId="11B3FB25">
      <w:pPr>
        <w:autoSpaceDE/>
        <w:autoSpaceDN/>
        <w:spacing w:before="93" w:line="360" w:lineRule="auto"/>
        <w:ind w:left="0" w:right="794"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（9）承包人提交的竣工资料的内容：</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①竣工图纸；②设计变更、洽商记录、现场签证；③施工资料：控制资料（含：材料检试验报告、施工记录、检验批质量、隐蔽工程记录、分项工程验收记录、分部工程验收记录）；④管理资料（含：开工报审表、施工日志、施工组织设计）</w:t>
      </w:r>
      <w:r>
        <w:rPr>
          <w:rFonts w:ascii="宋体" w:hAnsi="宋体" w:eastAsia="宋体" w:cs="宋体"/>
          <w:color w:val="auto"/>
          <w:spacing w:val="5"/>
          <w:sz w:val="20"/>
          <w:szCs w:val="20"/>
          <w:highlight w:val="none"/>
        </w:rPr>
        <w:t>。</w:t>
      </w:r>
    </w:p>
    <w:p w14:paraId="685A138B">
      <w:pPr>
        <w:autoSpaceDE/>
        <w:autoSpaceDN/>
        <w:spacing w:before="93" w:line="360" w:lineRule="auto"/>
        <w:ind w:left="0" w:right="794"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承包人需要提交的竣工资料套数：</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纸质版本肆套竣工图（CAD电子版一份）、肆套竣工资料</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62F55DCC">
      <w:pPr>
        <w:autoSpaceDE/>
        <w:autoSpaceDN/>
        <w:spacing w:before="30" w:line="360" w:lineRule="auto"/>
        <w:ind w:left="0" w:right="2575" w:firstLine="424" w:firstLineChars="200"/>
        <w:jc w:val="both"/>
        <w:rPr>
          <w:rFonts w:ascii="宋体" w:hAnsi="宋体" w:eastAsia="宋体" w:cs="宋体"/>
          <w:color w:val="auto"/>
          <w:spacing w:val="2"/>
          <w:sz w:val="20"/>
          <w:szCs w:val="20"/>
          <w:highlight w:val="none"/>
        </w:rPr>
      </w:pPr>
      <w:r>
        <w:rPr>
          <w:rFonts w:ascii="宋体" w:hAnsi="宋体" w:eastAsia="宋体" w:cs="宋体"/>
          <w:color w:val="auto"/>
          <w:spacing w:val="6"/>
          <w:sz w:val="20"/>
          <w:szCs w:val="20"/>
          <w:highlight w:val="none"/>
        </w:rPr>
        <w:t>承包人提交的竣工资料的费用承担：</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承包人负责</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2"/>
          <w:sz w:val="20"/>
          <w:szCs w:val="20"/>
          <w:highlight w:val="none"/>
        </w:rPr>
        <w:t xml:space="preserve"> </w:t>
      </w:r>
    </w:p>
    <w:p w14:paraId="57EB9437">
      <w:pPr>
        <w:autoSpaceDE/>
        <w:autoSpaceDN/>
        <w:spacing w:before="30" w:line="360" w:lineRule="auto"/>
        <w:ind w:left="0" w:right="2575" w:firstLine="424" w:firstLineChars="200"/>
        <w:jc w:val="both"/>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承包人提交的竣工资料移交时间：</w:t>
      </w:r>
      <w:r>
        <w:rPr>
          <w:rFonts w:hint="eastAsia" w:ascii="宋体" w:hAnsi="宋体" w:eastAsia="宋体" w:cs="宋体"/>
          <w:color w:val="auto"/>
          <w:spacing w:val="6"/>
          <w:sz w:val="20"/>
          <w:szCs w:val="20"/>
          <w:highlight w:val="none"/>
          <w:u w:val="single" w:color="auto"/>
        </w:rPr>
        <w:t>竣工验收合格之日起28天</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p>
    <w:p w14:paraId="558D9054">
      <w:pPr>
        <w:autoSpaceDE/>
        <w:autoSpaceDN/>
        <w:spacing w:before="0" w:line="360" w:lineRule="auto"/>
        <w:ind w:left="0" w:right="0" w:firstLine="424" w:firstLineChars="200"/>
        <w:jc w:val="left"/>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承包人提交的竣工资料形式要求：</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按竣工资料整理要求编制形成纸质资料并装订成册</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025D0B9A">
      <w:pPr>
        <w:autoSpaceDE/>
        <w:autoSpaceDN/>
        <w:spacing w:before="33" w:line="360" w:lineRule="auto"/>
        <w:ind w:left="0" w:right="0" w:firstLine="428" w:firstLineChars="200"/>
        <w:rPr>
          <w:rFonts w:ascii="宋体" w:hAnsi="宋体" w:eastAsia="宋体" w:cs="宋体"/>
          <w:color w:val="auto"/>
          <w:sz w:val="20"/>
          <w:szCs w:val="20"/>
          <w:highlight w:val="none"/>
          <w:u w:val="single" w:color="auto"/>
        </w:rPr>
      </w:pPr>
      <w:r>
        <w:rPr>
          <w:rFonts w:ascii="宋体" w:hAnsi="宋体" w:eastAsia="宋体" w:cs="宋体"/>
          <w:color w:val="auto"/>
          <w:spacing w:val="7"/>
          <w:sz w:val="20"/>
          <w:szCs w:val="20"/>
          <w:highlight w:val="none"/>
        </w:rPr>
        <w:t>（10）承包人应履行的其他义务：</w:t>
      </w:r>
    </w:p>
    <w:p w14:paraId="441CC138">
      <w:pPr>
        <w:autoSpaceDE/>
        <w:autoSpaceDN/>
        <w:spacing w:before="33" w:line="360" w:lineRule="auto"/>
        <w:ind w:left="0" w:right="0" w:firstLine="430" w:firstLineChars="20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u w:val="single" w:color="auto"/>
        </w:rPr>
        <w:t>①施工场地周围地下管线和邻近建筑物、构</w:t>
      </w:r>
      <w:r>
        <w:rPr>
          <w:rFonts w:ascii="宋体" w:hAnsi="宋体" w:eastAsia="宋体" w:cs="宋体"/>
          <w:b/>
          <w:bCs/>
          <w:color w:val="auto"/>
          <w:spacing w:val="6"/>
          <w:sz w:val="20"/>
          <w:szCs w:val="20"/>
          <w:highlight w:val="none"/>
          <w:u w:val="single" w:color="auto"/>
        </w:rPr>
        <w:t>筑物（含文物保护建筑）、古树名木的保护要</w:t>
      </w:r>
      <w:r>
        <w:rPr>
          <w:rFonts w:ascii="宋体" w:hAnsi="宋体" w:eastAsia="宋体" w:cs="宋体"/>
          <w:b/>
          <w:bCs/>
          <w:color w:val="auto"/>
          <w:spacing w:val="9"/>
          <w:sz w:val="20"/>
          <w:szCs w:val="20"/>
          <w:highlight w:val="none"/>
          <w:u w:val="single" w:color="auto"/>
        </w:rPr>
        <w:t>求及费用承担：承包人施工时应探明并负责保护且承包费用，施工时如损坏地下管线、邻近建筑物、构筑物，所发生费用由承包人承担。</w:t>
      </w:r>
    </w:p>
    <w:p w14:paraId="27F4BAFA">
      <w:pPr>
        <w:autoSpaceDE/>
        <w:autoSpaceDN/>
        <w:spacing w:before="92" w:line="360" w:lineRule="auto"/>
        <w:ind w:left="0" w:firstLine="438" w:firstLineChars="200"/>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u w:val="single" w:color="auto"/>
        </w:rPr>
        <w:t>②取土场及弃土场由承包人自行解决，但不得违反相关管理规定，并承担相</w:t>
      </w:r>
      <w:r>
        <w:rPr>
          <w:rFonts w:ascii="宋体" w:hAnsi="宋体" w:eastAsia="宋体" w:cs="宋体"/>
          <w:b/>
          <w:bCs/>
          <w:color w:val="auto"/>
          <w:spacing w:val="8"/>
          <w:sz w:val="20"/>
          <w:szCs w:val="20"/>
          <w:highlight w:val="none"/>
          <w:u w:val="single" w:color="auto"/>
        </w:rPr>
        <w:t>关费用。</w:t>
      </w:r>
    </w:p>
    <w:p w14:paraId="7CA07FC2">
      <w:pPr>
        <w:autoSpaceDE/>
        <w:autoSpaceDN/>
        <w:spacing w:before="100" w:line="360" w:lineRule="auto"/>
        <w:ind w:left="0" w:right="68" w:firstLine="438" w:firstLineChars="200"/>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u w:val="single" w:color="auto"/>
        </w:rPr>
        <w:t>③按照广西壮族自治区总工会、广西壮族自治区住房和城乡建设厅《关于进一步加强全区</w:t>
      </w:r>
      <w:r>
        <w:rPr>
          <w:rFonts w:ascii="宋体" w:hAnsi="宋体" w:eastAsia="宋体" w:cs="宋体"/>
          <w:b/>
          <w:bCs/>
          <w:color w:val="auto"/>
          <w:spacing w:val="7"/>
          <w:sz w:val="20"/>
          <w:szCs w:val="20"/>
          <w:highlight w:val="none"/>
          <w:u w:val="single" w:color="auto"/>
        </w:rPr>
        <w:t>住房城乡建设系统组建工会和职工维权工作的</w:t>
      </w:r>
      <w:r>
        <w:rPr>
          <w:rFonts w:ascii="宋体" w:hAnsi="宋体" w:eastAsia="宋体" w:cs="宋体"/>
          <w:b/>
          <w:bCs/>
          <w:color w:val="auto"/>
          <w:spacing w:val="6"/>
          <w:sz w:val="20"/>
          <w:szCs w:val="20"/>
          <w:highlight w:val="none"/>
          <w:u w:val="single" w:color="auto"/>
        </w:rPr>
        <w:t>意见》(桂工发[2013]29</w:t>
      </w:r>
      <w:r>
        <w:rPr>
          <w:rFonts w:ascii="宋体" w:hAnsi="宋体" w:eastAsia="宋体" w:cs="宋体"/>
          <w:color w:val="auto"/>
          <w:spacing w:val="-32"/>
          <w:sz w:val="20"/>
          <w:szCs w:val="20"/>
          <w:highlight w:val="none"/>
          <w:u w:val="single" w:color="auto"/>
        </w:rPr>
        <w:t xml:space="preserve"> </w:t>
      </w:r>
      <w:r>
        <w:rPr>
          <w:rFonts w:ascii="宋体" w:hAnsi="宋体" w:eastAsia="宋体" w:cs="宋体"/>
          <w:b/>
          <w:bCs/>
          <w:color w:val="auto"/>
          <w:spacing w:val="6"/>
          <w:sz w:val="20"/>
          <w:szCs w:val="20"/>
          <w:highlight w:val="none"/>
          <w:u w:val="single" w:color="auto"/>
        </w:rPr>
        <w:t>号)相关规定，承包人应在收到中标通知书之日起</w:t>
      </w:r>
      <w:r>
        <w:rPr>
          <w:rFonts w:ascii="宋体" w:hAnsi="宋体" w:eastAsia="宋体" w:cs="宋体"/>
          <w:color w:val="auto"/>
          <w:spacing w:val="-21"/>
          <w:sz w:val="20"/>
          <w:szCs w:val="20"/>
          <w:highlight w:val="none"/>
          <w:u w:val="single" w:color="auto"/>
        </w:rPr>
        <w:t xml:space="preserve"> </w:t>
      </w:r>
      <w:r>
        <w:rPr>
          <w:rFonts w:ascii="宋体" w:hAnsi="宋体" w:eastAsia="宋体" w:cs="宋体"/>
          <w:b/>
          <w:bCs/>
          <w:color w:val="auto"/>
          <w:spacing w:val="6"/>
          <w:sz w:val="20"/>
          <w:szCs w:val="20"/>
          <w:highlight w:val="none"/>
          <w:u w:val="single" w:color="auto"/>
        </w:rPr>
        <w:t>10</w:t>
      </w:r>
      <w:r>
        <w:rPr>
          <w:rFonts w:ascii="宋体" w:hAnsi="宋体" w:eastAsia="宋体" w:cs="宋体"/>
          <w:color w:val="auto"/>
          <w:spacing w:val="-38"/>
          <w:sz w:val="20"/>
          <w:szCs w:val="20"/>
          <w:highlight w:val="none"/>
          <w:u w:val="single" w:color="auto"/>
        </w:rPr>
        <w:t xml:space="preserve"> </w:t>
      </w:r>
      <w:r>
        <w:rPr>
          <w:rFonts w:ascii="宋体" w:hAnsi="宋体" w:eastAsia="宋体" w:cs="宋体"/>
          <w:b/>
          <w:bCs/>
          <w:color w:val="auto"/>
          <w:spacing w:val="6"/>
          <w:sz w:val="20"/>
          <w:szCs w:val="20"/>
          <w:highlight w:val="none"/>
          <w:u w:val="single" w:color="auto"/>
        </w:rPr>
        <w:t>个工作日内，</w:t>
      </w:r>
      <w:r>
        <w:rPr>
          <w:rFonts w:ascii="宋体" w:hAnsi="宋体" w:eastAsia="宋体" w:cs="宋体"/>
          <w:b/>
          <w:bCs/>
          <w:color w:val="auto"/>
          <w:spacing w:val="5"/>
          <w:sz w:val="20"/>
          <w:szCs w:val="20"/>
          <w:highlight w:val="none"/>
          <w:u w:val="single" w:color="auto"/>
        </w:rPr>
        <w:t>成立项目工会并拨缴工会经费（建会筹备金）。应缴</w:t>
      </w:r>
      <w:r>
        <w:rPr>
          <w:rFonts w:ascii="宋体" w:hAnsi="宋体" w:eastAsia="宋体" w:cs="宋体"/>
          <w:b/>
          <w:bCs/>
          <w:color w:val="auto"/>
          <w:spacing w:val="7"/>
          <w:sz w:val="20"/>
          <w:szCs w:val="20"/>
          <w:highlight w:val="none"/>
          <w:u w:val="single" w:color="auto"/>
        </w:rPr>
        <w:t>工会经费额的参考标准：</w:t>
      </w:r>
    </w:p>
    <w:p w14:paraId="292F646D">
      <w:pPr>
        <w:tabs>
          <w:tab w:val="left" w:pos="440"/>
        </w:tabs>
        <w:autoSpaceDE/>
        <w:autoSpaceDN/>
        <w:spacing w:before="95" w:line="360" w:lineRule="auto"/>
        <w:ind w:left="0" w:firstLine="430" w:firstLineChars="20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u w:val="single" w:color="auto"/>
        </w:rPr>
        <w:t>a.房建工程（含厂房和高层）的工会经费为工程项目中标价×10%×2%；</w:t>
      </w:r>
    </w:p>
    <w:p w14:paraId="523B6CED">
      <w:pPr>
        <w:autoSpaceDE/>
        <w:autoSpaceDN/>
        <w:spacing w:before="96" w:line="360" w:lineRule="auto"/>
        <w:ind w:left="0" w:firstLine="430" w:firstLineChars="20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u w:val="single" w:color="auto"/>
        </w:rPr>
        <w:t>b.学生公寓及教学综合楼的工会经费为工程项目中标价×10%×2%；</w:t>
      </w:r>
    </w:p>
    <w:p w14:paraId="3C6EEE4D">
      <w:pPr>
        <w:autoSpaceDE/>
        <w:autoSpaceDN/>
        <w:spacing w:before="93" w:line="360" w:lineRule="auto"/>
        <w:ind w:left="0" w:firstLine="430" w:firstLineChars="20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u w:val="single" w:color="auto"/>
        </w:rPr>
        <w:t>c.市政工程的工会经费为工程项目中标价×5%×2%；</w:t>
      </w:r>
    </w:p>
    <w:p w14:paraId="5F158B4D">
      <w:pPr>
        <w:autoSpaceDE/>
        <w:autoSpaceDN/>
        <w:spacing w:before="96" w:line="360" w:lineRule="auto"/>
        <w:ind w:left="0" w:right="0" w:firstLine="430" w:firstLineChars="200"/>
        <w:jc w:val="left"/>
        <w:rPr>
          <w:rFonts w:ascii="宋体" w:hAnsi="宋体" w:eastAsia="宋体" w:cs="宋体"/>
          <w:color w:val="auto"/>
          <w:sz w:val="20"/>
          <w:szCs w:val="20"/>
          <w:highlight w:val="none"/>
          <w:u w:val="single" w:color="auto"/>
        </w:rPr>
      </w:pPr>
      <w:r>
        <w:rPr>
          <w:rFonts w:ascii="宋体" w:hAnsi="宋体" w:eastAsia="宋体" w:cs="宋体"/>
          <w:b/>
          <w:bCs/>
          <w:color w:val="auto"/>
          <w:spacing w:val="7"/>
          <w:sz w:val="20"/>
          <w:szCs w:val="20"/>
          <w:highlight w:val="none"/>
          <w:u w:val="single" w:color="auto"/>
        </w:rPr>
        <w:t>d.装饰工程的工会经费为工程项目中标价×4%×2%。</w:t>
      </w:r>
    </w:p>
    <w:p w14:paraId="3DD20649">
      <w:pPr>
        <w:autoSpaceDE/>
        <w:autoSpaceDN/>
        <w:spacing w:before="96" w:line="360" w:lineRule="auto"/>
        <w:ind w:left="0" w:right="0" w:firstLine="438" w:firstLineChars="200"/>
        <w:jc w:val="left"/>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u w:val="single" w:color="auto"/>
        </w:rPr>
        <w:t>承包人组建项目工会的同时，领取并填写《地方税（费）综合申报表》，带上施工合同原件及税务登记证副本（复印件</w:t>
      </w:r>
      <w:r>
        <w:rPr>
          <w:rFonts w:ascii="宋体" w:hAnsi="宋体" w:eastAsia="宋体" w:cs="宋体"/>
          <w:b/>
          <w:bCs/>
          <w:color w:val="auto"/>
          <w:spacing w:val="-2"/>
          <w:sz w:val="20"/>
          <w:szCs w:val="20"/>
          <w:highlight w:val="none"/>
          <w:u w:val="single" w:color="auto"/>
        </w:rPr>
        <w:t>）</w:t>
      </w:r>
      <w:r>
        <w:rPr>
          <w:rFonts w:ascii="宋体" w:hAnsi="宋体" w:eastAsia="宋体" w:cs="宋体"/>
          <w:color w:val="auto"/>
          <w:spacing w:val="-59"/>
          <w:sz w:val="20"/>
          <w:szCs w:val="20"/>
          <w:highlight w:val="none"/>
          <w:u w:val="single" w:color="auto"/>
        </w:rPr>
        <w:t xml:space="preserve"> </w:t>
      </w:r>
      <w:r>
        <w:rPr>
          <w:rFonts w:ascii="宋体" w:hAnsi="宋体" w:eastAsia="宋体" w:cs="宋体"/>
          <w:b/>
          <w:bCs/>
          <w:color w:val="auto"/>
          <w:spacing w:val="-2"/>
          <w:sz w:val="20"/>
          <w:szCs w:val="20"/>
          <w:highlight w:val="none"/>
          <w:u w:val="single" w:color="auto"/>
        </w:rPr>
        <w:t>，</w:t>
      </w:r>
      <w:r>
        <w:rPr>
          <w:rFonts w:ascii="宋体" w:hAnsi="宋体" w:eastAsia="宋体" w:cs="宋体"/>
          <w:b/>
          <w:bCs/>
          <w:color w:val="auto"/>
          <w:spacing w:val="9"/>
          <w:sz w:val="20"/>
          <w:szCs w:val="20"/>
          <w:highlight w:val="none"/>
          <w:u w:val="single" w:color="auto"/>
        </w:rPr>
        <w:t>到工程项目所在主管地税部</w:t>
      </w:r>
      <w:r>
        <w:rPr>
          <w:rFonts w:ascii="宋体" w:hAnsi="宋体" w:eastAsia="宋体" w:cs="宋体"/>
          <w:b/>
          <w:bCs/>
          <w:color w:val="auto"/>
          <w:spacing w:val="8"/>
          <w:sz w:val="20"/>
          <w:szCs w:val="20"/>
          <w:highlight w:val="none"/>
          <w:u w:val="single" w:color="auto"/>
        </w:rPr>
        <w:t>门办理工会经费缴费手续；区直</w:t>
      </w:r>
      <w:r>
        <w:rPr>
          <w:rFonts w:ascii="宋体" w:hAnsi="宋体" w:eastAsia="宋体" w:cs="宋体"/>
          <w:b/>
          <w:bCs/>
          <w:color w:val="auto"/>
          <w:spacing w:val="9"/>
          <w:sz w:val="20"/>
          <w:szCs w:val="20"/>
          <w:highlight w:val="none"/>
          <w:u w:val="single" w:color="auto"/>
        </w:rPr>
        <w:t>企业可到区地税局办理工会经费缴费手续。</w:t>
      </w:r>
    </w:p>
    <w:p w14:paraId="5154FCE3">
      <w:pPr>
        <w:keepNext w:val="0"/>
        <w:keepLines w:val="0"/>
        <w:pageBreakBefore w:val="0"/>
        <w:widowControl/>
        <w:kinsoku w:val="0"/>
        <w:wordWrap/>
        <w:overflowPunct/>
        <w:topLinePunct w:val="0"/>
        <w:autoSpaceDE/>
        <w:autoSpaceDN/>
        <w:bidi w:val="0"/>
        <w:adjustRightInd w:val="0"/>
        <w:snapToGrid w:val="0"/>
        <w:spacing w:before="33" w:line="360" w:lineRule="auto"/>
        <w:ind w:left="0" w:firstLine="410" w:firstLineChars="200"/>
        <w:textAlignment w:val="baseline"/>
        <w:outlineLvl w:val="2"/>
        <w:rPr>
          <w:rFonts w:ascii="宋体" w:hAnsi="宋体" w:eastAsia="宋体" w:cs="宋体"/>
          <w:color w:val="auto"/>
          <w:sz w:val="20"/>
          <w:szCs w:val="20"/>
          <w:highlight w:val="none"/>
        </w:rPr>
      </w:pPr>
      <w:bookmarkStart w:id="204" w:name="_Toc17263"/>
      <w:bookmarkStart w:id="205" w:name="_Toc14752"/>
      <w:bookmarkStart w:id="206" w:name="_Toc30860"/>
      <w:r>
        <w:rPr>
          <w:rFonts w:ascii="宋体" w:hAnsi="宋体" w:eastAsia="宋体" w:cs="宋体"/>
          <w:b/>
          <w:bCs/>
          <w:color w:val="auto"/>
          <w:spacing w:val="2"/>
          <w:sz w:val="20"/>
          <w:szCs w:val="20"/>
          <w:highlight w:val="none"/>
        </w:rPr>
        <w:t>3.2</w:t>
      </w:r>
      <w:r>
        <w:rPr>
          <w:rFonts w:ascii="宋体" w:hAnsi="宋体" w:eastAsia="宋体" w:cs="宋体"/>
          <w:color w:val="auto"/>
          <w:spacing w:val="22"/>
          <w:sz w:val="20"/>
          <w:szCs w:val="20"/>
          <w:highlight w:val="none"/>
        </w:rPr>
        <w:t xml:space="preserve"> </w:t>
      </w:r>
      <w:r>
        <w:rPr>
          <w:rFonts w:ascii="宋体" w:hAnsi="宋体" w:eastAsia="宋体" w:cs="宋体"/>
          <w:b/>
          <w:bCs/>
          <w:color w:val="auto"/>
          <w:spacing w:val="2"/>
          <w:sz w:val="20"/>
          <w:szCs w:val="20"/>
          <w:highlight w:val="none"/>
        </w:rPr>
        <w:t>项目经理</w:t>
      </w:r>
      <w:bookmarkEnd w:id="204"/>
      <w:bookmarkEnd w:id="205"/>
      <w:bookmarkEnd w:id="206"/>
    </w:p>
    <w:p w14:paraId="02EDCF86">
      <w:pPr>
        <w:keepNext w:val="0"/>
        <w:keepLines w:val="0"/>
        <w:pageBreakBefore w:val="0"/>
        <w:widowControl/>
        <w:kinsoku w:val="0"/>
        <w:wordWrap/>
        <w:overflowPunct/>
        <w:topLinePunct w:val="0"/>
        <w:autoSpaceDE/>
        <w:autoSpaceDN/>
        <w:bidi w:val="0"/>
        <w:adjustRightInd w:val="0"/>
        <w:snapToGrid w:val="0"/>
        <w:spacing w:before="93" w:line="360" w:lineRule="auto"/>
        <w:ind w:left="0" w:firstLine="416"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3.2.1 项目经理：</w:t>
      </w:r>
    </w:p>
    <w:p w14:paraId="0E317B98">
      <w:pPr>
        <w:keepNext w:val="0"/>
        <w:keepLines w:val="0"/>
        <w:pageBreakBefore w:val="0"/>
        <w:widowControl/>
        <w:kinsoku w:val="0"/>
        <w:wordWrap/>
        <w:overflowPunct/>
        <w:topLinePunct w:val="0"/>
        <w:autoSpaceDE/>
        <w:autoSpaceDN/>
        <w:bidi w:val="0"/>
        <w:adjustRightInd w:val="0"/>
        <w:snapToGrid w:val="0"/>
        <w:spacing w:before="92" w:line="360" w:lineRule="auto"/>
        <w:ind w:left="0" w:right="3227" w:firstLine="396" w:firstLineChars="200"/>
        <w:textAlignment w:val="baseline"/>
        <w:rPr>
          <w:rFonts w:ascii="宋体" w:hAnsi="宋体" w:eastAsia="宋体" w:cs="宋体"/>
          <w:color w:val="auto"/>
          <w:spacing w:val="10"/>
          <w:sz w:val="20"/>
          <w:szCs w:val="20"/>
          <w:highlight w:val="none"/>
        </w:rPr>
      </w:pPr>
      <w:r>
        <w:rPr>
          <w:rFonts w:ascii="宋体" w:hAnsi="宋体" w:eastAsia="宋体" w:cs="宋体"/>
          <w:color w:val="auto"/>
          <w:spacing w:val="-1"/>
          <w:sz w:val="20"/>
          <w:szCs w:val="20"/>
          <w:highlight w:val="none"/>
        </w:rPr>
        <w:t>姓</w:t>
      </w:r>
      <w:r>
        <w:rPr>
          <w:rFonts w:ascii="宋体" w:hAnsi="宋体" w:eastAsia="宋体" w:cs="宋体"/>
          <w:color w:val="auto"/>
          <w:spacing w:val="7"/>
          <w:sz w:val="20"/>
          <w:szCs w:val="20"/>
          <w:highlight w:val="none"/>
        </w:rPr>
        <w:t xml:space="preserve">    </w:t>
      </w:r>
      <w:r>
        <w:rPr>
          <w:rFonts w:ascii="宋体" w:hAnsi="宋体" w:eastAsia="宋体" w:cs="宋体"/>
          <w:color w:val="auto"/>
          <w:spacing w:val="-1"/>
          <w:sz w:val="20"/>
          <w:szCs w:val="20"/>
          <w:highlight w:val="none"/>
        </w:rPr>
        <w:t>名</w:t>
      </w:r>
      <w:r>
        <w:rPr>
          <w:rFonts w:ascii="宋体" w:hAnsi="宋体" w:eastAsia="宋体" w:cs="宋体"/>
          <w:color w:val="auto"/>
          <w:spacing w:val="-72"/>
          <w:sz w:val="20"/>
          <w:szCs w:val="20"/>
          <w:highlight w:val="none"/>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10"/>
          <w:sz w:val="20"/>
          <w:szCs w:val="20"/>
          <w:highlight w:val="none"/>
        </w:rPr>
        <w:t xml:space="preserve"> </w:t>
      </w:r>
    </w:p>
    <w:p w14:paraId="49B3B2FB">
      <w:pPr>
        <w:keepNext w:val="0"/>
        <w:keepLines w:val="0"/>
        <w:pageBreakBefore w:val="0"/>
        <w:widowControl/>
        <w:kinsoku w:val="0"/>
        <w:wordWrap/>
        <w:overflowPunct/>
        <w:topLinePunct w:val="0"/>
        <w:autoSpaceDE/>
        <w:autoSpaceDN/>
        <w:bidi w:val="0"/>
        <w:adjustRightInd w:val="0"/>
        <w:snapToGrid w:val="0"/>
        <w:spacing w:before="92" w:line="360" w:lineRule="auto"/>
        <w:ind w:left="0" w:right="3227" w:firstLine="428" w:firstLineChars="200"/>
        <w:textAlignment w:val="baseline"/>
        <w:rPr>
          <w:rFonts w:ascii="宋体" w:hAnsi="宋体" w:eastAsia="宋体" w:cs="宋体"/>
          <w:color w:val="auto"/>
          <w:spacing w:val="10"/>
          <w:sz w:val="20"/>
          <w:szCs w:val="20"/>
          <w:highlight w:val="none"/>
        </w:rPr>
      </w:pPr>
      <w:r>
        <w:rPr>
          <w:rFonts w:ascii="宋体" w:hAnsi="宋体" w:eastAsia="宋体" w:cs="宋体"/>
          <w:color w:val="auto"/>
          <w:spacing w:val="7"/>
          <w:sz w:val="20"/>
          <w:szCs w:val="20"/>
          <w:highlight w:val="none"/>
        </w:rPr>
        <w:t>身份证号</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0"/>
          <w:sz w:val="20"/>
          <w:szCs w:val="20"/>
          <w:highlight w:val="none"/>
        </w:rPr>
        <w:t xml:space="preserve"> </w:t>
      </w:r>
    </w:p>
    <w:p w14:paraId="3968509F">
      <w:pPr>
        <w:keepNext w:val="0"/>
        <w:keepLines w:val="0"/>
        <w:pageBreakBefore w:val="0"/>
        <w:widowControl/>
        <w:kinsoku w:val="0"/>
        <w:wordWrap/>
        <w:overflowPunct/>
        <w:topLinePunct w:val="0"/>
        <w:autoSpaceDE/>
        <w:autoSpaceDN/>
        <w:bidi w:val="0"/>
        <w:adjustRightInd w:val="0"/>
        <w:snapToGrid w:val="0"/>
        <w:spacing w:before="92" w:line="360" w:lineRule="auto"/>
        <w:ind w:left="0" w:right="3227" w:firstLine="432" w:firstLineChars="200"/>
        <w:textAlignment w:val="baseline"/>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建造师执业资格等级</w:t>
      </w:r>
      <w:r>
        <w:rPr>
          <w:rFonts w:ascii="宋体" w:hAnsi="宋体" w:eastAsia="宋体" w:cs="宋体"/>
          <w:color w:val="auto"/>
          <w:spacing w:val="-14"/>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4"/>
          <w:sz w:val="20"/>
          <w:szCs w:val="20"/>
          <w:highlight w:val="none"/>
        </w:rPr>
        <w:t>；</w:t>
      </w:r>
      <w:r>
        <w:rPr>
          <w:rFonts w:ascii="宋体" w:hAnsi="宋体" w:eastAsia="宋体" w:cs="宋体"/>
          <w:color w:val="auto"/>
          <w:spacing w:val="8"/>
          <w:sz w:val="20"/>
          <w:szCs w:val="20"/>
          <w:highlight w:val="none"/>
        </w:rPr>
        <w:t xml:space="preserve"> </w:t>
      </w:r>
    </w:p>
    <w:p w14:paraId="48BCDF43">
      <w:pPr>
        <w:keepNext w:val="0"/>
        <w:keepLines w:val="0"/>
        <w:pageBreakBefore w:val="0"/>
        <w:widowControl/>
        <w:kinsoku w:val="0"/>
        <w:wordWrap/>
        <w:overflowPunct/>
        <w:topLinePunct w:val="0"/>
        <w:autoSpaceDE/>
        <w:autoSpaceDN/>
        <w:bidi w:val="0"/>
        <w:adjustRightInd w:val="0"/>
        <w:snapToGrid w:val="0"/>
        <w:spacing w:before="92" w:line="360" w:lineRule="auto"/>
        <w:ind w:left="0" w:right="3227" w:firstLine="432" w:firstLineChars="200"/>
        <w:textAlignment w:val="baseline"/>
        <w:rPr>
          <w:rFonts w:ascii="宋体" w:hAnsi="宋体" w:eastAsia="宋体" w:cs="宋体"/>
          <w:color w:val="auto"/>
          <w:spacing w:val="16"/>
          <w:sz w:val="20"/>
          <w:szCs w:val="20"/>
          <w:highlight w:val="none"/>
        </w:rPr>
      </w:pPr>
      <w:r>
        <w:rPr>
          <w:rFonts w:ascii="宋体" w:hAnsi="宋体" w:eastAsia="宋体" w:cs="宋体"/>
          <w:color w:val="auto"/>
          <w:spacing w:val="8"/>
          <w:sz w:val="20"/>
          <w:szCs w:val="20"/>
          <w:highlight w:val="none"/>
        </w:rPr>
        <w:t>建造师注册证书号</w:t>
      </w:r>
      <w:r>
        <w:rPr>
          <w:rFonts w:ascii="宋体" w:hAnsi="宋体" w:eastAsia="宋体" w:cs="宋体"/>
          <w:color w:val="auto"/>
          <w:spacing w:val="-15"/>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5"/>
          <w:sz w:val="20"/>
          <w:szCs w:val="20"/>
          <w:highlight w:val="none"/>
        </w:rPr>
        <w:t>；</w:t>
      </w:r>
      <w:r>
        <w:rPr>
          <w:rFonts w:ascii="宋体" w:hAnsi="宋体" w:eastAsia="宋体" w:cs="宋体"/>
          <w:color w:val="auto"/>
          <w:spacing w:val="16"/>
          <w:sz w:val="20"/>
          <w:szCs w:val="20"/>
          <w:highlight w:val="none"/>
        </w:rPr>
        <w:t xml:space="preserve"> </w:t>
      </w:r>
    </w:p>
    <w:p w14:paraId="5E811312">
      <w:pPr>
        <w:keepNext w:val="0"/>
        <w:keepLines w:val="0"/>
        <w:pageBreakBefore w:val="0"/>
        <w:widowControl/>
        <w:kinsoku w:val="0"/>
        <w:wordWrap/>
        <w:overflowPunct/>
        <w:topLinePunct w:val="0"/>
        <w:autoSpaceDE/>
        <w:autoSpaceDN/>
        <w:bidi w:val="0"/>
        <w:adjustRightInd w:val="0"/>
        <w:snapToGrid w:val="0"/>
        <w:spacing w:before="92" w:line="360" w:lineRule="auto"/>
        <w:ind w:left="0" w:right="3227" w:firstLine="432" w:firstLineChars="200"/>
        <w:textAlignment w:val="baseline"/>
        <w:rPr>
          <w:rFonts w:ascii="宋体" w:hAnsi="宋体" w:eastAsia="宋体" w:cs="宋体"/>
          <w:color w:val="auto"/>
          <w:spacing w:val="16"/>
          <w:sz w:val="20"/>
          <w:szCs w:val="20"/>
          <w:highlight w:val="none"/>
        </w:rPr>
      </w:pPr>
      <w:r>
        <w:rPr>
          <w:rFonts w:ascii="宋体" w:hAnsi="宋体" w:eastAsia="宋体" w:cs="宋体"/>
          <w:color w:val="auto"/>
          <w:spacing w:val="8"/>
          <w:sz w:val="20"/>
          <w:szCs w:val="20"/>
          <w:highlight w:val="none"/>
        </w:rPr>
        <w:t>建造师执业印章号</w:t>
      </w:r>
      <w:r>
        <w:rPr>
          <w:rFonts w:ascii="宋体" w:hAnsi="宋体" w:eastAsia="宋体" w:cs="宋体"/>
          <w:color w:val="auto"/>
          <w:spacing w:val="-15"/>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5"/>
          <w:sz w:val="20"/>
          <w:szCs w:val="20"/>
          <w:highlight w:val="none"/>
        </w:rPr>
        <w:t>；</w:t>
      </w:r>
      <w:r>
        <w:rPr>
          <w:rFonts w:ascii="宋体" w:hAnsi="宋体" w:eastAsia="宋体" w:cs="宋体"/>
          <w:color w:val="auto"/>
          <w:spacing w:val="16"/>
          <w:sz w:val="20"/>
          <w:szCs w:val="20"/>
          <w:highlight w:val="none"/>
        </w:rPr>
        <w:t xml:space="preserve"> </w:t>
      </w:r>
    </w:p>
    <w:p w14:paraId="18B74194">
      <w:pPr>
        <w:keepNext w:val="0"/>
        <w:keepLines w:val="0"/>
        <w:pageBreakBefore w:val="0"/>
        <w:widowControl/>
        <w:kinsoku w:val="0"/>
        <w:wordWrap/>
        <w:overflowPunct/>
        <w:topLinePunct w:val="0"/>
        <w:autoSpaceDE/>
        <w:autoSpaceDN/>
        <w:bidi w:val="0"/>
        <w:adjustRightInd w:val="0"/>
        <w:snapToGrid w:val="0"/>
        <w:spacing w:before="92" w:line="360" w:lineRule="auto"/>
        <w:ind w:left="0" w:right="3227" w:firstLine="436" w:firstLineChars="200"/>
        <w:textAlignment w:val="baseline"/>
        <w:rPr>
          <w:rFonts w:ascii="宋体" w:hAnsi="宋体" w:eastAsia="宋体" w:cs="宋体"/>
          <w:color w:val="auto"/>
          <w:spacing w:val="15"/>
          <w:sz w:val="20"/>
          <w:szCs w:val="20"/>
          <w:highlight w:val="none"/>
        </w:rPr>
      </w:pPr>
      <w:r>
        <w:rPr>
          <w:rFonts w:ascii="宋体" w:hAnsi="宋体" w:eastAsia="宋体" w:cs="宋体"/>
          <w:color w:val="auto"/>
          <w:spacing w:val="9"/>
          <w:sz w:val="20"/>
          <w:szCs w:val="20"/>
          <w:highlight w:val="none"/>
        </w:rPr>
        <w:t>安全生产考核合格证书号</w:t>
      </w:r>
      <w:r>
        <w:rPr>
          <w:rFonts w:ascii="宋体" w:hAnsi="宋体" w:eastAsia="宋体" w:cs="宋体"/>
          <w:color w:val="auto"/>
          <w:spacing w:val="-17"/>
          <w:sz w:val="20"/>
          <w:szCs w:val="20"/>
          <w:highlight w:val="none"/>
        </w:rPr>
        <w:t>：</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5"/>
          <w:sz w:val="20"/>
          <w:szCs w:val="20"/>
          <w:highlight w:val="none"/>
        </w:rPr>
        <w:t xml:space="preserve"> </w:t>
      </w:r>
    </w:p>
    <w:p w14:paraId="2D76A453">
      <w:pPr>
        <w:keepNext w:val="0"/>
        <w:keepLines w:val="0"/>
        <w:pageBreakBefore w:val="0"/>
        <w:widowControl/>
        <w:kinsoku w:val="0"/>
        <w:wordWrap/>
        <w:overflowPunct/>
        <w:topLinePunct w:val="0"/>
        <w:autoSpaceDE/>
        <w:autoSpaceDN/>
        <w:bidi w:val="0"/>
        <w:adjustRightInd w:val="0"/>
        <w:snapToGrid w:val="0"/>
        <w:spacing w:before="92" w:line="360" w:lineRule="auto"/>
        <w:ind w:left="0" w:right="3227" w:firstLine="428" w:firstLineChars="200"/>
        <w:textAlignment w:val="baseline"/>
        <w:rPr>
          <w:rFonts w:ascii="宋体" w:hAnsi="宋体" w:eastAsia="宋体" w:cs="宋体"/>
          <w:color w:val="auto"/>
          <w:spacing w:val="10"/>
          <w:sz w:val="20"/>
          <w:szCs w:val="20"/>
          <w:highlight w:val="none"/>
        </w:rPr>
      </w:pPr>
      <w:r>
        <w:rPr>
          <w:rFonts w:ascii="宋体" w:hAnsi="宋体" w:eastAsia="宋体" w:cs="宋体"/>
          <w:color w:val="auto"/>
          <w:spacing w:val="7"/>
          <w:sz w:val="20"/>
          <w:szCs w:val="20"/>
          <w:highlight w:val="none"/>
        </w:rPr>
        <w:t>联系电话</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0"/>
          <w:sz w:val="20"/>
          <w:szCs w:val="20"/>
          <w:highlight w:val="none"/>
        </w:rPr>
        <w:t xml:space="preserve"> </w:t>
      </w:r>
    </w:p>
    <w:p w14:paraId="4CBFC591">
      <w:pPr>
        <w:keepNext w:val="0"/>
        <w:keepLines w:val="0"/>
        <w:pageBreakBefore w:val="0"/>
        <w:widowControl/>
        <w:kinsoku w:val="0"/>
        <w:wordWrap/>
        <w:overflowPunct/>
        <w:topLinePunct w:val="0"/>
        <w:autoSpaceDE/>
        <w:autoSpaceDN/>
        <w:bidi w:val="0"/>
        <w:adjustRightInd w:val="0"/>
        <w:snapToGrid w:val="0"/>
        <w:spacing w:before="92" w:line="360" w:lineRule="auto"/>
        <w:ind w:left="0" w:right="3227" w:firstLine="428" w:firstLineChars="200"/>
        <w:textAlignment w:val="baseline"/>
        <w:rPr>
          <w:rFonts w:ascii="宋体" w:hAnsi="宋体" w:eastAsia="宋体" w:cs="宋体"/>
          <w:color w:val="auto"/>
          <w:spacing w:val="10"/>
          <w:sz w:val="20"/>
          <w:szCs w:val="20"/>
          <w:highlight w:val="none"/>
        </w:rPr>
      </w:pPr>
      <w:r>
        <w:rPr>
          <w:rFonts w:ascii="宋体" w:hAnsi="宋体" w:eastAsia="宋体" w:cs="宋体"/>
          <w:color w:val="auto"/>
          <w:spacing w:val="7"/>
          <w:sz w:val="20"/>
          <w:szCs w:val="20"/>
          <w:highlight w:val="none"/>
        </w:rPr>
        <w:t>电子信箱</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0"/>
          <w:sz w:val="20"/>
          <w:szCs w:val="20"/>
          <w:highlight w:val="none"/>
        </w:rPr>
        <w:t xml:space="preserve"> </w:t>
      </w:r>
    </w:p>
    <w:p w14:paraId="246B8353">
      <w:pPr>
        <w:keepNext w:val="0"/>
        <w:keepLines w:val="0"/>
        <w:pageBreakBefore w:val="0"/>
        <w:widowControl/>
        <w:kinsoku w:val="0"/>
        <w:wordWrap/>
        <w:overflowPunct/>
        <w:topLinePunct w:val="0"/>
        <w:autoSpaceDE/>
        <w:autoSpaceDN/>
        <w:bidi w:val="0"/>
        <w:adjustRightInd w:val="0"/>
        <w:snapToGrid w:val="0"/>
        <w:spacing w:before="92" w:line="360" w:lineRule="auto"/>
        <w:ind w:left="0" w:right="3227" w:firstLine="428"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通信地址</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7"/>
          <w:sz w:val="20"/>
          <w:szCs w:val="20"/>
          <w:highlight w:val="none"/>
        </w:rPr>
        <w:t>；</w:t>
      </w:r>
    </w:p>
    <w:p w14:paraId="38697473">
      <w:pPr>
        <w:keepNext w:val="0"/>
        <w:keepLines w:val="0"/>
        <w:pageBreakBefore w:val="0"/>
        <w:widowControl/>
        <w:kinsoku w:val="0"/>
        <w:wordWrap/>
        <w:overflowPunct/>
        <w:topLinePunct w:val="0"/>
        <w:autoSpaceDE/>
        <w:autoSpaceDN/>
        <w:bidi w:val="0"/>
        <w:adjustRightInd w:val="0"/>
        <w:snapToGrid w:val="0"/>
        <w:spacing w:before="32" w:line="360" w:lineRule="auto"/>
        <w:ind w:left="0" w:right="60" w:firstLine="428" w:firstLineChars="200"/>
        <w:textAlignment w:val="baseline"/>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 xml:space="preserve">承包人对项目经理的授权范围如下：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19"/>
          <w:sz w:val="20"/>
          <w:szCs w:val="20"/>
          <w:highlight w:val="none"/>
          <w:u w:val="single" w:color="auto"/>
        </w:rPr>
        <w:t>作为承包人在项目的授权代表，全面履行工程项目的建筑安装总承包管理职</w:t>
      </w:r>
      <w:r>
        <w:rPr>
          <w:rFonts w:ascii="宋体" w:hAnsi="宋体" w:eastAsia="宋体" w:cs="宋体"/>
          <w:color w:val="auto"/>
          <w:spacing w:val="-57"/>
          <w:sz w:val="20"/>
          <w:szCs w:val="20"/>
          <w:highlight w:val="none"/>
          <w:u w:val="single" w:color="auto"/>
        </w:rPr>
        <w:t xml:space="preserve"> </w:t>
      </w:r>
      <w:r>
        <w:rPr>
          <w:rFonts w:ascii="宋体" w:hAnsi="宋体" w:eastAsia="宋体" w:cs="宋体"/>
          <w:color w:val="auto"/>
          <w:spacing w:val="19"/>
          <w:sz w:val="20"/>
          <w:szCs w:val="20"/>
          <w:highlight w:val="none"/>
          <w:u w:val="single" w:color="auto"/>
        </w:rPr>
        <w:t>责，为工程参与各方做好</w:t>
      </w:r>
      <w:r>
        <w:rPr>
          <w:rFonts w:ascii="宋体" w:hAnsi="宋体" w:eastAsia="宋体" w:cs="宋体"/>
          <w:color w:val="auto"/>
          <w:spacing w:val="18"/>
          <w:sz w:val="20"/>
          <w:szCs w:val="20"/>
          <w:highlight w:val="none"/>
          <w:u w:val="single" w:color="auto"/>
        </w:rPr>
        <w:t>协调和服务，在资金、质量、安全、环境保护、文明施工等。项目经理仅</w:t>
      </w:r>
      <w:r>
        <w:rPr>
          <w:rFonts w:ascii="宋体" w:hAnsi="宋体" w:eastAsia="宋体" w:cs="宋体"/>
          <w:color w:val="auto"/>
          <w:spacing w:val="-49"/>
          <w:sz w:val="20"/>
          <w:szCs w:val="20"/>
          <w:highlight w:val="none"/>
          <w:u w:val="single" w:color="auto"/>
        </w:rPr>
        <w:t xml:space="preserve"> </w:t>
      </w:r>
      <w:r>
        <w:rPr>
          <w:rFonts w:ascii="宋体" w:hAnsi="宋体" w:eastAsia="宋体" w:cs="宋体"/>
          <w:color w:val="auto"/>
          <w:spacing w:val="18"/>
          <w:sz w:val="20"/>
          <w:szCs w:val="20"/>
          <w:highlight w:val="none"/>
          <w:u w:val="single" w:color="auto"/>
        </w:rPr>
        <w:t>限于对本工程</w:t>
      </w:r>
      <w:r>
        <w:rPr>
          <w:rFonts w:ascii="宋体" w:hAnsi="宋体" w:eastAsia="宋体" w:cs="宋体"/>
          <w:color w:val="auto"/>
          <w:spacing w:val="-47"/>
          <w:sz w:val="20"/>
          <w:szCs w:val="20"/>
          <w:highlight w:val="none"/>
          <w:u w:val="single" w:color="auto"/>
        </w:rPr>
        <w:t xml:space="preserve"> </w:t>
      </w:r>
      <w:r>
        <w:rPr>
          <w:rFonts w:ascii="宋体" w:hAnsi="宋体" w:eastAsia="宋体" w:cs="宋体"/>
          <w:color w:val="auto"/>
          <w:spacing w:val="18"/>
          <w:sz w:val="20"/>
          <w:szCs w:val="20"/>
          <w:highlight w:val="none"/>
          <w:u w:val="single" w:color="auto"/>
        </w:rPr>
        <w:t>的施工现场全面管理，包括质量、技术、</w:t>
      </w:r>
      <w:r>
        <w:rPr>
          <w:rFonts w:ascii="宋体" w:hAnsi="宋体" w:eastAsia="宋体" w:cs="宋体"/>
          <w:color w:val="auto"/>
          <w:spacing w:val="23"/>
          <w:sz w:val="20"/>
          <w:szCs w:val="20"/>
          <w:highlight w:val="none"/>
          <w:u w:val="single" w:color="auto"/>
        </w:rPr>
        <w:t>安全、进度管理，与发包人、监理工程师有关工程联系单、函件往来的签收，但未经承包</w:t>
      </w:r>
      <w:r>
        <w:rPr>
          <w:rFonts w:ascii="宋体" w:hAnsi="宋体" w:eastAsia="宋体" w:cs="宋体"/>
          <w:color w:val="auto"/>
          <w:spacing w:val="26"/>
          <w:sz w:val="20"/>
          <w:szCs w:val="20"/>
          <w:highlight w:val="none"/>
          <w:u w:val="single" w:color="auto"/>
        </w:rPr>
        <w:t>人盖章同意授权下不得以承包人名义向外采购材料设备、租</w:t>
      </w:r>
      <w:r>
        <w:rPr>
          <w:rFonts w:ascii="宋体" w:hAnsi="宋体" w:eastAsia="宋体" w:cs="宋体"/>
          <w:color w:val="auto"/>
          <w:spacing w:val="25"/>
          <w:sz w:val="20"/>
          <w:szCs w:val="20"/>
          <w:highlight w:val="none"/>
          <w:u w:val="single" w:color="auto"/>
        </w:rPr>
        <w:t>用建筑周转材料、雇佣劳动力、</w:t>
      </w:r>
      <w:r>
        <w:rPr>
          <w:rFonts w:ascii="宋体" w:hAnsi="宋体" w:eastAsia="宋体" w:cs="宋体"/>
          <w:color w:val="auto"/>
          <w:spacing w:val="24"/>
          <w:sz w:val="20"/>
          <w:szCs w:val="20"/>
          <w:highlight w:val="none"/>
          <w:u w:val="single" w:color="auto"/>
        </w:rPr>
        <w:t>签订分包合同等从事一切为承包人设立义务或责任</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7"/>
          <w:sz w:val="20"/>
          <w:szCs w:val="20"/>
          <w:highlight w:val="none"/>
        </w:rPr>
        <w:t>。</w:t>
      </w:r>
    </w:p>
    <w:p w14:paraId="660DCEFE">
      <w:pPr>
        <w:keepNext w:val="0"/>
        <w:keepLines w:val="0"/>
        <w:pageBreakBefore w:val="0"/>
        <w:widowControl/>
        <w:kinsoku w:val="0"/>
        <w:wordWrap/>
        <w:overflowPunct/>
        <w:topLinePunct w:val="0"/>
        <w:autoSpaceDE/>
        <w:autoSpaceDN/>
        <w:bidi w:val="0"/>
        <w:adjustRightInd w:val="0"/>
        <w:snapToGrid w:val="0"/>
        <w:spacing w:before="32" w:line="360" w:lineRule="auto"/>
        <w:ind w:left="0" w:right="60" w:firstLine="428"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关于项目经理每月在施工现场的时间要求：</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项目经理每月在岗带班时间不得少于当月施工时间的80%</w:t>
      </w:r>
      <w:r>
        <w:rPr>
          <w:rFonts w:ascii="宋体" w:hAnsi="宋体" w:eastAsia="宋体" w:cs="宋体"/>
          <w:color w:val="auto"/>
          <w:spacing w:val="6"/>
          <w:sz w:val="20"/>
          <w:szCs w:val="20"/>
          <w:highlight w:val="none"/>
        </w:rPr>
        <w:t>。</w:t>
      </w:r>
    </w:p>
    <w:p w14:paraId="6F5ADD37">
      <w:pPr>
        <w:keepNext w:val="0"/>
        <w:keepLines w:val="0"/>
        <w:pageBreakBefore w:val="0"/>
        <w:widowControl/>
        <w:kinsoku w:val="0"/>
        <w:wordWrap/>
        <w:overflowPunct/>
        <w:topLinePunct w:val="0"/>
        <w:autoSpaceDE/>
        <w:autoSpaceDN/>
        <w:bidi w:val="0"/>
        <w:adjustRightInd w:val="0"/>
        <w:snapToGrid w:val="0"/>
        <w:spacing w:before="32" w:line="360" w:lineRule="auto"/>
        <w:ind w:firstLine="428" w:firstLineChars="200"/>
        <w:jc w:val="both"/>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承包人未提交劳动合同，以及没有为项目经理缴纳社会保险证明的违约责任：</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视为违约</w:t>
      </w:r>
      <w:r>
        <w:rPr>
          <w:rFonts w:hint="eastAsia" w:ascii="宋体" w:hAnsi="宋体" w:eastAsia="宋体" w:cs="宋体"/>
          <w:color w:val="auto"/>
          <w:spacing w:val="7"/>
          <w:sz w:val="20"/>
          <w:szCs w:val="20"/>
          <w:highlight w:val="none"/>
          <w:u w:val="single" w:color="auto"/>
          <w:lang w:eastAsia="zh-CN"/>
        </w:rPr>
        <w:t>，除必须更换与投标承诺资质相符合的项目经理外，还必须向发包人交纳处罚金30000元（人民币），且发包人有权因此而解除合同，并有权没收承包人的全部履约保证金，由此造成的一切责任均由承包人负责</w:t>
      </w:r>
      <w:r>
        <w:rPr>
          <w:rFonts w:ascii="宋体" w:hAnsi="宋体" w:eastAsia="宋体" w:cs="宋体"/>
          <w:color w:val="auto"/>
          <w:spacing w:val="6"/>
          <w:sz w:val="20"/>
          <w:szCs w:val="20"/>
          <w:highlight w:val="none"/>
        </w:rPr>
        <w:t>。</w:t>
      </w:r>
    </w:p>
    <w:p w14:paraId="32BA070D">
      <w:pPr>
        <w:keepNext w:val="0"/>
        <w:keepLines w:val="0"/>
        <w:pageBreakBefore w:val="0"/>
        <w:widowControl/>
        <w:kinsoku w:val="0"/>
        <w:wordWrap/>
        <w:overflowPunct/>
        <w:topLinePunct w:val="0"/>
        <w:autoSpaceDE w:val="0"/>
        <w:autoSpaceDN w:val="0"/>
        <w:bidi w:val="0"/>
        <w:adjustRightInd w:val="0"/>
        <w:snapToGrid w:val="0"/>
        <w:spacing w:before="91" w:line="360" w:lineRule="auto"/>
        <w:ind w:left="32" w:right="68" w:firstLine="444" w:firstLineChars="200"/>
        <w:jc w:val="both"/>
        <w:textAlignment w:val="baseline"/>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项目经理未经批准，擅自离开施工现场的违约责任：</w:t>
      </w:r>
      <w:r>
        <w:rPr>
          <w:rFonts w:ascii="宋体" w:hAnsi="宋体" w:eastAsia="宋体" w:cs="宋体"/>
          <w:color w:val="auto"/>
          <w:spacing w:val="11"/>
          <w:sz w:val="20"/>
          <w:szCs w:val="20"/>
          <w:highlight w:val="none"/>
          <w:u w:val="single" w:color="auto"/>
        </w:rPr>
        <w:t>项目经理每月在岗带班时间不得少于</w:t>
      </w:r>
      <w:r>
        <w:rPr>
          <w:rFonts w:ascii="宋体" w:hAnsi="宋体" w:eastAsia="宋体" w:cs="宋体"/>
          <w:color w:val="auto"/>
          <w:spacing w:val="8"/>
          <w:sz w:val="20"/>
          <w:szCs w:val="20"/>
          <w:highlight w:val="none"/>
          <w:u w:val="single" w:color="auto"/>
        </w:rPr>
        <w:t>当月施工时间的80%。未经发包人同意或正当理由，项目经理每月在岗带班时间少于当月施工时间</w:t>
      </w:r>
      <w:r>
        <w:rPr>
          <w:rFonts w:ascii="宋体" w:hAnsi="宋体" w:eastAsia="宋体" w:cs="宋体"/>
          <w:color w:val="auto"/>
          <w:spacing w:val="-38"/>
          <w:sz w:val="20"/>
          <w:szCs w:val="20"/>
          <w:highlight w:val="none"/>
          <w:u w:val="single" w:color="auto"/>
        </w:rPr>
        <w:t xml:space="preserve"> </w:t>
      </w:r>
      <w:r>
        <w:rPr>
          <w:rFonts w:ascii="宋体" w:hAnsi="宋体" w:eastAsia="宋体" w:cs="宋体"/>
          <w:color w:val="auto"/>
          <w:spacing w:val="8"/>
          <w:sz w:val="20"/>
          <w:szCs w:val="20"/>
          <w:highlight w:val="none"/>
          <w:u w:val="single" w:color="auto"/>
        </w:rPr>
        <w:t>80%的，少在岗带班一天，发包人有权处</w:t>
      </w:r>
      <w:r>
        <w:rPr>
          <w:rFonts w:ascii="宋体" w:hAnsi="宋体" w:eastAsia="宋体" w:cs="宋体"/>
          <w:color w:val="auto"/>
          <w:spacing w:val="7"/>
          <w:sz w:val="20"/>
          <w:szCs w:val="20"/>
          <w:highlight w:val="none"/>
          <w:u w:val="single" w:color="auto"/>
        </w:rPr>
        <w:t>违约金</w:t>
      </w:r>
      <w:r>
        <w:rPr>
          <w:rFonts w:hint="eastAsia" w:ascii="宋体" w:hAnsi="宋体" w:eastAsia="宋体" w:cs="宋体"/>
          <w:color w:val="auto"/>
          <w:spacing w:val="7"/>
          <w:sz w:val="20"/>
          <w:szCs w:val="20"/>
          <w:highlight w:val="none"/>
          <w:u w:val="single" w:color="auto"/>
          <w:lang w:val="en-US" w:eastAsia="zh-CN"/>
        </w:rPr>
        <w:t>2000</w:t>
      </w:r>
      <w:r>
        <w:rPr>
          <w:rFonts w:ascii="宋体" w:hAnsi="宋体" w:eastAsia="宋体" w:cs="宋体"/>
          <w:color w:val="auto"/>
          <w:spacing w:val="7"/>
          <w:sz w:val="20"/>
          <w:szCs w:val="20"/>
          <w:highlight w:val="none"/>
          <w:u w:val="single" w:color="auto"/>
        </w:rPr>
        <w:t>元/日（人民币）</w:t>
      </w:r>
      <w:r>
        <w:rPr>
          <w:rFonts w:ascii="宋体" w:hAnsi="宋体" w:eastAsia="宋体" w:cs="宋体"/>
          <w:color w:val="auto"/>
          <w:spacing w:val="7"/>
          <w:sz w:val="20"/>
          <w:szCs w:val="20"/>
          <w:highlight w:val="none"/>
        </w:rPr>
        <w:t>。</w:t>
      </w:r>
    </w:p>
    <w:p w14:paraId="5D3E9E2A">
      <w:pPr>
        <w:keepNext w:val="0"/>
        <w:keepLines w:val="0"/>
        <w:pageBreakBefore w:val="0"/>
        <w:widowControl/>
        <w:kinsoku w:val="0"/>
        <w:wordWrap/>
        <w:overflowPunct/>
        <w:topLinePunct w:val="0"/>
        <w:autoSpaceDE/>
        <w:autoSpaceDN/>
        <w:bidi w:val="0"/>
        <w:adjustRightInd w:val="0"/>
        <w:snapToGrid w:val="0"/>
        <w:spacing w:before="32" w:line="360" w:lineRule="auto"/>
        <w:ind w:left="0" w:firstLine="440" w:firstLineChars="200"/>
        <w:jc w:val="left"/>
        <w:textAlignment w:val="baseline"/>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3.2.3 承包人擅自更换项目经理的违约责任：</w:t>
      </w:r>
      <w:r>
        <w:rPr>
          <w:rFonts w:ascii="宋体" w:hAnsi="宋体" w:eastAsia="宋体" w:cs="宋体"/>
          <w:color w:val="auto"/>
          <w:spacing w:val="10"/>
          <w:sz w:val="20"/>
          <w:szCs w:val="20"/>
          <w:highlight w:val="none"/>
          <w:u w:val="single" w:color="auto"/>
        </w:rPr>
        <w:t>承包人项目经理必须与承包人投标时所承诺</w:t>
      </w:r>
      <w:r>
        <w:rPr>
          <w:rFonts w:ascii="宋体" w:hAnsi="宋体" w:eastAsia="宋体" w:cs="宋体"/>
          <w:color w:val="auto"/>
          <w:spacing w:val="7"/>
          <w:sz w:val="20"/>
          <w:szCs w:val="20"/>
          <w:highlight w:val="none"/>
          <w:u w:val="single" w:color="auto"/>
        </w:rPr>
        <w:t>的人员一致，并在  （开工日期）  前到任。在监理人向承包人颁发    （竣工证明材料名称）</w:t>
      </w:r>
      <w:r>
        <w:rPr>
          <w:rFonts w:ascii="宋体" w:hAnsi="宋体" w:eastAsia="宋体" w:cs="宋体"/>
          <w:color w:val="auto"/>
          <w:spacing w:val="17"/>
          <w:sz w:val="20"/>
          <w:szCs w:val="20"/>
          <w:highlight w:val="none"/>
          <w:u w:val="single" w:color="auto"/>
        </w:rPr>
        <w:t>前，项目经理不得同时兼任其他任何项目的项目经理（符合桂建管﹝</w:t>
      </w:r>
      <w:r>
        <w:rPr>
          <w:rFonts w:ascii="宋体" w:hAnsi="宋体" w:eastAsia="宋体" w:cs="宋体"/>
          <w:color w:val="auto"/>
          <w:spacing w:val="-64"/>
          <w:sz w:val="20"/>
          <w:szCs w:val="20"/>
          <w:highlight w:val="none"/>
          <w:u w:val="single" w:color="auto"/>
        </w:rPr>
        <w:t xml:space="preserve"> </w:t>
      </w:r>
      <w:r>
        <w:rPr>
          <w:rFonts w:ascii="宋体" w:hAnsi="宋体" w:eastAsia="宋体" w:cs="宋体"/>
          <w:color w:val="auto"/>
          <w:spacing w:val="17"/>
          <w:sz w:val="20"/>
          <w:szCs w:val="20"/>
          <w:highlight w:val="none"/>
          <w:u w:val="single" w:color="auto"/>
        </w:rPr>
        <w:t>2013﹞</w:t>
      </w:r>
      <w:r>
        <w:rPr>
          <w:rFonts w:ascii="宋体" w:hAnsi="宋体" w:eastAsia="宋体" w:cs="宋体"/>
          <w:color w:val="auto"/>
          <w:spacing w:val="-59"/>
          <w:sz w:val="20"/>
          <w:szCs w:val="20"/>
          <w:highlight w:val="none"/>
          <w:u w:val="single" w:color="auto"/>
        </w:rPr>
        <w:t xml:space="preserve"> </w:t>
      </w:r>
      <w:r>
        <w:rPr>
          <w:rFonts w:ascii="宋体" w:hAnsi="宋体" w:eastAsia="宋体" w:cs="宋体"/>
          <w:color w:val="auto"/>
          <w:spacing w:val="17"/>
          <w:sz w:val="20"/>
          <w:szCs w:val="20"/>
          <w:highlight w:val="none"/>
          <w:u w:val="single" w:color="auto"/>
        </w:rPr>
        <w:t>17</w:t>
      </w:r>
      <w:r>
        <w:rPr>
          <w:rFonts w:ascii="宋体" w:hAnsi="宋体" w:eastAsia="宋体" w:cs="宋体"/>
          <w:color w:val="auto"/>
          <w:spacing w:val="-23"/>
          <w:sz w:val="20"/>
          <w:szCs w:val="20"/>
          <w:highlight w:val="none"/>
          <w:u w:val="single" w:color="auto"/>
        </w:rPr>
        <w:t xml:space="preserve"> </w:t>
      </w:r>
      <w:r>
        <w:rPr>
          <w:rFonts w:ascii="宋体" w:hAnsi="宋体" w:eastAsia="宋体" w:cs="宋体"/>
          <w:color w:val="auto"/>
          <w:spacing w:val="17"/>
          <w:sz w:val="20"/>
          <w:szCs w:val="20"/>
          <w:highlight w:val="none"/>
          <w:u w:val="single" w:color="auto"/>
        </w:rPr>
        <w:t>号和桂建管</w:t>
      </w:r>
      <w:r>
        <w:rPr>
          <w:rFonts w:ascii="宋体" w:hAnsi="宋体" w:eastAsia="宋体" w:cs="宋体"/>
          <w:color w:val="auto"/>
          <w:sz w:val="20"/>
          <w:szCs w:val="20"/>
          <w:highlight w:val="none"/>
          <w:u w:val="single" w:color="auto"/>
        </w:rPr>
        <w:tab/>
      </w:r>
      <w:r>
        <w:rPr>
          <w:rFonts w:ascii="宋体" w:hAnsi="宋体" w:eastAsia="宋体" w:cs="宋体"/>
          <w:color w:val="auto"/>
          <w:spacing w:val="8"/>
          <w:sz w:val="20"/>
          <w:szCs w:val="20"/>
          <w:highlight w:val="none"/>
          <w:u w:val="single" w:color="auto"/>
        </w:rPr>
        <w:t>﹝2014﹞25</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8"/>
          <w:sz w:val="20"/>
          <w:szCs w:val="20"/>
          <w:highlight w:val="none"/>
          <w:u w:val="single" w:color="auto"/>
        </w:rPr>
        <w:t>号文除外）。未经发包人</w:t>
      </w:r>
      <w:r>
        <w:rPr>
          <w:rFonts w:ascii="宋体" w:hAnsi="宋体" w:eastAsia="宋体" w:cs="宋体"/>
          <w:color w:val="auto"/>
          <w:spacing w:val="7"/>
          <w:sz w:val="20"/>
          <w:szCs w:val="20"/>
          <w:highlight w:val="none"/>
          <w:u w:val="single" w:color="auto"/>
        </w:rPr>
        <w:t>书面同意，承包人擅自更换项目经理的视为违约，违约金</w:t>
      </w:r>
      <w:r>
        <w:rPr>
          <w:rFonts w:ascii="宋体" w:hAnsi="宋体" w:eastAsia="宋体" w:cs="宋体"/>
          <w:color w:val="auto"/>
          <w:spacing w:val="6"/>
          <w:sz w:val="20"/>
          <w:szCs w:val="20"/>
          <w:highlight w:val="none"/>
          <w:u w:val="single" w:color="auto"/>
        </w:rPr>
        <w:t>处</w:t>
      </w:r>
      <w:r>
        <w:rPr>
          <w:rFonts w:hint="eastAsia" w:ascii="宋体" w:hAnsi="宋体" w:eastAsia="宋体" w:cs="宋体"/>
          <w:color w:val="auto"/>
          <w:spacing w:val="6"/>
          <w:sz w:val="20"/>
          <w:szCs w:val="20"/>
          <w:highlight w:val="none"/>
          <w:u w:val="single" w:color="auto"/>
          <w:lang w:val="en-US" w:eastAsia="zh-CN"/>
        </w:rPr>
        <w:t>50000</w:t>
      </w:r>
      <w:r>
        <w:rPr>
          <w:rFonts w:ascii="宋体" w:hAnsi="宋体" w:eastAsia="宋体" w:cs="宋体"/>
          <w:color w:val="auto"/>
          <w:spacing w:val="6"/>
          <w:sz w:val="20"/>
          <w:szCs w:val="20"/>
          <w:highlight w:val="none"/>
          <w:u w:val="single" w:color="auto"/>
        </w:rPr>
        <w:t>元/人•次（人民币）</w:t>
      </w:r>
      <w:r>
        <w:rPr>
          <w:rFonts w:ascii="宋体" w:hAnsi="宋体" w:eastAsia="宋体" w:cs="宋体"/>
          <w:color w:val="auto"/>
          <w:spacing w:val="6"/>
          <w:sz w:val="20"/>
          <w:szCs w:val="20"/>
          <w:highlight w:val="none"/>
        </w:rPr>
        <w:t>。</w:t>
      </w:r>
    </w:p>
    <w:p w14:paraId="5001AF06">
      <w:pPr>
        <w:keepNext w:val="0"/>
        <w:keepLines w:val="0"/>
        <w:pageBreakBefore w:val="0"/>
        <w:widowControl/>
        <w:kinsoku w:val="0"/>
        <w:wordWrap/>
        <w:overflowPunct/>
        <w:topLinePunct w:val="0"/>
        <w:autoSpaceDE/>
        <w:autoSpaceDN/>
        <w:bidi w:val="0"/>
        <w:adjustRightInd w:val="0"/>
        <w:snapToGrid w:val="0"/>
        <w:spacing w:before="34" w:line="360" w:lineRule="auto"/>
        <w:ind w:left="0" w:right="85" w:firstLine="440" w:firstLineChars="200"/>
        <w:jc w:val="both"/>
        <w:textAlignment w:val="baseline"/>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3.2.4 承包人无正当理由拒绝更换项目经理的违约责任：</w:t>
      </w:r>
      <w:r>
        <w:rPr>
          <w:rFonts w:ascii="宋体" w:hAnsi="宋体" w:eastAsia="宋体" w:cs="宋体"/>
          <w:color w:val="auto"/>
          <w:spacing w:val="10"/>
          <w:sz w:val="20"/>
          <w:szCs w:val="20"/>
          <w:highlight w:val="none"/>
          <w:u w:val="single" w:color="auto"/>
        </w:rPr>
        <w:t>因承包人项目经理不称职，发包人要求调换而未及时调换的，视为承包人违约，必须向发包人交纳处罚金</w:t>
      </w:r>
      <w:r>
        <w:rPr>
          <w:rFonts w:hint="eastAsia" w:ascii="宋体" w:hAnsi="宋体" w:eastAsia="宋体" w:cs="宋体"/>
          <w:color w:val="auto"/>
          <w:spacing w:val="6"/>
          <w:sz w:val="20"/>
          <w:szCs w:val="20"/>
          <w:highlight w:val="none"/>
          <w:u w:val="single" w:color="auto"/>
          <w:lang w:val="en-US" w:eastAsia="zh-CN"/>
        </w:rPr>
        <w:t>50000</w:t>
      </w:r>
      <w:r>
        <w:rPr>
          <w:rFonts w:ascii="宋体" w:hAnsi="宋体" w:eastAsia="宋体" w:cs="宋体"/>
          <w:color w:val="auto"/>
          <w:spacing w:val="10"/>
          <w:sz w:val="20"/>
          <w:szCs w:val="20"/>
          <w:highlight w:val="none"/>
          <w:u w:val="single" w:color="auto"/>
        </w:rPr>
        <w:t>元/人•次（人民</w:t>
      </w:r>
      <w:r>
        <w:rPr>
          <w:rFonts w:ascii="宋体" w:hAnsi="宋体" w:eastAsia="宋体" w:cs="宋体"/>
          <w:color w:val="auto"/>
          <w:spacing w:val="-1"/>
          <w:sz w:val="20"/>
          <w:szCs w:val="20"/>
          <w:highlight w:val="none"/>
          <w:u w:val="single" w:color="auto"/>
        </w:rPr>
        <w:t>币）</w:t>
      </w:r>
      <w:r>
        <w:rPr>
          <w:rFonts w:ascii="宋体" w:hAnsi="宋体" w:eastAsia="宋体" w:cs="宋体"/>
          <w:color w:val="auto"/>
          <w:spacing w:val="-1"/>
          <w:sz w:val="20"/>
          <w:szCs w:val="20"/>
          <w:highlight w:val="none"/>
        </w:rPr>
        <w:t>。</w:t>
      </w:r>
    </w:p>
    <w:p w14:paraId="52E1BDB9">
      <w:pPr>
        <w:keepNext w:val="0"/>
        <w:keepLines w:val="0"/>
        <w:pageBreakBefore w:val="0"/>
        <w:widowControl/>
        <w:kinsoku w:val="0"/>
        <w:wordWrap/>
        <w:overflowPunct/>
        <w:topLinePunct w:val="0"/>
        <w:autoSpaceDE/>
        <w:autoSpaceDN/>
        <w:bidi w:val="0"/>
        <w:adjustRightInd w:val="0"/>
        <w:snapToGrid w:val="0"/>
        <w:spacing w:before="33" w:line="360" w:lineRule="auto"/>
        <w:ind w:left="0" w:firstLine="418" w:firstLineChars="200"/>
        <w:textAlignment w:val="baseline"/>
        <w:outlineLvl w:val="2"/>
        <w:rPr>
          <w:rFonts w:ascii="宋体" w:hAnsi="宋体" w:eastAsia="宋体" w:cs="宋体"/>
          <w:b/>
          <w:bCs/>
          <w:color w:val="auto"/>
          <w:spacing w:val="4"/>
          <w:sz w:val="20"/>
          <w:szCs w:val="20"/>
          <w:highlight w:val="none"/>
        </w:rPr>
      </w:pPr>
      <w:bookmarkStart w:id="207" w:name="_Toc12030"/>
      <w:bookmarkStart w:id="208" w:name="_Toc19657"/>
      <w:bookmarkStart w:id="209" w:name="_Toc31683"/>
      <w:r>
        <w:rPr>
          <w:rFonts w:ascii="宋体" w:hAnsi="宋体" w:eastAsia="宋体" w:cs="宋体"/>
          <w:b/>
          <w:bCs/>
          <w:color w:val="auto"/>
          <w:spacing w:val="4"/>
          <w:sz w:val="20"/>
          <w:szCs w:val="20"/>
          <w:highlight w:val="none"/>
        </w:rPr>
        <w:t>3.3</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承包人人员</w:t>
      </w:r>
      <w:bookmarkEnd w:id="207"/>
      <w:bookmarkEnd w:id="208"/>
      <w:bookmarkEnd w:id="209"/>
    </w:p>
    <w:p w14:paraId="50547F5D">
      <w:pPr>
        <w:keepNext w:val="0"/>
        <w:keepLines w:val="0"/>
        <w:pageBreakBefore w:val="0"/>
        <w:widowControl/>
        <w:kinsoku w:val="0"/>
        <w:wordWrap/>
        <w:overflowPunct/>
        <w:topLinePunct w:val="0"/>
        <w:autoSpaceDE/>
        <w:autoSpaceDN/>
        <w:bidi w:val="0"/>
        <w:adjustRightInd w:val="0"/>
        <w:snapToGrid w:val="0"/>
        <w:spacing w:before="33" w:line="360" w:lineRule="auto"/>
        <w:ind w:firstLine="412" w:firstLineChars="200"/>
        <w:jc w:val="left"/>
        <w:textAlignment w:val="baseline"/>
        <w:outlineLvl w:val="2"/>
        <w:rPr>
          <w:rFonts w:hint="eastAsia" w:ascii="宋体" w:hAnsi="宋体" w:eastAsia="宋体" w:cs="宋体"/>
          <w:color w:val="auto"/>
          <w:sz w:val="20"/>
          <w:szCs w:val="20"/>
          <w:highlight w:val="none"/>
          <w:lang w:eastAsia="zh-CN"/>
        </w:rPr>
      </w:pPr>
      <w:r>
        <w:rPr>
          <w:rFonts w:ascii="宋体" w:hAnsi="宋体" w:eastAsia="宋体" w:cs="宋体"/>
          <w:color w:val="auto"/>
          <w:spacing w:val="3"/>
          <w:sz w:val="20"/>
          <w:szCs w:val="20"/>
          <w:highlight w:val="none"/>
        </w:rPr>
        <w:t>3.3.1 承包人提交项目管理机构及施工现场管理人员安排报告</w:t>
      </w:r>
      <w:r>
        <w:rPr>
          <w:rFonts w:ascii="宋体" w:hAnsi="宋体" w:eastAsia="宋体" w:cs="宋体"/>
          <w:color w:val="auto"/>
          <w:spacing w:val="2"/>
          <w:sz w:val="20"/>
          <w:szCs w:val="20"/>
          <w:highlight w:val="none"/>
        </w:rPr>
        <w:t>（格式见合同附件</w:t>
      </w:r>
      <w:r>
        <w:rPr>
          <w:rFonts w:ascii="宋体" w:hAnsi="宋体" w:eastAsia="宋体" w:cs="宋体"/>
          <w:color w:val="auto"/>
          <w:spacing w:val="-32"/>
          <w:sz w:val="20"/>
          <w:szCs w:val="20"/>
          <w:highlight w:val="none"/>
        </w:rPr>
        <w:t xml:space="preserve"> </w:t>
      </w:r>
      <w:r>
        <w:rPr>
          <w:rFonts w:hint="eastAsia" w:ascii="宋体" w:hAnsi="宋体" w:eastAsia="宋体" w:cs="宋体"/>
          <w:color w:val="auto"/>
          <w:spacing w:val="2"/>
          <w:sz w:val="20"/>
          <w:szCs w:val="20"/>
          <w:highlight w:val="none"/>
          <w:lang w:val="en-US" w:eastAsia="zh-CN"/>
        </w:rPr>
        <w:t>4</w:t>
      </w:r>
      <w:r>
        <w:rPr>
          <w:rFonts w:ascii="宋体" w:hAnsi="宋体" w:eastAsia="宋体" w:cs="宋体"/>
          <w:color w:val="auto"/>
          <w:spacing w:val="2"/>
          <w:sz w:val="20"/>
          <w:szCs w:val="20"/>
          <w:highlight w:val="none"/>
        </w:rPr>
        <w:t>）的期限：</w:t>
      </w:r>
      <w:r>
        <w:rPr>
          <w:rFonts w:hint="eastAsia" w:ascii="宋体" w:hAnsi="宋体" w:eastAsia="宋体" w:cs="宋体"/>
          <w:color w:val="auto"/>
          <w:spacing w:val="2"/>
          <w:sz w:val="20"/>
          <w:szCs w:val="20"/>
          <w:highlight w:val="none"/>
          <w:u w:val="single"/>
        </w:rPr>
        <w:t>接到开工通知后七日内</w:t>
      </w:r>
      <w:r>
        <w:rPr>
          <w:rFonts w:hint="eastAsia" w:ascii="宋体" w:hAnsi="宋体" w:eastAsia="宋体" w:cs="宋体"/>
          <w:color w:val="auto"/>
          <w:spacing w:val="2"/>
          <w:sz w:val="20"/>
          <w:szCs w:val="20"/>
          <w:highlight w:val="none"/>
          <w:lang w:eastAsia="zh-CN"/>
        </w:rPr>
        <w:t>。</w:t>
      </w:r>
    </w:p>
    <w:p w14:paraId="104BD0BA">
      <w:pPr>
        <w:keepNext w:val="0"/>
        <w:keepLines w:val="0"/>
        <w:pageBreakBefore w:val="0"/>
        <w:widowControl/>
        <w:kinsoku w:val="0"/>
        <w:wordWrap/>
        <w:overflowPunct/>
        <w:topLinePunct w:val="0"/>
        <w:autoSpaceDE/>
        <w:autoSpaceDN/>
        <w:bidi w:val="0"/>
        <w:adjustRightInd w:val="0"/>
        <w:snapToGrid w:val="0"/>
        <w:spacing w:before="141" w:line="360" w:lineRule="auto"/>
        <w:ind w:left="0" w:right="84" w:firstLine="440" w:firstLineChars="200"/>
        <w:textAlignment w:val="baseline"/>
        <w:rPr>
          <w:rFonts w:ascii="宋体" w:hAnsi="宋体" w:eastAsia="宋体" w:cs="宋体"/>
          <w:color w:val="auto"/>
          <w:spacing w:val="3"/>
          <w:sz w:val="20"/>
          <w:szCs w:val="20"/>
          <w:highlight w:val="none"/>
        </w:rPr>
      </w:pPr>
      <w:r>
        <w:rPr>
          <w:rFonts w:ascii="宋体" w:hAnsi="宋体" w:eastAsia="宋体" w:cs="宋体"/>
          <w:color w:val="auto"/>
          <w:spacing w:val="10"/>
          <w:sz w:val="20"/>
          <w:szCs w:val="20"/>
          <w:highlight w:val="none"/>
        </w:rPr>
        <w:t>3.3.3 承包人无正当理由拒绝撤换主要施工管理人员的违约责任：</w:t>
      </w:r>
      <w:r>
        <w:rPr>
          <w:rFonts w:ascii="宋体" w:hAnsi="宋体" w:eastAsia="宋体" w:cs="宋体"/>
          <w:color w:val="auto"/>
          <w:spacing w:val="10"/>
          <w:sz w:val="20"/>
          <w:szCs w:val="20"/>
          <w:highlight w:val="none"/>
          <w:u w:val="single" w:color="auto"/>
        </w:rPr>
        <w:t>因承包人主要施工管理</w:t>
      </w:r>
      <w:r>
        <w:rPr>
          <w:rFonts w:ascii="宋体" w:hAnsi="宋体" w:eastAsia="宋体" w:cs="宋体"/>
          <w:color w:val="auto"/>
          <w:spacing w:val="11"/>
          <w:sz w:val="20"/>
          <w:szCs w:val="20"/>
          <w:highlight w:val="none"/>
          <w:u w:val="single" w:color="auto"/>
        </w:rPr>
        <w:t>人员不称职，发包人要求调换而无正当理由拒绝撤换或未及时调换的，视为承包人违约，必须</w:t>
      </w:r>
      <w:r>
        <w:rPr>
          <w:rFonts w:ascii="宋体" w:hAnsi="宋体" w:eastAsia="宋体" w:cs="宋体"/>
          <w:color w:val="auto"/>
          <w:spacing w:val="8"/>
          <w:sz w:val="20"/>
          <w:szCs w:val="20"/>
          <w:highlight w:val="none"/>
          <w:u w:val="single" w:color="auto"/>
        </w:rPr>
        <w:t>向发包人交纳处罚金，处罚标准：技术负责人</w:t>
      </w:r>
      <w:r>
        <w:rPr>
          <w:rFonts w:hint="eastAsia" w:ascii="宋体" w:hAnsi="宋体" w:eastAsia="宋体" w:cs="宋体"/>
          <w:color w:val="auto"/>
          <w:spacing w:val="8"/>
          <w:sz w:val="20"/>
          <w:szCs w:val="20"/>
          <w:highlight w:val="none"/>
          <w:u w:val="single" w:color="auto"/>
          <w:lang w:val="en-US" w:eastAsia="zh-CN"/>
        </w:rPr>
        <w:t>20000</w:t>
      </w:r>
      <w:r>
        <w:rPr>
          <w:rFonts w:ascii="宋体" w:hAnsi="宋体" w:eastAsia="宋体" w:cs="宋体"/>
          <w:color w:val="auto"/>
          <w:spacing w:val="8"/>
          <w:sz w:val="20"/>
          <w:szCs w:val="20"/>
          <w:highlight w:val="none"/>
          <w:u w:val="single" w:color="auto"/>
        </w:rPr>
        <w:t>元/人•次（人</w:t>
      </w:r>
      <w:r>
        <w:rPr>
          <w:rFonts w:ascii="宋体" w:hAnsi="宋体" w:eastAsia="宋体" w:cs="宋体"/>
          <w:color w:val="auto"/>
          <w:spacing w:val="7"/>
          <w:sz w:val="20"/>
          <w:szCs w:val="20"/>
          <w:highlight w:val="none"/>
          <w:u w:val="single" w:color="auto"/>
        </w:rPr>
        <w:t>民币</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7"/>
          <w:sz w:val="20"/>
          <w:szCs w:val="20"/>
          <w:highlight w:val="none"/>
          <w:u w:val="single" w:color="auto"/>
        </w:rPr>
        <w:t>专业工程师</w:t>
      </w:r>
      <w:r>
        <w:rPr>
          <w:rFonts w:hint="eastAsia" w:ascii="宋体" w:hAnsi="宋体" w:eastAsia="宋体" w:cs="宋体"/>
          <w:color w:val="auto"/>
          <w:spacing w:val="7"/>
          <w:sz w:val="20"/>
          <w:szCs w:val="20"/>
          <w:highlight w:val="none"/>
          <w:u w:val="single" w:color="auto"/>
          <w:lang w:val="en-US" w:eastAsia="zh-CN"/>
        </w:rPr>
        <w:t>20000</w:t>
      </w:r>
      <w:r>
        <w:rPr>
          <w:rFonts w:ascii="宋体" w:hAnsi="宋体" w:eastAsia="宋体" w:cs="宋体"/>
          <w:color w:val="auto"/>
          <w:spacing w:val="7"/>
          <w:sz w:val="20"/>
          <w:szCs w:val="20"/>
          <w:highlight w:val="none"/>
          <w:u w:val="single" w:color="auto"/>
        </w:rPr>
        <w:t>元/人</w:t>
      </w:r>
      <w:r>
        <w:rPr>
          <w:rFonts w:ascii="宋体" w:hAnsi="宋体" w:eastAsia="宋体" w:cs="宋体"/>
          <w:color w:val="auto"/>
          <w:spacing w:val="3"/>
          <w:sz w:val="20"/>
          <w:szCs w:val="20"/>
          <w:highlight w:val="none"/>
          <w:u w:val="single" w:color="auto"/>
        </w:rPr>
        <w:t>•次（人民币）</w:t>
      </w:r>
      <w:r>
        <w:rPr>
          <w:rFonts w:ascii="宋体" w:hAnsi="宋体" w:eastAsia="宋体" w:cs="宋体"/>
          <w:color w:val="auto"/>
          <w:spacing w:val="3"/>
          <w:sz w:val="20"/>
          <w:szCs w:val="20"/>
          <w:highlight w:val="none"/>
        </w:rPr>
        <w:t>。</w:t>
      </w:r>
    </w:p>
    <w:p w14:paraId="197A049F">
      <w:pPr>
        <w:keepNext w:val="0"/>
        <w:keepLines w:val="0"/>
        <w:pageBreakBefore w:val="0"/>
        <w:widowControl/>
        <w:kinsoku w:val="0"/>
        <w:wordWrap/>
        <w:overflowPunct/>
        <w:topLinePunct w:val="0"/>
        <w:autoSpaceDE/>
        <w:autoSpaceDN/>
        <w:bidi w:val="0"/>
        <w:adjustRightInd w:val="0"/>
        <w:snapToGrid w:val="0"/>
        <w:spacing w:before="141" w:line="360" w:lineRule="auto"/>
        <w:ind w:left="0" w:right="84" w:firstLine="428"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3.3.4 承包人主要施工管理人员离开施工现场的批准要求：</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需经发包人及监理工程师审批后可以离开 ，并按规定时间回到施工现场</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4A130A93">
      <w:pPr>
        <w:keepNext w:val="0"/>
        <w:keepLines w:val="0"/>
        <w:pageBreakBefore w:val="0"/>
        <w:widowControl/>
        <w:kinsoku w:val="0"/>
        <w:wordWrap/>
        <w:overflowPunct/>
        <w:topLinePunct w:val="0"/>
        <w:autoSpaceDE/>
        <w:autoSpaceDN/>
        <w:bidi w:val="0"/>
        <w:adjustRightInd w:val="0"/>
        <w:snapToGrid w:val="0"/>
        <w:spacing w:before="94" w:line="360" w:lineRule="auto"/>
        <w:ind w:left="0" w:right="85" w:firstLine="440"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3.3.5 承包人擅自更换主要施工管理人员的违约责任：</w:t>
      </w:r>
      <w:r>
        <w:rPr>
          <w:rFonts w:ascii="宋体" w:hAnsi="宋体" w:eastAsia="宋体" w:cs="宋体"/>
          <w:color w:val="auto"/>
          <w:spacing w:val="10"/>
          <w:sz w:val="20"/>
          <w:szCs w:val="20"/>
          <w:highlight w:val="none"/>
          <w:u w:val="single" w:color="auto"/>
        </w:rPr>
        <w:t>项目技术负责人、专职安全员及其</w:t>
      </w:r>
      <w:r>
        <w:rPr>
          <w:rFonts w:ascii="宋体" w:hAnsi="宋体" w:eastAsia="宋体" w:cs="宋体"/>
          <w:color w:val="auto"/>
          <w:spacing w:val="22"/>
          <w:sz w:val="20"/>
          <w:szCs w:val="20"/>
          <w:highlight w:val="none"/>
          <w:u w:val="single" w:color="auto"/>
        </w:rPr>
        <w:t>承诺的其它在场管理人员未经发包人书面同意不准擅自更换，擅自更换项目技术负责人处</w:t>
      </w:r>
      <w:r>
        <w:rPr>
          <w:rFonts w:hint="eastAsia" w:ascii="宋体" w:hAnsi="宋体" w:eastAsia="宋体" w:cs="宋体"/>
          <w:color w:val="auto"/>
          <w:spacing w:val="22"/>
          <w:sz w:val="20"/>
          <w:szCs w:val="20"/>
          <w:highlight w:val="none"/>
          <w:u w:val="single" w:color="auto"/>
          <w:lang w:val="en-US" w:eastAsia="zh-CN"/>
        </w:rPr>
        <w:t>20000</w:t>
      </w:r>
      <w:r>
        <w:rPr>
          <w:rFonts w:ascii="宋体" w:hAnsi="宋体" w:eastAsia="宋体" w:cs="宋体"/>
          <w:color w:val="auto"/>
          <w:spacing w:val="10"/>
          <w:sz w:val="20"/>
          <w:szCs w:val="20"/>
          <w:highlight w:val="none"/>
          <w:u w:val="single" w:color="auto"/>
        </w:rPr>
        <w:t>元/人•次（人民币）违约金；擅自更换专职安全员处</w:t>
      </w:r>
      <w:r>
        <w:rPr>
          <w:rFonts w:hint="eastAsia" w:ascii="宋体" w:hAnsi="宋体" w:eastAsia="宋体" w:cs="宋体"/>
          <w:color w:val="auto"/>
          <w:spacing w:val="10"/>
          <w:sz w:val="20"/>
          <w:szCs w:val="20"/>
          <w:highlight w:val="none"/>
          <w:u w:val="single" w:color="auto"/>
          <w:lang w:val="en-US" w:eastAsia="zh-CN"/>
        </w:rPr>
        <w:t>20000</w:t>
      </w:r>
      <w:r>
        <w:rPr>
          <w:rFonts w:ascii="宋体" w:hAnsi="宋体" w:eastAsia="宋体" w:cs="宋体"/>
          <w:color w:val="auto"/>
          <w:spacing w:val="10"/>
          <w:sz w:val="20"/>
          <w:szCs w:val="20"/>
          <w:highlight w:val="none"/>
          <w:u w:val="single" w:color="auto"/>
        </w:rPr>
        <w:t>元/人•次（人民币）违约金；擅自更</w:t>
      </w:r>
      <w:r>
        <w:rPr>
          <w:rFonts w:ascii="宋体" w:hAnsi="宋体" w:eastAsia="宋体" w:cs="宋体"/>
          <w:color w:val="auto"/>
          <w:spacing w:val="8"/>
          <w:sz w:val="20"/>
          <w:szCs w:val="20"/>
          <w:highlight w:val="none"/>
          <w:u w:val="single" w:color="auto"/>
        </w:rPr>
        <w:t>换其它在场管理人</w:t>
      </w:r>
      <w:r>
        <w:rPr>
          <w:rFonts w:hint="eastAsia" w:ascii="宋体" w:hAnsi="宋体" w:eastAsia="宋体" w:cs="宋体"/>
          <w:color w:val="auto"/>
          <w:spacing w:val="8"/>
          <w:sz w:val="20"/>
          <w:szCs w:val="20"/>
          <w:highlight w:val="none"/>
          <w:u w:val="single" w:color="auto"/>
          <w:lang w:val="en-US" w:eastAsia="zh-CN"/>
        </w:rPr>
        <w:t>20000</w:t>
      </w:r>
      <w:r>
        <w:rPr>
          <w:rFonts w:ascii="宋体" w:hAnsi="宋体" w:eastAsia="宋体" w:cs="宋体"/>
          <w:color w:val="auto"/>
          <w:spacing w:val="8"/>
          <w:sz w:val="20"/>
          <w:szCs w:val="20"/>
          <w:highlight w:val="none"/>
          <w:u w:val="single" w:color="auto"/>
        </w:rPr>
        <w:t>元/人•次（人民币）违约金</w:t>
      </w:r>
      <w:r>
        <w:rPr>
          <w:rFonts w:ascii="宋体" w:hAnsi="宋体" w:eastAsia="宋体" w:cs="宋体"/>
          <w:color w:val="auto"/>
          <w:spacing w:val="8"/>
          <w:sz w:val="20"/>
          <w:szCs w:val="20"/>
          <w:highlight w:val="none"/>
        </w:rPr>
        <w:t>。</w:t>
      </w:r>
    </w:p>
    <w:p w14:paraId="1D6768F4">
      <w:pPr>
        <w:keepNext w:val="0"/>
        <w:keepLines w:val="0"/>
        <w:pageBreakBefore w:val="0"/>
        <w:widowControl/>
        <w:kinsoku w:val="0"/>
        <w:wordWrap/>
        <w:overflowPunct/>
        <w:topLinePunct w:val="0"/>
        <w:autoSpaceDE/>
        <w:autoSpaceDN/>
        <w:bidi w:val="0"/>
        <w:adjustRightInd w:val="0"/>
        <w:snapToGrid w:val="0"/>
        <w:spacing w:before="96" w:line="360" w:lineRule="auto"/>
        <w:ind w:left="0" w:right="16" w:firstLine="444" w:firstLineChars="200"/>
        <w:jc w:val="both"/>
        <w:textAlignment w:val="baseline"/>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承包人主要施工管理人员擅自离开施工现场的违约责任：</w:t>
      </w:r>
      <w:r>
        <w:rPr>
          <w:rFonts w:ascii="宋体" w:hAnsi="宋体" w:eastAsia="宋体" w:cs="宋体"/>
          <w:color w:val="auto"/>
          <w:spacing w:val="11"/>
          <w:sz w:val="20"/>
          <w:szCs w:val="20"/>
          <w:highlight w:val="none"/>
          <w:u w:val="single" w:color="auto"/>
        </w:rPr>
        <w:t>未经发包人同意，项目技术负责</w:t>
      </w:r>
      <w:r>
        <w:rPr>
          <w:rFonts w:ascii="宋体" w:hAnsi="宋体" w:eastAsia="宋体" w:cs="宋体"/>
          <w:color w:val="auto"/>
          <w:spacing w:val="10"/>
          <w:sz w:val="20"/>
          <w:szCs w:val="20"/>
          <w:highlight w:val="none"/>
          <w:u w:val="single" w:color="auto"/>
        </w:rPr>
        <w:t>人擅自离岗的，视为承包人违约，发包人有权处违约金</w:t>
      </w:r>
      <w:r>
        <w:rPr>
          <w:rFonts w:hint="eastAsia" w:ascii="宋体" w:hAnsi="宋体" w:eastAsia="宋体" w:cs="宋体"/>
          <w:color w:val="auto"/>
          <w:spacing w:val="10"/>
          <w:sz w:val="20"/>
          <w:szCs w:val="20"/>
          <w:highlight w:val="none"/>
          <w:u w:val="single" w:color="auto"/>
          <w:lang w:val="en-US" w:eastAsia="zh-CN"/>
        </w:rPr>
        <w:t>20000</w:t>
      </w:r>
      <w:r>
        <w:rPr>
          <w:rFonts w:ascii="宋体" w:hAnsi="宋体" w:eastAsia="宋体" w:cs="宋体"/>
          <w:color w:val="auto"/>
          <w:spacing w:val="10"/>
          <w:sz w:val="20"/>
          <w:szCs w:val="20"/>
          <w:highlight w:val="none"/>
          <w:u w:val="single" w:color="auto"/>
        </w:rPr>
        <w:t>元/人•次（人民币</w:t>
      </w:r>
      <w:r>
        <w:rPr>
          <w:rFonts w:ascii="宋体" w:hAnsi="宋体" w:eastAsia="宋体" w:cs="宋体"/>
          <w:color w:val="auto"/>
          <w:spacing w:val="19"/>
          <w:sz w:val="20"/>
          <w:szCs w:val="20"/>
          <w:highlight w:val="none"/>
          <w:u w:val="single" w:color="auto"/>
        </w:rPr>
        <w:t>）；</w:t>
      </w:r>
      <w:r>
        <w:rPr>
          <w:rFonts w:ascii="宋体" w:hAnsi="宋体" w:eastAsia="宋体" w:cs="宋体"/>
          <w:color w:val="auto"/>
          <w:spacing w:val="10"/>
          <w:sz w:val="20"/>
          <w:szCs w:val="20"/>
          <w:highlight w:val="none"/>
          <w:u w:val="single" w:color="auto"/>
        </w:rPr>
        <w:t>未经发包人</w:t>
      </w:r>
      <w:r>
        <w:rPr>
          <w:rFonts w:ascii="宋体" w:hAnsi="宋体" w:eastAsia="宋体" w:cs="宋体"/>
          <w:color w:val="auto"/>
          <w:spacing w:val="6"/>
          <w:sz w:val="20"/>
          <w:szCs w:val="20"/>
          <w:highlight w:val="none"/>
          <w:u w:val="single" w:color="auto"/>
        </w:rPr>
        <w:t>同意，专职安全员擅自离岗的，视为承包人违约，发包人有权</w:t>
      </w:r>
      <w:r>
        <w:rPr>
          <w:rFonts w:ascii="宋体" w:hAnsi="宋体" w:eastAsia="宋体" w:cs="宋体"/>
          <w:color w:val="auto"/>
          <w:spacing w:val="5"/>
          <w:sz w:val="20"/>
          <w:szCs w:val="20"/>
          <w:highlight w:val="none"/>
          <w:u w:val="single" w:color="auto"/>
        </w:rPr>
        <w:t>处违约金</w:t>
      </w:r>
      <w:r>
        <w:rPr>
          <w:rFonts w:hint="eastAsia" w:ascii="宋体" w:hAnsi="宋体" w:eastAsia="宋体" w:cs="宋体"/>
          <w:color w:val="auto"/>
          <w:spacing w:val="5"/>
          <w:sz w:val="20"/>
          <w:szCs w:val="20"/>
          <w:highlight w:val="none"/>
          <w:u w:val="single" w:color="auto"/>
          <w:lang w:val="en-US" w:eastAsia="zh-CN"/>
        </w:rPr>
        <w:t>20000</w:t>
      </w:r>
      <w:r>
        <w:rPr>
          <w:rFonts w:ascii="宋体" w:hAnsi="宋体" w:eastAsia="宋体" w:cs="宋体"/>
          <w:color w:val="auto"/>
          <w:spacing w:val="5"/>
          <w:sz w:val="20"/>
          <w:szCs w:val="20"/>
          <w:highlight w:val="none"/>
          <w:u w:val="single" w:color="auto"/>
        </w:rPr>
        <w:t>元/人•次（人民币</w:t>
      </w:r>
      <w:r>
        <w:rPr>
          <w:rFonts w:ascii="宋体" w:hAnsi="宋体" w:eastAsia="宋体" w:cs="宋体"/>
          <w:color w:val="auto"/>
          <w:spacing w:val="-51"/>
          <w:w w:val="95"/>
          <w:sz w:val="20"/>
          <w:szCs w:val="20"/>
          <w:highlight w:val="none"/>
          <w:u w:val="single" w:color="auto"/>
        </w:rPr>
        <w:t>）；</w:t>
      </w:r>
      <w:r>
        <w:rPr>
          <w:rFonts w:ascii="宋体" w:hAnsi="宋体" w:eastAsia="宋体" w:cs="宋体"/>
          <w:color w:val="auto"/>
          <w:spacing w:val="3"/>
          <w:sz w:val="20"/>
          <w:szCs w:val="20"/>
          <w:highlight w:val="none"/>
          <w:u w:val="single" w:color="auto"/>
        </w:rPr>
        <w:t>其它在场管理人员擅自离岗的，视为承包人违约，发包人有权处违约金</w:t>
      </w:r>
      <w:r>
        <w:rPr>
          <w:rFonts w:hint="eastAsia" w:ascii="宋体" w:hAnsi="宋体" w:eastAsia="宋体" w:cs="宋体"/>
          <w:color w:val="auto"/>
          <w:spacing w:val="3"/>
          <w:sz w:val="20"/>
          <w:szCs w:val="20"/>
          <w:highlight w:val="none"/>
          <w:u w:val="single" w:color="auto"/>
          <w:lang w:val="en-US" w:eastAsia="zh-CN"/>
        </w:rPr>
        <w:t>20000</w:t>
      </w:r>
      <w:r>
        <w:rPr>
          <w:rFonts w:ascii="宋体" w:hAnsi="宋体" w:eastAsia="宋体" w:cs="宋体"/>
          <w:color w:val="auto"/>
          <w:spacing w:val="2"/>
          <w:sz w:val="20"/>
          <w:szCs w:val="20"/>
          <w:highlight w:val="none"/>
          <w:u w:val="single" w:color="auto"/>
        </w:rPr>
        <w:t>元/人•次（人民币）</w:t>
      </w:r>
      <w:r>
        <w:rPr>
          <w:rFonts w:ascii="宋体" w:hAnsi="宋体" w:eastAsia="宋体" w:cs="宋体"/>
          <w:color w:val="auto"/>
          <w:spacing w:val="2"/>
          <w:sz w:val="20"/>
          <w:szCs w:val="20"/>
          <w:highlight w:val="none"/>
        </w:rPr>
        <w:t>。</w:t>
      </w:r>
    </w:p>
    <w:p w14:paraId="052E29BD">
      <w:pPr>
        <w:keepNext w:val="0"/>
        <w:keepLines w:val="0"/>
        <w:pageBreakBefore w:val="0"/>
        <w:widowControl/>
        <w:kinsoku w:val="0"/>
        <w:wordWrap/>
        <w:overflowPunct/>
        <w:topLinePunct w:val="0"/>
        <w:autoSpaceDE/>
        <w:autoSpaceDN/>
        <w:bidi w:val="0"/>
        <w:adjustRightInd w:val="0"/>
        <w:snapToGrid w:val="0"/>
        <w:spacing w:before="32" w:line="360" w:lineRule="auto"/>
        <w:ind w:left="0" w:firstLine="402" w:firstLineChars="200"/>
        <w:textAlignment w:val="baseline"/>
        <w:outlineLvl w:val="2"/>
        <w:rPr>
          <w:rFonts w:ascii="宋体" w:hAnsi="宋体" w:eastAsia="宋体" w:cs="宋体"/>
          <w:color w:val="auto"/>
          <w:sz w:val="20"/>
          <w:szCs w:val="20"/>
          <w:highlight w:val="none"/>
        </w:rPr>
      </w:pPr>
      <w:bookmarkStart w:id="210" w:name="_Toc20480"/>
      <w:bookmarkStart w:id="211" w:name="_Toc23513"/>
      <w:bookmarkStart w:id="212" w:name="_Toc992"/>
      <w:r>
        <w:rPr>
          <w:rFonts w:ascii="宋体" w:hAnsi="宋体" w:eastAsia="宋体" w:cs="宋体"/>
          <w:b/>
          <w:bCs/>
          <w:color w:val="auto"/>
          <w:sz w:val="20"/>
          <w:szCs w:val="20"/>
          <w:highlight w:val="none"/>
        </w:rPr>
        <w:t>3.5</w:t>
      </w:r>
      <w:r>
        <w:rPr>
          <w:rFonts w:ascii="宋体" w:hAnsi="宋体" w:eastAsia="宋体" w:cs="宋体"/>
          <w:color w:val="auto"/>
          <w:spacing w:val="18"/>
          <w:sz w:val="20"/>
          <w:szCs w:val="20"/>
          <w:highlight w:val="none"/>
        </w:rPr>
        <w:t xml:space="preserve"> </w:t>
      </w:r>
      <w:r>
        <w:rPr>
          <w:rFonts w:ascii="宋体" w:hAnsi="宋体" w:eastAsia="宋体" w:cs="宋体"/>
          <w:b/>
          <w:bCs/>
          <w:color w:val="auto"/>
          <w:sz w:val="20"/>
          <w:szCs w:val="20"/>
          <w:highlight w:val="none"/>
        </w:rPr>
        <w:t>分包</w:t>
      </w:r>
      <w:bookmarkEnd w:id="210"/>
      <w:bookmarkEnd w:id="211"/>
      <w:bookmarkEnd w:id="212"/>
    </w:p>
    <w:p w14:paraId="5838954F">
      <w:pPr>
        <w:keepNext w:val="0"/>
        <w:keepLines w:val="0"/>
        <w:pageBreakBefore w:val="0"/>
        <w:widowControl/>
        <w:kinsoku w:val="0"/>
        <w:wordWrap/>
        <w:overflowPunct/>
        <w:topLinePunct w:val="0"/>
        <w:autoSpaceDE/>
        <w:autoSpaceDN/>
        <w:bidi w:val="0"/>
        <w:adjustRightInd w:val="0"/>
        <w:snapToGrid w:val="0"/>
        <w:spacing w:before="94" w:line="360" w:lineRule="auto"/>
        <w:ind w:left="0" w:firstLine="42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3.5.1 分包的一般约定</w:t>
      </w:r>
    </w:p>
    <w:p w14:paraId="35866797">
      <w:pPr>
        <w:keepNext w:val="0"/>
        <w:keepLines w:val="0"/>
        <w:pageBreakBefore w:val="0"/>
        <w:widowControl/>
        <w:kinsoku w:val="0"/>
        <w:wordWrap/>
        <w:overflowPunct/>
        <w:topLinePunct w:val="0"/>
        <w:autoSpaceDE/>
        <w:autoSpaceDN/>
        <w:bidi w:val="0"/>
        <w:adjustRightInd w:val="0"/>
        <w:snapToGrid w:val="0"/>
        <w:spacing w:before="91" w:line="360" w:lineRule="auto"/>
        <w:ind w:left="0" w:firstLine="42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禁止分包的工程包括：</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本工程不允许分包</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02C41F42">
      <w:pPr>
        <w:keepNext w:val="0"/>
        <w:keepLines w:val="0"/>
        <w:pageBreakBefore w:val="0"/>
        <w:widowControl/>
        <w:kinsoku w:val="0"/>
        <w:wordWrap/>
        <w:overflowPunct/>
        <w:topLinePunct w:val="0"/>
        <w:autoSpaceDE/>
        <w:autoSpaceDN/>
        <w:bidi w:val="0"/>
        <w:adjustRightInd w:val="0"/>
        <w:snapToGrid w:val="0"/>
        <w:spacing w:before="94" w:line="360" w:lineRule="auto"/>
        <w:ind w:left="0" w:firstLine="42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主体结构、关键性工作的范围：</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516C3C0A">
      <w:pPr>
        <w:keepNext w:val="0"/>
        <w:keepLines w:val="0"/>
        <w:pageBreakBefore w:val="0"/>
        <w:widowControl/>
        <w:kinsoku w:val="0"/>
        <w:wordWrap/>
        <w:overflowPunct/>
        <w:topLinePunct w:val="0"/>
        <w:autoSpaceDE/>
        <w:autoSpaceDN/>
        <w:bidi w:val="0"/>
        <w:adjustRightInd w:val="0"/>
        <w:snapToGrid w:val="0"/>
        <w:spacing w:before="94" w:line="360" w:lineRule="auto"/>
        <w:ind w:left="0" w:firstLine="420"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3.5.2 分包的确定</w:t>
      </w:r>
    </w:p>
    <w:p w14:paraId="61298D10">
      <w:pPr>
        <w:keepNext w:val="0"/>
        <w:keepLines w:val="0"/>
        <w:pageBreakBefore w:val="0"/>
        <w:widowControl/>
        <w:kinsoku w:val="0"/>
        <w:wordWrap/>
        <w:overflowPunct/>
        <w:topLinePunct w:val="0"/>
        <w:autoSpaceDE/>
        <w:autoSpaceDN/>
        <w:bidi w:val="0"/>
        <w:adjustRightInd w:val="0"/>
        <w:snapToGrid w:val="0"/>
        <w:spacing w:before="94" w:line="360" w:lineRule="auto"/>
        <w:ind w:left="0" w:right="2596" w:firstLine="424" w:firstLineChars="200"/>
        <w:textAlignment w:val="baseline"/>
        <w:rPr>
          <w:rFonts w:ascii="宋体" w:hAnsi="宋体" w:eastAsia="宋体" w:cs="宋体"/>
          <w:color w:val="auto"/>
          <w:spacing w:val="12"/>
          <w:sz w:val="20"/>
          <w:szCs w:val="20"/>
          <w:highlight w:val="none"/>
        </w:rPr>
      </w:pPr>
      <w:r>
        <w:rPr>
          <w:rFonts w:ascii="宋体" w:hAnsi="宋体" w:eastAsia="宋体" w:cs="宋体"/>
          <w:color w:val="auto"/>
          <w:spacing w:val="6"/>
          <w:sz w:val="20"/>
          <w:szCs w:val="20"/>
          <w:highlight w:val="none"/>
        </w:rPr>
        <w:t>允许分包的专业工程包括：</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本工程不允许分包</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12"/>
          <w:sz w:val="20"/>
          <w:szCs w:val="20"/>
          <w:highlight w:val="none"/>
        </w:rPr>
        <w:t xml:space="preserve"> </w:t>
      </w:r>
    </w:p>
    <w:p w14:paraId="1AFB2CE2">
      <w:pPr>
        <w:keepNext w:val="0"/>
        <w:keepLines w:val="0"/>
        <w:pageBreakBefore w:val="0"/>
        <w:widowControl/>
        <w:kinsoku w:val="0"/>
        <w:wordWrap/>
        <w:overflowPunct/>
        <w:topLinePunct w:val="0"/>
        <w:autoSpaceDE/>
        <w:autoSpaceDN/>
        <w:bidi w:val="0"/>
        <w:adjustRightInd w:val="0"/>
        <w:snapToGrid w:val="0"/>
        <w:spacing w:before="94" w:line="360" w:lineRule="auto"/>
        <w:ind w:left="0" w:right="2596" w:firstLine="428"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其他关于分包的约定：</w:t>
      </w:r>
    </w:p>
    <w:p w14:paraId="54520EC9">
      <w:pPr>
        <w:keepNext w:val="0"/>
        <w:keepLines w:val="0"/>
        <w:pageBreakBefore w:val="0"/>
        <w:widowControl/>
        <w:kinsoku w:val="0"/>
        <w:wordWrap/>
        <w:overflowPunct/>
        <w:topLinePunct w:val="0"/>
        <w:autoSpaceDE/>
        <w:autoSpaceDN/>
        <w:bidi w:val="0"/>
        <w:adjustRightInd w:val="0"/>
        <w:snapToGrid w:val="0"/>
        <w:spacing w:before="28" w:line="360" w:lineRule="auto"/>
        <w:ind w:left="0" w:right="84" w:firstLine="432"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（1）除前款约定的分包内容外，经过发包人和监理人同意，承包人可以将其他非主体、非</w:t>
      </w:r>
      <w:r>
        <w:rPr>
          <w:rFonts w:ascii="宋体" w:hAnsi="宋体" w:eastAsia="宋体" w:cs="宋体"/>
          <w:color w:val="auto"/>
          <w:spacing w:val="11"/>
          <w:sz w:val="20"/>
          <w:szCs w:val="20"/>
          <w:highlight w:val="none"/>
        </w:rPr>
        <w:t>关键性工作分包给第三人，但分包人应当经过发包人和监理人审批。发包人和监理人有权拒绝承包人的分包请求和承包人选择的分包人。本项目分包人主要施工管理人员名单详见合同附件</w:t>
      </w:r>
      <w:r>
        <w:rPr>
          <w:rFonts w:ascii="宋体" w:hAnsi="宋体" w:eastAsia="宋体" w:cs="宋体"/>
          <w:color w:val="auto"/>
          <w:spacing w:val="-2"/>
          <w:sz w:val="20"/>
          <w:szCs w:val="20"/>
          <w:highlight w:val="none"/>
        </w:rPr>
        <w:t>4。</w:t>
      </w:r>
    </w:p>
    <w:p w14:paraId="000AFFC2">
      <w:pPr>
        <w:keepNext w:val="0"/>
        <w:keepLines w:val="0"/>
        <w:pageBreakBefore w:val="0"/>
        <w:widowControl/>
        <w:kinsoku w:val="0"/>
        <w:wordWrap/>
        <w:overflowPunct/>
        <w:topLinePunct w:val="0"/>
        <w:autoSpaceDE/>
        <w:autoSpaceDN/>
        <w:bidi w:val="0"/>
        <w:adjustRightInd w:val="0"/>
        <w:snapToGrid w:val="0"/>
        <w:spacing w:before="103" w:line="360" w:lineRule="auto"/>
        <w:ind w:left="0" w:right="87" w:firstLine="428"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（2）在相关分包合同签订并报送有关建设行政主管部门备案后</w:t>
      </w:r>
      <w:r>
        <w:rPr>
          <w:rFonts w:ascii="宋体" w:hAnsi="宋体" w:eastAsia="宋体" w:cs="宋体"/>
          <w:color w:val="auto"/>
          <w:spacing w:val="-19"/>
          <w:sz w:val="20"/>
          <w:szCs w:val="20"/>
          <w:highlight w:val="none"/>
        </w:rPr>
        <w:t xml:space="preserve"> </w:t>
      </w:r>
      <w:r>
        <w:rPr>
          <w:rFonts w:ascii="宋体" w:hAnsi="宋体" w:eastAsia="宋体" w:cs="宋体"/>
          <w:color w:val="auto"/>
          <w:spacing w:val="7"/>
          <w:sz w:val="20"/>
          <w:szCs w:val="20"/>
          <w:highlight w:val="none"/>
        </w:rPr>
        <w:t>7</w:t>
      </w:r>
      <w:r>
        <w:rPr>
          <w:rFonts w:ascii="宋体" w:hAnsi="宋体" w:eastAsia="宋体" w:cs="宋体"/>
          <w:color w:val="auto"/>
          <w:spacing w:val="-34"/>
          <w:sz w:val="20"/>
          <w:szCs w:val="20"/>
          <w:highlight w:val="none"/>
        </w:rPr>
        <w:t xml:space="preserve"> </w:t>
      </w:r>
      <w:r>
        <w:rPr>
          <w:rFonts w:ascii="宋体" w:hAnsi="宋体" w:eastAsia="宋体" w:cs="宋体"/>
          <w:color w:val="auto"/>
          <w:spacing w:val="7"/>
          <w:sz w:val="20"/>
          <w:szCs w:val="20"/>
          <w:highlight w:val="none"/>
        </w:rPr>
        <w:t>天内，承包人应当将一份</w:t>
      </w:r>
      <w:r>
        <w:rPr>
          <w:rFonts w:ascii="宋体" w:hAnsi="宋体" w:eastAsia="宋体" w:cs="宋体"/>
          <w:color w:val="auto"/>
          <w:spacing w:val="9"/>
          <w:sz w:val="20"/>
          <w:szCs w:val="20"/>
          <w:highlight w:val="none"/>
        </w:rPr>
        <w:t>副本提交给监理人，承包人应保障分包工作不得再次分包。</w:t>
      </w:r>
    </w:p>
    <w:p w14:paraId="30B35B2A">
      <w:pPr>
        <w:keepNext w:val="0"/>
        <w:keepLines w:val="0"/>
        <w:pageBreakBefore w:val="0"/>
        <w:widowControl/>
        <w:kinsoku w:val="0"/>
        <w:wordWrap/>
        <w:overflowPunct/>
        <w:topLinePunct w:val="0"/>
        <w:autoSpaceDE/>
        <w:autoSpaceDN/>
        <w:bidi w:val="0"/>
        <w:adjustRightInd w:val="0"/>
        <w:snapToGrid w:val="0"/>
        <w:spacing w:before="95" w:line="360" w:lineRule="auto"/>
        <w:ind w:left="0" w:right="87" w:firstLine="432"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（3）未经承包人和监理人审批同意的分包工程和分包人，承包人有权拒绝验收分包工程和</w:t>
      </w:r>
      <w:r>
        <w:rPr>
          <w:rFonts w:ascii="宋体" w:hAnsi="宋体" w:eastAsia="宋体" w:cs="宋体"/>
          <w:color w:val="auto"/>
          <w:spacing w:val="9"/>
          <w:sz w:val="20"/>
          <w:szCs w:val="20"/>
          <w:highlight w:val="none"/>
        </w:rPr>
        <w:t>支付相应款项，由此引起的发包人费用增加和(或)延误的工期由发包人承担。</w:t>
      </w:r>
    </w:p>
    <w:p w14:paraId="0E8A050B">
      <w:pPr>
        <w:keepNext w:val="0"/>
        <w:keepLines w:val="0"/>
        <w:pageBreakBefore w:val="0"/>
        <w:widowControl/>
        <w:kinsoku w:val="0"/>
        <w:wordWrap/>
        <w:overflowPunct/>
        <w:topLinePunct w:val="0"/>
        <w:autoSpaceDE/>
        <w:autoSpaceDN/>
        <w:bidi w:val="0"/>
        <w:adjustRightInd w:val="0"/>
        <w:snapToGrid w:val="0"/>
        <w:spacing w:before="93" w:line="360" w:lineRule="auto"/>
        <w:ind w:left="0" w:firstLine="436"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（4）承包人有以下情况之一者，发包人有权解除合同，并视情况扣除其履约保证金：</w:t>
      </w:r>
    </w:p>
    <w:p w14:paraId="6AE8859D">
      <w:pPr>
        <w:autoSpaceDE/>
        <w:autoSpaceDN/>
        <w:spacing w:before="95" w:line="360" w:lineRule="auto"/>
        <w:ind w:left="0" w:right="87" w:firstLine="444" w:firstLineChars="20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①个人承包工程，包括本人单位及外单位人员承包，发包人不承</w:t>
      </w:r>
      <w:r>
        <w:rPr>
          <w:rFonts w:ascii="宋体" w:hAnsi="宋体" w:eastAsia="宋体" w:cs="宋体"/>
          <w:color w:val="auto"/>
          <w:spacing w:val="10"/>
          <w:sz w:val="20"/>
          <w:szCs w:val="20"/>
          <w:highlight w:val="none"/>
        </w:rPr>
        <w:t>认其个人拥有任何资质等</w:t>
      </w:r>
      <w:r>
        <w:rPr>
          <w:rFonts w:ascii="宋体" w:hAnsi="宋体" w:eastAsia="宋体" w:cs="宋体"/>
          <w:color w:val="auto"/>
          <w:spacing w:val="8"/>
          <w:sz w:val="20"/>
          <w:szCs w:val="20"/>
          <w:highlight w:val="none"/>
        </w:rPr>
        <w:t>级及营业许可资格。没收全部履约保证金。</w:t>
      </w:r>
    </w:p>
    <w:p w14:paraId="2E6D630F">
      <w:pPr>
        <w:keepNext w:val="0"/>
        <w:keepLines w:val="0"/>
        <w:pageBreakBefore w:val="0"/>
        <w:widowControl/>
        <w:kinsoku w:val="0"/>
        <w:wordWrap/>
        <w:overflowPunct/>
        <w:topLinePunct w:val="0"/>
        <w:autoSpaceDE/>
        <w:autoSpaceDN/>
        <w:bidi w:val="0"/>
        <w:adjustRightInd w:val="0"/>
        <w:snapToGrid w:val="0"/>
        <w:spacing w:before="41" w:line="360" w:lineRule="auto"/>
        <w:ind w:left="0" w:right="71" w:firstLine="44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②几个人联合承包工程，就地组织暗分包队伍，不具备完成本工程</w:t>
      </w:r>
      <w:r>
        <w:rPr>
          <w:rFonts w:ascii="宋体" w:hAnsi="宋体" w:eastAsia="宋体" w:cs="宋体"/>
          <w:color w:val="auto"/>
          <w:spacing w:val="10"/>
          <w:sz w:val="20"/>
          <w:szCs w:val="20"/>
          <w:highlight w:val="none"/>
        </w:rPr>
        <w:t>的技术、机械能力，被</w:t>
      </w:r>
      <w:r>
        <w:rPr>
          <w:rFonts w:ascii="宋体" w:hAnsi="宋体" w:eastAsia="宋体" w:cs="宋体"/>
          <w:color w:val="auto"/>
          <w:spacing w:val="9"/>
          <w:sz w:val="20"/>
          <w:szCs w:val="20"/>
          <w:highlight w:val="none"/>
        </w:rPr>
        <w:t>发包人判定为没有能力履行的承包人。没收全部履约保证金。</w:t>
      </w:r>
    </w:p>
    <w:p w14:paraId="7A9A635A">
      <w:pPr>
        <w:keepNext w:val="0"/>
        <w:keepLines w:val="0"/>
        <w:pageBreakBefore w:val="0"/>
        <w:widowControl/>
        <w:kinsoku w:val="0"/>
        <w:wordWrap/>
        <w:overflowPunct/>
        <w:topLinePunct w:val="0"/>
        <w:autoSpaceDE/>
        <w:autoSpaceDN/>
        <w:bidi w:val="0"/>
        <w:adjustRightInd w:val="0"/>
        <w:snapToGrid w:val="0"/>
        <w:spacing w:before="94" w:line="360" w:lineRule="auto"/>
        <w:ind w:left="0" w:firstLine="432"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③就地转包全部的工程，</w:t>
      </w:r>
      <w:r>
        <w:rPr>
          <w:rFonts w:ascii="宋体" w:hAnsi="宋体" w:eastAsia="宋体" w:cs="宋体"/>
          <w:color w:val="auto"/>
          <w:spacing w:val="-43"/>
          <w:sz w:val="20"/>
          <w:szCs w:val="20"/>
          <w:highlight w:val="none"/>
        </w:rPr>
        <w:t xml:space="preserve"> </w:t>
      </w:r>
      <w:r>
        <w:rPr>
          <w:rFonts w:ascii="宋体" w:hAnsi="宋体" w:eastAsia="宋体" w:cs="宋体"/>
          <w:color w:val="auto"/>
          <w:spacing w:val="8"/>
          <w:sz w:val="20"/>
          <w:szCs w:val="20"/>
          <w:highlight w:val="none"/>
        </w:rPr>
        <w:t>以谋取高额转让费、管理费的承包人。没收全部履约保证金。</w:t>
      </w:r>
    </w:p>
    <w:p w14:paraId="51D25D62">
      <w:pPr>
        <w:keepNext w:val="0"/>
        <w:keepLines w:val="0"/>
        <w:pageBreakBefore w:val="0"/>
        <w:widowControl/>
        <w:kinsoku w:val="0"/>
        <w:wordWrap/>
        <w:overflowPunct/>
        <w:topLinePunct w:val="0"/>
        <w:autoSpaceDE/>
        <w:autoSpaceDN/>
        <w:bidi w:val="0"/>
        <w:adjustRightInd w:val="0"/>
        <w:snapToGrid w:val="0"/>
        <w:spacing w:before="95" w:line="360" w:lineRule="auto"/>
        <w:ind w:left="0" w:right="68" w:firstLine="44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④承包人有部分分包现象（其中包括冒充承包人下属单位的挂勾单位，凭口头协议参与施工的分包人及其他暗分包个体户</w:t>
      </w:r>
      <w:r>
        <w:rPr>
          <w:rFonts w:ascii="宋体" w:hAnsi="宋体" w:eastAsia="宋体" w:cs="宋体"/>
          <w:color w:val="auto"/>
          <w:spacing w:val="18"/>
          <w:sz w:val="20"/>
          <w:szCs w:val="20"/>
          <w:highlight w:val="none"/>
        </w:rPr>
        <w:t>），</w:t>
      </w:r>
      <w:r>
        <w:rPr>
          <w:rFonts w:ascii="宋体" w:hAnsi="宋体" w:eastAsia="宋体" w:cs="宋体"/>
          <w:color w:val="auto"/>
          <w:spacing w:val="11"/>
          <w:sz w:val="20"/>
          <w:szCs w:val="20"/>
          <w:highlight w:val="none"/>
        </w:rPr>
        <w:t>一经发现核实，发包人将采取驱逐该暗分包</w:t>
      </w:r>
      <w:r>
        <w:rPr>
          <w:rFonts w:ascii="宋体" w:hAnsi="宋体" w:eastAsia="宋体" w:cs="宋体"/>
          <w:color w:val="auto"/>
          <w:spacing w:val="10"/>
          <w:sz w:val="20"/>
          <w:szCs w:val="20"/>
          <w:highlight w:val="none"/>
        </w:rPr>
        <w:t>人措施。没收</w:t>
      </w:r>
      <w:r>
        <w:rPr>
          <w:rFonts w:ascii="宋体" w:hAnsi="宋体" w:eastAsia="宋体" w:cs="宋体"/>
          <w:color w:val="auto"/>
          <w:spacing w:val="7"/>
          <w:sz w:val="20"/>
          <w:szCs w:val="20"/>
          <w:highlight w:val="none"/>
        </w:rPr>
        <w:t>全部履约保证金。</w:t>
      </w:r>
    </w:p>
    <w:p w14:paraId="7CA4C24E">
      <w:pPr>
        <w:keepNext w:val="0"/>
        <w:keepLines w:val="0"/>
        <w:pageBreakBefore w:val="0"/>
        <w:widowControl/>
        <w:kinsoku w:val="0"/>
        <w:wordWrap/>
        <w:overflowPunct/>
        <w:topLinePunct w:val="0"/>
        <w:autoSpaceDE/>
        <w:autoSpaceDN/>
        <w:bidi w:val="0"/>
        <w:adjustRightInd w:val="0"/>
        <w:snapToGrid w:val="0"/>
        <w:spacing w:before="91" w:line="360" w:lineRule="auto"/>
        <w:ind w:left="0" w:firstLine="42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3.5.4 分包合同价款</w:t>
      </w:r>
    </w:p>
    <w:p w14:paraId="7BE9C9E8">
      <w:pPr>
        <w:keepNext w:val="0"/>
        <w:keepLines w:val="0"/>
        <w:pageBreakBefore w:val="0"/>
        <w:widowControl/>
        <w:kinsoku w:val="0"/>
        <w:wordWrap/>
        <w:overflowPunct/>
        <w:topLinePunct w:val="0"/>
        <w:autoSpaceDE/>
        <w:autoSpaceDN/>
        <w:bidi w:val="0"/>
        <w:adjustRightInd w:val="0"/>
        <w:snapToGrid w:val="0"/>
        <w:spacing w:before="97" w:line="360" w:lineRule="auto"/>
        <w:ind w:left="0" w:firstLine="432" w:firstLineChars="200"/>
        <w:jc w:val="both"/>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关于分包合同价款支付的约定：</w:t>
      </w:r>
      <w:r>
        <w:rPr>
          <w:rFonts w:ascii="宋体" w:hAnsi="宋体" w:eastAsia="宋体" w:cs="宋体"/>
          <w:color w:val="auto"/>
          <w:spacing w:val="8"/>
          <w:sz w:val="20"/>
          <w:szCs w:val="20"/>
          <w:highlight w:val="none"/>
          <w:u w:val="single" w:color="auto"/>
        </w:rPr>
        <w:t>分包工程价款由承包人</w:t>
      </w:r>
      <w:r>
        <w:rPr>
          <w:rFonts w:ascii="宋体" w:hAnsi="宋体" w:eastAsia="宋体" w:cs="宋体"/>
          <w:color w:val="auto"/>
          <w:spacing w:val="7"/>
          <w:sz w:val="20"/>
          <w:szCs w:val="20"/>
          <w:highlight w:val="none"/>
          <w:u w:val="single" w:color="auto"/>
        </w:rPr>
        <w:t>与分包人（包括专业分包人）结算。</w:t>
      </w:r>
      <w:r>
        <w:rPr>
          <w:rFonts w:ascii="宋体" w:hAnsi="宋体" w:eastAsia="宋体" w:cs="宋体"/>
          <w:color w:val="auto"/>
          <w:spacing w:val="11"/>
          <w:sz w:val="20"/>
          <w:szCs w:val="20"/>
          <w:highlight w:val="none"/>
          <w:u w:val="single" w:color="auto"/>
        </w:rPr>
        <w:t>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w:t>
      </w:r>
      <w:r>
        <w:rPr>
          <w:rFonts w:ascii="宋体" w:hAnsi="宋体" w:eastAsia="宋体" w:cs="宋体"/>
          <w:color w:val="auto"/>
          <w:spacing w:val="12"/>
          <w:sz w:val="20"/>
          <w:szCs w:val="20"/>
          <w:highlight w:val="none"/>
          <w:u w:val="single" w:color="auto"/>
        </w:rPr>
        <w:t>包人承担。</w:t>
      </w:r>
    </w:p>
    <w:p w14:paraId="71362037">
      <w:pPr>
        <w:keepNext w:val="0"/>
        <w:keepLines w:val="0"/>
        <w:pageBreakBefore w:val="0"/>
        <w:widowControl/>
        <w:kinsoku w:val="0"/>
        <w:wordWrap/>
        <w:overflowPunct/>
        <w:topLinePunct w:val="0"/>
        <w:autoSpaceDE/>
        <w:autoSpaceDN/>
        <w:bidi w:val="0"/>
        <w:adjustRightInd w:val="0"/>
        <w:snapToGrid w:val="0"/>
        <w:spacing w:before="34" w:line="360" w:lineRule="auto"/>
        <w:ind w:left="0" w:firstLine="426" w:firstLineChars="200"/>
        <w:textAlignment w:val="baseline"/>
        <w:outlineLvl w:val="2"/>
        <w:rPr>
          <w:rFonts w:ascii="宋体" w:hAnsi="宋体" w:eastAsia="宋体" w:cs="宋体"/>
          <w:color w:val="auto"/>
          <w:sz w:val="20"/>
          <w:szCs w:val="20"/>
          <w:highlight w:val="none"/>
        </w:rPr>
      </w:pPr>
      <w:bookmarkStart w:id="213" w:name="_Toc11275"/>
      <w:bookmarkStart w:id="214" w:name="_Toc29537"/>
      <w:bookmarkStart w:id="215" w:name="_Toc8983"/>
      <w:r>
        <w:rPr>
          <w:rFonts w:ascii="宋体" w:hAnsi="宋体" w:eastAsia="宋体" w:cs="宋体"/>
          <w:b/>
          <w:bCs/>
          <w:color w:val="auto"/>
          <w:spacing w:val="6"/>
          <w:sz w:val="20"/>
          <w:szCs w:val="20"/>
          <w:highlight w:val="none"/>
        </w:rPr>
        <w:t>3.6</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工程照管与成品、半成品保护</w:t>
      </w:r>
      <w:bookmarkEnd w:id="213"/>
      <w:bookmarkEnd w:id="214"/>
      <w:bookmarkEnd w:id="215"/>
    </w:p>
    <w:p w14:paraId="263B2807">
      <w:pPr>
        <w:keepNext w:val="0"/>
        <w:keepLines w:val="0"/>
        <w:pageBreakBefore w:val="0"/>
        <w:widowControl/>
        <w:kinsoku w:val="0"/>
        <w:wordWrap/>
        <w:overflowPunct/>
        <w:topLinePunct w:val="0"/>
        <w:autoSpaceDE/>
        <w:autoSpaceDN/>
        <w:bidi w:val="0"/>
        <w:adjustRightInd w:val="0"/>
        <w:snapToGrid w:val="0"/>
        <w:spacing w:before="92" w:line="360" w:lineRule="auto"/>
        <w:ind w:left="0" w:firstLine="432"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承包人负责照管工程及工程相关的材料、工程设备的起始时间：</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rPr>
        <w:t>工程接收证书颁发前，承包人应负责照管和维护工程。工程接收证书颁发时尚有部分未竣工工程的，承包人还应负责该未竣工工程的照管和维护工作，直到竣工后移交给发包人为止。因发包人原因不能及时办理竣工验收以及移交所引起的照管和保护费用由发包人承担</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28F3E8E4">
      <w:pPr>
        <w:keepNext w:val="0"/>
        <w:keepLines w:val="0"/>
        <w:pageBreakBefore w:val="0"/>
        <w:widowControl/>
        <w:kinsoku w:val="0"/>
        <w:wordWrap/>
        <w:overflowPunct/>
        <w:topLinePunct w:val="0"/>
        <w:autoSpaceDE/>
        <w:autoSpaceDN/>
        <w:bidi w:val="0"/>
        <w:adjustRightInd w:val="0"/>
        <w:snapToGrid w:val="0"/>
        <w:spacing w:before="96" w:line="360" w:lineRule="auto"/>
        <w:ind w:left="0" w:firstLine="414" w:firstLineChars="200"/>
        <w:textAlignment w:val="baseline"/>
        <w:outlineLvl w:val="2"/>
        <w:rPr>
          <w:rFonts w:ascii="宋体" w:hAnsi="宋体" w:eastAsia="宋体" w:cs="宋体"/>
          <w:color w:val="auto"/>
          <w:sz w:val="20"/>
          <w:szCs w:val="20"/>
          <w:highlight w:val="none"/>
        </w:rPr>
      </w:pPr>
      <w:bookmarkStart w:id="216" w:name="_Toc23631"/>
      <w:bookmarkStart w:id="217" w:name="_Toc17886"/>
      <w:bookmarkStart w:id="218" w:name="_Toc5632"/>
      <w:r>
        <w:rPr>
          <w:rFonts w:ascii="宋体" w:hAnsi="宋体" w:eastAsia="宋体" w:cs="宋体"/>
          <w:b/>
          <w:bCs/>
          <w:color w:val="auto"/>
          <w:spacing w:val="3"/>
          <w:sz w:val="20"/>
          <w:szCs w:val="20"/>
          <w:highlight w:val="none"/>
        </w:rPr>
        <w:t>3.7</w:t>
      </w:r>
      <w:r>
        <w:rPr>
          <w:rFonts w:ascii="宋体" w:hAnsi="宋体" w:eastAsia="宋体" w:cs="宋体"/>
          <w:color w:val="auto"/>
          <w:spacing w:val="19"/>
          <w:sz w:val="20"/>
          <w:szCs w:val="20"/>
          <w:highlight w:val="none"/>
        </w:rPr>
        <w:t xml:space="preserve"> </w:t>
      </w:r>
      <w:r>
        <w:rPr>
          <w:rFonts w:ascii="宋体" w:hAnsi="宋体" w:eastAsia="宋体" w:cs="宋体"/>
          <w:b/>
          <w:bCs/>
          <w:color w:val="auto"/>
          <w:spacing w:val="3"/>
          <w:sz w:val="20"/>
          <w:szCs w:val="20"/>
          <w:highlight w:val="none"/>
        </w:rPr>
        <w:t>履约保证金</w:t>
      </w:r>
      <w:bookmarkEnd w:id="216"/>
      <w:bookmarkEnd w:id="217"/>
      <w:bookmarkEnd w:id="218"/>
    </w:p>
    <w:p w14:paraId="4B207606">
      <w:pPr>
        <w:keepNext w:val="0"/>
        <w:keepLines w:val="0"/>
        <w:pageBreakBefore w:val="0"/>
        <w:widowControl/>
        <w:kinsoku w:val="0"/>
        <w:wordWrap/>
        <w:overflowPunct/>
        <w:topLinePunct w:val="0"/>
        <w:autoSpaceDE/>
        <w:autoSpaceDN/>
        <w:bidi w:val="0"/>
        <w:adjustRightInd w:val="0"/>
        <w:snapToGrid w:val="0"/>
        <w:spacing w:before="93" w:line="360" w:lineRule="auto"/>
        <w:ind w:left="0" w:right="70" w:firstLine="432"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承包人提供履约担保的形式、金额及期限的：</w:t>
      </w:r>
      <w:r>
        <w:rPr>
          <w:rFonts w:ascii="宋体" w:hAnsi="宋体" w:eastAsia="宋体" w:cs="宋体"/>
          <w:color w:val="auto"/>
          <w:spacing w:val="8"/>
          <w:sz w:val="20"/>
          <w:szCs w:val="20"/>
          <w:highlight w:val="none"/>
          <w:u w:val="single" w:color="auto"/>
        </w:rPr>
        <w:t>承包人在收到中标通知书后，须在7日内</w:t>
      </w:r>
      <w:r>
        <w:rPr>
          <w:rFonts w:ascii="宋体" w:hAnsi="宋体" w:eastAsia="宋体" w:cs="宋体"/>
          <w:color w:val="auto"/>
          <w:spacing w:val="9"/>
          <w:sz w:val="20"/>
          <w:szCs w:val="20"/>
          <w:highlight w:val="none"/>
          <w:u w:val="single" w:color="auto"/>
        </w:rPr>
        <w:t>向发包人提交合同价款扣除建安劳保费、发包人材料设备价款、暂估专业工程、暂列金额后</w:t>
      </w:r>
      <w:r>
        <w:rPr>
          <w:rFonts w:ascii="宋体" w:hAnsi="宋体" w:eastAsia="宋体" w:cs="宋体"/>
          <w:color w:val="auto"/>
          <w:spacing w:val="6"/>
          <w:sz w:val="20"/>
          <w:szCs w:val="20"/>
          <w:highlight w:val="none"/>
          <w:u w:val="single" w:color="auto"/>
        </w:rPr>
        <w:t>的   %的履约担保（格式见合同附件</w:t>
      </w:r>
      <w:r>
        <w:rPr>
          <w:rFonts w:ascii="宋体" w:hAnsi="宋体" w:eastAsia="宋体" w:cs="宋体"/>
          <w:color w:val="auto"/>
          <w:spacing w:val="-22"/>
          <w:sz w:val="20"/>
          <w:szCs w:val="20"/>
          <w:highlight w:val="none"/>
          <w:u w:val="single" w:color="auto"/>
        </w:rPr>
        <w:t xml:space="preserve"> </w:t>
      </w:r>
      <w:r>
        <w:rPr>
          <w:rFonts w:ascii="宋体" w:hAnsi="宋体" w:eastAsia="宋体" w:cs="宋体"/>
          <w:color w:val="auto"/>
          <w:spacing w:val="6"/>
          <w:sz w:val="20"/>
          <w:szCs w:val="20"/>
          <w:highlight w:val="none"/>
          <w:u w:val="single" w:color="auto"/>
        </w:rPr>
        <w:t>5）。履约担保的有效期应当自本合同生效之日起至发包人</w:t>
      </w:r>
      <w:r>
        <w:rPr>
          <w:rFonts w:ascii="宋体" w:hAnsi="宋体" w:eastAsia="宋体" w:cs="宋体"/>
          <w:color w:val="auto"/>
          <w:spacing w:val="9"/>
          <w:sz w:val="20"/>
          <w:szCs w:val="20"/>
          <w:highlight w:val="none"/>
          <w:u w:val="single" w:color="auto"/>
        </w:rPr>
        <w:t>签认并由监理人向承包人出具        （竣工证明材料名称）之日止。如果</w:t>
      </w:r>
      <w:r>
        <w:rPr>
          <w:rFonts w:ascii="宋体" w:hAnsi="宋体" w:eastAsia="宋体" w:cs="宋体"/>
          <w:color w:val="auto"/>
          <w:spacing w:val="8"/>
          <w:sz w:val="20"/>
          <w:szCs w:val="20"/>
          <w:highlight w:val="none"/>
          <w:u w:val="single" w:color="auto"/>
        </w:rPr>
        <w:t>承包人无法获得一</w:t>
      </w:r>
      <w:r>
        <w:rPr>
          <w:rFonts w:ascii="宋体" w:hAnsi="宋体" w:eastAsia="宋体" w:cs="宋体"/>
          <w:color w:val="auto"/>
          <w:spacing w:val="10"/>
          <w:sz w:val="20"/>
          <w:szCs w:val="20"/>
          <w:highlight w:val="none"/>
          <w:u w:val="single" w:color="auto"/>
        </w:rPr>
        <w:t>份不带具体截止日期的担保，履约担保中应当有“变更工程竣工日期</w:t>
      </w:r>
      <w:r>
        <w:rPr>
          <w:rFonts w:ascii="宋体" w:hAnsi="宋体" w:eastAsia="宋体" w:cs="宋体"/>
          <w:color w:val="auto"/>
          <w:spacing w:val="9"/>
          <w:sz w:val="20"/>
          <w:szCs w:val="20"/>
          <w:highlight w:val="none"/>
          <w:u w:val="single" w:color="auto"/>
        </w:rPr>
        <w:t>的，保证期间按照变更后</w:t>
      </w:r>
      <w:r>
        <w:rPr>
          <w:rFonts w:ascii="宋体" w:hAnsi="宋体" w:eastAsia="宋体" w:cs="宋体"/>
          <w:color w:val="auto"/>
          <w:spacing w:val="8"/>
          <w:sz w:val="20"/>
          <w:szCs w:val="20"/>
          <w:highlight w:val="none"/>
          <w:u w:val="single" w:color="auto"/>
        </w:rPr>
        <w:t>的竣工日期做相应调整</w:t>
      </w:r>
      <w:r>
        <w:rPr>
          <w:rFonts w:ascii="宋体" w:hAnsi="宋体" w:eastAsia="宋体" w:cs="宋体"/>
          <w:color w:val="auto"/>
          <w:spacing w:val="-52"/>
          <w:sz w:val="20"/>
          <w:szCs w:val="20"/>
          <w:highlight w:val="none"/>
          <w:u w:val="single" w:color="auto"/>
        </w:rPr>
        <w:t xml:space="preserve"> </w:t>
      </w:r>
      <w:r>
        <w:rPr>
          <w:rFonts w:ascii="宋体" w:hAnsi="宋体" w:eastAsia="宋体" w:cs="宋体"/>
          <w:color w:val="auto"/>
          <w:spacing w:val="8"/>
          <w:sz w:val="20"/>
          <w:szCs w:val="20"/>
          <w:highlight w:val="none"/>
          <w:u w:val="single" w:color="auto"/>
        </w:rPr>
        <w:t>”或类似约定的条款。</w:t>
      </w:r>
    </w:p>
    <w:p w14:paraId="48A28E51">
      <w:pPr>
        <w:keepNext w:val="0"/>
        <w:keepLines w:val="0"/>
        <w:pageBreakBefore w:val="0"/>
        <w:widowControl/>
        <w:kinsoku w:val="0"/>
        <w:wordWrap/>
        <w:overflowPunct/>
        <w:topLinePunct w:val="0"/>
        <w:autoSpaceDE/>
        <w:autoSpaceDN/>
        <w:bidi w:val="0"/>
        <w:adjustRightInd w:val="0"/>
        <w:snapToGrid w:val="0"/>
        <w:spacing w:before="33" w:line="360" w:lineRule="auto"/>
        <w:ind w:left="0" w:right="68" w:firstLine="440" w:firstLineChars="200"/>
        <w:jc w:val="both"/>
        <w:textAlignment w:val="baseline"/>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工程竣工验收合格并对验收发现的问题完成整改后的</w:t>
      </w:r>
      <w:r>
        <w:rPr>
          <w:rFonts w:ascii="宋体" w:hAnsi="宋体" w:eastAsia="宋体" w:cs="宋体"/>
          <w:color w:val="auto"/>
          <w:spacing w:val="-18"/>
          <w:sz w:val="20"/>
          <w:szCs w:val="20"/>
          <w:highlight w:val="none"/>
          <w:u w:val="single" w:color="auto"/>
        </w:rPr>
        <w:t xml:space="preserve"> </w:t>
      </w:r>
      <w:r>
        <w:rPr>
          <w:rFonts w:ascii="宋体" w:hAnsi="宋体" w:eastAsia="宋体" w:cs="宋体"/>
          <w:color w:val="auto"/>
          <w:spacing w:val="10"/>
          <w:sz w:val="20"/>
          <w:szCs w:val="20"/>
          <w:highlight w:val="none"/>
          <w:u w:val="single" w:color="auto"/>
        </w:rPr>
        <w:t>7</w:t>
      </w:r>
      <w:r>
        <w:rPr>
          <w:rFonts w:ascii="宋体" w:hAnsi="宋体" w:eastAsia="宋体" w:cs="宋体"/>
          <w:color w:val="auto"/>
          <w:spacing w:val="-38"/>
          <w:sz w:val="20"/>
          <w:szCs w:val="20"/>
          <w:highlight w:val="none"/>
          <w:u w:val="single" w:color="auto"/>
        </w:rPr>
        <w:t xml:space="preserve"> </w:t>
      </w:r>
      <w:r>
        <w:rPr>
          <w:rFonts w:ascii="宋体" w:hAnsi="宋体" w:eastAsia="宋体" w:cs="宋体"/>
          <w:color w:val="auto"/>
          <w:spacing w:val="10"/>
          <w:sz w:val="20"/>
          <w:szCs w:val="20"/>
          <w:highlight w:val="none"/>
          <w:u w:val="single" w:color="auto"/>
        </w:rPr>
        <w:t>个日历天内，发包人支付履约保证</w:t>
      </w:r>
      <w:r>
        <w:rPr>
          <w:rFonts w:ascii="宋体" w:hAnsi="宋体" w:eastAsia="宋体" w:cs="宋体"/>
          <w:color w:val="auto"/>
          <w:spacing w:val="7"/>
          <w:sz w:val="20"/>
          <w:szCs w:val="20"/>
          <w:highlight w:val="none"/>
          <w:u w:val="single" w:color="auto"/>
        </w:rPr>
        <w:t>金的</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7"/>
          <w:sz w:val="20"/>
          <w:szCs w:val="20"/>
          <w:highlight w:val="none"/>
          <w:u w:val="single" w:color="auto"/>
        </w:rPr>
        <w:t>50%；承包人向发包人完成（施工）竣工资料移交手续后，可向发包人</w:t>
      </w:r>
      <w:r>
        <w:rPr>
          <w:rFonts w:ascii="宋体" w:hAnsi="宋体" w:eastAsia="宋体" w:cs="宋体"/>
          <w:color w:val="auto"/>
          <w:spacing w:val="6"/>
          <w:sz w:val="20"/>
          <w:szCs w:val="20"/>
          <w:highlight w:val="none"/>
          <w:u w:val="single" w:color="auto"/>
        </w:rPr>
        <w:t>申请退还剩余履约保</w:t>
      </w:r>
      <w:r>
        <w:rPr>
          <w:rFonts w:ascii="宋体" w:hAnsi="宋体" w:eastAsia="宋体" w:cs="宋体"/>
          <w:color w:val="auto"/>
          <w:spacing w:val="8"/>
          <w:sz w:val="20"/>
          <w:szCs w:val="20"/>
          <w:highlight w:val="none"/>
          <w:u w:val="single" w:color="auto"/>
        </w:rPr>
        <w:t>证金，发包人应在收到申请之日起</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8"/>
          <w:sz w:val="20"/>
          <w:szCs w:val="20"/>
          <w:highlight w:val="none"/>
          <w:u w:val="single" w:color="auto"/>
        </w:rPr>
        <w:t>28</w:t>
      </w:r>
      <w:r>
        <w:rPr>
          <w:rFonts w:ascii="宋体" w:hAnsi="宋体" w:eastAsia="宋体" w:cs="宋体"/>
          <w:color w:val="auto"/>
          <w:spacing w:val="-38"/>
          <w:sz w:val="20"/>
          <w:szCs w:val="20"/>
          <w:highlight w:val="none"/>
          <w:u w:val="single" w:color="auto"/>
        </w:rPr>
        <w:t xml:space="preserve"> </w:t>
      </w:r>
      <w:r>
        <w:rPr>
          <w:rFonts w:ascii="宋体" w:hAnsi="宋体" w:eastAsia="宋体" w:cs="宋体"/>
          <w:color w:val="auto"/>
          <w:spacing w:val="8"/>
          <w:sz w:val="20"/>
          <w:szCs w:val="20"/>
          <w:highlight w:val="none"/>
          <w:u w:val="single" w:color="auto"/>
        </w:rPr>
        <w:t>个日历天内扣减承包人赔偿金和其他应从承包</w:t>
      </w:r>
      <w:r>
        <w:rPr>
          <w:rFonts w:ascii="宋体" w:hAnsi="宋体" w:eastAsia="宋体" w:cs="宋体"/>
          <w:color w:val="auto"/>
          <w:spacing w:val="7"/>
          <w:sz w:val="20"/>
          <w:szCs w:val="20"/>
          <w:highlight w:val="none"/>
          <w:u w:val="single" w:color="auto"/>
        </w:rPr>
        <w:t>人扣回的款</w:t>
      </w:r>
      <w:r>
        <w:rPr>
          <w:rFonts w:ascii="宋体" w:hAnsi="宋体" w:eastAsia="宋体" w:cs="宋体"/>
          <w:color w:val="auto"/>
          <w:spacing w:val="10"/>
          <w:sz w:val="20"/>
          <w:szCs w:val="20"/>
          <w:highlight w:val="none"/>
          <w:u w:val="single" w:color="auto"/>
        </w:rPr>
        <w:t>项后，将履约保证金的余额退还给承包人。</w:t>
      </w:r>
    </w:p>
    <w:p w14:paraId="5819C1F3">
      <w:pPr>
        <w:keepNext w:val="0"/>
        <w:keepLines w:val="0"/>
        <w:pageBreakBefore w:val="0"/>
        <w:widowControl/>
        <w:kinsoku w:val="0"/>
        <w:wordWrap/>
        <w:overflowPunct/>
        <w:topLinePunct w:val="0"/>
        <w:autoSpaceDE/>
        <w:autoSpaceDN/>
        <w:bidi w:val="0"/>
        <w:adjustRightInd w:val="0"/>
        <w:snapToGrid w:val="0"/>
        <w:spacing w:before="29" w:line="360" w:lineRule="auto"/>
        <w:ind w:left="0" w:right="68" w:firstLine="428" w:firstLineChars="200"/>
        <w:jc w:val="both"/>
        <w:textAlignment w:val="baseline"/>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u w:val="single" w:color="auto"/>
        </w:rPr>
        <w:t>承包人在中标后</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7"/>
          <w:sz w:val="20"/>
          <w:szCs w:val="20"/>
          <w:highlight w:val="none"/>
          <w:u w:val="single" w:color="auto"/>
        </w:rPr>
        <w:t>7</w:t>
      </w:r>
      <w:r>
        <w:rPr>
          <w:rFonts w:ascii="宋体" w:hAnsi="宋体" w:eastAsia="宋体" w:cs="宋体"/>
          <w:color w:val="auto"/>
          <w:spacing w:val="-38"/>
          <w:sz w:val="20"/>
          <w:szCs w:val="20"/>
          <w:highlight w:val="none"/>
          <w:u w:val="single" w:color="auto"/>
        </w:rPr>
        <w:t xml:space="preserve"> </w:t>
      </w:r>
      <w:r>
        <w:rPr>
          <w:rFonts w:ascii="宋体" w:hAnsi="宋体" w:eastAsia="宋体" w:cs="宋体"/>
          <w:color w:val="auto"/>
          <w:spacing w:val="7"/>
          <w:sz w:val="20"/>
          <w:szCs w:val="20"/>
          <w:highlight w:val="none"/>
          <w:u w:val="single" w:color="auto"/>
        </w:rPr>
        <w:t>个工作日内，按         （各市住房城乡建设行政主管部门规定）规定</w:t>
      </w:r>
      <w:r>
        <w:rPr>
          <w:rFonts w:ascii="宋体" w:hAnsi="宋体" w:eastAsia="宋体" w:cs="宋体"/>
          <w:color w:val="auto"/>
          <w:spacing w:val="11"/>
          <w:sz w:val="20"/>
          <w:szCs w:val="20"/>
          <w:highlight w:val="none"/>
          <w:u w:val="single" w:color="auto"/>
        </w:rPr>
        <w:t>将农民工工资保障金存入帐户。工程竣工验收结算经审定后，按照规定程序，将农民工工资保</w:t>
      </w:r>
      <w:r>
        <w:rPr>
          <w:rFonts w:ascii="宋体" w:hAnsi="宋体" w:eastAsia="宋体" w:cs="宋体"/>
          <w:color w:val="auto"/>
          <w:spacing w:val="10"/>
          <w:sz w:val="20"/>
          <w:szCs w:val="20"/>
          <w:highlight w:val="none"/>
          <w:u w:val="single" w:color="auto"/>
        </w:rPr>
        <w:t>障金没有使用或剩余的金额退还给承包人。</w:t>
      </w:r>
    </w:p>
    <w:p w14:paraId="5CAD783A">
      <w:pPr>
        <w:keepNext w:val="0"/>
        <w:keepLines w:val="0"/>
        <w:pageBreakBefore w:val="0"/>
        <w:widowControl/>
        <w:kinsoku w:val="0"/>
        <w:wordWrap/>
        <w:overflowPunct/>
        <w:topLinePunct w:val="0"/>
        <w:autoSpaceDE/>
        <w:autoSpaceDN/>
        <w:bidi w:val="0"/>
        <w:adjustRightInd w:val="0"/>
        <w:snapToGrid w:val="0"/>
        <w:spacing w:before="91" w:line="360" w:lineRule="auto"/>
        <w:ind w:left="0" w:firstLine="410" w:firstLineChars="200"/>
        <w:textAlignment w:val="baseline"/>
        <w:outlineLvl w:val="1"/>
        <w:rPr>
          <w:rFonts w:ascii="宋体" w:hAnsi="宋体" w:eastAsia="宋体" w:cs="宋体"/>
          <w:color w:val="auto"/>
          <w:sz w:val="20"/>
          <w:szCs w:val="20"/>
          <w:highlight w:val="none"/>
        </w:rPr>
      </w:pPr>
      <w:bookmarkStart w:id="219" w:name="_Toc3185"/>
      <w:bookmarkStart w:id="220" w:name="_Toc3637"/>
      <w:bookmarkStart w:id="221" w:name="_Toc21064"/>
      <w:r>
        <w:rPr>
          <w:rFonts w:ascii="宋体" w:hAnsi="宋体" w:eastAsia="宋体" w:cs="宋体"/>
          <w:b/>
          <w:bCs/>
          <w:color w:val="auto"/>
          <w:spacing w:val="2"/>
          <w:sz w:val="20"/>
          <w:szCs w:val="20"/>
          <w:highlight w:val="none"/>
        </w:rPr>
        <w:t>4.</w:t>
      </w:r>
      <w:r>
        <w:rPr>
          <w:rFonts w:ascii="宋体" w:hAnsi="宋体" w:eastAsia="宋体" w:cs="宋体"/>
          <w:color w:val="auto"/>
          <w:spacing w:val="19"/>
          <w:sz w:val="20"/>
          <w:szCs w:val="20"/>
          <w:highlight w:val="none"/>
        </w:rPr>
        <w:t xml:space="preserve"> </w:t>
      </w:r>
      <w:r>
        <w:rPr>
          <w:rFonts w:ascii="宋体" w:hAnsi="宋体" w:eastAsia="宋体" w:cs="宋体"/>
          <w:b/>
          <w:bCs/>
          <w:color w:val="auto"/>
          <w:spacing w:val="2"/>
          <w:sz w:val="20"/>
          <w:szCs w:val="20"/>
          <w:highlight w:val="none"/>
        </w:rPr>
        <w:t>监理人</w:t>
      </w:r>
      <w:bookmarkEnd w:id="219"/>
      <w:bookmarkEnd w:id="220"/>
      <w:bookmarkEnd w:id="221"/>
    </w:p>
    <w:p w14:paraId="00E1C3F7">
      <w:pPr>
        <w:keepNext w:val="0"/>
        <w:keepLines w:val="0"/>
        <w:pageBreakBefore w:val="0"/>
        <w:widowControl/>
        <w:kinsoku w:val="0"/>
        <w:wordWrap/>
        <w:overflowPunct/>
        <w:topLinePunct w:val="0"/>
        <w:autoSpaceDE/>
        <w:autoSpaceDN/>
        <w:bidi w:val="0"/>
        <w:adjustRightInd w:val="0"/>
        <w:snapToGrid w:val="0"/>
        <w:spacing w:before="152" w:line="360" w:lineRule="auto"/>
        <w:ind w:left="0" w:firstLine="426" w:firstLineChars="200"/>
        <w:textAlignment w:val="baseline"/>
        <w:outlineLvl w:val="2"/>
        <w:rPr>
          <w:rFonts w:ascii="宋体" w:hAnsi="宋体" w:eastAsia="宋体" w:cs="宋体"/>
          <w:color w:val="auto"/>
          <w:sz w:val="20"/>
          <w:szCs w:val="20"/>
          <w:highlight w:val="none"/>
        </w:rPr>
      </w:pPr>
      <w:bookmarkStart w:id="222" w:name="_Toc14627"/>
      <w:bookmarkStart w:id="223" w:name="_Toc5273"/>
      <w:bookmarkStart w:id="224" w:name="_Toc8259"/>
      <w:r>
        <w:rPr>
          <w:rFonts w:ascii="宋体" w:hAnsi="宋体" w:eastAsia="宋体" w:cs="宋体"/>
          <w:b/>
          <w:bCs/>
          <w:color w:val="auto"/>
          <w:spacing w:val="6"/>
          <w:sz w:val="20"/>
          <w:szCs w:val="20"/>
          <w:highlight w:val="none"/>
        </w:rPr>
        <w:t>4.1</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监理人的一般规定</w:t>
      </w:r>
      <w:bookmarkEnd w:id="222"/>
      <w:bookmarkEnd w:id="223"/>
      <w:bookmarkEnd w:id="224"/>
    </w:p>
    <w:p w14:paraId="670ABAAD">
      <w:pPr>
        <w:keepNext w:val="0"/>
        <w:keepLines w:val="0"/>
        <w:pageBreakBefore w:val="0"/>
        <w:widowControl/>
        <w:kinsoku w:val="0"/>
        <w:wordWrap/>
        <w:overflowPunct/>
        <w:topLinePunct w:val="0"/>
        <w:autoSpaceDE/>
        <w:autoSpaceDN/>
        <w:bidi w:val="0"/>
        <w:adjustRightInd w:val="0"/>
        <w:snapToGrid w:val="0"/>
        <w:spacing w:before="90" w:line="360" w:lineRule="auto"/>
        <w:ind w:left="0" w:firstLine="42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关于监理人的监理内容：</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施工过程中的质量、进度、费用控制，安全生产监督管理、合同、信息方面的协调管理；保修阶段检查和记录工程质量缺陷，对缺陷原因进行调查分析并确定责任归属，审核修复方案，监督修复过程并验，审核修复费用。具体工作包括审查施工承包人提交的施工组织设计，专项施工方案与工程建设强制性标准的符合性；检查施工承包人工程质量、安全、施工进度；审查施工承包人报送的工程材料、构配件、设备质量证明文件的有效性和符合性；签发工程暂停令和复工令；验收隐蔽工程、分部分项工程；参与工程变更的审核签认，协助发包人核签现场发生的签证，最终须经发包人认可后作为结算的依据，审核月进度工作报表并报发包人审批；审核工程款支付申请；参加工程竣工验收等</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0EDA901E">
      <w:pPr>
        <w:keepNext w:val="0"/>
        <w:keepLines w:val="0"/>
        <w:pageBreakBefore w:val="0"/>
        <w:widowControl/>
        <w:kinsoku w:val="0"/>
        <w:wordWrap/>
        <w:overflowPunct/>
        <w:topLinePunct w:val="0"/>
        <w:autoSpaceDE/>
        <w:autoSpaceDN/>
        <w:bidi w:val="0"/>
        <w:adjustRightInd w:val="0"/>
        <w:snapToGrid w:val="0"/>
        <w:spacing w:before="97" w:line="360" w:lineRule="auto"/>
        <w:ind w:left="0" w:firstLine="42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关于监理人的监理权限：</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工程暂停令和复工令签发、参与工程变更的审核签认、审核月进度工作报表以及审核工程款支付申请最终均须经发包人审批确认</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56CBC5B4">
      <w:pPr>
        <w:keepNext w:val="0"/>
        <w:keepLines w:val="0"/>
        <w:pageBreakBefore w:val="0"/>
        <w:widowControl/>
        <w:kinsoku w:val="0"/>
        <w:wordWrap/>
        <w:overflowPunct/>
        <w:topLinePunct w:val="0"/>
        <w:autoSpaceDE/>
        <w:autoSpaceDN/>
        <w:bidi w:val="0"/>
        <w:adjustRightInd w:val="0"/>
        <w:snapToGrid w:val="0"/>
        <w:spacing w:before="91" w:line="360" w:lineRule="auto"/>
        <w:ind w:left="0" w:firstLine="432"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关于监理人在施工现场的办公场所、生活场所的提供和费用承担的约定：</w:t>
      </w:r>
      <w:r>
        <w:rPr>
          <w:rFonts w:hint="eastAsia" w:ascii="宋体" w:hAnsi="宋体" w:eastAsia="宋体" w:cs="宋体"/>
          <w:color w:val="auto"/>
          <w:spacing w:val="8"/>
          <w:sz w:val="20"/>
          <w:szCs w:val="20"/>
          <w:highlight w:val="none"/>
          <w:u w:val="single" w:color="auto"/>
        </w:rPr>
        <w:t>由承包人提供满足监理人办公、住宿需要的房间各一间，并配置好相应的家具（办公电器由监理人自行提供）</w:t>
      </w:r>
      <w:r>
        <w:rPr>
          <w:rFonts w:ascii="宋体" w:hAnsi="宋体" w:eastAsia="宋体" w:cs="宋体"/>
          <w:color w:val="auto"/>
          <w:spacing w:val="8"/>
          <w:sz w:val="20"/>
          <w:szCs w:val="20"/>
          <w:highlight w:val="none"/>
        </w:rPr>
        <w:t>。</w:t>
      </w:r>
    </w:p>
    <w:p w14:paraId="2E74D1C5">
      <w:pPr>
        <w:keepNext w:val="0"/>
        <w:keepLines w:val="0"/>
        <w:pageBreakBefore w:val="0"/>
        <w:widowControl/>
        <w:kinsoku w:val="0"/>
        <w:wordWrap/>
        <w:overflowPunct/>
        <w:topLinePunct w:val="0"/>
        <w:autoSpaceDE/>
        <w:autoSpaceDN/>
        <w:bidi w:val="0"/>
        <w:adjustRightInd w:val="0"/>
        <w:snapToGrid w:val="0"/>
        <w:spacing w:before="95" w:line="360" w:lineRule="auto"/>
        <w:ind w:left="0" w:firstLine="414" w:firstLineChars="200"/>
        <w:textAlignment w:val="baseline"/>
        <w:outlineLvl w:val="2"/>
        <w:rPr>
          <w:rFonts w:ascii="宋体" w:hAnsi="宋体" w:eastAsia="宋体" w:cs="宋体"/>
          <w:color w:val="auto"/>
          <w:sz w:val="20"/>
          <w:szCs w:val="20"/>
          <w:highlight w:val="none"/>
        </w:rPr>
      </w:pPr>
      <w:bookmarkStart w:id="225" w:name="_Toc20200"/>
      <w:bookmarkStart w:id="226" w:name="_Toc6672"/>
      <w:bookmarkStart w:id="227" w:name="_Toc16939"/>
      <w:r>
        <w:rPr>
          <w:rFonts w:ascii="宋体" w:hAnsi="宋体" w:eastAsia="宋体" w:cs="宋体"/>
          <w:b/>
          <w:bCs/>
          <w:color w:val="auto"/>
          <w:spacing w:val="3"/>
          <w:sz w:val="20"/>
          <w:szCs w:val="20"/>
          <w:highlight w:val="none"/>
        </w:rPr>
        <w:t>4.2</w:t>
      </w:r>
      <w:r>
        <w:rPr>
          <w:rFonts w:ascii="宋体" w:hAnsi="宋体" w:eastAsia="宋体" w:cs="宋体"/>
          <w:color w:val="auto"/>
          <w:spacing w:val="20"/>
          <w:sz w:val="20"/>
          <w:szCs w:val="20"/>
          <w:highlight w:val="none"/>
        </w:rPr>
        <w:t xml:space="preserve"> </w:t>
      </w:r>
      <w:r>
        <w:rPr>
          <w:rFonts w:ascii="宋体" w:hAnsi="宋体" w:eastAsia="宋体" w:cs="宋体"/>
          <w:b/>
          <w:bCs/>
          <w:color w:val="auto"/>
          <w:spacing w:val="3"/>
          <w:sz w:val="20"/>
          <w:szCs w:val="20"/>
          <w:highlight w:val="none"/>
        </w:rPr>
        <w:t>监理人员</w:t>
      </w:r>
      <w:bookmarkEnd w:id="225"/>
      <w:bookmarkEnd w:id="226"/>
      <w:bookmarkEnd w:id="227"/>
    </w:p>
    <w:p w14:paraId="32380E9C">
      <w:pPr>
        <w:keepNext w:val="0"/>
        <w:keepLines w:val="0"/>
        <w:pageBreakBefore w:val="0"/>
        <w:widowControl/>
        <w:kinsoku w:val="0"/>
        <w:wordWrap/>
        <w:overflowPunct/>
        <w:topLinePunct w:val="0"/>
        <w:autoSpaceDE/>
        <w:autoSpaceDN/>
        <w:bidi w:val="0"/>
        <w:adjustRightInd w:val="0"/>
        <w:snapToGrid w:val="0"/>
        <w:spacing w:before="93" w:line="360" w:lineRule="auto"/>
        <w:ind w:left="0" w:firstLine="42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总监理工程师：</w:t>
      </w:r>
    </w:p>
    <w:p w14:paraId="36A45CD2">
      <w:pPr>
        <w:keepNext w:val="0"/>
        <w:keepLines w:val="0"/>
        <w:pageBreakBefore w:val="0"/>
        <w:widowControl/>
        <w:kinsoku w:val="0"/>
        <w:wordWrap/>
        <w:overflowPunct/>
        <w:topLinePunct w:val="0"/>
        <w:autoSpaceDE/>
        <w:autoSpaceDN/>
        <w:bidi w:val="0"/>
        <w:adjustRightInd w:val="0"/>
        <w:snapToGrid w:val="0"/>
        <w:spacing w:before="95" w:line="360" w:lineRule="auto"/>
        <w:ind w:left="0" w:right="3858" w:firstLine="396" w:firstLineChars="200"/>
        <w:textAlignment w:val="baseline"/>
        <w:rPr>
          <w:rFonts w:ascii="宋体" w:hAnsi="宋体" w:eastAsia="宋体" w:cs="宋体"/>
          <w:color w:val="auto"/>
          <w:spacing w:val="1"/>
          <w:sz w:val="20"/>
          <w:szCs w:val="20"/>
          <w:highlight w:val="none"/>
        </w:rPr>
      </w:pPr>
      <w:r>
        <w:rPr>
          <w:rFonts w:ascii="宋体" w:hAnsi="宋体" w:eastAsia="宋体" w:cs="宋体"/>
          <w:color w:val="auto"/>
          <w:spacing w:val="-1"/>
          <w:sz w:val="20"/>
          <w:szCs w:val="20"/>
          <w:highlight w:val="none"/>
        </w:rPr>
        <w:t>姓</w:t>
      </w:r>
      <w:r>
        <w:rPr>
          <w:rFonts w:ascii="宋体" w:hAnsi="宋体" w:eastAsia="宋体" w:cs="宋体"/>
          <w:color w:val="auto"/>
          <w:spacing w:val="7"/>
          <w:sz w:val="20"/>
          <w:szCs w:val="20"/>
          <w:highlight w:val="none"/>
        </w:rPr>
        <w:t xml:space="preserve">    </w:t>
      </w:r>
      <w:r>
        <w:rPr>
          <w:rFonts w:ascii="宋体" w:hAnsi="宋体" w:eastAsia="宋体" w:cs="宋体"/>
          <w:color w:val="auto"/>
          <w:spacing w:val="-1"/>
          <w:sz w:val="20"/>
          <w:szCs w:val="20"/>
          <w:highlight w:val="none"/>
        </w:rPr>
        <w:t>名</w:t>
      </w:r>
      <w:r>
        <w:rPr>
          <w:rFonts w:ascii="宋体" w:hAnsi="宋体" w:eastAsia="宋体" w:cs="宋体"/>
          <w:color w:val="auto"/>
          <w:spacing w:val="-71"/>
          <w:sz w:val="20"/>
          <w:szCs w:val="20"/>
          <w:highlight w:val="none"/>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1"/>
          <w:sz w:val="20"/>
          <w:szCs w:val="20"/>
          <w:highlight w:val="none"/>
        </w:rPr>
        <w:t xml:space="preserve"> </w:t>
      </w:r>
    </w:p>
    <w:p w14:paraId="37CC6E7A">
      <w:pPr>
        <w:keepNext w:val="0"/>
        <w:keepLines w:val="0"/>
        <w:pageBreakBefore w:val="0"/>
        <w:widowControl/>
        <w:kinsoku w:val="0"/>
        <w:wordWrap/>
        <w:overflowPunct/>
        <w:topLinePunct w:val="0"/>
        <w:autoSpaceDE/>
        <w:autoSpaceDN/>
        <w:bidi w:val="0"/>
        <w:adjustRightInd w:val="0"/>
        <w:snapToGrid w:val="0"/>
        <w:spacing w:before="95" w:line="360" w:lineRule="auto"/>
        <w:ind w:left="0" w:right="3858" w:firstLine="396" w:firstLineChars="200"/>
        <w:textAlignment w:val="baseline"/>
        <w:rPr>
          <w:rFonts w:ascii="宋体" w:hAnsi="宋体" w:eastAsia="宋体" w:cs="宋体"/>
          <w:color w:val="auto"/>
          <w:spacing w:val="1"/>
          <w:sz w:val="20"/>
          <w:szCs w:val="20"/>
          <w:highlight w:val="none"/>
        </w:rPr>
      </w:pPr>
      <w:r>
        <w:rPr>
          <w:rFonts w:ascii="宋体" w:hAnsi="宋体" w:eastAsia="宋体" w:cs="宋体"/>
          <w:color w:val="auto"/>
          <w:spacing w:val="-1"/>
          <w:sz w:val="20"/>
          <w:szCs w:val="20"/>
          <w:highlight w:val="none"/>
        </w:rPr>
        <w:t>职</w:t>
      </w:r>
      <w:r>
        <w:rPr>
          <w:rFonts w:ascii="宋体" w:hAnsi="宋体" w:eastAsia="宋体" w:cs="宋体"/>
          <w:color w:val="auto"/>
          <w:spacing w:val="7"/>
          <w:sz w:val="20"/>
          <w:szCs w:val="20"/>
          <w:highlight w:val="none"/>
        </w:rPr>
        <w:t xml:space="preserve">    </w:t>
      </w:r>
      <w:r>
        <w:rPr>
          <w:rFonts w:ascii="宋体" w:hAnsi="宋体" w:eastAsia="宋体" w:cs="宋体"/>
          <w:color w:val="auto"/>
          <w:spacing w:val="-1"/>
          <w:sz w:val="20"/>
          <w:szCs w:val="20"/>
          <w:highlight w:val="none"/>
        </w:rPr>
        <w:t>务</w:t>
      </w:r>
      <w:r>
        <w:rPr>
          <w:rFonts w:ascii="宋体" w:hAnsi="宋体" w:eastAsia="宋体" w:cs="宋体"/>
          <w:color w:val="auto"/>
          <w:spacing w:val="-72"/>
          <w:sz w:val="20"/>
          <w:szCs w:val="20"/>
          <w:highlight w:val="none"/>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30"/>
          <w:sz w:val="20"/>
          <w:szCs w:val="20"/>
          <w:highlight w:val="none"/>
        </w:rPr>
        <w:t>；</w:t>
      </w:r>
      <w:r>
        <w:rPr>
          <w:rFonts w:ascii="宋体" w:hAnsi="宋体" w:eastAsia="宋体" w:cs="宋体"/>
          <w:color w:val="auto"/>
          <w:spacing w:val="1"/>
          <w:sz w:val="20"/>
          <w:szCs w:val="20"/>
          <w:highlight w:val="none"/>
        </w:rPr>
        <w:t xml:space="preserve"> </w:t>
      </w:r>
    </w:p>
    <w:p w14:paraId="799EE347">
      <w:pPr>
        <w:keepNext w:val="0"/>
        <w:keepLines w:val="0"/>
        <w:pageBreakBefore w:val="0"/>
        <w:widowControl/>
        <w:kinsoku w:val="0"/>
        <w:wordWrap/>
        <w:overflowPunct/>
        <w:topLinePunct w:val="0"/>
        <w:autoSpaceDE/>
        <w:autoSpaceDN/>
        <w:bidi w:val="0"/>
        <w:adjustRightInd w:val="0"/>
        <w:snapToGrid w:val="0"/>
        <w:spacing w:before="95" w:line="360" w:lineRule="auto"/>
        <w:ind w:left="0" w:right="3858" w:firstLine="436" w:firstLineChars="200"/>
        <w:textAlignment w:val="baseline"/>
        <w:rPr>
          <w:rFonts w:ascii="宋体" w:hAnsi="宋体" w:eastAsia="宋体" w:cs="宋体"/>
          <w:color w:val="auto"/>
          <w:spacing w:val="14"/>
          <w:sz w:val="20"/>
          <w:szCs w:val="20"/>
          <w:highlight w:val="none"/>
        </w:rPr>
      </w:pPr>
      <w:r>
        <w:rPr>
          <w:rFonts w:ascii="宋体" w:hAnsi="宋体" w:eastAsia="宋体" w:cs="宋体"/>
          <w:color w:val="auto"/>
          <w:spacing w:val="9"/>
          <w:sz w:val="20"/>
          <w:szCs w:val="20"/>
          <w:highlight w:val="none"/>
        </w:rPr>
        <w:t>监理工程师执业资格证书号</w:t>
      </w:r>
      <w:r>
        <w:rPr>
          <w:rFonts w:ascii="宋体" w:hAnsi="宋体" w:eastAsia="宋体" w:cs="宋体"/>
          <w:color w:val="auto"/>
          <w:spacing w:val="-17"/>
          <w:sz w:val="20"/>
          <w:szCs w:val="20"/>
          <w:highlight w:val="none"/>
        </w:rPr>
        <w:t>：</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4"/>
          <w:sz w:val="20"/>
          <w:szCs w:val="20"/>
          <w:highlight w:val="none"/>
        </w:rPr>
        <w:t xml:space="preserve"> </w:t>
      </w:r>
    </w:p>
    <w:p w14:paraId="75239D78">
      <w:pPr>
        <w:keepNext w:val="0"/>
        <w:keepLines w:val="0"/>
        <w:pageBreakBefore w:val="0"/>
        <w:widowControl/>
        <w:kinsoku w:val="0"/>
        <w:wordWrap/>
        <w:overflowPunct/>
        <w:topLinePunct w:val="0"/>
        <w:autoSpaceDE/>
        <w:autoSpaceDN/>
        <w:bidi w:val="0"/>
        <w:adjustRightInd w:val="0"/>
        <w:snapToGrid w:val="0"/>
        <w:spacing w:before="95" w:line="360" w:lineRule="auto"/>
        <w:ind w:left="0" w:right="3858" w:firstLine="428" w:firstLineChars="200"/>
        <w:textAlignment w:val="baseline"/>
        <w:rPr>
          <w:rFonts w:ascii="宋体" w:hAnsi="宋体" w:eastAsia="宋体" w:cs="宋体"/>
          <w:color w:val="auto"/>
          <w:spacing w:val="1"/>
          <w:sz w:val="20"/>
          <w:szCs w:val="20"/>
          <w:highlight w:val="none"/>
        </w:rPr>
      </w:pPr>
      <w:r>
        <w:rPr>
          <w:rFonts w:ascii="宋体" w:hAnsi="宋体" w:eastAsia="宋体" w:cs="宋体"/>
          <w:color w:val="auto"/>
          <w:spacing w:val="7"/>
          <w:sz w:val="20"/>
          <w:szCs w:val="20"/>
          <w:highlight w:val="none"/>
        </w:rPr>
        <w:t>联系电话</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7"/>
          <w:sz w:val="20"/>
          <w:szCs w:val="20"/>
          <w:highlight w:val="none"/>
        </w:rPr>
        <w:t>；</w:t>
      </w:r>
      <w:r>
        <w:rPr>
          <w:rFonts w:ascii="宋体" w:hAnsi="宋体" w:eastAsia="宋体" w:cs="宋体"/>
          <w:color w:val="auto"/>
          <w:spacing w:val="1"/>
          <w:sz w:val="20"/>
          <w:szCs w:val="20"/>
          <w:highlight w:val="none"/>
        </w:rPr>
        <w:t xml:space="preserve"> </w:t>
      </w:r>
    </w:p>
    <w:p w14:paraId="66FB85DC">
      <w:pPr>
        <w:keepNext w:val="0"/>
        <w:keepLines w:val="0"/>
        <w:pageBreakBefore w:val="0"/>
        <w:widowControl/>
        <w:kinsoku w:val="0"/>
        <w:wordWrap/>
        <w:overflowPunct/>
        <w:topLinePunct w:val="0"/>
        <w:autoSpaceDE/>
        <w:autoSpaceDN/>
        <w:bidi w:val="0"/>
        <w:adjustRightInd w:val="0"/>
        <w:snapToGrid w:val="0"/>
        <w:spacing w:before="95" w:line="360" w:lineRule="auto"/>
        <w:ind w:left="0" w:right="3858" w:firstLine="428" w:firstLineChars="200"/>
        <w:textAlignment w:val="baseline"/>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电子信箱</w:t>
      </w:r>
      <w:r>
        <w:rPr>
          <w:rFonts w:ascii="宋体" w:hAnsi="宋体" w:eastAsia="宋体" w:cs="宋体"/>
          <w:color w:val="auto"/>
          <w:spacing w:val="-17"/>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7"/>
          <w:sz w:val="20"/>
          <w:szCs w:val="20"/>
          <w:highlight w:val="none"/>
        </w:rPr>
        <w:t>；</w:t>
      </w:r>
    </w:p>
    <w:p w14:paraId="28F38DE2">
      <w:pPr>
        <w:autoSpaceDE/>
        <w:autoSpaceDN/>
        <w:spacing w:before="41"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通信地址</w:t>
      </w:r>
      <w:r>
        <w:rPr>
          <w:rFonts w:ascii="宋体" w:hAnsi="宋体" w:eastAsia="宋体" w:cs="宋体"/>
          <w:color w:val="auto"/>
          <w:spacing w:val="5"/>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5"/>
          <w:sz w:val="20"/>
          <w:szCs w:val="20"/>
          <w:highlight w:val="none"/>
        </w:rPr>
        <w:t>；</w:t>
      </w:r>
    </w:p>
    <w:p w14:paraId="2BA32689">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关于监理人的其他约定：</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6F66E061">
      <w:pPr>
        <w:autoSpaceDE/>
        <w:autoSpaceDN/>
        <w:spacing w:before="93" w:line="360" w:lineRule="auto"/>
        <w:ind w:left="0" w:firstLine="414" w:firstLineChars="200"/>
        <w:outlineLvl w:val="2"/>
        <w:rPr>
          <w:rFonts w:ascii="宋体" w:hAnsi="宋体" w:eastAsia="宋体" w:cs="宋体"/>
          <w:color w:val="auto"/>
          <w:sz w:val="20"/>
          <w:szCs w:val="20"/>
          <w:highlight w:val="none"/>
        </w:rPr>
      </w:pPr>
      <w:bookmarkStart w:id="228" w:name="_Toc31786"/>
      <w:bookmarkStart w:id="229" w:name="_Toc13435"/>
      <w:bookmarkStart w:id="230" w:name="_Toc26398"/>
      <w:r>
        <w:rPr>
          <w:rFonts w:ascii="宋体" w:hAnsi="宋体" w:eastAsia="宋体" w:cs="宋体"/>
          <w:b/>
          <w:bCs/>
          <w:color w:val="auto"/>
          <w:spacing w:val="3"/>
          <w:sz w:val="20"/>
          <w:szCs w:val="20"/>
          <w:highlight w:val="none"/>
        </w:rPr>
        <w:t>4.4</w:t>
      </w:r>
      <w:r>
        <w:rPr>
          <w:rFonts w:ascii="宋体" w:hAnsi="宋体" w:eastAsia="宋体" w:cs="宋体"/>
          <w:color w:val="auto"/>
          <w:spacing w:val="24"/>
          <w:sz w:val="20"/>
          <w:szCs w:val="20"/>
          <w:highlight w:val="none"/>
        </w:rPr>
        <w:t xml:space="preserve"> </w:t>
      </w:r>
      <w:r>
        <w:rPr>
          <w:rFonts w:ascii="宋体" w:hAnsi="宋体" w:eastAsia="宋体" w:cs="宋体"/>
          <w:b/>
          <w:bCs/>
          <w:color w:val="auto"/>
          <w:spacing w:val="3"/>
          <w:sz w:val="20"/>
          <w:szCs w:val="20"/>
          <w:highlight w:val="none"/>
        </w:rPr>
        <w:t>商定或确定</w:t>
      </w:r>
      <w:bookmarkEnd w:id="228"/>
      <w:bookmarkEnd w:id="229"/>
      <w:bookmarkEnd w:id="230"/>
    </w:p>
    <w:p w14:paraId="1377AD15">
      <w:pPr>
        <w:autoSpaceDE/>
        <w:autoSpaceDN/>
        <w:spacing w:before="93" w:line="360" w:lineRule="auto"/>
        <w:ind w:left="0" w:right="17" w:firstLine="428" w:firstLineChars="200"/>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t>在发包人和承包人不能通过协商达成一致意见时，发包人授权监理人对以下事项进行确定：</w:t>
      </w:r>
    </w:p>
    <w:p w14:paraId="104F7E28">
      <w:pPr>
        <w:autoSpaceDE/>
        <w:autoSpaceDN/>
        <w:spacing w:before="93" w:line="360" w:lineRule="auto"/>
        <w:ind w:left="0" w:right="17" w:firstLine="388" w:firstLineChars="20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w:t>
      </w:r>
      <w:r>
        <w:rPr>
          <w:rFonts w:ascii="宋体" w:hAnsi="宋体" w:eastAsia="宋体" w:cs="宋体"/>
          <w:color w:val="auto"/>
          <w:spacing w:val="4"/>
          <w:sz w:val="20"/>
          <w:szCs w:val="20"/>
          <w:highlight w:val="none"/>
        </w:rPr>
        <w:t>）</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按通用合同条款4.4执行</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4"/>
          <w:sz w:val="20"/>
          <w:szCs w:val="20"/>
          <w:highlight w:val="none"/>
        </w:rPr>
        <w:t>；</w:t>
      </w:r>
    </w:p>
    <w:p w14:paraId="496367CC">
      <w:pPr>
        <w:autoSpaceDE/>
        <w:autoSpaceDN/>
        <w:spacing w:before="29" w:line="360" w:lineRule="auto"/>
        <w:ind w:left="0" w:right="3943" w:firstLine="388" w:firstLineChars="200"/>
        <w:rPr>
          <w:rFonts w:ascii="宋体" w:hAnsi="宋体" w:eastAsia="宋体" w:cs="宋体"/>
          <w:color w:val="auto"/>
          <w:spacing w:val="6"/>
          <w:sz w:val="20"/>
          <w:szCs w:val="20"/>
          <w:highlight w:val="none"/>
        </w:rPr>
      </w:pPr>
      <w:r>
        <w:rPr>
          <w:rFonts w:ascii="宋体" w:hAnsi="宋体" w:eastAsia="宋体" w:cs="宋体"/>
          <w:color w:val="auto"/>
          <w:spacing w:val="-3"/>
          <w:sz w:val="20"/>
          <w:szCs w:val="20"/>
          <w:highlight w:val="none"/>
        </w:rPr>
        <w:t>（2</w:t>
      </w:r>
      <w:r>
        <w:rPr>
          <w:rFonts w:ascii="宋体" w:hAnsi="宋体" w:eastAsia="宋体" w:cs="宋体"/>
          <w:color w:val="auto"/>
          <w:spacing w:val="-9"/>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9"/>
          <w:sz w:val="20"/>
          <w:szCs w:val="20"/>
          <w:highlight w:val="none"/>
        </w:rPr>
        <w:t>；</w:t>
      </w:r>
      <w:r>
        <w:rPr>
          <w:rFonts w:ascii="宋体" w:hAnsi="宋体" w:eastAsia="宋体" w:cs="宋体"/>
          <w:color w:val="auto"/>
          <w:spacing w:val="6"/>
          <w:sz w:val="20"/>
          <w:szCs w:val="20"/>
          <w:highlight w:val="none"/>
        </w:rPr>
        <w:t xml:space="preserve"> </w:t>
      </w:r>
    </w:p>
    <w:p w14:paraId="77594340">
      <w:pPr>
        <w:autoSpaceDE/>
        <w:autoSpaceDN/>
        <w:spacing w:before="29" w:line="360" w:lineRule="auto"/>
        <w:ind w:left="0" w:right="3940" w:firstLine="376"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6"/>
          <w:sz w:val="20"/>
          <w:szCs w:val="20"/>
          <w:highlight w:val="none"/>
        </w:rPr>
        <w:t>。</w:t>
      </w:r>
    </w:p>
    <w:p w14:paraId="331B9B27">
      <w:pPr>
        <w:keepNext w:val="0"/>
        <w:keepLines w:val="0"/>
        <w:pageBreakBefore w:val="0"/>
        <w:widowControl/>
        <w:kinsoku w:val="0"/>
        <w:wordWrap/>
        <w:overflowPunct/>
        <w:topLinePunct w:val="0"/>
        <w:autoSpaceDE w:val="0"/>
        <w:autoSpaceDN w:val="0"/>
        <w:bidi w:val="0"/>
        <w:adjustRightInd w:val="0"/>
        <w:snapToGrid w:val="0"/>
        <w:spacing w:before="81" w:line="360" w:lineRule="auto"/>
        <w:ind w:left="0" w:firstLine="410" w:firstLineChars="200"/>
        <w:textAlignment w:val="baseline"/>
        <w:outlineLvl w:val="1"/>
        <w:rPr>
          <w:rFonts w:ascii="宋体" w:hAnsi="宋体" w:eastAsia="宋体" w:cs="宋体"/>
          <w:color w:val="auto"/>
          <w:sz w:val="20"/>
          <w:szCs w:val="20"/>
          <w:highlight w:val="none"/>
        </w:rPr>
      </w:pPr>
      <w:bookmarkStart w:id="231" w:name="_Toc24449"/>
      <w:bookmarkStart w:id="232" w:name="_Toc1944"/>
      <w:bookmarkStart w:id="233" w:name="_Toc3952"/>
      <w:r>
        <w:rPr>
          <w:rFonts w:ascii="宋体" w:hAnsi="宋体" w:eastAsia="宋体" w:cs="宋体"/>
          <w:b/>
          <w:bCs/>
          <w:color w:val="auto"/>
          <w:spacing w:val="2"/>
          <w:sz w:val="20"/>
          <w:szCs w:val="20"/>
          <w:highlight w:val="none"/>
        </w:rPr>
        <w:t>5.</w:t>
      </w:r>
      <w:r>
        <w:rPr>
          <w:rFonts w:ascii="宋体" w:hAnsi="宋体" w:eastAsia="宋体" w:cs="宋体"/>
          <w:color w:val="auto"/>
          <w:spacing w:val="21"/>
          <w:sz w:val="20"/>
          <w:szCs w:val="20"/>
          <w:highlight w:val="none"/>
        </w:rPr>
        <w:t xml:space="preserve"> </w:t>
      </w:r>
      <w:r>
        <w:rPr>
          <w:rFonts w:ascii="宋体" w:hAnsi="宋体" w:eastAsia="宋体" w:cs="宋体"/>
          <w:b/>
          <w:bCs/>
          <w:color w:val="auto"/>
          <w:spacing w:val="2"/>
          <w:sz w:val="20"/>
          <w:szCs w:val="20"/>
          <w:highlight w:val="none"/>
        </w:rPr>
        <w:t>工程质量</w:t>
      </w:r>
      <w:bookmarkEnd w:id="231"/>
      <w:bookmarkEnd w:id="232"/>
      <w:bookmarkEnd w:id="233"/>
    </w:p>
    <w:p w14:paraId="7529F2C2">
      <w:pPr>
        <w:keepNext w:val="0"/>
        <w:keepLines w:val="0"/>
        <w:pageBreakBefore w:val="0"/>
        <w:widowControl/>
        <w:kinsoku w:val="0"/>
        <w:wordWrap/>
        <w:overflowPunct/>
        <w:topLinePunct w:val="0"/>
        <w:autoSpaceDE w:val="0"/>
        <w:autoSpaceDN w:val="0"/>
        <w:bidi w:val="0"/>
        <w:adjustRightInd w:val="0"/>
        <w:snapToGrid w:val="0"/>
        <w:spacing w:before="154" w:line="360" w:lineRule="auto"/>
        <w:ind w:left="0" w:firstLine="414" w:firstLineChars="200"/>
        <w:textAlignment w:val="baseline"/>
        <w:outlineLvl w:val="2"/>
        <w:rPr>
          <w:rFonts w:ascii="宋体" w:hAnsi="宋体" w:eastAsia="宋体" w:cs="宋体"/>
          <w:color w:val="auto"/>
          <w:sz w:val="20"/>
          <w:szCs w:val="20"/>
          <w:highlight w:val="none"/>
        </w:rPr>
      </w:pPr>
      <w:bookmarkStart w:id="234" w:name="_Toc27367"/>
      <w:bookmarkStart w:id="235" w:name="_Toc20216"/>
      <w:bookmarkStart w:id="236" w:name="_Toc16373"/>
      <w:r>
        <w:rPr>
          <w:rFonts w:ascii="宋体" w:hAnsi="宋体" w:eastAsia="宋体" w:cs="宋体"/>
          <w:b/>
          <w:bCs/>
          <w:color w:val="auto"/>
          <w:spacing w:val="3"/>
          <w:sz w:val="20"/>
          <w:szCs w:val="20"/>
          <w:highlight w:val="none"/>
        </w:rPr>
        <w:t>5.1</w:t>
      </w:r>
      <w:r>
        <w:rPr>
          <w:rFonts w:ascii="宋体" w:hAnsi="宋体" w:eastAsia="宋体" w:cs="宋体"/>
          <w:color w:val="auto"/>
          <w:spacing w:val="15"/>
          <w:sz w:val="20"/>
          <w:szCs w:val="20"/>
          <w:highlight w:val="none"/>
        </w:rPr>
        <w:t xml:space="preserve"> </w:t>
      </w:r>
      <w:r>
        <w:rPr>
          <w:rFonts w:ascii="宋体" w:hAnsi="宋体" w:eastAsia="宋体" w:cs="宋体"/>
          <w:b/>
          <w:bCs/>
          <w:color w:val="auto"/>
          <w:spacing w:val="3"/>
          <w:sz w:val="20"/>
          <w:szCs w:val="20"/>
          <w:highlight w:val="none"/>
        </w:rPr>
        <w:t>质量要求</w:t>
      </w:r>
      <w:bookmarkEnd w:id="234"/>
      <w:bookmarkEnd w:id="235"/>
      <w:bookmarkEnd w:id="236"/>
    </w:p>
    <w:p w14:paraId="4F5B8EBC">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right="128" w:firstLine="436" w:firstLineChars="200"/>
        <w:jc w:val="both"/>
        <w:textAlignment w:val="baseline"/>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5.1.1 特殊质量标准和要求：</w:t>
      </w:r>
      <w:r>
        <w:rPr>
          <w:rFonts w:ascii="宋体" w:hAnsi="宋体" w:eastAsia="宋体" w:cs="宋体"/>
          <w:color w:val="auto"/>
          <w:spacing w:val="9"/>
          <w:sz w:val="20"/>
          <w:szCs w:val="20"/>
          <w:highlight w:val="none"/>
          <w:u w:val="single" w:color="auto"/>
        </w:rPr>
        <w:t>特殊要求：严格执行广西壮族自治区住房和城乡</w:t>
      </w:r>
      <w:r>
        <w:rPr>
          <w:rFonts w:ascii="宋体" w:hAnsi="宋体" w:eastAsia="宋体" w:cs="宋体"/>
          <w:color w:val="auto"/>
          <w:spacing w:val="8"/>
          <w:sz w:val="20"/>
          <w:szCs w:val="20"/>
          <w:highlight w:val="none"/>
          <w:u w:val="single" w:color="auto"/>
        </w:rPr>
        <w:t>建设厅《关</w:t>
      </w:r>
      <w:r>
        <w:rPr>
          <w:rFonts w:ascii="宋体" w:hAnsi="宋体" w:eastAsia="宋体" w:cs="宋体"/>
          <w:color w:val="auto"/>
          <w:spacing w:val="10"/>
          <w:sz w:val="20"/>
          <w:szCs w:val="20"/>
          <w:highlight w:val="none"/>
          <w:u w:val="single" w:color="auto"/>
        </w:rPr>
        <w:t>于严格实行房屋建筑和市政基础设施工程质量终身责任承诺、永久性</w:t>
      </w:r>
      <w:r>
        <w:rPr>
          <w:rFonts w:ascii="宋体" w:hAnsi="宋体" w:eastAsia="宋体" w:cs="宋体"/>
          <w:color w:val="auto"/>
          <w:spacing w:val="9"/>
          <w:sz w:val="20"/>
          <w:szCs w:val="20"/>
          <w:highlight w:val="none"/>
          <w:u w:val="single" w:color="auto"/>
        </w:rPr>
        <w:t>质量责任标牌、终身责任</w:t>
      </w:r>
      <w:r>
        <w:rPr>
          <w:rFonts w:ascii="宋体" w:hAnsi="宋体" w:eastAsia="宋体" w:cs="宋体"/>
          <w:color w:val="auto"/>
          <w:spacing w:val="7"/>
          <w:sz w:val="20"/>
          <w:szCs w:val="20"/>
          <w:highlight w:val="none"/>
          <w:u w:val="single" w:color="auto"/>
        </w:rPr>
        <w:t>信息档案等制度的通知》</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7"/>
          <w:sz w:val="20"/>
          <w:szCs w:val="20"/>
          <w:highlight w:val="none"/>
          <w:u w:val="single" w:color="auto"/>
        </w:rPr>
        <w:t>(桂建管[2014]96</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7"/>
          <w:sz w:val="20"/>
          <w:szCs w:val="20"/>
          <w:highlight w:val="none"/>
          <w:u w:val="single" w:color="auto"/>
        </w:rPr>
        <w:t>号)要求，落实建设工程质量终身责任。</w:t>
      </w:r>
    </w:p>
    <w:p w14:paraId="56CBB9FD">
      <w:pPr>
        <w:keepNext w:val="0"/>
        <w:keepLines w:val="0"/>
        <w:pageBreakBefore w:val="0"/>
        <w:widowControl/>
        <w:kinsoku w:val="0"/>
        <w:wordWrap/>
        <w:overflowPunct/>
        <w:topLinePunct w:val="0"/>
        <w:autoSpaceDE w:val="0"/>
        <w:autoSpaceDN w:val="0"/>
        <w:bidi w:val="0"/>
        <w:adjustRightInd w:val="0"/>
        <w:snapToGrid w:val="0"/>
        <w:spacing w:before="36" w:line="360" w:lineRule="auto"/>
        <w:ind w:left="0" w:firstLine="42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关于工程奖项的约定：</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7AC83353">
      <w:pPr>
        <w:keepNext w:val="0"/>
        <w:keepLines w:val="0"/>
        <w:pageBreakBefore w:val="0"/>
        <w:widowControl/>
        <w:kinsoku w:val="0"/>
        <w:wordWrap/>
        <w:overflowPunct/>
        <w:topLinePunct w:val="0"/>
        <w:autoSpaceDE w:val="0"/>
        <w:autoSpaceDN w:val="0"/>
        <w:bidi w:val="0"/>
        <w:adjustRightInd w:val="0"/>
        <w:snapToGrid w:val="0"/>
        <w:spacing w:before="91" w:line="360" w:lineRule="auto"/>
        <w:ind w:left="0" w:firstLine="416"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5.3</w:t>
      </w:r>
      <w:r>
        <w:rPr>
          <w:rFonts w:ascii="宋体" w:hAnsi="宋体" w:eastAsia="宋体" w:cs="宋体"/>
          <w:color w:val="auto"/>
          <w:spacing w:val="28"/>
          <w:sz w:val="20"/>
          <w:szCs w:val="20"/>
          <w:highlight w:val="none"/>
        </w:rPr>
        <w:t xml:space="preserve"> </w:t>
      </w:r>
      <w:r>
        <w:rPr>
          <w:rFonts w:ascii="宋体" w:hAnsi="宋体" w:eastAsia="宋体" w:cs="宋体"/>
          <w:color w:val="auto"/>
          <w:spacing w:val="4"/>
          <w:sz w:val="20"/>
          <w:szCs w:val="20"/>
          <w:highlight w:val="none"/>
        </w:rPr>
        <w:t>隐蔽工程检查</w:t>
      </w:r>
    </w:p>
    <w:p w14:paraId="473C14B7">
      <w:pPr>
        <w:keepNext w:val="0"/>
        <w:keepLines w:val="0"/>
        <w:pageBreakBefore w:val="0"/>
        <w:widowControl/>
        <w:kinsoku w:val="0"/>
        <w:wordWrap/>
        <w:overflowPunct/>
        <w:topLinePunct w:val="0"/>
        <w:autoSpaceDE w:val="0"/>
        <w:autoSpaceDN w:val="0"/>
        <w:bidi w:val="0"/>
        <w:adjustRightInd w:val="0"/>
        <w:snapToGrid w:val="0"/>
        <w:spacing w:before="93" w:line="360" w:lineRule="auto"/>
        <w:ind w:left="0" w:right="78" w:firstLine="432"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5.3.2</w:t>
      </w:r>
      <w:r>
        <w:rPr>
          <w:rFonts w:ascii="宋体" w:hAnsi="宋体" w:eastAsia="宋体" w:cs="宋体"/>
          <w:color w:val="auto"/>
          <w:spacing w:val="-40"/>
          <w:sz w:val="20"/>
          <w:szCs w:val="20"/>
          <w:highlight w:val="none"/>
        </w:rPr>
        <w:t xml:space="preserve"> </w:t>
      </w:r>
      <w:r>
        <w:rPr>
          <w:rFonts w:ascii="宋体" w:hAnsi="宋体" w:eastAsia="宋体" w:cs="宋体"/>
          <w:color w:val="auto"/>
          <w:spacing w:val="8"/>
          <w:sz w:val="20"/>
          <w:szCs w:val="20"/>
          <w:highlight w:val="none"/>
        </w:rPr>
        <w:t>承包人提前通知监理人隐蔽工程检查的期限的约定：</w:t>
      </w:r>
      <w:r>
        <w:rPr>
          <w:rFonts w:ascii="宋体" w:hAnsi="宋体" w:eastAsia="宋体" w:cs="宋体"/>
          <w:color w:val="auto"/>
          <w:spacing w:val="7"/>
          <w:sz w:val="20"/>
          <w:szCs w:val="20"/>
          <w:highlight w:val="none"/>
        </w:rPr>
        <w:t>工程隐蔽或中间验收前12小时</w:t>
      </w:r>
      <w:r>
        <w:rPr>
          <w:rFonts w:ascii="宋体" w:hAnsi="宋体" w:eastAsia="宋体" w:cs="宋体"/>
          <w:color w:val="auto"/>
          <w:spacing w:val="10"/>
          <w:sz w:val="20"/>
          <w:szCs w:val="20"/>
          <w:highlight w:val="none"/>
        </w:rPr>
        <w:t>以书面形式通知发包人和监理工程师验收的内容、时间、地点，</w:t>
      </w:r>
      <w:r>
        <w:rPr>
          <w:rFonts w:ascii="宋体" w:hAnsi="宋体" w:eastAsia="宋体" w:cs="宋体"/>
          <w:color w:val="auto"/>
          <w:spacing w:val="9"/>
          <w:sz w:val="20"/>
          <w:szCs w:val="20"/>
          <w:highlight w:val="none"/>
        </w:rPr>
        <w:t>承包人准备验收记录单（最好是印制的表格）</w:t>
      </w:r>
      <w:r>
        <w:rPr>
          <w:rFonts w:ascii="宋体" w:hAnsi="宋体" w:eastAsia="宋体" w:cs="宋体"/>
          <w:color w:val="auto"/>
          <w:spacing w:val="-55"/>
          <w:sz w:val="20"/>
          <w:szCs w:val="20"/>
          <w:highlight w:val="none"/>
        </w:rPr>
        <w:t xml:space="preserve"> </w:t>
      </w:r>
      <w:r>
        <w:rPr>
          <w:rFonts w:ascii="宋体" w:hAnsi="宋体" w:eastAsia="宋体" w:cs="宋体"/>
          <w:color w:val="auto"/>
          <w:spacing w:val="9"/>
          <w:sz w:val="20"/>
          <w:szCs w:val="20"/>
          <w:highlight w:val="none"/>
        </w:rPr>
        <w:t>由双方签证。验收合格，承包人可进行</w:t>
      </w:r>
      <w:r>
        <w:rPr>
          <w:rFonts w:ascii="宋体" w:hAnsi="宋体" w:eastAsia="宋体" w:cs="宋体"/>
          <w:color w:val="auto"/>
          <w:spacing w:val="8"/>
          <w:sz w:val="20"/>
          <w:szCs w:val="20"/>
          <w:highlight w:val="none"/>
        </w:rPr>
        <w:t>隐蔽和继续施工；验收不合格，双方商订时限内修改后按上述循序重新验收。</w:t>
      </w:r>
    </w:p>
    <w:p w14:paraId="34FE0477">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right="1948" w:firstLine="432" w:firstLineChars="200"/>
        <w:textAlignment w:val="baseline"/>
        <w:rPr>
          <w:rFonts w:ascii="宋体" w:hAnsi="宋体" w:eastAsia="宋体" w:cs="宋体"/>
          <w:color w:val="auto"/>
          <w:spacing w:val="7"/>
          <w:sz w:val="20"/>
          <w:szCs w:val="20"/>
          <w:highlight w:val="none"/>
        </w:rPr>
      </w:pPr>
      <w:r>
        <w:rPr>
          <w:rFonts w:ascii="宋体" w:hAnsi="宋体" w:eastAsia="宋体" w:cs="宋体"/>
          <w:color w:val="auto"/>
          <w:spacing w:val="8"/>
          <w:sz w:val="20"/>
          <w:szCs w:val="20"/>
          <w:highlight w:val="none"/>
        </w:rPr>
        <w:t>监理人不能按时进行检查时，应提前</w:t>
      </w:r>
      <w:r>
        <w:rPr>
          <w:rFonts w:ascii="宋体" w:hAnsi="宋体" w:eastAsia="宋体" w:cs="宋体"/>
          <w:color w:val="auto"/>
          <w:spacing w:val="-99"/>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24</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8"/>
          <w:sz w:val="20"/>
          <w:szCs w:val="20"/>
          <w:highlight w:val="none"/>
        </w:rPr>
        <w:t>小时提</w:t>
      </w:r>
      <w:r>
        <w:rPr>
          <w:rFonts w:ascii="宋体" w:hAnsi="宋体" w:eastAsia="宋体" w:cs="宋体"/>
          <w:color w:val="auto"/>
          <w:spacing w:val="7"/>
          <w:sz w:val="20"/>
          <w:szCs w:val="20"/>
          <w:highlight w:val="none"/>
        </w:rPr>
        <w:t>交书面延期要求。</w:t>
      </w:r>
    </w:p>
    <w:p w14:paraId="26375A6F">
      <w:pPr>
        <w:keepNext w:val="0"/>
        <w:keepLines w:val="0"/>
        <w:pageBreakBefore w:val="0"/>
        <w:widowControl/>
        <w:kinsoku w:val="0"/>
        <w:wordWrap/>
        <w:overflowPunct/>
        <w:topLinePunct w:val="0"/>
        <w:autoSpaceDE w:val="0"/>
        <w:autoSpaceDN w:val="0"/>
        <w:bidi w:val="0"/>
        <w:adjustRightInd w:val="0"/>
        <w:snapToGrid w:val="0"/>
        <w:spacing w:before="92" w:line="360" w:lineRule="auto"/>
        <w:ind w:left="0" w:right="1948" w:firstLine="42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关于延期最长不得超过：</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48</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79"/>
          <w:sz w:val="20"/>
          <w:szCs w:val="20"/>
          <w:highlight w:val="none"/>
        </w:rPr>
        <w:t xml:space="preserve"> </w:t>
      </w:r>
      <w:r>
        <w:rPr>
          <w:rFonts w:ascii="宋体" w:hAnsi="宋体" w:eastAsia="宋体" w:cs="宋体"/>
          <w:color w:val="auto"/>
          <w:spacing w:val="6"/>
          <w:sz w:val="20"/>
          <w:szCs w:val="20"/>
          <w:highlight w:val="none"/>
        </w:rPr>
        <w:t>小时。</w:t>
      </w:r>
    </w:p>
    <w:p w14:paraId="77B2CDCE">
      <w:pPr>
        <w:keepNext w:val="0"/>
        <w:keepLines w:val="0"/>
        <w:pageBreakBefore w:val="0"/>
        <w:widowControl/>
        <w:kinsoku w:val="0"/>
        <w:wordWrap/>
        <w:overflowPunct/>
        <w:topLinePunct w:val="0"/>
        <w:autoSpaceDE w:val="0"/>
        <w:autoSpaceDN w:val="0"/>
        <w:bidi w:val="0"/>
        <w:adjustRightInd w:val="0"/>
        <w:snapToGrid w:val="0"/>
        <w:spacing w:before="91" w:line="360" w:lineRule="auto"/>
        <w:ind w:left="0" w:firstLine="426" w:firstLineChars="200"/>
        <w:textAlignment w:val="baseline"/>
        <w:outlineLvl w:val="1"/>
        <w:rPr>
          <w:rFonts w:ascii="宋体" w:hAnsi="宋体" w:eastAsia="宋体" w:cs="宋体"/>
          <w:color w:val="auto"/>
          <w:sz w:val="20"/>
          <w:szCs w:val="20"/>
          <w:highlight w:val="none"/>
        </w:rPr>
      </w:pPr>
      <w:bookmarkStart w:id="237" w:name="_Toc14859"/>
      <w:bookmarkStart w:id="238" w:name="_Toc29047"/>
      <w:bookmarkStart w:id="239" w:name="_Toc31976"/>
      <w:r>
        <w:rPr>
          <w:rFonts w:ascii="宋体" w:hAnsi="宋体" w:eastAsia="宋体" w:cs="宋体"/>
          <w:b/>
          <w:bCs/>
          <w:color w:val="auto"/>
          <w:spacing w:val="6"/>
          <w:sz w:val="20"/>
          <w:szCs w:val="20"/>
          <w:highlight w:val="none"/>
        </w:rPr>
        <w:t>6.</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安全文明施工与环境保护</w:t>
      </w:r>
      <w:bookmarkEnd w:id="237"/>
      <w:bookmarkEnd w:id="238"/>
      <w:bookmarkEnd w:id="239"/>
    </w:p>
    <w:p w14:paraId="47EE2E26">
      <w:pPr>
        <w:keepNext w:val="0"/>
        <w:keepLines w:val="0"/>
        <w:pageBreakBefore w:val="0"/>
        <w:widowControl/>
        <w:kinsoku w:val="0"/>
        <w:wordWrap/>
        <w:overflowPunct/>
        <w:topLinePunct w:val="0"/>
        <w:autoSpaceDE w:val="0"/>
        <w:autoSpaceDN w:val="0"/>
        <w:bidi w:val="0"/>
        <w:adjustRightInd w:val="0"/>
        <w:snapToGrid w:val="0"/>
        <w:spacing w:before="154" w:line="360" w:lineRule="auto"/>
        <w:ind w:left="0" w:firstLine="418" w:firstLineChars="200"/>
        <w:textAlignment w:val="baseline"/>
        <w:outlineLvl w:val="2"/>
        <w:rPr>
          <w:rFonts w:ascii="宋体" w:hAnsi="宋体" w:eastAsia="宋体" w:cs="宋体"/>
          <w:color w:val="auto"/>
          <w:sz w:val="20"/>
          <w:szCs w:val="20"/>
          <w:highlight w:val="none"/>
        </w:rPr>
      </w:pPr>
      <w:bookmarkStart w:id="240" w:name="_Toc1195"/>
      <w:bookmarkStart w:id="241" w:name="_Toc31404"/>
      <w:bookmarkStart w:id="242" w:name="_Toc4142"/>
      <w:r>
        <w:rPr>
          <w:rFonts w:ascii="宋体" w:hAnsi="宋体" w:eastAsia="宋体" w:cs="宋体"/>
          <w:b/>
          <w:bCs/>
          <w:color w:val="auto"/>
          <w:spacing w:val="4"/>
          <w:sz w:val="20"/>
          <w:szCs w:val="20"/>
          <w:highlight w:val="none"/>
        </w:rPr>
        <w:t>6.1</w:t>
      </w:r>
      <w:r>
        <w:rPr>
          <w:rFonts w:ascii="宋体" w:hAnsi="宋体" w:eastAsia="宋体" w:cs="宋体"/>
          <w:color w:val="auto"/>
          <w:spacing w:val="19"/>
          <w:sz w:val="20"/>
          <w:szCs w:val="20"/>
          <w:highlight w:val="none"/>
        </w:rPr>
        <w:t xml:space="preserve"> </w:t>
      </w:r>
      <w:r>
        <w:rPr>
          <w:rFonts w:ascii="宋体" w:hAnsi="宋体" w:eastAsia="宋体" w:cs="宋体"/>
          <w:b/>
          <w:bCs/>
          <w:color w:val="auto"/>
          <w:spacing w:val="4"/>
          <w:sz w:val="20"/>
          <w:szCs w:val="20"/>
          <w:highlight w:val="none"/>
        </w:rPr>
        <w:t>安全文明施工</w:t>
      </w:r>
      <w:bookmarkEnd w:id="240"/>
      <w:bookmarkEnd w:id="241"/>
      <w:bookmarkEnd w:id="242"/>
    </w:p>
    <w:p w14:paraId="6C719767">
      <w:pPr>
        <w:keepNext w:val="0"/>
        <w:keepLines w:val="0"/>
        <w:pageBreakBefore w:val="0"/>
        <w:widowControl/>
        <w:kinsoku w:val="0"/>
        <w:wordWrap/>
        <w:overflowPunct/>
        <w:topLinePunct w:val="0"/>
        <w:autoSpaceDE w:val="0"/>
        <w:autoSpaceDN w:val="0"/>
        <w:bidi w:val="0"/>
        <w:adjustRightInd w:val="0"/>
        <w:snapToGrid w:val="0"/>
        <w:spacing w:before="94" w:line="360" w:lineRule="auto"/>
        <w:ind w:left="0" w:firstLine="420" w:firstLineChars="200"/>
        <w:textAlignment w:val="baseline"/>
        <w:rPr>
          <w:rFonts w:ascii="宋体" w:hAnsi="宋体" w:eastAsia="宋体" w:cs="宋体"/>
          <w:color w:val="auto"/>
          <w:spacing w:val="5"/>
          <w:sz w:val="20"/>
          <w:szCs w:val="20"/>
          <w:highlight w:val="none"/>
          <w:u w:val="single" w:color="auto"/>
        </w:rPr>
      </w:pPr>
      <w:r>
        <w:rPr>
          <w:rFonts w:ascii="宋体" w:hAnsi="宋体" w:eastAsia="宋体" w:cs="宋体"/>
          <w:color w:val="auto"/>
          <w:spacing w:val="5"/>
          <w:sz w:val="20"/>
          <w:szCs w:val="20"/>
          <w:highlight w:val="none"/>
        </w:rPr>
        <w:t>6.1.1 项目安全生产的达标目标及相应事项的约定：</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承包人必须按照国家法律法规规定配置安全员，工程安全责任事故发生率为0；要求达到《建筑施工安全检查标准》（JGJ59-2011）的标准和符合《广西壮族自治区建筑工程安全文明施工费使用管理细则》（桂建质〔2015〕16号）的要求。承包人应遵守现行工程建设安全文明施工有关管理规定，严格按专用条款约定的安全文明标准及《工程管理制度》组织施工，创建规范的施工现场，并随时接受行业安全检查人员依法实施的监督检查，采取必要的安全防护措施，消除事故隐患。由于承包人安全文明施工措施不力造成事故的责任和因此发生的费用，由承包人承担（即使在对外法律关系上人民法院判决发包人承担责任，但在承包人与发包人间，由承包人全部承担）</w:t>
      </w:r>
      <w:r>
        <w:rPr>
          <w:rFonts w:ascii="宋体" w:hAnsi="宋体" w:eastAsia="宋体" w:cs="宋体"/>
          <w:color w:val="auto"/>
          <w:spacing w:val="5"/>
          <w:sz w:val="20"/>
          <w:szCs w:val="20"/>
          <w:highlight w:val="none"/>
          <w:u w:val="single" w:color="auto"/>
        </w:rPr>
        <w:t>。</w:t>
      </w:r>
    </w:p>
    <w:p w14:paraId="3B0DC23B">
      <w:pPr>
        <w:keepNext w:val="0"/>
        <w:keepLines w:val="0"/>
        <w:pageBreakBefore w:val="0"/>
        <w:widowControl/>
        <w:kinsoku w:val="0"/>
        <w:wordWrap/>
        <w:overflowPunct/>
        <w:topLinePunct w:val="0"/>
        <w:autoSpaceDE w:val="0"/>
        <w:autoSpaceDN w:val="0"/>
        <w:bidi w:val="0"/>
        <w:adjustRightInd w:val="0"/>
        <w:snapToGrid w:val="0"/>
        <w:spacing w:before="94" w:line="360" w:lineRule="auto"/>
        <w:ind w:left="0" w:firstLine="42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关于安全文明施工奖项的约定：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无</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40135A58">
      <w:pPr>
        <w:keepNext w:val="0"/>
        <w:keepLines w:val="0"/>
        <w:pageBreakBefore w:val="0"/>
        <w:widowControl/>
        <w:kinsoku w:val="0"/>
        <w:wordWrap/>
        <w:overflowPunct/>
        <w:topLinePunct w:val="0"/>
        <w:autoSpaceDE w:val="0"/>
        <w:autoSpaceDN w:val="0"/>
        <w:bidi w:val="0"/>
        <w:adjustRightInd w:val="0"/>
        <w:snapToGrid w:val="0"/>
        <w:spacing w:before="94" w:line="360" w:lineRule="auto"/>
        <w:ind w:left="0" w:right="128" w:firstLine="436"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6.1.4 关于治安保卫的特别约定：</w:t>
      </w:r>
      <w:r>
        <w:rPr>
          <w:rFonts w:ascii="宋体" w:hAnsi="宋体" w:eastAsia="宋体" w:cs="宋体"/>
          <w:color w:val="auto"/>
          <w:spacing w:val="9"/>
          <w:sz w:val="20"/>
          <w:szCs w:val="20"/>
          <w:highlight w:val="none"/>
          <w:u w:val="single" w:color="auto"/>
        </w:rPr>
        <w:t>承包人应承担施工安全保卫工作及非夜间施工照</w:t>
      </w:r>
      <w:r>
        <w:rPr>
          <w:rFonts w:ascii="宋体" w:hAnsi="宋体" w:eastAsia="宋体" w:cs="宋体"/>
          <w:color w:val="auto"/>
          <w:spacing w:val="8"/>
          <w:sz w:val="20"/>
          <w:szCs w:val="20"/>
          <w:highlight w:val="none"/>
          <w:u w:val="single" w:color="auto"/>
        </w:rPr>
        <w:t>明的责</w:t>
      </w:r>
      <w:r>
        <w:rPr>
          <w:rFonts w:ascii="宋体" w:hAnsi="宋体" w:eastAsia="宋体" w:cs="宋体"/>
          <w:color w:val="auto"/>
          <w:spacing w:val="10"/>
          <w:sz w:val="20"/>
          <w:szCs w:val="20"/>
          <w:highlight w:val="none"/>
          <w:u w:val="single" w:color="auto"/>
        </w:rPr>
        <w:t>任，承包人应采取一切合理的预防措施，防止人员伤亡、财产损失事故</w:t>
      </w:r>
      <w:r>
        <w:rPr>
          <w:rFonts w:ascii="宋体" w:hAnsi="宋体" w:eastAsia="宋体" w:cs="宋体"/>
          <w:color w:val="auto"/>
          <w:spacing w:val="9"/>
          <w:sz w:val="20"/>
          <w:szCs w:val="20"/>
          <w:highlight w:val="none"/>
          <w:u w:val="single" w:color="auto"/>
        </w:rPr>
        <w:t>，费用由承包人承担。</w:t>
      </w:r>
      <w:r>
        <w:rPr>
          <w:rFonts w:ascii="宋体" w:hAnsi="宋体" w:eastAsia="宋体" w:cs="宋体"/>
          <w:color w:val="auto"/>
          <w:spacing w:val="10"/>
          <w:sz w:val="20"/>
          <w:szCs w:val="20"/>
          <w:highlight w:val="none"/>
          <w:u w:val="single" w:color="auto"/>
        </w:rPr>
        <w:t>承包人生活设施及施工场应自费配备消防设备，防止火灾发生。</w:t>
      </w:r>
    </w:p>
    <w:p w14:paraId="02AD3AC6">
      <w:pPr>
        <w:keepNext w:val="0"/>
        <w:keepLines w:val="0"/>
        <w:pageBreakBefore w:val="0"/>
        <w:widowControl/>
        <w:kinsoku w:val="0"/>
        <w:wordWrap/>
        <w:overflowPunct/>
        <w:topLinePunct w:val="0"/>
        <w:autoSpaceDE w:val="0"/>
        <w:autoSpaceDN w:val="0"/>
        <w:bidi w:val="0"/>
        <w:adjustRightInd w:val="0"/>
        <w:snapToGrid w:val="0"/>
        <w:spacing w:before="94" w:line="360" w:lineRule="auto"/>
        <w:ind w:left="0" w:firstLine="42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关于编制施工场地治安管理计划的约定：</w:t>
      </w:r>
      <w:r>
        <w:rPr>
          <w:rFonts w:ascii="宋体" w:hAnsi="宋体" w:eastAsia="宋体" w:cs="宋体"/>
          <w:color w:val="auto"/>
          <w:spacing w:val="6"/>
          <w:sz w:val="20"/>
          <w:szCs w:val="20"/>
          <w:highlight w:val="none"/>
          <w:u w:val="single" w:color="auto"/>
        </w:rPr>
        <w:t xml:space="preserve"> </w:t>
      </w:r>
      <w:r>
        <w:rPr>
          <w:color w:val="auto"/>
          <w:spacing w:val="9"/>
          <w:sz w:val="20"/>
          <w:szCs w:val="20"/>
          <w:highlight w:val="none"/>
          <w:u w:val="single" w:color="auto"/>
        </w:rPr>
        <w:t>承包人应在工程开工后</w:t>
      </w:r>
      <w:r>
        <w:rPr>
          <w:rFonts w:ascii="Calibri" w:hAnsi="Calibri" w:eastAsia="Calibri" w:cs="Calibri"/>
          <w:color w:val="auto"/>
          <w:spacing w:val="9"/>
          <w:sz w:val="20"/>
          <w:szCs w:val="20"/>
          <w:highlight w:val="none"/>
          <w:u w:val="single" w:color="auto"/>
        </w:rPr>
        <w:t>7</w:t>
      </w:r>
      <w:r>
        <w:rPr>
          <w:color w:val="auto"/>
          <w:spacing w:val="9"/>
          <w:sz w:val="20"/>
          <w:szCs w:val="20"/>
          <w:highlight w:val="none"/>
          <w:u w:val="single" w:color="auto"/>
        </w:rPr>
        <w:t>天内编制施工场地治</w:t>
      </w:r>
      <w:r>
        <w:rPr>
          <w:color w:val="auto"/>
          <w:spacing w:val="10"/>
          <w:sz w:val="20"/>
          <w:szCs w:val="20"/>
          <w:highlight w:val="none"/>
          <w:u w:val="single" w:color="auto"/>
        </w:rPr>
        <w:t>安管理计划，并制定应对突发治安事件的紧急预案</w:t>
      </w:r>
      <w:r>
        <w:rPr>
          <w:rFonts w:hint="eastAsia"/>
          <w:color w:val="auto"/>
          <w:spacing w:val="10"/>
          <w:sz w:val="20"/>
          <w:szCs w:val="20"/>
          <w:highlight w:val="none"/>
          <w:u w:val="single" w:color="auto"/>
        </w:rPr>
        <w:t>由承包人负责编制完成后由发包人(或监理人)审核同意后实施</w:t>
      </w:r>
      <w:r>
        <w:rPr>
          <w:color w:val="auto"/>
          <w:spacing w:val="10"/>
          <w:sz w:val="20"/>
          <w:szCs w:val="20"/>
          <w:highlight w:val="none"/>
          <w:u w:val="single" w:color="auto"/>
        </w:rPr>
        <w:t>。所产生的一切费用</w:t>
      </w:r>
      <w:r>
        <w:rPr>
          <w:color w:val="auto"/>
          <w:spacing w:val="9"/>
          <w:sz w:val="20"/>
          <w:szCs w:val="20"/>
          <w:highlight w:val="none"/>
          <w:u w:val="single" w:color="auto"/>
        </w:rPr>
        <w:t>均由承包人承担。在工程施工过程中，发生暴乱、爆炸等恐怖事件，以</w:t>
      </w:r>
      <w:r>
        <w:rPr>
          <w:color w:val="auto"/>
          <w:spacing w:val="8"/>
          <w:sz w:val="20"/>
          <w:szCs w:val="20"/>
          <w:highlight w:val="none"/>
          <w:u w:val="single" w:color="auto"/>
        </w:rPr>
        <w:t>及群殴、械斗等群体性突发治安事件的，发包</w:t>
      </w:r>
      <w:r>
        <w:rPr>
          <w:color w:val="auto"/>
          <w:spacing w:val="10"/>
          <w:sz w:val="20"/>
          <w:szCs w:val="20"/>
          <w:highlight w:val="none"/>
          <w:u w:val="single" w:color="auto"/>
        </w:rPr>
        <w:t>人和承包人应立即向当地政府报告。发包人和承包人应积极协助当地有</w:t>
      </w:r>
      <w:r>
        <w:rPr>
          <w:color w:val="auto"/>
          <w:spacing w:val="9"/>
          <w:sz w:val="20"/>
          <w:szCs w:val="20"/>
          <w:highlight w:val="none"/>
          <w:u w:val="single" w:color="auto"/>
        </w:rPr>
        <w:t>关部门采取措施平息事态，防止事态扩大，尽量避免人员伤亡和财产损失</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0DB96A00">
      <w:pPr>
        <w:keepNext w:val="0"/>
        <w:keepLines w:val="0"/>
        <w:pageBreakBefore w:val="0"/>
        <w:widowControl/>
        <w:kinsoku w:val="0"/>
        <w:wordWrap/>
        <w:overflowPunct/>
        <w:topLinePunct w:val="0"/>
        <w:autoSpaceDE w:val="0"/>
        <w:autoSpaceDN w:val="0"/>
        <w:bidi w:val="0"/>
        <w:adjustRightInd w:val="0"/>
        <w:snapToGrid w:val="0"/>
        <w:spacing w:before="94" w:line="360" w:lineRule="auto"/>
        <w:ind w:left="0" w:firstLine="420"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6.1.5 文明施工</w:t>
      </w:r>
    </w:p>
    <w:p w14:paraId="7BE770BE">
      <w:pPr>
        <w:keepNext w:val="0"/>
        <w:keepLines w:val="0"/>
        <w:pageBreakBefore w:val="0"/>
        <w:widowControl/>
        <w:kinsoku w:val="0"/>
        <w:wordWrap/>
        <w:overflowPunct/>
        <w:topLinePunct w:val="0"/>
        <w:autoSpaceDE w:val="0"/>
        <w:autoSpaceDN w:val="0"/>
        <w:bidi w:val="0"/>
        <w:adjustRightInd w:val="0"/>
        <w:snapToGrid w:val="0"/>
        <w:spacing w:before="94" w:line="360" w:lineRule="auto"/>
        <w:ind w:left="18" w:firstLine="424"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合同当事人对文明施工的要求：</w:t>
      </w:r>
      <w:r>
        <w:rPr>
          <w:rFonts w:ascii="宋体" w:hAnsi="宋体" w:eastAsia="宋体" w:cs="宋体"/>
          <w:color w:val="auto"/>
          <w:spacing w:val="6"/>
          <w:sz w:val="20"/>
          <w:szCs w:val="20"/>
          <w:highlight w:val="none"/>
          <w:u w:val="single" w:color="auto"/>
        </w:rPr>
        <w:t>严格执行《大气污染防治法》（主席令第三十一号</w:t>
      </w:r>
      <w:r>
        <w:rPr>
          <w:rFonts w:ascii="宋体" w:hAnsi="宋体" w:eastAsia="宋体" w:cs="宋体"/>
          <w:color w:val="auto"/>
          <w:spacing w:val="5"/>
          <w:sz w:val="20"/>
          <w:szCs w:val="20"/>
          <w:highlight w:val="none"/>
          <w:u w:val="single" w:color="auto"/>
        </w:rPr>
        <w:t>）、《广</w:t>
      </w:r>
      <w:r>
        <w:rPr>
          <w:rFonts w:ascii="宋体" w:hAnsi="宋体" w:eastAsia="宋体" w:cs="宋体"/>
          <w:color w:val="auto"/>
          <w:spacing w:val="9"/>
          <w:sz w:val="20"/>
          <w:szCs w:val="20"/>
          <w:highlight w:val="none"/>
          <w:u w:val="single" w:color="auto"/>
        </w:rPr>
        <w:t>西壮族自治区建设工程安全文明施工费使用管理细则》（桂</w:t>
      </w:r>
      <w:r>
        <w:rPr>
          <w:rFonts w:ascii="宋体" w:hAnsi="宋体" w:eastAsia="宋体" w:cs="宋体"/>
          <w:color w:val="auto"/>
          <w:spacing w:val="8"/>
          <w:sz w:val="20"/>
          <w:szCs w:val="20"/>
          <w:highlight w:val="none"/>
          <w:u w:val="single" w:color="auto"/>
        </w:rPr>
        <w:t>建质[2015]16</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8"/>
          <w:sz w:val="20"/>
          <w:szCs w:val="20"/>
          <w:highlight w:val="none"/>
          <w:u w:val="single" w:color="auto"/>
        </w:rPr>
        <w:t>号）的有关规定，必须与合法运输企业签订运输合同使用符合密闭规定的合法车辆进行散体物料（建</w:t>
      </w:r>
      <w:r>
        <w:rPr>
          <w:rFonts w:ascii="宋体" w:hAnsi="宋体" w:eastAsia="宋体" w:cs="宋体"/>
          <w:color w:val="auto"/>
          <w:spacing w:val="7"/>
          <w:sz w:val="20"/>
          <w:szCs w:val="20"/>
          <w:highlight w:val="none"/>
          <w:u w:val="single" w:color="auto"/>
        </w:rPr>
        <w:t>筑渣土、垃圾、</w:t>
      </w:r>
      <w:r>
        <w:rPr>
          <w:rFonts w:ascii="宋体" w:hAnsi="宋体" w:eastAsia="宋体" w:cs="宋体"/>
          <w:color w:val="auto"/>
          <w:spacing w:val="10"/>
          <w:sz w:val="20"/>
          <w:szCs w:val="20"/>
          <w:highlight w:val="none"/>
          <w:u w:val="single" w:color="auto"/>
        </w:rPr>
        <w:t>砂石等）的运输，同时与辖区卫生防疫、环卫管理部门或有合法资质资</w:t>
      </w:r>
      <w:r>
        <w:rPr>
          <w:rFonts w:ascii="宋体" w:hAnsi="宋体" w:eastAsia="宋体" w:cs="宋体"/>
          <w:color w:val="auto"/>
          <w:spacing w:val="9"/>
          <w:sz w:val="20"/>
          <w:szCs w:val="20"/>
          <w:highlight w:val="none"/>
          <w:u w:val="single" w:color="auto"/>
        </w:rPr>
        <w:t>格的企业签订病媒生物</w:t>
      </w:r>
      <w:r>
        <w:rPr>
          <w:rFonts w:ascii="宋体" w:hAnsi="宋体" w:eastAsia="宋体" w:cs="宋体"/>
          <w:color w:val="auto"/>
          <w:spacing w:val="10"/>
          <w:sz w:val="20"/>
          <w:szCs w:val="20"/>
          <w:highlight w:val="none"/>
          <w:u w:val="single" w:color="auto"/>
        </w:rPr>
        <w:t>消杀协议、生活垃圾清运协议、在线远程监控扬尘监测协议，采取道路</w:t>
      </w:r>
      <w:r>
        <w:rPr>
          <w:rFonts w:ascii="宋体" w:hAnsi="宋体" w:eastAsia="宋体" w:cs="宋体"/>
          <w:color w:val="auto"/>
          <w:spacing w:val="9"/>
          <w:sz w:val="20"/>
          <w:szCs w:val="20"/>
          <w:highlight w:val="none"/>
          <w:u w:val="single" w:color="auto"/>
        </w:rPr>
        <w:t>硬化、裸土覆盖、洗车</w:t>
      </w:r>
      <w:r>
        <w:rPr>
          <w:rFonts w:ascii="宋体" w:hAnsi="宋体" w:eastAsia="宋体" w:cs="宋体"/>
          <w:color w:val="auto"/>
          <w:spacing w:val="10"/>
          <w:sz w:val="20"/>
          <w:szCs w:val="20"/>
          <w:highlight w:val="none"/>
          <w:u w:val="single" w:color="auto"/>
        </w:rPr>
        <w:t>出门、保洁路口、在线监测、抑尘喷淋等有效措施，确保建设工程各项</w:t>
      </w:r>
      <w:r>
        <w:rPr>
          <w:rFonts w:ascii="宋体" w:hAnsi="宋体" w:eastAsia="宋体" w:cs="宋体"/>
          <w:color w:val="auto"/>
          <w:spacing w:val="9"/>
          <w:sz w:val="20"/>
          <w:szCs w:val="20"/>
          <w:highlight w:val="none"/>
          <w:u w:val="single" w:color="auto"/>
        </w:rPr>
        <w:t>安全防护、文明施工措</w:t>
      </w:r>
      <w:r>
        <w:rPr>
          <w:rFonts w:ascii="宋体" w:hAnsi="宋体" w:eastAsia="宋体" w:cs="宋体"/>
          <w:color w:val="auto"/>
          <w:spacing w:val="10"/>
          <w:sz w:val="20"/>
          <w:szCs w:val="20"/>
          <w:highlight w:val="none"/>
          <w:u w:val="single" w:color="auto"/>
        </w:rPr>
        <w:t>施及其费用在工地一线按标准落实到位。</w:t>
      </w:r>
    </w:p>
    <w:p w14:paraId="23DDF457">
      <w:pPr>
        <w:keepNext w:val="0"/>
        <w:keepLines w:val="0"/>
        <w:pageBreakBefore w:val="0"/>
        <w:widowControl/>
        <w:kinsoku w:val="0"/>
        <w:wordWrap/>
        <w:overflowPunct/>
        <w:topLinePunct w:val="0"/>
        <w:autoSpaceDE w:val="0"/>
        <w:autoSpaceDN w:val="0"/>
        <w:bidi w:val="0"/>
        <w:adjustRightInd w:val="0"/>
        <w:snapToGrid w:val="0"/>
        <w:spacing w:before="32" w:line="360" w:lineRule="auto"/>
        <w:ind w:left="22" w:right="78" w:firstLine="436" w:firstLineChars="200"/>
        <w:textAlignment w:val="baseline"/>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6.1.6 关于安全文明施工费支付比例和支付期限的约定：本合同价款已包含安全防</w:t>
      </w:r>
      <w:r>
        <w:rPr>
          <w:rFonts w:ascii="宋体" w:hAnsi="宋体" w:eastAsia="宋体" w:cs="宋体"/>
          <w:color w:val="auto"/>
          <w:spacing w:val="8"/>
          <w:sz w:val="20"/>
          <w:szCs w:val="20"/>
          <w:highlight w:val="none"/>
          <w:u w:val="single" w:color="auto"/>
        </w:rPr>
        <w:t>护、文</w:t>
      </w:r>
      <w:r>
        <w:rPr>
          <w:rFonts w:ascii="宋体" w:hAnsi="宋体" w:eastAsia="宋体" w:cs="宋体"/>
          <w:color w:val="auto"/>
          <w:spacing w:val="9"/>
          <w:sz w:val="20"/>
          <w:szCs w:val="20"/>
          <w:highlight w:val="none"/>
          <w:u w:val="single" w:color="auto"/>
        </w:rPr>
        <w:t>明施工措施费元，使用要求：专款专用。具体按桂建质【2015】</w:t>
      </w:r>
      <w:r>
        <w:rPr>
          <w:rFonts w:ascii="宋体" w:hAnsi="宋体" w:eastAsia="宋体" w:cs="宋体"/>
          <w:color w:val="auto"/>
          <w:spacing w:val="8"/>
          <w:sz w:val="20"/>
          <w:szCs w:val="20"/>
          <w:highlight w:val="none"/>
          <w:u w:val="single" w:color="auto"/>
        </w:rPr>
        <w:t>16</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8"/>
          <w:sz w:val="20"/>
          <w:szCs w:val="20"/>
          <w:highlight w:val="none"/>
          <w:u w:val="single" w:color="auto"/>
        </w:rPr>
        <w:t>号文《广西壮族自治区建设</w:t>
      </w:r>
      <w:r>
        <w:rPr>
          <w:rFonts w:ascii="宋体" w:hAnsi="宋体" w:eastAsia="宋体" w:cs="宋体"/>
          <w:color w:val="auto"/>
          <w:spacing w:val="9"/>
          <w:sz w:val="20"/>
          <w:szCs w:val="20"/>
          <w:highlight w:val="none"/>
          <w:u w:val="single" w:color="auto"/>
        </w:rPr>
        <w:t>工程安全文明施工费使用管理细则》要求执行。</w:t>
      </w:r>
    </w:p>
    <w:p w14:paraId="1734F6CE">
      <w:pPr>
        <w:spacing w:before="94" w:line="360" w:lineRule="auto"/>
        <w:ind w:left="0" w:firstLine="432" w:firstLineChars="200"/>
        <w:rPr>
          <w:color w:val="auto"/>
          <w:highlight w:val="none"/>
        </w:rPr>
      </w:pPr>
      <w:r>
        <w:rPr>
          <w:rFonts w:ascii="宋体" w:hAnsi="宋体" w:eastAsia="宋体" w:cs="宋体"/>
          <w:color w:val="auto"/>
          <w:spacing w:val="8"/>
          <w:sz w:val="20"/>
          <w:szCs w:val="20"/>
          <w:highlight w:val="none"/>
        </w:rPr>
        <w:t>6.1.6 关于安全文明施工费支付比例和支付期限的约定：</w:t>
      </w:r>
    </w:p>
    <w:p w14:paraId="76B0580E">
      <w:pPr>
        <w:spacing w:before="41"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（1）本合同价款已包含安全文明施工费</w:t>
      </w:r>
      <w:r>
        <w:rPr>
          <w:rFonts w:ascii="宋体" w:hAnsi="宋体" w:eastAsia="宋体" w:cs="宋体"/>
          <w:color w:val="auto"/>
          <w:spacing w:val="-86"/>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0"/>
          <w:sz w:val="20"/>
          <w:szCs w:val="20"/>
          <w:highlight w:val="none"/>
        </w:rPr>
        <w:t xml:space="preserve"> </w:t>
      </w:r>
      <w:r>
        <w:rPr>
          <w:rFonts w:ascii="宋体" w:hAnsi="宋体" w:eastAsia="宋体" w:cs="宋体"/>
          <w:color w:val="auto"/>
          <w:spacing w:val="7"/>
          <w:sz w:val="20"/>
          <w:szCs w:val="20"/>
          <w:highlight w:val="none"/>
        </w:rPr>
        <w:t>元。</w:t>
      </w:r>
    </w:p>
    <w:p w14:paraId="2E7BA5DF">
      <w:pPr>
        <w:spacing w:before="95" w:line="360" w:lineRule="auto"/>
        <w:ind w:left="0" w:right="43"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（2）使用要求：专款专用。具体按</w:t>
      </w:r>
      <w:r>
        <w:rPr>
          <w:rFonts w:ascii="宋体" w:hAnsi="宋体" w:eastAsia="宋体" w:cs="宋体"/>
          <w:color w:val="auto"/>
          <w:spacing w:val="8"/>
          <w:sz w:val="20"/>
          <w:szCs w:val="20"/>
          <w:highlight w:val="none"/>
          <w:u w:val="single" w:color="auto"/>
        </w:rPr>
        <w:t>《广西壮族自治区建设工程安全文明施工费使用管理细</w:t>
      </w:r>
      <w:r>
        <w:rPr>
          <w:rFonts w:ascii="宋体" w:hAnsi="宋体" w:eastAsia="宋体" w:cs="宋体"/>
          <w:color w:val="auto"/>
          <w:spacing w:val="7"/>
          <w:sz w:val="20"/>
          <w:szCs w:val="20"/>
          <w:highlight w:val="none"/>
          <w:u w:val="single" w:color="auto"/>
        </w:rPr>
        <w:t>则》（桂建质〔2015〕16号）</w:t>
      </w:r>
      <w:r>
        <w:rPr>
          <w:rFonts w:ascii="宋体" w:hAnsi="宋体" w:eastAsia="宋体" w:cs="宋体"/>
          <w:color w:val="auto"/>
          <w:spacing w:val="7"/>
          <w:sz w:val="20"/>
          <w:szCs w:val="20"/>
          <w:highlight w:val="none"/>
        </w:rPr>
        <w:t>相关规定执行。</w:t>
      </w:r>
    </w:p>
    <w:p w14:paraId="1E7ECF2D">
      <w:pPr>
        <w:spacing w:before="94" w:line="360" w:lineRule="auto"/>
        <w:ind w:left="0" w:right="84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（3）支付约定</w:t>
      </w:r>
      <w:r>
        <w:rPr>
          <w:rFonts w:ascii="宋体" w:hAnsi="宋体" w:eastAsia="宋体" w:cs="宋体"/>
          <w:color w:val="auto"/>
          <w:spacing w:val="22"/>
          <w:sz w:val="20"/>
          <w:szCs w:val="20"/>
          <w:highlight w:val="none"/>
        </w:rPr>
        <w:t>：</w:t>
      </w:r>
      <w:r>
        <w:rPr>
          <w:rFonts w:ascii="宋体" w:hAnsi="宋体" w:eastAsia="宋体" w:cs="宋体"/>
          <w:color w:val="auto"/>
          <w:spacing w:val="8"/>
          <w:sz w:val="20"/>
          <w:szCs w:val="20"/>
          <w:highlight w:val="none"/>
        </w:rPr>
        <w:t>在本合同签订后</w:t>
      </w:r>
      <w:r>
        <w:rPr>
          <w:rFonts w:hint="eastAsia" w:ascii="宋体" w:hAnsi="宋体" w:eastAsia="宋体" w:cs="宋体"/>
          <w:color w:val="auto"/>
          <w:spacing w:val="8"/>
          <w:sz w:val="20"/>
          <w:szCs w:val="20"/>
          <w:highlight w:val="none"/>
          <w:lang w:val="en-US" w:eastAsia="zh-CN"/>
        </w:rPr>
        <w:t>7</w:t>
      </w:r>
      <w:r>
        <w:rPr>
          <w:rFonts w:ascii="宋体" w:hAnsi="宋体" w:eastAsia="宋体" w:cs="宋体"/>
          <w:color w:val="auto"/>
          <w:spacing w:val="8"/>
          <w:sz w:val="20"/>
          <w:szCs w:val="20"/>
          <w:highlight w:val="none"/>
        </w:rPr>
        <w:t>个工作日内，预付安全文明施工费总额的</w:t>
      </w:r>
      <w:r>
        <w:rPr>
          <w:rFonts w:hint="eastAsia" w:ascii="宋体" w:hAnsi="宋体" w:eastAsia="宋体" w:cs="宋体"/>
          <w:color w:val="auto"/>
          <w:spacing w:val="8"/>
          <w:sz w:val="20"/>
          <w:szCs w:val="20"/>
          <w:highlight w:val="none"/>
          <w:lang w:val="en-US" w:eastAsia="zh-CN"/>
        </w:rPr>
        <w:t>50%</w:t>
      </w:r>
      <w:r>
        <w:rPr>
          <w:rFonts w:ascii="宋体" w:hAnsi="宋体" w:eastAsia="宋体" w:cs="宋体"/>
          <w:color w:val="auto"/>
          <w:spacing w:val="6"/>
          <w:sz w:val="20"/>
          <w:szCs w:val="20"/>
          <w:highlight w:val="none"/>
        </w:rPr>
        <w:t>（30-50 %</w:t>
      </w:r>
      <w:r>
        <w:rPr>
          <w:rFonts w:ascii="宋体" w:hAnsi="宋体" w:eastAsia="宋体" w:cs="宋体"/>
          <w:color w:val="auto"/>
          <w:spacing w:val="17"/>
          <w:sz w:val="20"/>
          <w:szCs w:val="20"/>
          <w:highlight w:val="none"/>
        </w:rPr>
        <w:t>），</w:t>
      </w:r>
      <w:r>
        <w:rPr>
          <w:rFonts w:ascii="宋体" w:hAnsi="宋体" w:eastAsia="宋体" w:cs="宋体"/>
          <w:color w:val="auto"/>
          <w:spacing w:val="6"/>
          <w:sz w:val="20"/>
          <w:szCs w:val="20"/>
          <w:highlight w:val="none"/>
        </w:rPr>
        <w:t>其余部分与进度款同期支付。</w:t>
      </w:r>
    </w:p>
    <w:p w14:paraId="0E49099C">
      <w:pPr>
        <w:spacing w:before="94" w:line="360" w:lineRule="auto"/>
        <w:ind w:left="0" w:firstLine="414" w:firstLineChars="200"/>
        <w:outlineLvl w:val="2"/>
        <w:rPr>
          <w:rFonts w:ascii="宋体" w:hAnsi="宋体" w:eastAsia="宋体" w:cs="宋体"/>
          <w:color w:val="auto"/>
          <w:sz w:val="20"/>
          <w:szCs w:val="20"/>
          <w:highlight w:val="none"/>
        </w:rPr>
      </w:pPr>
      <w:bookmarkStart w:id="243" w:name="_Toc8944"/>
      <w:bookmarkStart w:id="244" w:name="_Toc27853"/>
      <w:bookmarkStart w:id="245" w:name="_Toc22215"/>
      <w:r>
        <w:rPr>
          <w:rFonts w:ascii="宋体" w:hAnsi="宋体" w:eastAsia="宋体" w:cs="宋体"/>
          <w:b/>
          <w:bCs/>
          <w:color w:val="auto"/>
          <w:spacing w:val="3"/>
          <w:sz w:val="20"/>
          <w:szCs w:val="20"/>
          <w:highlight w:val="none"/>
        </w:rPr>
        <w:t>6.3</w:t>
      </w:r>
      <w:r>
        <w:rPr>
          <w:rFonts w:ascii="宋体" w:hAnsi="宋体" w:eastAsia="宋体" w:cs="宋体"/>
          <w:color w:val="auto"/>
          <w:spacing w:val="18"/>
          <w:sz w:val="20"/>
          <w:szCs w:val="20"/>
          <w:highlight w:val="none"/>
        </w:rPr>
        <w:t xml:space="preserve"> </w:t>
      </w:r>
      <w:r>
        <w:rPr>
          <w:rFonts w:ascii="宋体" w:hAnsi="宋体" w:eastAsia="宋体" w:cs="宋体"/>
          <w:b/>
          <w:bCs/>
          <w:color w:val="auto"/>
          <w:spacing w:val="3"/>
          <w:sz w:val="20"/>
          <w:szCs w:val="20"/>
          <w:highlight w:val="none"/>
        </w:rPr>
        <w:t>环境保护</w:t>
      </w:r>
      <w:bookmarkEnd w:id="243"/>
      <w:bookmarkEnd w:id="244"/>
      <w:bookmarkEnd w:id="245"/>
    </w:p>
    <w:p w14:paraId="00DDFF73">
      <w:pPr>
        <w:autoSpaceDE/>
        <w:autoSpaceDN/>
        <w:spacing w:before="91" w:line="360" w:lineRule="auto"/>
        <w:ind w:left="0" w:right="103"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u w:val="single" w:color="auto"/>
        </w:rPr>
        <w:t>因施工需要，经发包人批准，由承包人办理有关施工场地交通、环卫和施工噪音管理等手</w:t>
      </w:r>
      <w:r>
        <w:rPr>
          <w:rFonts w:ascii="宋体" w:hAnsi="宋体" w:eastAsia="宋体" w:cs="宋体"/>
          <w:color w:val="auto"/>
          <w:spacing w:val="10"/>
          <w:sz w:val="20"/>
          <w:szCs w:val="20"/>
          <w:highlight w:val="none"/>
          <w:u w:val="single" w:color="auto"/>
        </w:rPr>
        <w:t>续，费用由承包人负责。</w:t>
      </w:r>
    </w:p>
    <w:p w14:paraId="44B6FAEF">
      <w:pPr>
        <w:autoSpaceDE/>
        <w:autoSpaceDN/>
        <w:spacing w:before="32" w:line="360" w:lineRule="auto"/>
        <w:ind w:left="0" w:right="103" w:firstLine="440" w:firstLineChars="20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经过城市道路的施工车辆，必须按交警、城管、运输等部门</w:t>
      </w:r>
      <w:r>
        <w:rPr>
          <w:rFonts w:ascii="宋体" w:hAnsi="宋体" w:eastAsia="宋体" w:cs="宋体"/>
          <w:color w:val="auto"/>
          <w:spacing w:val="9"/>
          <w:sz w:val="20"/>
          <w:szCs w:val="20"/>
          <w:highlight w:val="none"/>
          <w:u w:val="single" w:color="auto"/>
        </w:rPr>
        <w:t>相关规定执行。由于施工车辆</w:t>
      </w:r>
      <w:r>
        <w:rPr>
          <w:rFonts w:ascii="宋体" w:hAnsi="宋体" w:eastAsia="宋体" w:cs="宋体"/>
          <w:color w:val="auto"/>
          <w:spacing w:val="10"/>
          <w:sz w:val="20"/>
          <w:szCs w:val="20"/>
          <w:highlight w:val="none"/>
          <w:u w:val="single" w:color="auto"/>
        </w:rPr>
        <w:t>造成的道路、环境等污染，其责任和费用均由承包人承担。</w:t>
      </w:r>
    </w:p>
    <w:p w14:paraId="50B1FC72">
      <w:pPr>
        <w:autoSpaceDE/>
        <w:autoSpaceDN/>
        <w:spacing w:before="92" w:line="360" w:lineRule="auto"/>
        <w:ind w:left="0" w:firstLine="414" w:firstLineChars="200"/>
        <w:outlineLvl w:val="1"/>
        <w:rPr>
          <w:rFonts w:ascii="宋体" w:hAnsi="宋体" w:eastAsia="宋体" w:cs="宋体"/>
          <w:color w:val="auto"/>
          <w:sz w:val="20"/>
          <w:szCs w:val="20"/>
          <w:highlight w:val="none"/>
        </w:rPr>
      </w:pPr>
      <w:bookmarkStart w:id="246" w:name="_Toc12809"/>
      <w:bookmarkStart w:id="247" w:name="_Toc11503"/>
      <w:bookmarkStart w:id="248" w:name="_Toc23709"/>
      <w:r>
        <w:rPr>
          <w:rFonts w:ascii="宋体" w:hAnsi="宋体" w:eastAsia="宋体" w:cs="宋体"/>
          <w:b/>
          <w:bCs/>
          <w:color w:val="auto"/>
          <w:spacing w:val="3"/>
          <w:sz w:val="20"/>
          <w:szCs w:val="20"/>
          <w:highlight w:val="none"/>
        </w:rPr>
        <w:t>7.</w:t>
      </w:r>
      <w:r>
        <w:rPr>
          <w:rFonts w:ascii="宋体" w:hAnsi="宋体" w:eastAsia="宋体" w:cs="宋体"/>
          <w:color w:val="auto"/>
          <w:spacing w:val="18"/>
          <w:sz w:val="20"/>
          <w:szCs w:val="20"/>
          <w:highlight w:val="none"/>
        </w:rPr>
        <w:t xml:space="preserve"> </w:t>
      </w:r>
      <w:r>
        <w:rPr>
          <w:rFonts w:ascii="宋体" w:hAnsi="宋体" w:eastAsia="宋体" w:cs="宋体"/>
          <w:b/>
          <w:bCs/>
          <w:color w:val="auto"/>
          <w:spacing w:val="3"/>
          <w:sz w:val="20"/>
          <w:szCs w:val="20"/>
          <w:highlight w:val="none"/>
        </w:rPr>
        <w:t>工期和进度</w:t>
      </w:r>
      <w:bookmarkEnd w:id="246"/>
      <w:bookmarkEnd w:id="247"/>
      <w:bookmarkEnd w:id="248"/>
    </w:p>
    <w:p w14:paraId="56286FB3">
      <w:pPr>
        <w:autoSpaceDE/>
        <w:autoSpaceDN/>
        <w:spacing w:before="151" w:line="360" w:lineRule="auto"/>
        <w:ind w:left="0" w:firstLine="422" w:firstLineChars="200"/>
        <w:outlineLvl w:val="2"/>
        <w:rPr>
          <w:rFonts w:ascii="宋体" w:hAnsi="宋体" w:eastAsia="宋体" w:cs="宋体"/>
          <w:color w:val="auto"/>
          <w:sz w:val="20"/>
          <w:szCs w:val="20"/>
          <w:highlight w:val="none"/>
        </w:rPr>
      </w:pPr>
      <w:bookmarkStart w:id="249" w:name="_Toc13837"/>
      <w:bookmarkStart w:id="250" w:name="_Toc1370"/>
      <w:bookmarkStart w:id="251" w:name="_Toc27738"/>
      <w:r>
        <w:rPr>
          <w:rFonts w:ascii="宋体" w:hAnsi="宋体" w:eastAsia="宋体" w:cs="宋体"/>
          <w:b/>
          <w:bCs/>
          <w:color w:val="auto"/>
          <w:spacing w:val="5"/>
          <w:sz w:val="20"/>
          <w:szCs w:val="20"/>
          <w:highlight w:val="none"/>
        </w:rPr>
        <w:t>7.1</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施工组织设计</w:t>
      </w:r>
      <w:bookmarkEnd w:id="249"/>
      <w:bookmarkEnd w:id="250"/>
      <w:bookmarkEnd w:id="251"/>
    </w:p>
    <w:p w14:paraId="0C8F5651">
      <w:pPr>
        <w:autoSpaceDE/>
        <w:autoSpaceDN/>
        <w:spacing w:before="95"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7.1.1 合同当事人约定的施工组织设计应包括的其他内容：</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施工进度计划包括总进度计划、分阶段和分项进度计划、设备材料人员进场计划；施工方案说明包括分部、分项工程或工程部位的名称及施工顺序和方法</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1A051733">
      <w:pPr>
        <w:autoSpaceDE/>
        <w:autoSpaceDN/>
        <w:spacing w:before="91"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7.1.2 施工组织设计的提交和修改</w:t>
      </w:r>
    </w:p>
    <w:p w14:paraId="10B1C709">
      <w:pPr>
        <w:autoSpaceDE/>
        <w:autoSpaceDN/>
        <w:spacing w:before="94" w:line="360" w:lineRule="auto"/>
        <w:ind w:left="0" w:right="243" w:firstLine="424" w:firstLineChars="200"/>
        <w:rPr>
          <w:rFonts w:ascii="宋体" w:hAnsi="宋体" w:eastAsia="宋体" w:cs="宋体"/>
          <w:color w:val="auto"/>
          <w:spacing w:val="6"/>
          <w:sz w:val="20"/>
          <w:szCs w:val="20"/>
          <w:highlight w:val="none"/>
        </w:rPr>
      </w:pPr>
      <w:r>
        <w:rPr>
          <w:rFonts w:ascii="宋体" w:hAnsi="宋体" w:eastAsia="宋体" w:cs="宋体"/>
          <w:color w:val="auto"/>
          <w:spacing w:val="6"/>
          <w:sz w:val="20"/>
          <w:szCs w:val="20"/>
          <w:highlight w:val="none"/>
        </w:rPr>
        <w:t>承包人提交详细施工组织设计的期限的约定：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签订合同后14天内提供施工组织设计（施工方案）和工程进度计划。发包人对合同签定后的施工组织设计的确认是对施工组织设计可行性的确认，并不是对所涉及费用的确认，施工组织设计属承包人自身的施工措施。承包人应对全部现场作业和施工方法的完备性、稳定性和安全性承担全部法律责任及经济责任。发包人的批准仅为本工程管理程序中的确认，不承担技术及其它责任。由于项目资金筹集和项目实际需要求，工程进度计划需要根据发包单位的指令进行编制</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637BB21A">
      <w:pPr>
        <w:autoSpaceDE/>
        <w:autoSpaceDN/>
        <w:spacing w:before="94" w:line="360" w:lineRule="auto"/>
        <w:ind w:left="0" w:right="243"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发包人和监理人在收到详细的施工组织设计后确认或提出修改意见的期限：</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rPr>
        <w:t>七日内予以确认，如有重大异议必须在收到上述资料之日起五天内以书面形式送达承包人，逾期不确认也不提出书面意见的，视为同意</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5DB08BAA">
      <w:pPr>
        <w:autoSpaceDE/>
        <w:autoSpaceDN/>
        <w:spacing w:before="32" w:line="360" w:lineRule="auto"/>
        <w:ind w:left="0" w:firstLine="422" w:firstLineChars="200"/>
        <w:outlineLvl w:val="2"/>
        <w:rPr>
          <w:rFonts w:ascii="宋体" w:hAnsi="宋体" w:eastAsia="宋体" w:cs="宋体"/>
          <w:color w:val="auto"/>
          <w:sz w:val="20"/>
          <w:szCs w:val="20"/>
          <w:highlight w:val="none"/>
        </w:rPr>
      </w:pPr>
      <w:bookmarkStart w:id="252" w:name="_Toc7075"/>
      <w:bookmarkStart w:id="253" w:name="_Toc583"/>
      <w:bookmarkStart w:id="254" w:name="_Toc26364"/>
      <w:r>
        <w:rPr>
          <w:rFonts w:ascii="宋体" w:hAnsi="宋体" w:eastAsia="宋体" w:cs="宋体"/>
          <w:b/>
          <w:bCs/>
          <w:color w:val="auto"/>
          <w:spacing w:val="5"/>
          <w:sz w:val="20"/>
          <w:szCs w:val="20"/>
          <w:highlight w:val="none"/>
        </w:rPr>
        <w:t>7.2</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施工进度计划</w:t>
      </w:r>
      <w:bookmarkEnd w:id="252"/>
      <w:bookmarkEnd w:id="253"/>
      <w:bookmarkEnd w:id="254"/>
    </w:p>
    <w:p w14:paraId="2CFD65F2">
      <w:pPr>
        <w:autoSpaceDE/>
        <w:autoSpaceDN/>
        <w:spacing w:before="93"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7.2.2 施工进度计划的修订</w:t>
      </w:r>
    </w:p>
    <w:p w14:paraId="3A6BC86D">
      <w:pPr>
        <w:autoSpaceDE/>
        <w:autoSpaceDN/>
        <w:spacing w:before="92"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发包人和监理人在收到修订的施工进度计划后确认或提出修改意见的期限：</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rPr>
        <w:t>七日内</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w:t>
      </w:r>
    </w:p>
    <w:p w14:paraId="5F1F81F5">
      <w:pPr>
        <w:autoSpaceDE/>
        <w:autoSpaceDN/>
        <w:spacing w:before="94" w:line="360" w:lineRule="auto"/>
        <w:ind w:left="0" w:firstLine="402" w:firstLineChars="200"/>
        <w:outlineLvl w:val="2"/>
        <w:rPr>
          <w:rFonts w:ascii="宋体" w:hAnsi="宋体" w:eastAsia="宋体" w:cs="宋体"/>
          <w:color w:val="auto"/>
          <w:sz w:val="20"/>
          <w:szCs w:val="20"/>
          <w:highlight w:val="none"/>
        </w:rPr>
      </w:pPr>
      <w:bookmarkStart w:id="255" w:name="_Toc15616"/>
      <w:bookmarkStart w:id="256" w:name="_Toc14668"/>
      <w:bookmarkStart w:id="257" w:name="_Toc30090"/>
      <w:r>
        <w:rPr>
          <w:rFonts w:ascii="宋体" w:hAnsi="宋体" w:eastAsia="宋体" w:cs="宋体"/>
          <w:b/>
          <w:bCs/>
          <w:color w:val="auto"/>
          <w:sz w:val="20"/>
          <w:szCs w:val="20"/>
          <w:highlight w:val="none"/>
        </w:rPr>
        <w:t>7.3</w:t>
      </w:r>
      <w:r>
        <w:rPr>
          <w:rFonts w:ascii="宋体" w:hAnsi="宋体" w:eastAsia="宋体" w:cs="宋体"/>
          <w:color w:val="auto"/>
          <w:spacing w:val="17"/>
          <w:sz w:val="20"/>
          <w:szCs w:val="20"/>
          <w:highlight w:val="none"/>
        </w:rPr>
        <w:t xml:space="preserve"> </w:t>
      </w:r>
      <w:r>
        <w:rPr>
          <w:rFonts w:ascii="宋体" w:hAnsi="宋体" w:eastAsia="宋体" w:cs="宋体"/>
          <w:b/>
          <w:bCs/>
          <w:color w:val="auto"/>
          <w:sz w:val="20"/>
          <w:szCs w:val="20"/>
          <w:highlight w:val="none"/>
        </w:rPr>
        <w:t>开工</w:t>
      </w:r>
      <w:bookmarkEnd w:id="255"/>
      <w:bookmarkEnd w:id="256"/>
      <w:bookmarkEnd w:id="257"/>
    </w:p>
    <w:p w14:paraId="4A727919">
      <w:pPr>
        <w:autoSpaceDE/>
        <w:autoSpaceDN/>
        <w:spacing w:before="93"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7.3.1 开工准备</w:t>
      </w:r>
    </w:p>
    <w:p w14:paraId="72AF6839">
      <w:pPr>
        <w:autoSpaceDE/>
        <w:autoSpaceDN/>
        <w:spacing w:before="92" w:line="360" w:lineRule="auto"/>
        <w:ind w:left="0" w:right="2339" w:firstLine="424" w:firstLineChars="200"/>
        <w:rPr>
          <w:rFonts w:ascii="宋体" w:hAnsi="宋体" w:eastAsia="宋体" w:cs="宋体"/>
          <w:color w:val="auto"/>
          <w:spacing w:val="8"/>
          <w:sz w:val="20"/>
          <w:szCs w:val="20"/>
          <w:highlight w:val="none"/>
        </w:rPr>
      </w:pPr>
      <w:r>
        <w:rPr>
          <w:rFonts w:ascii="宋体" w:hAnsi="宋体" w:eastAsia="宋体" w:cs="宋体"/>
          <w:color w:val="auto"/>
          <w:spacing w:val="6"/>
          <w:sz w:val="20"/>
          <w:szCs w:val="20"/>
          <w:highlight w:val="none"/>
        </w:rPr>
        <w:t>关于承包人提交工程开工报审表的期限：</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签订合同后7天内</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51045E15">
      <w:pPr>
        <w:autoSpaceDE/>
        <w:autoSpaceDN/>
        <w:spacing w:before="92" w:line="360" w:lineRule="auto"/>
        <w:ind w:left="0" w:right="2339"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关于发包人应完成的其他开工准备工作及期限：</w:t>
      </w:r>
      <w:r>
        <w:rPr>
          <w:rFonts w:hint="eastAsia" w:ascii="宋体" w:hAnsi="宋体" w:eastAsia="宋体" w:cs="宋体"/>
          <w:color w:val="auto"/>
          <w:spacing w:val="6"/>
          <w:sz w:val="20"/>
          <w:szCs w:val="20"/>
          <w:highlight w:val="none"/>
          <w:u w:val="single" w:color="auto"/>
        </w:rPr>
        <w:t>签订合同后7天</w:t>
      </w:r>
      <w:r>
        <w:rPr>
          <w:rFonts w:ascii="宋体" w:hAnsi="宋体" w:eastAsia="宋体" w:cs="宋体"/>
          <w:color w:val="auto"/>
          <w:spacing w:val="6"/>
          <w:sz w:val="20"/>
          <w:szCs w:val="20"/>
          <w:highlight w:val="none"/>
        </w:rPr>
        <w:t>。</w:t>
      </w:r>
      <w:r>
        <w:rPr>
          <w:rFonts w:ascii="宋体" w:hAnsi="宋体" w:eastAsia="宋体" w:cs="宋体"/>
          <w:color w:val="auto"/>
          <w:sz w:val="20"/>
          <w:szCs w:val="20"/>
          <w:highlight w:val="none"/>
        </w:rPr>
        <w:t xml:space="preserve"> </w:t>
      </w:r>
    </w:p>
    <w:p w14:paraId="2ADCB962">
      <w:pPr>
        <w:autoSpaceDE/>
        <w:autoSpaceDN/>
        <w:spacing w:before="92" w:line="360" w:lineRule="auto"/>
        <w:ind w:left="0" w:right="2339"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关于承包人应完成的其他开工准备工作及期限：</w:t>
      </w:r>
      <w:r>
        <w:rPr>
          <w:rFonts w:hint="eastAsia" w:ascii="宋体" w:hAnsi="宋体" w:eastAsia="宋体" w:cs="宋体"/>
          <w:color w:val="auto"/>
          <w:spacing w:val="7"/>
          <w:sz w:val="20"/>
          <w:szCs w:val="20"/>
          <w:highlight w:val="none"/>
          <w:u w:val="single" w:color="auto"/>
        </w:rPr>
        <w:t>签订合同后7天</w:t>
      </w:r>
      <w:r>
        <w:rPr>
          <w:rFonts w:ascii="宋体" w:hAnsi="宋体" w:eastAsia="宋体" w:cs="宋体"/>
          <w:color w:val="auto"/>
          <w:spacing w:val="6"/>
          <w:sz w:val="20"/>
          <w:szCs w:val="20"/>
          <w:highlight w:val="none"/>
        </w:rPr>
        <w:t>。</w:t>
      </w:r>
    </w:p>
    <w:p w14:paraId="10F2D1A3">
      <w:pPr>
        <w:autoSpaceDE/>
        <w:autoSpaceDN/>
        <w:spacing w:before="32"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7.3.2 开工通知</w:t>
      </w:r>
    </w:p>
    <w:p w14:paraId="5E33B851">
      <w:pPr>
        <w:autoSpaceDE/>
        <w:autoSpaceDN/>
        <w:spacing w:before="90" w:line="360" w:lineRule="auto"/>
        <w:ind w:left="0" w:right="45"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因发包人原因造成监理人未能在计划开工日期之日起</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lang w:val="en-US" w:eastAsia="zh-CN"/>
        </w:rPr>
        <w:t>20</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3"/>
          <w:sz w:val="20"/>
          <w:szCs w:val="20"/>
          <w:highlight w:val="none"/>
        </w:rPr>
        <w:t xml:space="preserve"> </w:t>
      </w:r>
      <w:r>
        <w:rPr>
          <w:rFonts w:ascii="宋体" w:hAnsi="宋体" w:eastAsia="宋体" w:cs="宋体"/>
          <w:color w:val="auto"/>
          <w:spacing w:val="7"/>
          <w:sz w:val="20"/>
          <w:szCs w:val="20"/>
          <w:highlight w:val="none"/>
        </w:rPr>
        <w:t>天内发出开工通知的，承包人有</w:t>
      </w:r>
      <w:r>
        <w:rPr>
          <w:rFonts w:ascii="宋体" w:hAnsi="宋体" w:eastAsia="宋体" w:cs="宋体"/>
          <w:color w:val="auto"/>
          <w:spacing w:val="8"/>
          <w:sz w:val="20"/>
          <w:szCs w:val="20"/>
          <w:highlight w:val="none"/>
        </w:rPr>
        <w:t>权提出价格调整要求，或者解除合同。</w:t>
      </w:r>
    </w:p>
    <w:p w14:paraId="7C3E9C73">
      <w:pPr>
        <w:autoSpaceDE/>
        <w:autoSpaceDN/>
        <w:spacing w:before="34" w:line="360" w:lineRule="auto"/>
        <w:ind w:left="0" w:firstLine="414" w:firstLineChars="200"/>
        <w:outlineLvl w:val="2"/>
        <w:rPr>
          <w:rFonts w:ascii="宋体" w:hAnsi="宋体" w:eastAsia="宋体" w:cs="宋体"/>
          <w:b/>
          <w:bCs/>
          <w:color w:val="auto"/>
          <w:spacing w:val="3"/>
          <w:sz w:val="20"/>
          <w:szCs w:val="20"/>
          <w:highlight w:val="none"/>
        </w:rPr>
      </w:pPr>
      <w:bookmarkStart w:id="258" w:name="_Toc9570"/>
      <w:bookmarkStart w:id="259" w:name="_Toc9150"/>
      <w:bookmarkStart w:id="260" w:name="_Toc24252"/>
      <w:r>
        <w:rPr>
          <w:rFonts w:ascii="宋体" w:hAnsi="宋体" w:eastAsia="宋体" w:cs="宋体"/>
          <w:b/>
          <w:bCs/>
          <w:color w:val="auto"/>
          <w:spacing w:val="3"/>
          <w:sz w:val="20"/>
          <w:szCs w:val="20"/>
          <w:highlight w:val="none"/>
        </w:rPr>
        <w:t>7.4</w:t>
      </w:r>
      <w:r>
        <w:rPr>
          <w:rFonts w:ascii="宋体" w:hAnsi="宋体" w:eastAsia="宋体" w:cs="宋体"/>
          <w:color w:val="auto"/>
          <w:spacing w:val="15"/>
          <w:sz w:val="20"/>
          <w:szCs w:val="20"/>
          <w:highlight w:val="none"/>
        </w:rPr>
        <w:t xml:space="preserve"> </w:t>
      </w:r>
      <w:r>
        <w:rPr>
          <w:rFonts w:ascii="宋体" w:hAnsi="宋体" w:eastAsia="宋体" w:cs="宋体"/>
          <w:b/>
          <w:bCs/>
          <w:color w:val="auto"/>
          <w:spacing w:val="3"/>
          <w:sz w:val="20"/>
          <w:szCs w:val="20"/>
          <w:highlight w:val="none"/>
        </w:rPr>
        <w:t>测量放线</w:t>
      </w:r>
      <w:bookmarkEnd w:id="258"/>
      <w:bookmarkEnd w:id="259"/>
      <w:bookmarkEnd w:id="260"/>
    </w:p>
    <w:p w14:paraId="69F88153">
      <w:pPr>
        <w:autoSpaceDE/>
        <w:autoSpaceDN/>
        <w:spacing w:before="34" w:line="360" w:lineRule="auto"/>
        <w:ind w:left="0" w:firstLine="432" w:firstLineChars="200"/>
        <w:jc w:val="left"/>
        <w:outlineLvl w:val="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7.4.1</w:t>
      </w:r>
      <w:r>
        <w:rPr>
          <w:rFonts w:ascii="宋体" w:hAnsi="宋体" w:eastAsia="宋体" w:cs="宋体"/>
          <w:color w:val="auto"/>
          <w:spacing w:val="-37"/>
          <w:sz w:val="20"/>
          <w:szCs w:val="20"/>
          <w:highlight w:val="none"/>
        </w:rPr>
        <w:t xml:space="preserve"> </w:t>
      </w:r>
      <w:r>
        <w:rPr>
          <w:rFonts w:ascii="宋体" w:hAnsi="宋体" w:eastAsia="宋体" w:cs="宋体"/>
          <w:color w:val="auto"/>
          <w:spacing w:val="8"/>
          <w:sz w:val="20"/>
          <w:szCs w:val="20"/>
          <w:highlight w:val="none"/>
        </w:rPr>
        <w:t>发包人通过监理人向承包人提供测量</w:t>
      </w:r>
      <w:r>
        <w:rPr>
          <w:rFonts w:ascii="宋体" w:hAnsi="宋体" w:eastAsia="宋体" w:cs="宋体"/>
          <w:color w:val="auto"/>
          <w:spacing w:val="7"/>
          <w:sz w:val="20"/>
          <w:szCs w:val="20"/>
          <w:highlight w:val="none"/>
        </w:rPr>
        <w:t>基准点、基准线和水准点及其书面资料的期限：</w:t>
      </w:r>
    </w:p>
    <w:p w14:paraId="74DA45C8">
      <w:pPr>
        <w:autoSpaceDE/>
        <w:autoSpaceDN/>
        <w:spacing w:before="92" w:line="360" w:lineRule="auto"/>
        <w:ind w:left="0" w:firstLine="432" w:firstLineChars="200"/>
        <w:rPr>
          <w:rFonts w:ascii="宋体" w:hAnsi="宋体" w:eastAsia="宋体" w:cs="宋体"/>
          <w:color w:val="auto"/>
          <w:spacing w:val="8"/>
          <w:sz w:val="20"/>
          <w:szCs w:val="20"/>
          <w:highlight w:val="none"/>
        </w:rPr>
      </w:pPr>
      <w:r>
        <w:rPr>
          <w:rFonts w:hint="default" w:ascii="宋体" w:hAnsi="宋体" w:eastAsia="宋体" w:cs="宋体"/>
          <w:color w:val="auto"/>
          <w:spacing w:val="8"/>
          <w:sz w:val="20"/>
          <w:szCs w:val="20"/>
          <w:highlight w:val="none"/>
          <w:u w:val="single"/>
        </w:rPr>
        <w:t>不得晚于《开工通知》标明的开工日期前七天，以书面形式交给承包人，双方现场进行交验</w:t>
      </w:r>
      <w:r>
        <w:rPr>
          <w:rFonts w:ascii="宋体" w:hAnsi="宋体" w:eastAsia="宋体" w:cs="宋体"/>
          <w:color w:val="auto"/>
          <w:spacing w:val="8"/>
          <w:sz w:val="20"/>
          <w:szCs w:val="20"/>
          <w:highlight w:val="none"/>
        </w:rPr>
        <w:t xml:space="preserve"> 。</w:t>
      </w:r>
    </w:p>
    <w:p w14:paraId="456EAFC1">
      <w:pPr>
        <w:autoSpaceDE/>
        <w:autoSpaceDN/>
        <w:spacing w:before="139" w:line="360" w:lineRule="auto"/>
        <w:ind w:left="0" w:firstLine="410" w:firstLineChars="200"/>
        <w:outlineLvl w:val="2"/>
        <w:rPr>
          <w:rFonts w:ascii="宋体" w:hAnsi="宋体" w:eastAsia="宋体" w:cs="宋体"/>
          <w:color w:val="auto"/>
          <w:sz w:val="20"/>
          <w:szCs w:val="20"/>
          <w:highlight w:val="none"/>
        </w:rPr>
      </w:pPr>
      <w:bookmarkStart w:id="261" w:name="_Toc17382"/>
      <w:bookmarkStart w:id="262" w:name="_Toc2933"/>
      <w:bookmarkStart w:id="263" w:name="_Toc11833"/>
      <w:r>
        <w:rPr>
          <w:rFonts w:ascii="宋体" w:hAnsi="宋体" w:eastAsia="宋体" w:cs="宋体"/>
          <w:b/>
          <w:bCs/>
          <w:color w:val="auto"/>
          <w:spacing w:val="2"/>
          <w:sz w:val="20"/>
          <w:szCs w:val="20"/>
          <w:highlight w:val="none"/>
        </w:rPr>
        <w:t>7.5</w:t>
      </w:r>
      <w:r>
        <w:rPr>
          <w:rFonts w:ascii="宋体" w:hAnsi="宋体" w:eastAsia="宋体" w:cs="宋体"/>
          <w:color w:val="auto"/>
          <w:spacing w:val="22"/>
          <w:sz w:val="20"/>
          <w:szCs w:val="20"/>
          <w:highlight w:val="none"/>
        </w:rPr>
        <w:t xml:space="preserve"> </w:t>
      </w:r>
      <w:r>
        <w:rPr>
          <w:rFonts w:ascii="宋体" w:hAnsi="宋体" w:eastAsia="宋体" w:cs="宋体"/>
          <w:b/>
          <w:bCs/>
          <w:color w:val="auto"/>
          <w:spacing w:val="2"/>
          <w:sz w:val="20"/>
          <w:szCs w:val="20"/>
          <w:highlight w:val="none"/>
        </w:rPr>
        <w:t>工期延误</w:t>
      </w:r>
      <w:bookmarkEnd w:id="261"/>
      <w:bookmarkEnd w:id="262"/>
      <w:bookmarkEnd w:id="263"/>
    </w:p>
    <w:p w14:paraId="483154EF">
      <w:pPr>
        <w:autoSpaceDE/>
        <w:autoSpaceDN/>
        <w:spacing w:before="96"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7.5.1 因发包人原因导致工期延误</w:t>
      </w:r>
    </w:p>
    <w:p w14:paraId="56BCA700">
      <w:pPr>
        <w:autoSpaceDE/>
        <w:autoSpaceDN/>
        <w:spacing w:before="93" w:line="360" w:lineRule="auto"/>
        <w:ind w:left="0" w:right="43"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w:t>
      </w:r>
      <w:r>
        <w:rPr>
          <w:rFonts w:hint="eastAsia" w:ascii="宋体" w:hAnsi="宋体" w:eastAsia="宋体" w:cs="宋体"/>
          <w:color w:val="auto"/>
          <w:spacing w:val="8"/>
          <w:sz w:val="20"/>
          <w:szCs w:val="20"/>
          <w:highlight w:val="none"/>
          <w:lang w:val="en-US" w:eastAsia="zh-CN"/>
        </w:rPr>
        <w:t>1</w:t>
      </w:r>
      <w:r>
        <w:rPr>
          <w:rFonts w:ascii="宋体" w:hAnsi="宋体" w:eastAsia="宋体" w:cs="宋体"/>
          <w:color w:val="auto"/>
          <w:spacing w:val="8"/>
          <w:sz w:val="20"/>
          <w:szCs w:val="20"/>
          <w:highlight w:val="none"/>
        </w:rPr>
        <w:t>）因发包人原因导致工期延误的其他情形：</w:t>
      </w:r>
      <w:r>
        <w:rPr>
          <w:rFonts w:ascii="宋体" w:hAnsi="宋体" w:eastAsia="宋体" w:cs="宋体"/>
          <w:color w:val="auto"/>
          <w:spacing w:val="8"/>
          <w:sz w:val="20"/>
          <w:szCs w:val="20"/>
          <w:highlight w:val="none"/>
          <w:u w:val="single" w:color="auto"/>
        </w:rPr>
        <w:t>①重大图纸变更影响关健线路工序施工；②施工期间如因停电、停水连续</w:t>
      </w:r>
      <w:r>
        <w:rPr>
          <w:rFonts w:ascii="宋体" w:hAnsi="宋体" w:eastAsia="宋体" w:cs="宋体"/>
          <w:color w:val="auto"/>
          <w:spacing w:val="-38"/>
          <w:sz w:val="20"/>
          <w:szCs w:val="20"/>
          <w:highlight w:val="none"/>
          <w:u w:val="single" w:color="auto"/>
        </w:rPr>
        <w:t xml:space="preserve"> </w:t>
      </w:r>
      <w:r>
        <w:rPr>
          <w:rFonts w:ascii="宋体" w:hAnsi="宋体" w:eastAsia="宋体" w:cs="宋体"/>
          <w:color w:val="auto"/>
          <w:spacing w:val="8"/>
          <w:sz w:val="20"/>
          <w:szCs w:val="20"/>
          <w:highlight w:val="none"/>
          <w:u w:val="single" w:color="auto"/>
        </w:rPr>
        <w:t>8</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8"/>
          <w:sz w:val="20"/>
          <w:szCs w:val="20"/>
          <w:highlight w:val="none"/>
          <w:u w:val="single" w:color="auto"/>
        </w:rPr>
        <w:t>小时以上或一周内</w:t>
      </w:r>
      <w:r>
        <w:rPr>
          <w:rFonts w:ascii="宋体" w:hAnsi="宋体" w:eastAsia="宋体" w:cs="宋体"/>
          <w:color w:val="auto"/>
          <w:spacing w:val="7"/>
          <w:sz w:val="20"/>
          <w:szCs w:val="20"/>
          <w:highlight w:val="none"/>
          <w:u w:val="single" w:color="auto"/>
        </w:rPr>
        <w:t>间歇性停水、停电累计</w:t>
      </w:r>
      <w:r>
        <w:rPr>
          <w:rFonts w:ascii="宋体" w:hAnsi="宋体" w:eastAsia="宋体" w:cs="宋体"/>
          <w:color w:val="auto"/>
          <w:spacing w:val="-38"/>
          <w:sz w:val="20"/>
          <w:szCs w:val="20"/>
          <w:highlight w:val="none"/>
          <w:u w:val="single" w:color="auto"/>
        </w:rPr>
        <w:t xml:space="preserve"> </w:t>
      </w:r>
      <w:r>
        <w:rPr>
          <w:rFonts w:ascii="宋体" w:hAnsi="宋体" w:eastAsia="宋体" w:cs="宋体"/>
          <w:color w:val="auto"/>
          <w:spacing w:val="7"/>
          <w:sz w:val="20"/>
          <w:szCs w:val="20"/>
          <w:highlight w:val="none"/>
          <w:u w:val="single" w:color="auto"/>
        </w:rPr>
        <w:t>8</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7"/>
          <w:sz w:val="20"/>
          <w:szCs w:val="20"/>
          <w:highlight w:val="none"/>
          <w:u w:val="single" w:color="auto"/>
        </w:rPr>
        <w:t>小时（含</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7"/>
          <w:sz w:val="20"/>
          <w:szCs w:val="20"/>
          <w:highlight w:val="none"/>
          <w:u w:val="single" w:color="auto"/>
        </w:rPr>
        <w:t>8</w:t>
      </w:r>
      <w:r>
        <w:rPr>
          <w:rFonts w:ascii="宋体" w:hAnsi="宋体" w:eastAsia="宋体" w:cs="宋体"/>
          <w:color w:val="auto"/>
          <w:spacing w:val="-32"/>
          <w:sz w:val="20"/>
          <w:szCs w:val="20"/>
          <w:highlight w:val="none"/>
          <w:u w:val="single" w:color="auto"/>
        </w:rPr>
        <w:t xml:space="preserve"> </w:t>
      </w:r>
      <w:r>
        <w:rPr>
          <w:rFonts w:ascii="宋体" w:hAnsi="宋体" w:eastAsia="宋体" w:cs="宋体"/>
          <w:color w:val="auto"/>
          <w:spacing w:val="7"/>
          <w:sz w:val="20"/>
          <w:szCs w:val="20"/>
          <w:highlight w:val="none"/>
          <w:u w:val="single" w:color="auto"/>
        </w:rPr>
        <w:t>小时）</w:t>
      </w:r>
      <w:r>
        <w:rPr>
          <w:rFonts w:ascii="宋体" w:hAnsi="宋体" w:eastAsia="宋体" w:cs="宋体"/>
          <w:color w:val="auto"/>
          <w:spacing w:val="10"/>
          <w:sz w:val="20"/>
          <w:szCs w:val="20"/>
          <w:highlight w:val="none"/>
          <w:u w:val="single" w:color="auto"/>
        </w:rPr>
        <w:t>影响正常施工的。③政府指令性停工。④在施工过程中遇到地下障碍物</w:t>
      </w:r>
      <w:r>
        <w:rPr>
          <w:rFonts w:ascii="宋体" w:hAnsi="宋体" w:eastAsia="宋体" w:cs="宋体"/>
          <w:color w:val="auto"/>
          <w:spacing w:val="9"/>
          <w:sz w:val="20"/>
          <w:szCs w:val="20"/>
          <w:highlight w:val="none"/>
          <w:u w:val="single" w:color="auto"/>
        </w:rPr>
        <w:t>、溶洞、岩石、文物或</w:t>
      </w:r>
      <w:r>
        <w:rPr>
          <w:rFonts w:ascii="宋体" w:hAnsi="宋体" w:eastAsia="宋体" w:cs="宋体"/>
          <w:color w:val="auto"/>
          <w:spacing w:val="10"/>
          <w:sz w:val="20"/>
          <w:szCs w:val="20"/>
          <w:highlight w:val="none"/>
          <w:u w:val="single" w:color="auto"/>
        </w:rPr>
        <w:t>地下管线的。⑤因发包人未能及时确认变更价格或甲供材料提供延</w:t>
      </w:r>
      <w:r>
        <w:rPr>
          <w:rFonts w:ascii="宋体" w:hAnsi="宋体" w:eastAsia="宋体" w:cs="宋体"/>
          <w:color w:val="auto"/>
          <w:spacing w:val="9"/>
          <w:sz w:val="20"/>
          <w:szCs w:val="20"/>
          <w:highlight w:val="none"/>
          <w:u w:val="single" w:color="auto"/>
        </w:rPr>
        <w:t>误的。⑥非承包人的责任造</w:t>
      </w:r>
      <w:r>
        <w:rPr>
          <w:rFonts w:ascii="宋体" w:hAnsi="宋体" w:eastAsia="宋体" w:cs="宋体"/>
          <w:color w:val="auto"/>
          <w:spacing w:val="8"/>
          <w:sz w:val="20"/>
          <w:szCs w:val="20"/>
          <w:highlight w:val="none"/>
          <w:u w:val="single" w:color="auto"/>
        </w:rPr>
        <w:t>成的工期延误其他情形</w:t>
      </w:r>
      <w:r>
        <w:rPr>
          <w:rFonts w:ascii="宋体" w:hAnsi="宋体" w:eastAsia="宋体" w:cs="宋体"/>
          <w:color w:val="auto"/>
          <w:spacing w:val="8"/>
          <w:sz w:val="20"/>
          <w:szCs w:val="20"/>
          <w:highlight w:val="none"/>
        </w:rPr>
        <w:t xml:space="preserve"> 。</w:t>
      </w:r>
    </w:p>
    <w:p w14:paraId="667D6044">
      <w:pPr>
        <w:autoSpaceDE/>
        <w:autoSpaceDN/>
        <w:spacing w:before="90"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7.5.2 因承包人原因导致工期延误</w:t>
      </w:r>
    </w:p>
    <w:p w14:paraId="5082AF17">
      <w:pPr>
        <w:autoSpaceDE/>
        <w:autoSpaceDN/>
        <w:spacing w:before="94" w:line="360" w:lineRule="auto"/>
        <w:ind w:left="0" w:right="35" w:firstLine="424" w:firstLineChars="200"/>
        <w:rPr>
          <w:rFonts w:ascii="宋体" w:hAnsi="宋体" w:eastAsia="宋体" w:cs="宋体"/>
          <w:color w:val="auto"/>
          <w:spacing w:val="6"/>
          <w:sz w:val="20"/>
          <w:szCs w:val="20"/>
          <w:highlight w:val="none"/>
        </w:rPr>
      </w:pPr>
      <w:r>
        <w:rPr>
          <w:rFonts w:ascii="宋体" w:hAnsi="宋体" w:eastAsia="宋体" w:cs="宋体"/>
          <w:color w:val="auto"/>
          <w:spacing w:val="6"/>
          <w:sz w:val="20"/>
          <w:szCs w:val="20"/>
          <w:highlight w:val="none"/>
        </w:rPr>
        <w:t>双方约定经监理工程师确认，工期相应顺延的情况：</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①重大图纸变更影响关健线路工序施工；②施工期间如因停电、停水连续8小时以上或一周内间歇性停水、停电累计8小时（含8小时）影响正常施工的。③政府指令性停工。④在施工过程中遇到地下障碍物、溶洞、岩石、文物或地下管线的。⑤因发包人未能及时确认变更价格或甲供材料提供延误的。⑥非承包人的责任造成的工期延误其他情形</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303A013A">
      <w:pPr>
        <w:autoSpaceDE/>
        <w:autoSpaceDN/>
        <w:spacing w:before="94" w:line="360" w:lineRule="auto"/>
        <w:ind w:left="0" w:right="35" w:firstLine="436" w:firstLineChars="200"/>
        <w:jc w:val="left"/>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因承包人原因造成工期延误，逾期竣工违约金的计算方法为：</w:t>
      </w:r>
      <w:r>
        <w:rPr>
          <w:rFonts w:ascii="宋体" w:hAnsi="宋体" w:eastAsia="宋体" w:cs="宋体"/>
          <w:color w:val="auto"/>
          <w:spacing w:val="9"/>
          <w:sz w:val="20"/>
          <w:szCs w:val="20"/>
          <w:highlight w:val="none"/>
          <w:u w:val="single" w:color="auto"/>
        </w:rPr>
        <w:t>非上述原因，承包人不能按</w:t>
      </w:r>
      <w:r>
        <w:rPr>
          <w:rFonts w:ascii="宋体" w:hAnsi="宋体" w:eastAsia="宋体" w:cs="宋体"/>
          <w:color w:val="auto"/>
          <w:spacing w:val="10"/>
          <w:sz w:val="20"/>
          <w:szCs w:val="20"/>
          <w:highlight w:val="none"/>
          <w:u w:val="single" w:color="auto"/>
        </w:rPr>
        <w:t>合同约定的时间竣工，承包人应承担违约责任。</w:t>
      </w:r>
      <w:r>
        <w:rPr>
          <w:rFonts w:hint="eastAsia" w:ascii="宋体" w:hAnsi="宋体" w:eastAsia="宋体" w:cs="宋体"/>
          <w:color w:val="auto"/>
          <w:spacing w:val="10"/>
          <w:sz w:val="20"/>
          <w:szCs w:val="20"/>
          <w:highlight w:val="none"/>
          <w:u w:val="single" w:color="auto"/>
          <w:lang w:val="en-US" w:eastAsia="zh-CN"/>
        </w:rPr>
        <w:t>逾期竣工的单项工程罚款，每延误一天，按单项工程应支付给承包人的结算造价的万分之四处罚，</w:t>
      </w:r>
      <w:r>
        <w:rPr>
          <w:rFonts w:ascii="宋体" w:hAnsi="宋体" w:eastAsia="宋体" w:cs="宋体"/>
          <w:color w:val="auto"/>
          <w:spacing w:val="10"/>
          <w:sz w:val="20"/>
          <w:szCs w:val="20"/>
          <w:highlight w:val="none"/>
          <w:u w:val="single" w:color="auto"/>
        </w:rPr>
        <w:t>罚款直接从结算</w:t>
      </w:r>
      <w:r>
        <w:rPr>
          <w:rFonts w:ascii="宋体" w:hAnsi="宋体" w:eastAsia="宋体" w:cs="宋体"/>
          <w:color w:val="auto"/>
          <w:spacing w:val="9"/>
          <w:sz w:val="20"/>
          <w:szCs w:val="20"/>
          <w:highlight w:val="none"/>
          <w:u w:val="single" w:color="auto"/>
        </w:rPr>
        <w:t>款中扣除</w:t>
      </w:r>
      <w:r>
        <w:rPr>
          <w:rFonts w:hint="eastAsia" w:ascii="宋体" w:hAnsi="宋体" w:eastAsia="宋体" w:cs="宋体"/>
          <w:color w:val="auto"/>
          <w:sz w:val="20"/>
          <w:szCs w:val="20"/>
          <w:highlight w:val="none"/>
          <w:u w:val="single" w:color="auto"/>
          <w:lang w:eastAsia="zh-CN"/>
        </w:rPr>
        <w:t>。</w:t>
      </w:r>
      <w:r>
        <w:rPr>
          <w:rFonts w:ascii="宋体" w:hAnsi="宋体" w:eastAsia="宋体" w:cs="宋体"/>
          <w:color w:val="auto"/>
          <w:spacing w:val="9"/>
          <w:sz w:val="20"/>
          <w:szCs w:val="20"/>
          <w:highlight w:val="none"/>
          <w:u w:val="single" w:color="auto"/>
        </w:rPr>
        <w:t>误期时间从规定</w:t>
      </w:r>
      <w:r>
        <w:rPr>
          <w:rFonts w:ascii="宋体" w:hAnsi="宋体" w:eastAsia="宋体" w:cs="宋体"/>
          <w:color w:val="auto"/>
          <w:spacing w:val="10"/>
          <w:sz w:val="20"/>
          <w:szCs w:val="20"/>
          <w:highlight w:val="none"/>
          <w:u w:val="single" w:color="auto"/>
        </w:rPr>
        <w:t>竣工日期起直到实际竣工日期的天数（扣除发包人批准顺延的工期</w:t>
      </w:r>
      <w:r>
        <w:rPr>
          <w:rFonts w:ascii="宋体" w:hAnsi="宋体" w:eastAsia="宋体" w:cs="宋体"/>
          <w:color w:val="auto"/>
          <w:spacing w:val="9"/>
          <w:sz w:val="20"/>
          <w:szCs w:val="20"/>
          <w:highlight w:val="none"/>
          <w:u w:val="single" w:color="auto"/>
        </w:rPr>
        <w:t>）。发包人可从应向承包人</w:t>
      </w:r>
      <w:r>
        <w:rPr>
          <w:rFonts w:ascii="宋体" w:hAnsi="宋体" w:eastAsia="宋体" w:cs="宋体"/>
          <w:color w:val="auto"/>
          <w:spacing w:val="10"/>
          <w:sz w:val="20"/>
          <w:szCs w:val="20"/>
          <w:highlight w:val="none"/>
          <w:u w:val="single" w:color="auto"/>
        </w:rPr>
        <w:t>支付的任何金额中扣除此项赔款费或其他方式收回此款，此赔偿款</w:t>
      </w:r>
      <w:r>
        <w:rPr>
          <w:rFonts w:ascii="宋体" w:hAnsi="宋体" w:eastAsia="宋体" w:cs="宋体"/>
          <w:color w:val="auto"/>
          <w:spacing w:val="9"/>
          <w:sz w:val="20"/>
          <w:szCs w:val="20"/>
          <w:highlight w:val="none"/>
          <w:u w:val="single" w:color="auto"/>
        </w:rPr>
        <w:t>的支付并不能解除承包人应完成工程的责任或合同规定的其他责任。</w:t>
      </w:r>
      <w:r>
        <w:rPr>
          <w:rFonts w:hint="eastAsia" w:ascii="宋体" w:hAnsi="宋体" w:eastAsia="宋体" w:cs="宋体"/>
          <w:color w:val="auto"/>
          <w:spacing w:val="9"/>
          <w:sz w:val="20"/>
          <w:szCs w:val="20"/>
          <w:highlight w:val="none"/>
          <w:u w:val="single" w:color="auto"/>
        </w:rPr>
        <w:t>工期延误超过100天，发包人有权单方解除合同，并要求承包人赔偿发包人损失并承担其他相关法律责任。</w:t>
      </w:r>
    </w:p>
    <w:p w14:paraId="13E5A7D2">
      <w:pPr>
        <w:autoSpaceDE/>
        <w:autoSpaceDN/>
        <w:spacing w:before="29" w:line="360" w:lineRule="auto"/>
        <w:ind w:left="0" w:right="128"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因承包人原因造成工期延误，逾期竣工违约金的上限：</w:t>
      </w:r>
      <w:r>
        <w:rPr>
          <w:rFonts w:ascii="宋体" w:hAnsi="宋体" w:eastAsia="宋体" w:cs="宋体"/>
          <w:color w:val="auto"/>
          <w:spacing w:val="9"/>
          <w:sz w:val="20"/>
          <w:szCs w:val="20"/>
          <w:highlight w:val="none"/>
          <w:u w:val="single" w:color="auto"/>
        </w:rPr>
        <w:t>逾期竣工的</w:t>
      </w:r>
      <w:r>
        <w:rPr>
          <w:rFonts w:hint="eastAsia" w:ascii="宋体" w:hAnsi="宋体" w:eastAsia="宋体" w:cs="宋体"/>
          <w:color w:val="auto"/>
          <w:spacing w:val="9"/>
          <w:sz w:val="20"/>
          <w:szCs w:val="20"/>
          <w:highlight w:val="none"/>
          <w:u w:val="single" w:color="auto"/>
          <w:lang w:val="en-US" w:eastAsia="zh-CN"/>
        </w:rPr>
        <w:t>单项</w:t>
      </w:r>
      <w:r>
        <w:rPr>
          <w:rFonts w:ascii="宋体" w:hAnsi="宋体" w:eastAsia="宋体" w:cs="宋体"/>
          <w:color w:val="auto"/>
          <w:spacing w:val="9"/>
          <w:sz w:val="20"/>
          <w:szCs w:val="20"/>
          <w:highlight w:val="none"/>
          <w:u w:val="single" w:color="auto"/>
        </w:rPr>
        <w:t>工程结算造价</w:t>
      </w:r>
      <w:r>
        <w:rPr>
          <w:rFonts w:ascii="宋体" w:hAnsi="宋体" w:eastAsia="宋体" w:cs="宋体"/>
          <w:color w:val="auto"/>
          <w:spacing w:val="8"/>
          <w:sz w:val="20"/>
          <w:szCs w:val="20"/>
          <w:highlight w:val="none"/>
          <w:u w:val="single" w:color="auto"/>
        </w:rPr>
        <w:t>的</w:t>
      </w:r>
      <w:r>
        <w:rPr>
          <w:rFonts w:hint="eastAsia" w:ascii="宋体" w:hAnsi="宋体" w:eastAsia="宋体" w:cs="宋体"/>
          <w:color w:val="auto"/>
          <w:spacing w:val="8"/>
          <w:sz w:val="20"/>
          <w:szCs w:val="20"/>
          <w:highlight w:val="none"/>
          <w:u w:val="single" w:color="auto"/>
          <w:lang w:val="en-US" w:eastAsia="zh-CN"/>
        </w:rPr>
        <w:t>3</w:t>
      </w:r>
      <w:r>
        <w:rPr>
          <w:rFonts w:ascii="宋体" w:hAnsi="宋体" w:eastAsia="宋体" w:cs="宋体"/>
          <w:color w:val="auto"/>
          <w:spacing w:val="8"/>
          <w:sz w:val="20"/>
          <w:szCs w:val="20"/>
          <w:highlight w:val="none"/>
          <w:u w:val="single" w:color="auto"/>
        </w:rPr>
        <w:t>%</w:t>
      </w:r>
      <w:r>
        <w:rPr>
          <w:rFonts w:ascii="宋体" w:hAnsi="宋体" w:eastAsia="宋体" w:cs="宋体"/>
          <w:color w:val="auto"/>
          <w:spacing w:val="8"/>
          <w:sz w:val="20"/>
          <w:szCs w:val="20"/>
          <w:highlight w:val="none"/>
        </w:rPr>
        <w:t>。</w:t>
      </w:r>
    </w:p>
    <w:p w14:paraId="6E743BD7">
      <w:pPr>
        <w:autoSpaceDE/>
        <w:autoSpaceDN/>
        <w:spacing w:before="32" w:line="360" w:lineRule="auto"/>
        <w:ind w:left="0" w:firstLine="414" w:firstLineChars="200"/>
        <w:outlineLvl w:val="2"/>
        <w:rPr>
          <w:rFonts w:ascii="宋体" w:hAnsi="宋体" w:eastAsia="宋体" w:cs="宋体"/>
          <w:color w:val="auto"/>
          <w:sz w:val="20"/>
          <w:szCs w:val="20"/>
          <w:highlight w:val="none"/>
        </w:rPr>
      </w:pPr>
      <w:bookmarkStart w:id="264" w:name="_Toc2522"/>
      <w:bookmarkStart w:id="265" w:name="_Toc19240"/>
      <w:bookmarkStart w:id="266" w:name="_Toc8153"/>
      <w:r>
        <w:rPr>
          <w:rFonts w:ascii="宋体" w:hAnsi="宋体" w:eastAsia="宋体" w:cs="宋体"/>
          <w:b/>
          <w:bCs/>
          <w:color w:val="auto"/>
          <w:spacing w:val="3"/>
          <w:sz w:val="20"/>
          <w:szCs w:val="20"/>
          <w:highlight w:val="none"/>
        </w:rPr>
        <w:t>7.6</w:t>
      </w:r>
      <w:r>
        <w:rPr>
          <w:rFonts w:ascii="宋体" w:hAnsi="宋体" w:eastAsia="宋体" w:cs="宋体"/>
          <w:color w:val="auto"/>
          <w:spacing w:val="24"/>
          <w:sz w:val="20"/>
          <w:szCs w:val="20"/>
          <w:highlight w:val="none"/>
        </w:rPr>
        <w:t xml:space="preserve"> </w:t>
      </w:r>
      <w:r>
        <w:rPr>
          <w:rFonts w:ascii="宋体" w:hAnsi="宋体" w:eastAsia="宋体" w:cs="宋体"/>
          <w:b/>
          <w:bCs/>
          <w:color w:val="auto"/>
          <w:spacing w:val="3"/>
          <w:sz w:val="20"/>
          <w:szCs w:val="20"/>
          <w:highlight w:val="none"/>
        </w:rPr>
        <w:t>不利物质条件</w:t>
      </w:r>
      <w:bookmarkEnd w:id="264"/>
      <w:bookmarkEnd w:id="265"/>
      <w:bookmarkEnd w:id="266"/>
    </w:p>
    <w:p w14:paraId="27BE0EA7">
      <w:pPr>
        <w:autoSpaceDE/>
        <w:autoSpaceDN/>
        <w:spacing w:before="94"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不利物质条件的其他情形和有关约定：</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按本合同《通用条款》第7.6条规定</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16C88A24">
      <w:pPr>
        <w:autoSpaceDE/>
        <w:autoSpaceDN/>
        <w:spacing w:before="94" w:line="360" w:lineRule="auto"/>
        <w:ind w:left="0" w:firstLine="426" w:firstLineChars="200"/>
        <w:outlineLvl w:val="2"/>
        <w:rPr>
          <w:rFonts w:ascii="宋体" w:hAnsi="宋体" w:eastAsia="宋体" w:cs="宋体"/>
          <w:color w:val="auto"/>
          <w:sz w:val="20"/>
          <w:szCs w:val="20"/>
          <w:highlight w:val="none"/>
        </w:rPr>
      </w:pPr>
      <w:bookmarkStart w:id="267" w:name="_Toc24732"/>
      <w:bookmarkStart w:id="268" w:name="_Toc15413"/>
      <w:bookmarkStart w:id="269" w:name="_Toc1915"/>
      <w:r>
        <w:rPr>
          <w:rFonts w:ascii="宋体" w:hAnsi="宋体" w:eastAsia="宋体" w:cs="宋体"/>
          <w:b/>
          <w:bCs/>
          <w:color w:val="auto"/>
          <w:spacing w:val="6"/>
          <w:sz w:val="20"/>
          <w:szCs w:val="20"/>
          <w:highlight w:val="none"/>
        </w:rPr>
        <w:t>7.7</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异常恶劣的气候条件</w:t>
      </w:r>
      <w:bookmarkEnd w:id="267"/>
      <w:bookmarkEnd w:id="268"/>
      <w:bookmarkEnd w:id="269"/>
    </w:p>
    <w:p w14:paraId="2209FC47">
      <w:pPr>
        <w:autoSpaceDE/>
        <w:autoSpaceDN/>
        <w:spacing w:before="93" w:line="360" w:lineRule="auto"/>
        <w:ind w:left="0" w:right="3103" w:firstLine="432" w:firstLineChars="200"/>
        <w:jc w:val="both"/>
        <w:rPr>
          <w:rFonts w:ascii="宋体" w:hAnsi="宋体" w:eastAsia="宋体" w:cs="宋体"/>
          <w:color w:val="auto"/>
          <w:spacing w:val="1"/>
          <w:sz w:val="20"/>
          <w:szCs w:val="20"/>
          <w:highlight w:val="none"/>
        </w:rPr>
      </w:pPr>
      <w:r>
        <w:rPr>
          <w:rFonts w:ascii="宋体" w:hAnsi="宋体" w:eastAsia="宋体" w:cs="宋体"/>
          <w:color w:val="auto"/>
          <w:spacing w:val="8"/>
          <w:sz w:val="20"/>
          <w:szCs w:val="20"/>
          <w:highlight w:val="none"/>
        </w:rPr>
        <w:t>发包人和承包人同意以下情形视为异常恶劣的气候条件：</w:t>
      </w:r>
      <w:r>
        <w:rPr>
          <w:rFonts w:ascii="宋体" w:hAnsi="宋体" w:eastAsia="宋体" w:cs="宋体"/>
          <w:color w:val="auto"/>
          <w:spacing w:val="1"/>
          <w:sz w:val="20"/>
          <w:szCs w:val="20"/>
          <w:highlight w:val="none"/>
        </w:rPr>
        <w:t xml:space="preserve"> </w:t>
      </w:r>
    </w:p>
    <w:p w14:paraId="78260B7B">
      <w:pPr>
        <w:autoSpaceDE/>
        <w:autoSpaceDN/>
        <w:spacing w:before="93" w:line="360" w:lineRule="auto"/>
        <w:ind w:left="0" w:right="3103" w:firstLine="404" w:firstLineChars="200"/>
        <w:jc w:val="both"/>
        <w:rPr>
          <w:rFonts w:hint="eastAsia" w:ascii="宋体" w:hAnsi="宋体" w:eastAsia="宋体" w:cs="宋体"/>
          <w:color w:val="auto"/>
          <w:spacing w:val="1"/>
          <w:sz w:val="20"/>
          <w:szCs w:val="20"/>
          <w:highlight w:val="none"/>
        </w:rPr>
      </w:pPr>
      <w:r>
        <w:rPr>
          <w:rFonts w:hint="eastAsia" w:ascii="宋体" w:hAnsi="宋体" w:eastAsia="宋体" w:cs="宋体"/>
          <w:color w:val="auto"/>
          <w:spacing w:val="1"/>
          <w:sz w:val="20"/>
          <w:szCs w:val="20"/>
          <w:highlight w:val="none"/>
        </w:rPr>
        <w:t>（1）日降雨量大于200㎜的雨日超过1天；</w:t>
      </w:r>
    </w:p>
    <w:p w14:paraId="4CEC2285">
      <w:pPr>
        <w:autoSpaceDE/>
        <w:autoSpaceDN/>
        <w:spacing w:before="93" w:line="360" w:lineRule="auto"/>
        <w:ind w:left="0" w:right="3103" w:firstLine="404" w:firstLineChars="200"/>
        <w:jc w:val="both"/>
        <w:rPr>
          <w:rFonts w:hint="eastAsia" w:ascii="宋体" w:hAnsi="宋体" w:eastAsia="宋体" w:cs="宋体"/>
          <w:color w:val="auto"/>
          <w:spacing w:val="1"/>
          <w:sz w:val="20"/>
          <w:szCs w:val="20"/>
          <w:highlight w:val="none"/>
        </w:rPr>
      </w:pPr>
      <w:r>
        <w:rPr>
          <w:rFonts w:hint="eastAsia" w:ascii="宋体" w:hAnsi="宋体" w:eastAsia="宋体" w:cs="宋体"/>
          <w:color w:val="auto"/>
          <w:spacing w:val="1"/>
          <w:sz w:val="20"/>
          <w:szCs w:val="20"/>
          <w:highlight w:val="none"/>
        </w:rPr>
        <w:t>（2）10级以上的持续1日的大风（以气象部门鉴定为准）</w:t>
      </w:r>
    </w:p>
    <w:p w14:paraId="6BEA6D94">
      <w:pPr>
        <w:autoSpaceDE/>
        <w:autoSpaceDN/>
        <w:spacing w:before="93" w:line="360" w:lineRule="auto"/>
        <w:ind w:left="0" w:right="3103" w:firstLine="404" w:firstLineChars="200"/>
        <w:jc w:val="both"/>
        <w:rPr>
          <w:rFonts w:hint="eastAsia" w:ascii="宋体" w:hAnsi="宋体" w:eastAsia="宋体" w:cs="宋体"/>
          <w:color w:val="auto"/>
          <w:spacing w:val="1"/>
          <w:sz w:val="20"/>
          <w:szCs w:val="20"/>
          <w:highlight w:val="none"/>
        </w:rPr>
      </w:pPr>
      <w:r>
        <w:rPr>
          <w:rFonts w:hint="eastAsia" w:ascii="宋体" w:hAnsi="宋体" w:eastAsia="宋体" w:cs="宋体"/>
          <w:color w:val="auto"/>
          <w:spacing w:val="1"/>
          <w:sz w:val="20"/>
          <w:szCs w:val="20"/>
          <w:highlight w:val="none"/>
        </w:rPr>
        <w:t>（3）日气温超过40℃的高温大于2天；</w:t>
      </w:r>
    </w:p>
    <w:p w14:paraId="77C26D05">
      <w:pPr>
        <w:autoSpaceDE/>
        <w:autoSpaceDN/>
        <w:spacing w:before="93" w:line="360" w:lineRule="auto"/>
        <w:ind w:left="0" w:right="3103" w:firstLine="404" w:firstLineChars="200"/>
        <w:jc w:val="both"/>
        <w:rPr>
          <w:rFonts w:hint="eastAsia" w:ascii="宋体" w:hAnsi="宋体" w:eastAsia="宋体" w:cs="宋体"/>
          <w:color w:val="auto"/>
          <w:spacing w:val="1"/>
          <w:sz w:val="20"/>
          <w:szCs w:val="20"/>
          <w:highlight w:val="none"/>
        </w:rPr>
      </w:pPr>
      <w:r>
        <w:rPr>
          <w:rFonts w:hint="eastAsia" w:ascii="宋体" w:hAnsi="宋体" w:eastAsia="宋体" w:cs="宋体"/>
          <w:color w:val="auto"/>
          <w:spacing w:val="1"/>
          <w:sz w:val="20"/>
          <w:szCs w:val="20"/>
          <w:highlight w:val="none"/>
        </w:rPr>
        <w:t>（4）日气温低于-10℃的严寒大于2天。</w:t>
      </w:r>
    </w:p>
    <w:p w14:paraId="16ABA6E4">
      <w:pPr>
        <w:autoSpaceDE/>
        <w:autoSpaceDN/>
        <w:spacing w:before="93" w:line="360" w:lineRule="auto"/>
        <w:ind w:left="0" w:right="3103" w:firstLine="404" w:firstLineChars="200"/>
        <w:jc w:val="both"/>
        <w:rPr>
          <w:rFonts w:hint="eastAsia" w:ascii="宋体" w:hAnsi="宋体" w:eastAsia="宋体" w:cs="宋体"/>
          <w:color w:val="auto"/>
          <w:spacing w:val="1"/>
          <w:sz w:val="20"/>
          <w:szCs w:val="20"/>
          <w:highlight w:val="none"/>
        </w:rPr>
      </w:pPr>
      <w:r>
        <w:rPr>
          <w:rFonts w:hint="eastAsia" w:ascii="宋体" w:hAnsi="宋体" w:eastAsia="宋体" w:cs="宋体"/>
          <w:color w:val="auto"/>
          <w:spacing w:val="1"/>
          <w:sz w:val="20"/>
          <w:szCs w:val="20"/>
          <w:highlight w:val="none"/>
        </w:rPr>
        <w:t>（5）造成工程损坏的冰雹和大雪灾害；</w:t>
      </w:r>
    </w:p>
    <w:p w14:paraId="187650F5">
      <w:pPr>
        <w:autoSpaceDE/>
        <w:autoSpaceDN/>
        <w:spacing w:before="93" w:line="360" w:lineRule="auto"/>
        <w:ind w:left="0" w:right="3103" w:firstLine="404" w:firstLineChars="200"/>
        <w:jc w:val="both"/>
        <w:rPr>
          <w:rFonts w:hint="eastAsia" w:ascii="宋体" w:hAnsi="宋体" w:eastAsia="宋体" w:cs="宋体"/>
          <w:color w:val="auto"/>
          <w:spacing w:val="1"/>
          <w:sz w:val="20"/>
          <w:szCs w:val="20"/>
          <w:highlight w:val="none"/>
        </w:rPr>
      </w:pPr>
      <w:r>
        <w:rPr>
          <w:rFonts w:hint="eastAsia" w:ascii="宋体" w:hAnsi="宋体" w:eastAsia="宋体" w:cs="宋体"/>
          <w:color w:val="auto"/>
          <w:spacing w:val="1"/>
          <w:sz w:val="20"/>
          <w:szCs w:val="20"/>
          <w:highlight w:val="none"/>
        </w:rPr>
        <w:t>（6）6级以上的地震；</w:t>
      </w:r>
    </w:p>
    <w:p w14:paraId="4D2AAA34">
      <w:pPr>
        <w:autoSpaceDE/>
        <w:autoSpaceDN/>
        <w:spacing w:before="93" w:line="360" w:lineRule="auto"/>
        <w:ind w:left="0" w:right="3103" w:firstLine="404" w:firstLineChars="200"/>
        <w:jc w:val="both"/>
        <w:rPr>
          <w:rFonts w:hint="eastAsia" w:ascii="宋体" w:hAnsi="宋体" w:eastAsia="宋体" w:cs="宋体"/>
          <w:color w:val="auto"/>
          <w:spacing w:val="1"/>
          <w:sz w:val="20"/>
          <w:szCs w:val="20"/>
          <w:highlight w:val="none"/>
        </w:rPr>
      </w:pPr>
      <w:r>
        <w:rPr>
          <w:rFonts w:hint="eastAsia" w:ascii="宋体" w:hAnsi="宋体" w:eastAsia="宋体" w:cs="宋体"/>
          <w:color w:val="auto"/>
          <w:spacing w:val="1"/>
          <w:sz w:val="20"/>
          <w:szCs w:val="20"/>
          <w:highlight w:val="none"/>
        </w:rPr>
        <w:t>（7）50年一遇及以上的洪水；</w:t>
      </w:r>
    </w:p>
    <w:p w14:paraId="1C8AC100">
      <w:pPr>
        <w:autoSpaceDE/>
        <w:autoSpaceDN/>
        <w:spacing w:before="93" w:line="360" w:lineRule="auto"/>
        <w:ind w:left="0" w:right="3103" w:firstLine="404" w:firstLineChars="200"/>
        <w:jc w:val="both"/>
        <w:rPr>
          <w:rFonts w:ascii="宋体" w:hAnsi="宋体" w:eastAsia="宋体" w:cs="宋体"/>
          <w:color w:val="auto"/>
          <w:sz w:val="20"/>
          <w:szCs w:val="20"/>
          <w:highlight w:val="none"/>
        </w:rPr>
      </w:pPr>
      <w:r>
        <w:rPr>
          <w:rFonts w:hint="eastAsia" w:ascii="宋体" w:hAnsi="宋体" w:eastAsia="宋体" w:cs="宋体"/>
          <w:color w:val="auto"/>
          <w:spacing w:val="1"/>
          <w:sz w:val="20"/>
          <w:szCs w:val="20"/>
          <w:highlight w:val="none"/>
        </w:rPr>
        <w:t>（8）其他异常恶劣气候灾害。</w:t>
      </w:r>
    </w:p>
    <w:p w14:paraId="4E525544">
      <w:pPr>
        <w:autoSpaceDE/>
        <w:autoSpaceDN/>
        <w:spacing w:before="18" w:line="360" w:lineRule="auto"/>
        <w:ind w:left="0" w:firstLine="414" w:firstLineChars="200"/>
        <w:outlineLvl w:val="2"/>
        <w:rPr>
          <w:rFonts w:ascii="宋体" w:hAnsi="宋体" w:eastAsia="宋体" w:cs="宋体"/>
          <w:color w:val="auto"/>
          <w:sz w:val="20"/>
          <w:szCs w:val="20"/>
          <w:highlight w:val="none"/>
        </w:rPr>
      </w:pPr>
      <w:bookmarkStart w:id="270" w:name="_Toc7772"/>
      <w:bookmarkStart w:id="271" w:name="_Toc114"/>
      <w:bookmarkStart w:id="272" w:name="_Toc31661"/>
      <w:r>
        <w:rPr>
          <w:rFonts w:ascii="宋体" w:hAnsi="宋体" w:eastAsia="宋体" w:cs="宋体"/>
          <w:b/>
          <w:bCs/>
          <w:color w:val="auto"/>
          <w:spacing w:val="3"/>
          <w:sz w:val="20"/>
          <w:szCs w:val="20"/>
          <w:highlight w:val="none"/>
        </w:rPr>
        <w:t>7.9</w:t>
      </w:r>
      <w:r>
        <w:rPr>
          <w:rFonts w:ascii="宋体" w:hAnsi="宋体" w:eastAsia="宋体" w:cs="宋体"/>
          <w:color w:val="auto"/>
          <w:spacing w:val="15"/>
          <w:sz w:val="20"/>
          <w:szCs w:val="20"/>
          <w:highlight w:val="none"/>
        </w:rPr>
        <w:t xml:space="preserve"> </w:t>
      </w:r>
      <w:r>
        <w:rPr>
          <w:rFonts w:ascii="宋体" w:hAnsi="宋体" w:eastAsia="宋体" w:cs="宋体"/>
          <w:b/>
          <w:bCs/>
          <w:color w:val="auto"/>
          <w:spacing w:val="3"/>
          <w:sz w:val="20"/>
          <w:szCs w:val="20"/>
          <w:highlight w:val="none"/>
        </w:rPr>
        <w:t>提前竣工</w:t>
      </w:r>
      <w:bookmarkEnd w:id="270"/>
      <w:bookmarkEnd w:id="271"/>
      <w:bookmarkEnd w:id="272"/>
    </w:p>
    <w:p w14:paraId="7DCCFE1B">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7.9.2</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提前竣工（赶工）增加费的计算方法：</w:t>
      </w:r>
      <w:r>
        <w:rPr>
          <w:rFonts w:ascii="宋体" w:hAnsi="宋体" w:eastAsia="宋体" w:cs="宋体"/>
          <w:color w:val="auto"/>
          <w:spacing w:val="6"/>
          <w:sz w:val="20"/>
          <w:szCs w:val="20"/>
          <w:highlight w:val="none"/>
          <w:u w:val="single" w:color="auto"/>
        </w:rPr>
        <w:t xml:space="preserve"> </w:t>
      </w:r>
      <w:r>
        <w:rPr>
          <w:color w:val="auto"/>
          <w:spacing w:val="7"/>
          <w:sz w:val="20"/>
          <w:szCs w:val="20"/>
          <w:highlight w:val="none"/>
          <w:u w:val="single" w:color="auto"/>
        </w:rPr>
        <w:t>无</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17D8799A">
      <w:pPr>
        <w:autoSpaceDE/>
        <w:autoSpaceDN/>
        <w:spacing w:before="154" w:line="360" w:lineRule="auto"/>
        <w:ind w:left="0" w:firstLine="422" w:firstLineChars="200"/>
        <w:outlineLvl w:val="1"/>
        <w:rPr>
          <w:rFonts w:ascii="宋体" w:hAnsi="宋体" w:eastAsia="宋体" w:cs="宋体"/>
          <w:color w:val="auto"/>
          <w:sz w:val="20"/>
          <w:szCs w:val="20"/>
          <w:highlight w:val="none"/>
        </w:rPr>
      </w:pPr>
      <w:bookmarkStart w:id="273" w:name="_Toc27432"/>
      <w:bookmarkStart w:id="274" w:name="_Toc16606"/>
      <w:bookmarkStart w:id="275" w:name="_Toc29041"/>
      <w:r>
        <w:rPr>
          <w:rFonts w:ascii="宋体" w:hAnsi="宋体" w:eastAsia="宋体" w:cs="宋体"/>
          <w:b/>
          <w:bCs/>
          <w:color w:val="auto"/>
          <w:spacing w:val="5"/>
          <w:sz w:val="20"/>
          <w:szCs w:val="20"/>
          <w:highlight w:val="none"/>
        </w:rPr>
        <w:t>8.</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材料与设备</w:t>
      </w:r>
      <w:bookmarkEnd w:id="273"/>
      <w:bookmarkEnd w:id="274"/>
      <w:bookmarkEnd w:id="275"/>
    </w:p>
    <w:p w14:paraId="60C8580C">
      <w:pPr>
        <w:autoSpaceDE/>
        <w:autoSpaceDN/>
        <w:spacing w:before="152" w:line="360" w:lineRule="auto"/>
        <w:ind w:left="0" w:firstLine="426" w:firstLineChars="200"/>
        <w:outlineLvl w:val="2"/>
        <w:rPr>
          <w:rFonts w:ascii="宋体" w:hAnsi="宋体" w:eastAsia="宋体" w:cs="宋体"/>
          <w:color w:val="auto"/>
          <w:sz w:val="20"/>
          <w:szCs w:val="20"/>
          <w:highlight w:val="none"/>
        </w:rPr>
      </w:pPr>
      <w:bookmarkStart w:id="276" w:name="_Toc25292"/>
      <w:bookmarkStart w:id="277" w:name="_Toc7173"/>
      <w:bookmarkStart w:id="278" w:name="_Toc19424"/>
      <w:r>
        <w:rPr>
          <w:rFonts w:ascii="宋体" w:hAnsi="宋体" w:eastAsia="宋体" w:cs="宋体"/>
          <w:b/>
          <w:bCs/>
          <w:color w:val="auto"/>
          <w:spacing w:val="6"/>
          <w:sz w:val="20"/>
          <w:szCs w:val="20"/>
          <w:highlight w:val="none"/>
        </w:rPr>
        <w:t>8.2</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承包人采购材料与工程设备</w:t>
      </w:r>
      <w:bookmarkEnd w:id="276"/>
      <w:bookmarkEnd w:id="277"/>
      <w:bookmarkEnd w:id="278"/>
    </w:p>
    <w:p w14:paraId="175106BF">
      <w:pPr>
        <w:autoSpaceDE/>
        <w:autoSpaceDN/>
        <w:spacing w:before="96" w:line="360" w:lineRule="auto"/>
        <w:ind w:left="0" w:right="60" w:firstLine="432" w:firstLineChars="200"/>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除已标价工程量清单《发包人提供主要材料和工程设备一览表》（表-21）中明确的材料、</w:t>
      </w:r>
      <w:r>
        <w:rPr>
          <w:rFonts w:ascii="宋体" w:hAnsi="宋体" w:eastAsia="宋体" w:cs="宋体"/>
          <w:color w:val="auto"/>
          <w:spacing w:val="9"/>
          <w:sz w:val="20"/>
          <w:szCs w:val="20"/>
          <w:highlight w:val="none"/>
        </w:rPr>
        <w:t>工程设备外，</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由承包人负责材料和工程设备的采购、运输和保管。《</w:t>
      </w:r>
      <w:r>
        <w:rPr>
          <w:rFonts w:ascii="宋体" w:hAnsi="宋体" w:eastAsia="宋体" w:cs="宋体"/>
          <w:color w:val="auto"/>
          <w:spacing w:val="8"/>
          <w:sz w:val="20"/>
          <w:szCs w:val="20"/>
          <w:highlight w:val="none"/>
        </w:rPr>
        <w:t>承包人提供主要材料和工程设备一览表》（表-22）见已标价工程量清单。</w:t>
      </w:r>
    </w:p>
    <w:p w14:paraId="4E3C75E1">
      <w:pPr>
        <w:autoSpaceDE/>
        <w:autoSpaceDN/>
        <w:spacing w:before="35" w:line="360" w:lineRule="auto"/>
        <w:ind w:left="0" w:right="128" w:firstLine="436" w:firstLineChars="200"/>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对发包人在招标时有“参照或相当于**品牌、级别</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”约定的材</w:t>
      </w:r>
      <w:r>
        <w:rPr>
          <w:rFonts w:ascii="宋体" w:hAnsi="宋体" w:eastAsia="宋体" w:cs="宋体"/>
          <w:color w:val="auto"/>
          <w:spacing w:val="8"/>
          <w:sz w:val="20"/>
          <w:szCs w:val="20"/>
          <w:highlight w:val="none"/>
        </w:rPr>
        <w:t>料或设备，承包人采购时必</w:t>
      </w:r>
      <w:r>
        <w:rPr>
          <w:rFonts w:ascii="宋体" w:hAnsi="宋体" w:eastAsia="宋体" w:cs="宋体"/>
          <w:color w:val="auto"/>
          <w:spacing w:val="10"/>
          <w:sz w:val="20"/>
          <w:szCs w:val="20"/>
          <w:highlight w:val="none"/>
        </w:rPr>
        <w:t>须按类似于或优于所约定品牌、等级进行采购，施工期间该部</w:t>
      </w:r>
      <w:r>
        <w:rPr>
          <w:rFonts w:ascii="宋体" w:hAnsi="宋体" w:eastAsia="宋体" w:cs="宋体"/>
          <w:color w:val="auto"/>
          <w:spacing w:val="9"/>
          <w:sz w:val="20"/>
          <w:szCs w:val="20"/>
          <w:highlight w:val="none"/>
        </w:rPr>
        <w:t>分材料或设备如未超过招标约定的风险幅度的，结算时按投标单价支付，不得调</w:t>
      </w:r>
      <w:r>
        <w:rPr>
          <w:rFonts w:ascii="宋体" w:hAnsi="宋体" w:eastAsia="宋体" w:cs="宋体"/>
          <w:color w:val="auto"/>
          <w:spacing w:val="8"/>
          <w:sz w:val="20"/>
          <w:szCs w:val="20"/>
          <w:highlight w:val="none"/>
        </w:rPr>
        <w:t>整。</w:t>
      </w:r>
    </w:p>
    <w:p w14:paraId="520371D6">
      <w:pPr>
        <w:autoSpaceDE/>
        <w:autoSpaceDN/>
        <w:spacing w:before="31" w:line="360" w:lineRule="auto"/>
        <w:ind w:left="0" w:firstLine="426" w:firstLineChars="200"/>
        <w:outlineLvl w:val="2"/>
        <w:rPr>
          <w:rFonts w:ascii="宋体" w:hAnsi="宋体" w:eastAsia="宋体" w:cs="宋体"/>
          <w:color w:val="auto"/>
          <w:sz w:val="20"/>
          <w:szCs w:val="20"/>
          <w:highlight w:val="none"/>
        </w:rPr>
      </w:pPr>
      <w:bookmarkStart w:id="279" w:name="_Toc19058"/>
      <w:bookmarkStart w:id="280" w:name="_Toc16253"/>
      <w:bookmarkStart w:id="281" w:name="_Toc8731"/>
      <w:r>
        <w:rPr>
          <w:rFonts w:ascii="宋体" w:hAnsi="宋体" w:eastAsia="宋体" w:cs="宋体"/>
          <w:b/>
          <w:bCs/>
          <w:color w:val="auto"/>
          <w:spacing w:val="6"/>
          <w:sz w:val="20"/>
          <w:szCs w:val="20"/>
          <w:highlight w:val="none"/>
        </w:rPr>
        <w:t>8.4</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材料与工程设备的保管与使用</w:t>
      </w:r>
      <w:bookmarkEnd w:id="279"/>
      <w:bookmarkEnd w:id="280"/>
      <w:bookmarkEnd w:id="281"/>
    </w:p>
    <w:p w14:paraId="750FA4B2">
      <w:pPr>
        <w:autoSpaceDE/>
        <w:autoSpaceDN/>
        <w:spacing w:before="94"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8.4.1</w:t>
      </w:r>
      <w:r>
        <w:rPr>
          <w:rFonts w:ascii="宋体" w:hAnsi="宋体" w:eastAsia="宋体" w:cs="宋体"/>
          <w:color w:val="auto"/>
          <w:spacing w:val="-37"/>
          <w:sz w:val="20"/>
          <w:szCs w:val="20"/>
          <w:highlight w:val="none"/>
        </w:rPr>
        <w:t xml:space="preserve"> </w:t>
      </w:r>
      <w:r>
        <w:rPr>
          <w:rFonts w:ascii="宋体" w:hAnsi="宋体" w:eastAsia="宋体" w:cs="宋体"/>
          <w:color w:val="auto"/>
          <w:spacing w:val="7"/>
          <w:sz w:val="20"/>
          <w:szCs w:val="20"/>
          <w:highlight w:val="none"/>
        </w:rPr>
        <w:t>发包人供应的材料设备的保管费用的承担：</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按本合同《通用条款》第8.4.1条规定</w:t>
      </w:r>
      <w:r>
        <w:rPr>
          <w:rFonts w:ascii="宋体" w:hAnsi="宋体" w:eastAsia="宋体" w:cs="宋体"/>
          <w:color w:val="auto"/>
          <w:spacing w:val="6"/>
          <w:sz w:val="20"/>
          <w:szCs w:val="20"/>
          <w:highlight w:val="none"/>
        </w:rPr>
        <w:t>。</w:t>
      </w:r>
    </w:p>
    <w:p w14:paraId="6571AC35">
      <w:pPr>
        <w:autoSpaceDE/>
        <w:autoSpaceDN/>
        <w:spacing w:before="95" w:line="360" w:lineRule="auto"/>
        <w:ind w:left="0" w:firstLine="406" w:firstLineChars="200"/>
        <w:outlineLvl w:val="2"/>
        <w:rPr>
          <w:rFonts w:ascii="宋体" w:hAnsi="宋体" w:eastAsia="宋体" w:cs="宋体"/>
          <w:color w:val="auto"/>
          <w:sz w:val="20"/>
          <w:szCs w:val="20"/>
          <w:highlight w:val="none"/>
        </w:rPr>
      </w:pPr>
      <w:bookmarkStart w:id="282" w:name="_Toc1373"/>
      <w:bookmarkStart w:id="283" w:name="_Toc32619"/>
      <w:bookmarkStart w:id="284" w:name="_Toc25972"/>
      <w:r>
        <w:rPr>
          <w:rFonts w:ascii="宋体" w:hAnsi="宋体" w:eastAsia="宋体" w:cs="宋体"/>
          <w:b/>
          <w:bCs/>
          <w:color w:val="auto"/>
          <w:spacing w:val="1"/>
          <w:sz w:val="20"/>
          <w:szCs w:val="20"/>
          <w:highlight w:val="none"/>
        </w:rPr>
        <w:t>8.6</w:t>
      </w:r>
      <w:r>
        <w:rPr>
          <w:rFonts w:ascii="宋体" w:hAnsi="宋体" w:eastAsia="宋体" w:cs="宋体"/>
          <w:color w:val="auto"/>
          <w:spacing w:val="17"/>
          <w:sz w:val="20"/>
          <w:szCs w:val="20"/>
          <w:highlight w:val="none"/>
        </w:rPr>
        <w:t xml:space="preserve"> </w:t>
      </w:r>
      <w:r>
        <w:rPr>
          <w:rFonts w:ascii="宋体" w:hAnsi="宋体" w:eastAsia="宋体" w:cs="宋体"/>
          <w:b/>
          <w:bCs/>
          <w:color w:val="auto"/>
          <w:spacing w:val="1"/>
          <w:sz w:val="20"/>
          <w:szCs w:val="20"/>
          <w:highlight w:val="none"/>
        </w:rPr>
        <w:t>样品</w:t>
      </w:r>
      <w:bookmarkEnd w:id="282"/>
      <w:bookmarkEnd w:id="283"/>
      <w:bookmarkEnd w:id="284"/>
    </w:p>
    <w:p w14:paraId="1EE5A837">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8.6.1 样品的报送与封存</w:t>
      </w:r>
    </w:p>
    <w:p w14:paraId="7A839085">
      <w:pPr>
        <w:autoSpaceDE/>
        <w:autoSpaceDN/>
        <w:spacing w:before="95" w:line="360" w:lineRule="auto"/>
        <w:ind w:left="0" w:right="13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需要承包人报送样品的材料或工程设备，样品的种类、名称、规格、数量要求：</w:t>
      </w:r>
      <w:r>
        <w:rPr>
          <w:rFonts w:ascii="宋体" w:hAnsi="宋体" w:eastAsia="宋体" w:cs="宋体"/>
          <w:color w:val="auto"/>
          <w:spacing w:val="9"/>
          <w:sz w:val="20"/>
          <w:szCs w:val="20"/>
          <w:highlight w:val="none"/>
          <w:u w:val="single" w:color="auto"/>
        </w:rPr>
        <w:t>主要材料</w:t>
      </w:r>
      <w:r>
        <w:rPr>
          <w:rFonts w:ascii="宋体" w:hAnsi="宋体" w:eastAsia="宋体" w:cs="宋体"/>
          <w:color w:val="auto"/>
          <w:spacing w:val="10"/>
          <w:sz w:val="20"/>
          <w:szCs w:val="20"/>
          <w:highlight w:val="none"/>
          <w:u w:val="single" w:color="auto"/>
        </w:rPr>
        <w:t>涉及品种、款式、颜色等方面内容的，承包人应提交准备合格的材料样品送发包人选定。</w:t>
      </w:r>
    </w:p>
    <w:p w14:paraId="5755792A">
      <w:pPr>
        <w:autoSpaceDE/>
        <w:autoSpaceDN/>
        <w:spacing w:before="37" w:line="360" w:lineRule="auto"/>
        <w:ind w:left="0" w:firstLine="426" w:firstLineChars="200"/>
        <w:outlineLvl w:val="2"/>
        <w:rPr>
          <w:rFonts w:ascii="宋体" w:hAnsi="宋体" w:eastAsia="宋体" w:cs="宋体"/>
          <w:color w:val="auto"/>
          <w:sz w:val="20"/>
          <w:szCs w:val="20"/>
          <w:highlight w:val="none"/>
        </w:rPr>
      </w:pPr>
      <w:bookmarkStart w:id="285" w:name="_Toc12404"/>
      <w:bookmarkStart w:id="286" w:name="_Toc31675"/>
      <w:bookmarkStart w:id="287" w:name="_Toc17622"/>
      <w:r>
        <w:rPr>
          <w:rFonts w:ascii="宋体" w:hAnsi="宋体" w:eastAsia="宋体" w:cs="宋体"/>
          <w:b/>
          <w:bCs/>
          <w:color w:val="auto"/>
          <w:spacing w:val="6"/>
          <w:sz w:val="20"/>
          <w:szCs w:val="20"/>
          <w:highlight w:val="none"/>
        </w:rPr>
        <w:t>8.8</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施工设备和临时设施</w:t>
      </w:r>
      <w:bookmarkEnd w:id="285"/>
      <w:bookmarkEnd w:id="286"/>
      <w:bookmarkEnd w:id="287"/>
    </w:p>
    <w:p w14:paraId="5BA0E8C0">
      <w:pPr>
        <w:autoSpaceDE/>
        <w:autoSpaceDN/>
        <w:spacing w:before="91"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8.8.1 承包人提供的施工设备和临时设施</w:t>
      </w:r>
    </w:p>
    <w:p w14:paraId="65B85D5F">
      <w:pPr>
        <w:autoSpaceDE/>
        <w:autoSpaceDN/>
        <w:spacing w:before="94" w:line="360" w:lineRule="auto"/>
        <w:ind w:left="0" w:right="128"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除专用合同条款另有约定的其他独立承包人和监理人指示的他人提供条件外，承包人运入</w:t>
      </w:r>
      <w:r>
        <w:rPr>
          <w:rFonts w:ascii="宋体" w:hAnsi="宋体" w:eastAsia="宋体" w:cs="宋体"/>
          <w:color w:val="auto"/>
          <w:spacing w:val="10"/>
          <w:sz w:val="20"/>
          <w:szCs w:val="20"/>
          <w:highlight w:val="none"/>
        </w:rPr>
        <w:t>施工场地的所有施工设备以及在施工场地建设的临时设施仅限于用于合</w:t>
      </w:r>
      <w:r>
        <w:rPr>
          <w:rFonts w:ascii="宋体" w:hAnsi="宋体" w:eastAsia="宋体" w:cs="宋体"/>
          <w:color w:val="auto"/>
          <w:spacing w:val="9"/>
          <w:sz w:val="20"/>
          <w:szCs w:val="20"/>
          <w:highlight w:val="none"/>
        </w:rPr>
        <w:t>同工程。承包人用于本</w:t>
      </w:r>
      <w:r>
        <w:rPr>
          <w:rFonts w:ascii="宋体" w:hAnsi="宋体" w:eastAsia="宋体" w:cs="宋体"/>
          <w:color w:val="auto"/>
          <w:spacing w:val="8"/>
          <w:sz w:val="20"/>
          <w:szCs w:val="20"/>
          <w:highlight w:val="none"/>
        </w:rPr>
        <w:t>工程的主要机械设备清单见合同附件6。</w:t>
      </w:r>
    </w:p>
    <w:p w14:paraId="39F4DE3F">
      <w:pPr>
        <w:autoSpaceDE/>
        <w:autoSpaceDN/>
        <w:spacing w:before="32"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关于修建临时设施费用承担的约定：</w:t>
      </w:r>
    </w:p>
    <w:p w14:paraId="1246AFAD">
      <w:pPr>
        <w:autoSpaceDE/>
        <w:autoSpaceDN/>
        <w:spacing w:before="92"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8.8.2 发包人提供的施工设备和临时设施</w:t>
      </w:r>
    </w:p>
    <w:p w14:paraId="3E8DF161">
      <w:pPr>
        <w:autoSpaceDE/>
        <w:autoSpaceDN/>
        <w:spacing w:before="95"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发包人提供的施工设备和临时设施：</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无</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2CE204ED">
      <w:pPr>
        <w:autoSpaceDE/>
        <w:autoSpaceDN/>
        <w:spacing w:before="95" w:line="360" w:lineRule="auto"/>
        <w:ind w:firstLine="428" w:firstLineChars="200"/>
        <w:jc w:val="both"/>
        <w:rPr>
          <w:rFonts w:ascii="宋体" w:hAnsi="宋体" w:eastAsia="宋体" w:cs="宋体"/>
          <w:color w:val="auto"/>
          <w:spacing w:val="6"/>
          <w:sz w:val="20"/>
          <w:szCs w:val="20"/>
          <w:highlight w:val="none"/>
        </w:rPr>
      </w:pPr>
      <w:r>
        <w:rPr>
          <w:rFonts w:ascii="宋体" w:hAnsi="宋体" w:eastAsia="宋体" w:cs="宋体"/>
          <w:color w:val="auto"/>
          <w:spacing w:val="7"/>
          <w:sz w:val="20"/>
          <w:szCs w:val="20"/>
          <w:highlight w:val="none"/>
        </w:rPr>
        <w:t>发包人提供的施工设备和临时设施的运行、维护、拆除、清运费用的承担人：</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 xml:space="preserve">承包人承担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3EC463D9">
      <w:pPr>
        <w:autoSpaceDE/>
        <w:autoSpaceDN/>
        <w:spacing w:before="41" w:line="360" w:lineRule="auto"/>
        <w:ind w:left="0" w:firstLine="422" w:firstLineChars="200"/>
        <w:outlineLvl w:val="1"/>
        <w:rPr>
          <w:rFonts w:ascii="宋体" w:hAnsi="宋体" w:eastAsia="宋体" w:cs="宋体"/>
          <w:color w:val="auto"/>
          <w:sz w:val="20"/>
          <w:szCs w:val="20"/>
          <w:highlight w:val="none"/>
        </w:rPr>
      </w:pPr>
      <w:bookmarkStart w:id="288" w:name="_Toc6242"/>
      <w:bookmarkStart w:id="289" w:name="_Toc16543"/>
      <w:bookmarkStart w:id="290" w:name="_Toc18266"/>
      <w:r>
        <w:rPr>
          <w:rFonts w:ascii="宋体" w:hAnsi="宋体" w:eastAsia="宋体" w:cs="宋体"/>
          <w:b/>
          <w:bCs/>
          <w:color w:val="auto"/>
          <w:spacing w:val="5"/>
          <w:sz w:val="20"/>
          <w:szCs w:val="20"/>
          <w:highlight w:val="none"/>
        </w:rPr>
        <w:t>9.</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试验与检验</w:t>
      </w:r>
      <w:bookmarkEnd w:id="288"/>
      <w:bookmarkEnd w:id="289"/>
      <w:bookmarkEnd w:id="290"/>
    </w:p>
    <w:p w14:paraId="373490B8">
      <w:pPr>
        <w:autoSpaceDE/>
        <w:autoSpaceDN/>
        <w:spacing w:before="154" w:line="360" w:lineRule="auto"/>
        <w:ind w:left="0" w:firstLine="426" w:firstLineChars="200"/>
        <w:outlineLvl w:val="2"/>
        <w:rPr>
          <w:rFonts w:ascii="宋体" w:hAnsi="宋体" w:eastAsia="宋体" w:cs="宋体"/>
          <w:color w:val="auto"/>
          <w:sz w:val="20"/>
          <w:szCs w:val="20"/>
          <w:highlight w:val="none"/>
        </w:rPr>
      </w:pPr>
      <w:bookmarkStart w:id="291" w:name="_Toc30488"/>
      <w:bookmarkStart w:id="292" w:name="_Toc8376"/>
      <w:bookmarkStart w:id="293" w:name="_Toc22534"/>
      <w:r>
        <w:rPr>
          <w:rFonts w:ascii="宋体" w:hAnsi="宋体" w:eastAsia="宋体" w:cs="宋体"/>
          <w:b/>
          <w:bCs/>
          <w:color w:val="auto"/>
          <w:spacing w:val="6"/>
          <w:sz w:val="20"/>
          <w:szCs w:val="20"/>
          <w:highlight w:val="none"/>
        </w:rPr>
        <w:t>9.1</w:t>
      </w:r>
      <w:r>
        <w:rPr>
          <w:rFonts w:ascii="宋体" w:hAnsi="宋体" w:eastAsia="宋体" w:cs="宋体"/>
          <w:color w:val="auto"/>
          <w:spacing w:val="6"/>
          <w:sz w:val="20"/>
          <w:szCs w:val="20"/>
          <w:highlight w:val="none"/>
        </w:rPr>
        <w:t xml:space="preserve"> </w:t>
      </w:r>
      <w:r>
        <w:rPr>
          <w:rFonts w:ascii="宋体" w:hAnsi="宋体" w:eastAsia="宋体" w:cs="宋体"/>
          <w:b/>
          <w:bCs/>
          <w:color w:val="auto"/>
          <w:spacing w:val="6"/>
          <w:sz w:val="20"/>
          <w:szCs w:val="20"/>
          <w:highlight w:val="none"/>
        </w:rPr>
        <w:t>试验设备与试验人员</w:t>
      </w:r>
      <w:bookmarkEnd w:id="291"/>
      <w:bookmarkEnd w:id="292"/>
      <w:bookmarkEnd w:id="293"/>
    </w:p>
    <w:p w14:paraId="3437E714">
      <w:pPr>
        <w:autoSpaceDE/>
        <w:autoSpaceDN/>
        <w:spacing w:before="92"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9.1.2 试验设备</w:t>
      </w:r>
    </w:p>
    <w:p w14:paraId="5E7EBDDD">
      <w:pPr>
        <w:autoSpaceDE/>
        <w:autoSpaceDN/>
        <w:spacing w:before="92" w:line="360" w:lineRule="auto"/>
        <w:ind w:left="0" w:right="2300" w:firstLine="424" w:firstLineChars="200"/>
        <w:rPr>
          <w:rFonts w:ascii="宋体" w:hAnsi="宋体" w:eastAsia="宋体" w:cs="宋体"/>
          <w:color w:val="auto"/>
          <w:spacing w:val="5"/>
          <w:sz w:val="20"/>
          <w:szCs w:val="20"/>
          <w:highlight w:val="none"/>
        </w:rPr>
      </w:pPr>
      <w:r>
        <w:rPr>
          <w:rFonts w:ascii="宋体" w:hAnsi="宋体" w:eastAsia="宋体" w:cs="宋体"/>
          <w:color w:val="auto"/>
          <w:spacing w:val="6"/>
          <w:sz w:val="20"/>
          <w:szCs w:val="20"/>
          <w:highlight w:val="none"/>
        </w:rPr>
        <w:t>施工现场需要配置的试验场所：</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09F1482B">
      <w:pPr>
        <w:autoSpaceDE/>
        <w:autoSpaceDN/>
        <w:spacing w:before="92" w:line="360" w:lineRule="auto"/>
        <w:ind w:left="0" w:right="2300" w:firstLine="424" w:firstLineChars="200"/>
        <w:rPr>
          <w:rFonts w:ascii="宋体" w:hAnsi="宋体" w:eastAsia="宋体" w:cs="宋体"/>
          <w:color w:val="auto"/>
          <w:spacing w:val="5"/>
          <w:sz w:val="20"/>
          <w:szCs w:val="20"/>
          <w:highlight w:val="none"/>
        </w:rPr>
      </w:pPr>
      <w:r>
        <w:rPr>
          <w:rFonts w:ascii="宋体" w:hAnsi="宋体" w:eastAsia="宋体" w:cs="宋体"/>
          <w:color w:val="auto"/>
          <w:spacing w:val="6"/>
          <w:sz w:val="20"/>
          <w:szCs w:val="20"/>
          <w:highlight w:val="none"/>
        </w:rPr>
        <w:t>施工现场需要配备的试验设备：</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16AE9F86">
      <w:pPr>
        <w:autoSpaceDE/>
        <w:autoSpaceDN/>
        <w:spacing w:before="92" w:line="360" w:lineRule="auto"/>
        <w:ind w:left="0" w:right="230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施工现场需要具备的其他试验条件：</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250DEB68">
      <w:pPr>
        <w:autoSpaceDE/>
        <w:autoSpaceDN/>
        <w:spacing w:before="29" w:line="360" w:lineRule="auto"/>
        <w:ind w:left="0" w:firstLine="422" w:firstLineChars="200"/>
        <w:outlineLvl w:val="2"/>
        <w:rPr>
          <w:rFonts w:ascii="宋体" w:hAnsi="宋体" w:eastAsia="宋体" w:cs="宋体"/>
          <w:color w:val="auto"/>
          <w:sz w:val="20"/>
          <w:szCs w:val="20"/>
          <w:highlight w:val="none"/>
        </w:rPr>
      </w:pPr>
      <w:bookmarkStart w:id="294" w:name="_Toc5054"/>
      <w:bookmarkStart w:id="295" w:name="_Toc14644"/>
      <w:bookmarkStart w:id="296" w:name="_Toc25165"/>
      <w:r>
        <w:rPr>
          <w:rFonts w:ascii="宋体" w:hAnsi="宋体" w:eastAsia="宋体" w:cs="宋体"/>
          <w:b/>
          <w:bCs/>
          <w:color w:val="auto"/>
          <w:spacing w:val="5"/>
          <w:sz w:val="20"/>
          <w:szCs w:val="20"/>
          <w:highlight w:val="none"/>
        </w:rPr>
        <w:t>9.4</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现场工艺试验</w:t>
      </w:r>
      <w:bookmarkEnd w:id="294"/>
      <w:bookmarkEnd w:id="295"/>
      <w:bookmarkEnd w:id="296"/>
    </w:p>
    <w:p w14:paraId="3DF6E89C">
      <w:pPr>
        <w:autoSpaceDE/>
        <w:autoSpaceDN/>
        <w:spacing w:before="93"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现场工艺试验的有关约定：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506EB056">
      <w:pPr>
        <w:autoSpaceDE/>
        <w:autoSpaceDN/>
        <w:spacing w:before="93" w:line="360" w:lineRule="auto"/>
        <w:ind w:left="0" w:firstLine="414" w:firstLineChars="200"/>
        <w:outlineLvl w:val="2"/>
        <w:rPr>
          <w:rFonts w:ascii="宋体" w:hAnsi="宋体" w:eastAsia="宋体" w:cs="宋体"/>
          <w:color w:val="auto"/>
          <w:sz w:val="20"/>
          <w:szCs w:val="20"/>
          <w:highlight w:val="none"/>
        </w:rPr>
      </w:pPr>
      <w:bookmarkStart w:id="297" w:name="_Toc28001"/>
      <w:bookmarkStart w:id="298" w:name="_Toc2185"/>
      <w:bookmarkStart w:id="299" w:name="_Toc24224"/>
      <w:r>
        <w:rPr>
          <w:rFonts w:ascii="宋体" w:hAnsi="宋体" w:eastAsia="宋体" w:cs="宋体"/>
          <w:b/>
          <w:bCs/>
          <w:color w:val="auto"/>
          <w:spacing w:val="3"/>
          <w:sz w:val="20"/>
          <w:szCs w:val="20"/>
          <w:highlight w:val="none"/>
        </w:rPr>
        <w:t>9.5</w:t>
      </w:r>
      <w:r>
        <w:rPr>
          <w:rFonts w:ascii="宋体" w:hAnsi="宋体" w:eastAsia="宋体" w:cs="宋体"/>
          <w:color w:val="auto"/>
          <w:spacing w:val="19"/>
          <w:sz w:val="20"/>
          <w:szCs w:val="20"/>
          <w:highlight w:val="none"/>
        </w:rPr>
        <w:t xml:space="preserve"> </w:t>
      </w:r>
      <w:r>
        <w:rPr>
          <w:rFonts w:ascii="宋体" w:hAnsi="宋体" w:eastAsia="宋体" w:cs="宋体"/>
          <w:b/>
          <w:bCs/>
          <w:color w:val="auto"/>
          <w:spacing w:val="3"/>
          <w:sz w:val="20"/>
          <w:szCs w:val="20"/>
          <w:highlight w:val="none"/>
        </w:rPr>
        <w:t>检验费用</w:t>
      </w:r>
      <w:bookmarkEnd w:id="297"/>
      <w:bookmarkEnd w:id="298"/>
      <w:bookmarkEnd w:id="299"/>
    </w:p>
    <w:p w14:paraId="5C5A49B2">
      <w:pPr>
        <w:autoSpaceDE/>
        <w:autoSpaceDN/>
        <w:spacing w:before="94" w:line="360" w:lineRule="auto"/>
        <w:ind w:left="0" w:firstLine="436" w:firstLineChars="200"/>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根据《建设工程质量检测管理办法》（建设部令第</w:t>
      </w:r>
      <w:r>
        <w:rPr>
          <w:rFonts w:ascii="宋体" w:hAnsi="宋体" w:eastAsia="宋体" w:cs="宋体"/>
          <w:color w:val="auto"/>
          <w:spacing w:val="-21"/>
          <w:sz w:val="20"/>
          <w:szCs w:val="20"/>
          <w:highlight w:val="none"/>
        </w:rPr>
        <w:t xml:space="preserve"> </w:t>
      </w:r>
      <w:r>
        <w:rPr>
          <w:rFonts w:ascii="宋体" w:hAnsi="宋体" w:eastAsia="宋体" w:cs="宋体"/>
          <w:color w:val="auto"/>
          <w:spacing w:val="9"/>
          <w:sz w:val="20"/>
          <w:szCs w:val="20"/>
          <w:highlight w:val="none"/>
        </w:rPr>
        <w:t>141</w:t>
      </w:r>
      <w:r>
        <w:rPr>
          <w:rFonts w:ascii="宋体" w:hAnsi="宋体" w:eastAsia="宋体" w:cs="宋体"/>
          <w:color w:val="auto"/>
          <w:spacing w:val="-33"/>
          <w:sz w:val="20"/>
          <w:szCs w:val="20"/>
          <w:highlight w:val="none"/>
        </w:rPr>
        <w:t xml:space="preserve"> </w:t>
      </w:r>
      <w:r>
        <w:rPr>
          <w:rFonts w:ascii="宋体" w:hAnsi="宋体" w:eastAsia="宋体" w:cs="宋体"/>
          <w:color w:val="auto"/>
          <w:spacing w:val="9"/>
          <w:sz w:val="20"/>
          <w:szCs w:val="20"/>
          <w:highlight w:val="none"/>
        </w:rPr>
        <w:t>号）</w:t>
      </w:r>
      <w:r>
        <w:rPr>
          <w:rFonts w:ascii="宋体" w:hAnsi="宋体" w:eastAsia="宋体" w:cs="宋体"/>
          <w:color w:val="auto"/>
          <w:spacing w:val="-52"/>
          <w:sz w:val="20"/>
          <w:szCs w:val="20"/>
          <w:highlight w:val="none"/>
        </w:rPr>
        <w:t xml:space="preserve"> </w:t>
      </w:r>
      <w:r>
        <w:rPr>
          <w:rFonts w:ascii="宋体" w:hAnsi="宋体" w:eastAsia="宋体" w:cs="宋体"/>
          <w:color w:val="auto"/>
          <w:spacing w:val="9"/>
          <w:sz w:val="20"/>
          <w:szCs w:val="20"/>
          <w:highlight w:val="none"/>
        </w:rPr>
        <w:t>以及《广西壮族自</w:t>
      </w:r>
      <w:r>
        <w:rPr>
          <w:rFonts w:ascii="宋体" w:hAnsi="宋体" w:eastAsia="宋体" w:cs="宋体"/>
          <w:color w:val="auto"/>
          <w:spacing w:val="8"/>
          <w:sz w:val="20"/>
          <w:szCs w:val="20"/>
          <w:highlight w:val="none"/>
        </w:rPr>
        <w:t>治区建设工</w:t>
      </w:r>
      <w:r>
        <w:rPr>
          <w:rFonts w:ascii="宋体" w:hAnsi="宋体" w:eastAsia="宋体" w:cs="宋体"/>
          <w:color w:val="auto"/>
          <w:spacing w:val="9"/>
          <w:sz w:val="20"/>
          <w:szCs w:val="20"/>
          <w:highlight w:val="none"/>
        </w:rPr>
        <w:t>程质量检测管理规定》（桂建管〔2013〕11</w:t>
      </w:r>
      <w:r>
        <w:rPr>
          <w:rFonts w:ascii="宋体" w:hAnsi="宋体" w:eastAsia="宋体" w:cs="宋体"/>
          <w:color w:val="auto"/>
          <w:spacing w:val="-36"/>
          <w:sz w:val="20"/>
          <w:szCs w:val="20"/>
          <w:highlight w:val="none"/>
        </w:rPr>
        <w:t xml:space="preserve"> </w:t>
      </w:r>
      <w:r>
        <w:rPr>
          <w:rFonts w:ascii="宋体" w:hAnsi="宋体" w:eastAsia="宋体" w:cs="宋体"/>
          <w:color w:val="auto"/>
          <w:spacing w:val="9"/>
          <w:sz w:val="20"/>
          <w:szCs w:val="20"/>
          <w:highlight w:val="none"/>
        </w:rPr>
        <w:t>号）规定，工程质量检测业务由发包人委托有相应</w:t>
      </w:r>
      <w:r>
        <w:rPr>
          <w:rFonts w:ascii="宋体" w:hAnsi="宋体" w:eastAsia="宋体" w:cs="宋体"/>
          <w:color w:val="auto"/>
          <w:spacing w:val="11"/>
          <w:sz w:val="20"/>
          <w:szCs w:val="20"/>
          <w:highlight w:val="none"/>
        </w:rPr>
        <w:t>资质的检测机构检测。费用从发包人的项目建设经费中支出并直接支付给检测机构，不计入合</w:t>
      </w:r>
      <w:r>
        <w:rPr>
          <w:rFonts w:ascii="宋体" w:hAnsi="宋体" w:eastAsia="宋体" w:cs="宋体"/>
          <w:color w:val="auto"/>
          <w:spacing w:val="6"/>
          <w:sz w:val="20"/>
          <w:szCs w:val="20"/>
          <w:highlight w:val="none"/>
        </w:rPr>
        <w:t>同价款内。</w:t>
      </w:r>
    </w:p>
    <w:p w14:paraId="7A298B1D">
      <w:pPr>
        <w:autoSpaceDE/>
        <w:autoSpaceDN/>
        <w:spacing w:before="91" w:line="360" w:lineRule="auto"/>
        <w:ind w:left="0" w:firstLine="394" w:firstLineChars="200"/>
        <w:outlineLvl w:val="1"/>
        <w:rPr>
          <w:rFonts w:ascii="宋体" w:hAnsi="宋体" w:eastAsia="宋体" w:cs="宋体"/>
          <w:color w:val="auto"/>
          <w:sz w:val="20"/>
          <w:szCs w:val="20"/>
          <w:highlight w:val="none"/>
        </w:rPr>
      </w:pPr>
      <w:bookmarkStart w:id="300" w:name="_Toc28204"/>
      <w:bookmarkStart w:id="301" w:name="_Toc15451"/>
      <w:bookmarkStart w:id="302" w:name="_Toc2142"/>
      <w:r>
        <w:rPr>
          <w:rFonts w:ascii="宋体" w:hAnsi="宋体" w:eastAsia="宋体" w:cs="宋体"/>
          <w:b/>
          <w:bCs/>
          <w:color w:val="auto"/>
          <w:spacing w:val="-2"/>
          <w:sz w:val="20"/>
          <w:szCs w:val="20"/>
          <w:highlight w:val="none"/>
        </w:rPr>
        <w:t>10.</w:t>
      </w:r>
      <w:r>
        <w:rPr>
          <w:rFonts w:ascii="宋体" w:hAnsi="宋体" w:eastAsia="宋体" w:cs="宋体"/>
          <w:color w:val="auto"/>
          <w:spacing w:val="17"/>
          <w:sz w:val="20"/>
          <w:szCs w:val="20"/>
          <w:highlight w:val="none"/>
        </w:rPr>
        <w:t xml:space="preserve"> </w:t>
      </w:r>
      <w:r>
        <w:rPr>
          <w:rFonts w:ascii="宋体" w:hAnsi="宋体" w:eastAsia="宋体" w:cs="宋体"/>
          <w:b/>
          <w:bCs/>
          <w:color w:val="auto"/>
          <w:spacing w:val="-2"/>
          <w:sz w:val="20"/>
          <w:szCs w:val="20"/>
          <w:highlight w:val="none"/>
        </w:rPr>
        <w:t>变更</w:t>
      </w:r>
      <w:bookmarkEnd w:id="300"/>
      <w:bookmarkEnd w:id="301"/>
      <w:bookmarkEnd w:id="302"/>
    </w:p>
    <w:p w14:paraId="79ADD76D">
      <w:pPr>
        <w:autoSpaceDE/>
        <w:autoSpaceDN/>
        <w:spacing w:before="153" w:line="360" w:lineRule="auto"/>
        <w:ind w:left="0" w:firstLine="414" w:firstLineChars="200"/>
        <w:outlineLvl w:val="2"/>
        <w:rPr>
          <w:rFonts w:ascii="宋体" w:hAnsi="宋体" w:eastAsia="宋体" w:cs="宋体"/>
          <w:color w:val="auto"/>
          <w:sz w:val="20"/>
          <w:szCs w:val="20"/>
          <w:highlight w:val="none"/>
        </w:rPr>
      </w:pPr>
      <w:bookmarkStart w:id="303" w:name="_Toc14050"/>
      <w:bookmarkStart w:id="304" w:name="_Toc8130"/>
      <w:bookmarkStart w:id="305" w:name="_Toc11284"/>
      <w:r>
        <w:rPr>
          <w:rFonts w:ascii="宋体" w:hAnsi="宋体" w:eastAsia="宋体" w:cs="宋体"/>
          <w:b/>
          <w:bCs/>
          <w:color w:val="auto"/>
          <w:spacing w:val="3"/>
          <w:sz w:val="20"/>
          <w:szCs w:val="20"/>
          <w:highlight w:val="none"/>
        </w:rPr>
        <w:t>10.1</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变更的范围</w:t>
      </w:r>
      <w:bookmarkEnd w:id="303"/>
      <w:bookmarkEnd w:id="304"/>
      <w:bookmarkEnd w:id="305"/>
    </w:p>
    <w:p w14:paraId="1A2F4841">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关于变更的范围的约定：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按通用条款执行</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42741C58">
      <w:pPr>
        <w:autoSpaceDE/>
        <w:autoSpaceDN/>
        <w:spacing w:before="94" w:line="360" w:lineRule="auto"/>
        <w:ind w:left="0" w:firstLine="414" w:firstLineChars="200"/>
        <w:outlineLvl w:val="2"/>
        <w:rPr>
          <w:rFonts w:ascii="宋体" w:hAnsi="宋体" w:eastAsia="宋体" w:cs="宋体"/>
          <w:color w:val="auto"/>
          <w:sz w:val="20"/>
          <w:szCs w:val="20"/>
          <w:highlight w:val="none"/>
        </w:rPr>
      </w:pPr>
      <w:bookmarkStart w:id="306" w:name="_Toc20802"/>
      <w:bookmarkStart w:id="307" w:name="_Toc25020"/>
      <w:bookmarkStart w:id="308" w:name="_Toc24283"/>
      <w:r>
        <w:rPr>
          <w:rFonts w:ascii="宋体" w:hAnsi="宋体" w:eastAsia="宋体" w:cs="宋体"/>
          <w:b/>
          <w:bCs/>
          <w:color w:val="auto"/>
          <w:spacing w:val="3"/>
          <w:sz w:val="20"/>
          <w:szCs w:val="20"/>
          <w:highlight w:val="none"/>
        </w:rPr>
        <w:t>10.3</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变更程序</w:t>
      </w:r>
      <w:bookmarkEnd w:id="306"/>
      <w:bookmarkEnd w:id="307"/>
      <w:bookmarkEnd w:id="308"/>
    </w:p>
    <w:p w14:paraId="7AB9654F">
      <w:pPr>
        <w:autoSpaceDE/>
        <w:autoSpaceDN/>
        <w:spacing w:before="93"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10.3.1 政府及国有投资项目：</w:t>
      </w:r>
    </w:p>
    <w:p w14:paraId="1E2CB35F">
      <w:pPr>
        <w:autoSpaceDE/>
        <w:autoSpaceDN/>
        <w:spacing w:before="93" w:line="360" w:lineRule="auto"/>
        <w:ind w:left="0" w:right="2" w:firstLine="444" w:firstLineChars="20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⑴设计变更和工程签证，按各市政府或相关部门的规定办理。</w:t>
      </w:r>
      <w:r>
        <w:rPr>
          <w:rFonts w:ascii="宋体" w:hAnsi="宋体" w:eastAsia="宋体" w:cs="宋体"/>
          <w:color w:val="auto"/>
          <w:spacing w:val="10"/>
          <w:sz w:val="20"/>
          <w:szCs w:val="20"/>
          <w:highlight w:val="none"/>
        </w:rPr>
        <w:t>属不可抗力（自然灾害、突</w:t>
      </w:r>
      <w:r>
        <w:rPr>
          <w:rFonts w:ascii="宋体" w:hAnsi="宋体" w:eastAsia="宋体" w:cs="宋体"/>
          <w:color w:val="auto"/>
          <w:spacing w:val="9"/>
          <w:sz w:val="20"/>
          <w:szCs w:val="20"/>
          <w:highlight w:val="none"/>
        </w:rPr>
        <w:t>发事件等）造成变更的，按特事特办原则予以办</w:t>
      </w:r>
      <w:r>
        <w:rPr>
          <w:rFonts w:ascii="宋体" w:hAnsi="宋体" w:eastAsia="宋体" w:cs="宋体"/>
          <w:color w:val="auto"/>
          <w:spacing w:val="8"/>
          <w:sz w:val="20"/>
          <w:szCs w:val="20"/>
          <w:highlight w:val="none"/>
        </w:rPr>
        <w:t>理。</w:t>
      </w:r>
    </w:p>
    <w:p w14:paraId="69D7CFC9">
      <w:pPr>
        <w:autoSpaceDE/>
        <w:autoSpaceDN/>
        <w:spacing w:before="31" w:line="360" w:lineRule="auto"/>
        <w:ind w:left="0" w:right="2" w:firstLine="444" w:firstLineChars="20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⑵建设单位在实施项目过程中，若发生单价变动，由建设单位</w:t>
      </w:r>
      <w:r>
        <w:rPr>
          <w:rFonts w:ascii="宋体" w:hAnsi="宋体" w:eastAsia="宋体" w:cs="宋体"/>
          <w:color w:val="auto"/>
          <w:spacing w:val="10"/>
          <w:sz w:val="20"/>
          <w:szCs w:val="20"/>
          <w:highlight w:val="none"/>
        </w:rPr>
        <w:t>、监理单位、施工单位及其</w:t>
      </w:r>
      <w:r>
        <w:rPr>
          <w:rFonts w:ascii="宋体" w:hAnsi="宋体" w:eastAsia="宋体" w:cs="宋体"/>
          <w:color w:val="auto"/>
          <w:spacing w:val="8"/>
          <w:sz w:val="20"/>
          <w:szCs w:val="20"/>
          <w:highlight w:val="none"/>
        </w:rPr>
        <w:t>他相关单位共同商定并签字确认。</w:t>
      </w:r>
    </w:p>
    <w:p w14:paraId="2407A1A5">
      <w:pPr>
        <w:autoSpaceDE/>
        <w:autoSpaceDN/>
        <w:spacing w:before="31" w:line="360" w:lineRule="auto"/>
        <w:ind w:left="0" w:right="2" w:firstLine="432" w:firstLineChars="200"/>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⑶ 当合同规定的合同价款调整情况发生后，承包人未在规定时间内通知发包人，或者未在</w:t>
      </w:r>
      <w:r>
        <w:rPr>
          <w:rFonts w:ascii="宋体" w:hAnsi="宋体" w:eastAsia="宋体" w:cs="宋体"/>
          <w:color w:val="auto"/>
          <w:spacing w:val="10"/>
          <w:sz w:val="20"/>
          <w:szCs w:val="20"/>
          <w:highlight w:val="none"/>
        </w:rPr>
        <w:t>规定时间内提出调整报告，发包人可以根据有关资料，决定是否调</w:t>
      </w:r>
      <w:r>
        <w:rPr>
          <w:rFonts w:ascii="宋体" w:hAnsi="宋体" w:eastAsia="宋体" w:cs="宋体"/>
          <w:color w:val="auto"/>
          <w:spacing w:val="9"/>
          <w:sz w:val="20"/>
          <w:szCs w:val="20"/>
          <w:highlight w:val="none"/>
        </w:rPr>
        <w:t>整和调整的金额，并书面通</w:t>
      </w:r>
      <w:r>
        <w:rPr>
          <w:rFonts w:ascii="宋体" w:hAnsi="宋体" w:eastAsia="宋体" w:cs="宋体"/>
          <w:color w:val="auto"/>
          <w:spacing w:val="5"/>
          <w:sz w:val="20"/>
          <w:szCs w:val="20"/>
          <w:highlight w:val="none"/>
        </w:rPr>
        <w:t>知承包人。</w:t>
      </w:r>
    </w:p>
    <w:p w14:paraId="41811F77">
      <w:pPr>
        <w:autoSpaceDE/>
        <w:autoSpaceDN/>
        <w:spacing w:before="30"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10.3.2 非国有投资项目：</w:t>
      </w:r>
      <w:r>
        <w:rPr>
          <w:rFonts w:ascii="宋体" w:hAnsi="宋体" w:eastAsia="宋体" w:cs="宋体"/>
          <w:color w:val="auto"/>
          <w:spacing w:val="30"/>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lang w:val="en-US" w:eastAsia="zh-CN"/>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4"/>
          <w:sz w:val="20"/>
          <w:szCs w:val="20"/>
          <w:highlight w:val="none"/>
        </w:rPr>
        <w:t>。</w:t>
      </w:r>
    </w:p>
    <w:p w14:paraId="69313A04">
      <w:pPr>
        <w:autoSpaceDE/>
        <w:autoSpaceDN/>
        <w:spacing w:before="94" w:line="360" w:lineRule="auto"/>
        <w:ind w:left="0" w:firstLine="414" w:firstLineChars="200"/>
        <w:outlineLvl w:val="2"/>
        <w:rPr>
          <w:rFonts w:ascii="宋体" w:hAnsi="宋体" w:eastAsia="宋体" w:cs="宋体"/>
          <w:color w:val="auto"/>
          <w:sz w:val="20"/>
          <w:szCs w:val="20"/>
          <w:highlight w:val="none"/>
        </w:rPr>
      </w:pPr>
      <w:bookmarkStart w:id="309" w:name="_Toc32688"/>
      <w:bookmarkStart w:id="310" w:name="_Toc761"/>
      <w:bookmarkStart w:id="311" w:name="_Toc26640"/>
      <w:r>
        <w:rPr>
          <w:rFonts w:ascii="宋体" w:hAnsi="宋体" w:eastAsia="宋体" w:cs="宋体"/>
          <w:b/>
          <w:bCs/>
          <w:color w:val="auto"/>
          <w:spacing w:val="3"/>
          <w:sz w:val="20"/>
          <w:szCs w:val="20"/>
          <w:highlight w:val="none"/>
        </w:rPr>
        <w:t>10.4</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变更估价</w:t>
      </w:r>
      <w:bookmarkEnd w:id="309"/>
      <w:bookmarkEnd w:id="310"/>
      <w:bookmarkEnd w:id="311"/>
    </w:p>
    <w:p w14:paraId="6ABDF1DB">
      <w:pPr>
        <w:autoSpaceDE/>
        <w:autoSpaceDN/>
        <w:spacing w:before="96"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10.4.1 变更估价原则</w:t>
      </w:r>
    </w:p>
    <w:p w14:paraId="6A757D78">
      <w:pPr>
        <w:autoSpaceDE/>
        <w:autoSpaceDN/>
        <w:spacing w:before="94" w:line="360" w:lineRule="auto"/>
        <w:ind w:left="0" w:firstLine="440" w:firstLineChars="20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 xml:space="preserve">关于变更估价的约定: </w:t>
      </w:r>
      <w:r>
        <w:rPr>
          <w:rFonts w:ascii="宋体" w:hAnsi="宋体" w:eastAsia="宋体" w:cs="宋体"/>
          <w:color w:val="auto"/>
          <w:spacing w:val="10"/>
          <w:sz w:val="20"/>
          <w:szCs w:val="20"/>
          <w:highlight w:val="none"/>
          <w:u w:val="single" w:color="auto"/>
        </w:rPr>
        <w:t>工程变更合同价款按下列方法进行</w:t>
      </w:r>
      <w:r>
        <w:rPr>
          <w:rFonts w:ascii="宋体" w:hAnsi="宋体" w:eastAsia="宋体" w:cs="宋体"/>
          <w:color w:val="auto"/>
          <w:spacing w:val="-21"/>
          <w:sz w:val="20"/>
          <w:szCs w:val="20"/>
          <w:highlight w:val="none"/>
          <w:u w:val="single" w:color="auto"/>
        </w:rPr>
        <w:t>：（</w:t>
      </w:r>
      <w:r>
        <w:rPr>
          <w:rFonts w:ascii="宋体" w:hAnsi="宋体" w:eastAsia="宋体" w:cs="宋体"/>
          <w:color w:val="auto"/>
          <w:spacing w:val="9"/>
          <w:sz w:val="20"/>
          <w:szCs w:val="20"/>
          <w:highlight w:val="none"/>
          <w:u w:val="single" w:color="auto"/>
        </w:rPr>
        <w:t>1）合同中已有相同清单项目</w:t>
      </w:r>
      <w:r>
        <w:rPr>
          <w:rFonts w:ascii="宋体" w:hAnsi="宋体" w:eastAsia="宋体" w:cs="宋体"/>
          <w:color w:val="auto"/>
          <w:spacing w:val="10"/>
          <w:sz w:val="20"/>
          <w:szCs w:val="20"/>
          <w:highlight w:val="none"/>
          <w:u w:val="single" w:color="auto"/>
        </w:rPr>
        <w:t>的，按合同该清单项目价格进行计算</w:t>
      </w:r>
      <w:r>
        <w:rPr>
          <w:rFonts w:ascii="宋体" w:hAnsi="宋体" w:eastAsia="宋体" w:cs="宋体"/>
          <w:color w:val="auto"/>
          <w:spacing w:val="-14"/>
          <w:sz w:val="20"/>
          <w:szCs w:val="20"/>
          <w:highlight w:val="none"/>
          <w:u w:val="single" w:color="auto"/>
        </w:rPr>
        <w:t>；（</w:t>
      </w:r>
      <w:r>
        <w:rPr>
          <w:rFonts w:ascii="宋体" w:hAnsi="宋体" w:eastAsia="宋体" w:cs="宋体"/>
          <w:color w:val="auto"/>
          <w:spacing w:val="10"/>
          <w:sz w:val="20"/>
          <w:szCs w:val="20"/>
          <w:highlight w:val="none"/>
          <w:u w:val="single" w:color="auto"/>
        </w:rPr>
        <w:t>2）合同中只有类似清单</w:t>
      </w:r>
      <w:r>
        <w:rPr>
          <w:rFonts w:ascii="宋体" w:hAnsi="宋体" w:eastAsia="宋体" w:cs="宋体"/>
          <w:color w:val="auto"/>
          <w:spacing w:val="9"/>
          <w:sz w:val="20"/>
          <w:szCs w:val="20"/>
          <w:highlight w:val="none"/>
          <w:u w:val="single" w:color="auto"/>
        </w:rPr>
        <w:t>项目的，参照该类似清单项目</w:t>
      </w:r>
      <w:r>
        <w:rPr>
          <w:rFonts w:ascii="宋体" w:hAnsi="宋体" w:eastAsia="宋体" w:cs="宋体"/>
          <w:color w:val="auto"/>
          <w:spacing w:val="5"/>
          <w:sz w:val="20"/>
          <w:szCs w:val="20"/>
          <w:highlight w:val="none"/>
          <w:u w:val="single" w:color="auto"/>
        </w:rPr>
        <w:t>价格进行计算</w:t>
      </w:r>
      <w:r>
        <w:rPr>
          <w:rFonts w:ascii="宋体" w:hAnsi="宋体" w:eastAsia="宋体" w:cs="宋体"/>
          <w:color w:val="auto"/>
          <w:spacing w:val="-46"/>
          <w:sz w:val="20"/>
          <w:szCs w:val="20"/>
          <w:highlight w:val="none"/>
          <w:u w:val="single" w:color="auto"/>
        </w:rPr>
        <w:t>；（</w:t>
      </w:r>
      <w:r>
        <w:rPr>
          <w:rFonts w:ascii="宋体" w:hAnsi="宋体" w:eastAsia="宋体" w:cs="宋体"/>
          <w:color w:val="auto"/>
          <w:spacing w:val="5"/>
          <w:sz w:val="20"/>
          <w:szCs w:val="20"/>
          <w:highlight w:val="none"/>
          <w:u w:val="single" w:color="auto"/>
        </w:rPr>
        <w:t>3）合同中没有适用或类似清单项目的价格计算方法：有定额的套定额，并</w:t>
      </w:r>
      <w:r>
        <w:rPr>
          <w:rFonts w:ascii="宋体" w:hAnsi="宋体" w:eastAsia="宋体" w:cs="宋体"/>
          <w:color w:val="auto"/>
          <w:spacing w:val="-70"/>
          <w:sz w:val="20"/>
          <w:szCs w:val="20"/>
          <w:highlight w:val="none"/>
          <w:u w:val="single" w:color="auto"/>
        </w:rPr>
        <w:t xml:space="preserve"> </w:t>
      </w:r>
      <w:r>
        <w:rPr>
          <w:rFonts w:ascii="宋体" w:hAnsi="宋体" w:eastAsia="宋体" w:cs="宋体"/>
          <w:color w:val="auto"/>
          <w:spacing w:val="7"/>
          <w:sz w:val="20"/>
          <w:szCs w:val="20"/>
          <w:highlight w:val="none"/>
          <w:u w:val="single" w:color="auto"/>
        </w:rPr>
        <w:t>乘以下浮系数</w:t>
      </w:r>
      <w:r>
        <w:rPr>
          <w:rFonts w:hint="eastAsia" w:ascii="宋体" w:hAnsi="宋体" w:eastAsia="宋体" w:cs="宋体"/>
          <w:color w:val="auto"/>
          <w:spacing w:val="7"/>
          <w:sz w:val="20"/>
          <w:szCs w:val="20"/>
          <w:highlight w:val="none"/>
          <w:u w:val="single" w:color="auto"/>
          <w:lang w:val="en-US" w:eastAsia="zh-CN"/>
        </w:rPr>
        <w:t>（下浮系数=签约合同价÷招标控制价）</w:t>
      </w:r>
      <w:r>
        <w:rPr>
          <w:rFonts w:ascii="宋体" w:hAnsi="宋体" w:eastAsia="宋体" w:cs="宋体"/>
          <w:color w:val="auto"/>
          <w:spacing w:val="7"/>
          <w:sz w:val="20"/>
          <w:szCs w:val="20"/>
          <w:highlight w:val="none"/>
          <w:u w:val="single" w:color="auto"/>
        </w:rPr>
        <w:t>计算，其中材料</w:t>
      </w:r>
      <w:r>
        <w:rPr>
          <w:rFonts w:hint="eastAsia" w:ascii="宋体" w:hAnsi="宋体" w:eastAsia="宋体" w:cs="宋体"/>
          <w:color w:val="auto"/>
          <w:spacing w:val="7"/>
          <w:sz w:val="20"/>
          <w:szCs w:val="20"/>
          <w:highlight w:val="none"/>
          <w:u w:val="single" w:color="auto"/>
        </w:rPr>
        <w:t>设备</w:t>
      </w:r>
      <w:r>
        <w:rPr>
          <w:rFonts w:ascii="宋体" w:hAnsi="宋体" w:eastAsia="宋体" w:cs="宋体"/>
          <w:color w:val="auto"/>
          <w:spacing w:val="7"/>
          <w:sz w:val="20"/>
          <w:szCs w:val="20"/>
          <w:highlight w:val="none"/>
          <w:u w:val="single" w:color="auto"/>
        </w:rPr>
        <w:t>价格按施工期间的《</w:t>
      </w:r>
      <w:r>
        <w:rPr>
          <w:rFonts w:hint="eastAsia" w:ascii="宋体" w:hAnsi="宋体" w:eastAsia="宋体" w:cs="宋体"/>
          <w:color w:val="auto"/>
          <w:spacing w:val="7"/>
          <w:sz w:val="20"/>
          <w:szCs w:val="20"/>
          <w:highlight w:val="none"/>
          <w:u w:val="single" w:color="auto"/>
          <w:lang w:val="en-US" w:eastAsia="zh-CN"/>
        </w:rPr>
        <w:t>崇左</w:t>
      </w:r>
      <w:r>
        <w:rPr>
          <w:rFonts w:ascii="宋体" w:hAnsi="宋体" w:eastAsia="宋体" w:cs="宋体"/>
          <w:color w:val="auto"/>
          <w:spacing w:val="7"/>
          <w:sz w:val="20"/>
          <w:szCs w:val="20"/>
          <w:highlight w:val="none"/>
          <w:u w:val="single" w:color="auto"/>
        </w:rPr>
        <w:t>市建设工程</w:t>
      </w:r>
      <w:r>
        <w:rPr>
          <w:rFonts w:ascii="宋体" w:hAnsi="宋体" w:eastAsia="宋体" w:cs="宋体"/>
          <w:color w:val="auto"/>
          <w:spacing w:val="9"/>
          <w:sz w:val="20"/>
          <w:szCs w:val="20"/>
          <w:highlight w:val="none"/>
          <w:u w:val="single" w:color="auto"/>
        </w:rPr>
        <w:t>造价信息》</w:t>
      </w:r>
      <w:r>
        <w:rPr>
          <w:rFonts w:hint="eastAsia" w:ascii="宋体" w:hAnsi="宋体" w:eastAsia="宋体" w:cs="宋体"/>
          <w:color w:val="auto"/>
          <w:spacing w:val="9"/>
          <w:sz w:val="20"/>
          <w:szCs w:val="20"/>
          <w:highlight w:val="none"/>
          <w:u w:val="single" w:color="auto"/>
          <w:lang w:eastAsia="zh-CN"/>
        </w:rPr>
        <w:t>（</w:t>
      </w:r>
      <w:r>
        <w:rPr>
          <w:rFonts w:hint="eastAsia" w:ascii="宋体" w:hAnsi="宋体" w:eastAsia="宋体" w:cs="宋体"/>
          <w:color w:val="auto"/>
          <w:spacing w:val="9"/>
          <w:sz w:val="20"/>
          <w:szCs w:val="20"/>
          <w:highlight w:val="none"/>
          <w:u w:val="single" w:color="auto"/>
          <w:lang w:val="en-US" w:eastAsia="zh-CN"/>
        </w:rPr>
        <w:t>大新县</w:t>
      </w:r>
      <w:r>
        <w:rPr>
          <w:rFonts w:hint="eastAsia" w:ascii="宋体" w:hAnsi="宋体" w:eastAsia="宋体" w:cs="宋体"/>
          <w:color w:val="auto"/>
          <w:spacing w:val="9"/>
          <w:sz w:val="20"/>
          <w:szCs w:val="20"/>
          <w:highlight w:val="none"/>
          <w:u w:val="single" w:color="auto"/>
          <w:lang w:eastAsia="zh-CN"/>
        </w:rPr>
        <w:t>）</w:t>
      </w:r>
      <w:r>
        <w:rPr>
          <w:rFonts w:ascii="宋体" w:hAnsi="宋体" w:eastAsia="宋体" w:cs="宋体"/>
          <w:color w:val="auto"/>
          <w:spacing w:val="9"/>
          <w:sz w:val="20"/>
          <w:szCs w:val="20"/>
          <w:highlight w:val="none"/>
          <w:u w:val="single" w:color="auto"/>
        </w:rPr>
        <w:t>相应价格信息进行计算；《</w:t>
      </w:r>
      <w:r>
        <w:rPr>
          <w:rFonts w:hint="eastAsia" w:ascii="宋体" w:hAnsi="宋体" w:eastAsia="宋体" w:cs="宋体"/>
          <w:color w:val="auto"/>
          <w:spacing w:val="9"/>
          <w:sz w:val="20"/>
          <w:szCs w:val="20"/>
          <w:highlight w:val="none"/>
          <w:u w:val="single" w:color="auto"/>
          <w:lang w:val="en-US" w:eastAsia="zh-CN"/>
        </w:rPr>
        <w:t>崇左</w:t>
      </w:r>
      <w:r>
        <w:rPr>
          <w:rFonts w:ascii="宋体" w:hAnsi="宋体" w:eastAsia="宋体" w:cs="宋体"/>
          <w:color w:val="auto"/>
          <w:spacing w:val="9"/>
          <w:sz w:val="20"/>
          <w:szCs w:val="20"/>
          <w:highlight w:val="none"/>
          <w:u w:val="single" w:color="auto"/>
        </w:rPr>
        <w:t>市建设工程造价信息》</w:t>
      </w:r>
      <w:r>
        <w:rPr>
          <w:rFonts w:hint="eastAsia" w:ascii="宋体" w:hAnsi="宋体" w:eastAsia="宋体" w:cs="宋体"/>
          <w:color w:val="auto"/>
          <w:spacing w:val="9"/>
          <w:sz w:val="20"/>
          <w:szCs w:val="20"/>
          <w:highlight w:val="none"/>
          <w:u w:val="single" w:color="auto"/>
          <w:lang w:eastAsia="zh-CN"/>
        </w:rPr>
        <w:t>（</w:t>
      </w:r>
      <w:r>
        <w:rPr>
          <w:rFonts w:hint="eastAsia" w:ascii="宋体" w:hAnsi="宋体" w:eastAsia="宋体" w:cs="宋体"/>
          <w:color w:val="auto"/>
          <w:spacing w:val="9"/>
          <w:sz w:val="20"/>
          <w:szCs w:val="20"/>
          <w:highlight w:val="none"/>
          <w:u w:val="single" w:color="auto"/>
          <w:lang w:val="en-US" w:eastAsia="zh-CN"/>
        </w:rPr>
        <w:t>大新县</w:t>
      </w:r>
      <w:r>
        <w:rPr>
          <w:rFonts w:hint="eastAsia" w:ascii="宋体" w:hAnsi="宋体" w:eastAsia="宋体" w:cs="宋体"/>
          <w:color w:val="auto"/>
          <w:spacing w:val="9"/>
          <w:sz w:val="20"/>
          <w:szCs w:val="20"/>
          <w:highlight w:val="none"/>
          <w:u w:val="single" w:color="auto"/>
          <w:lang w:eastAsia="zh-CN"/>
        </w:rPr>
        <w:t>）</w:t>
      </w:r>
      <w:r>
        <w:rPr>
          <w:rFonts w:ascii="宋体" w:hAnsi="宋体" w:eastAsia="宋体" w:cs="宋体"/>
          <w:color w:val="auto"/>
          <w:spacing w:val="9"/>
          <w:sz w:val="20"/>
          <w:szCs w:val="20"/>
          <w:highlight w:val="none"/>
          <w:u w:val="single" w:color="auto"/>
        </w:rPr>
        <w:t>没有相应价格信息的</w:t>
      </w:r>
      <w:r>
        <w:rPr>
          <w:rFonts w:hint="eastAsia" w:ascii="宋体" w:hAnsi="宋体" w:eastAsia="宋体" w:cs="宋体"/>
          <w:color w:val="auto"/>
          <w:spacing w:val="9"/>
          <w:sz w:val="20"/>
          <w:szCs w:val="20"/>
          <w:highlight w:val="none"/>
          <w:u w:val="single" w:color="auto"/>
          <w:lang w:eastAsia="zh-CN"/>
        </w:rPr>
        <w:t>，</w:t>
      </w:r>
      <w:r>
        <w:rPr>
          <w:rFonts w:hint="eastAsia" w:ascii="宋体" w:hAnsi="宋体" w:eastAsia="宋体" w:cs="宋体"/>
          <w:color w:val="auto"/>
          <w:spacing w:val="9"/>
          <w:sz w:val="20"/>
          <w:szCs w:val="20"/>
          <w:highlight w:val="none"/>
          <w:u w:val="single" w:color="auto"/>
          <w:lang w:val="en-US" w:eastAsia="zh-CN"/>
        </w:rPr>
        <w:t>参照参照崇左市、柳州市、南宁市信息价，若无信息价参考，由发包人、承包人、监理单位或造价咨询单位根据市场行情协商确定；无定额可套的，由发包人、承包人、监理单位或造价咨询单位根据市场行情协商确定包含除税金以外所有费用的税前综合价格。以上约定同时适用于招标工程量清单缺项以及工程量清单项目特征与图纸不符时的价款确定</w:t>
      </w:r>
      <w:r>
        <w:rPr>
          <w:rFonts w:ascii="宋体" w:hAnsi="宋体" w:eastAsia="宋体" w:cs="宋体"/>
          <w:color w:val="auto"/>
          <w:spacing w:val="6"/>
          <w:sz w:val="20"/>
          <w:szCs w:val="20"/>
          <w:highlight w:val="none"/>
        </w:rPr>
        <w:t>。</w:t>
      </w:r>
    </w:p>
    <w:p w14:paraId="1A7448F4">
      <w:pPr>
        <w:autoSpaceDE/>
        <w:autoSpaceDN/>
        <w:spacing w:before="34" w:line="360" w:lineRule="auto"/>
        <w:ind w:left="0" w:right="60" w:firstLine="440" w:firstLineChars="20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u w:val="single" w:color="auto"/>
        </w:rPr>
        <w:t>工程变更导致实际完成的变更工程量与已标价清单或预算书</w:t>
      </w:r>
      <w:r>
        <w:rPr>
          <w:rFonts w:ascii="宋体" w:hAnsi="宋体" w:eastAsia="宋体" w:cs="宋体"/>
          <w:color w:val="auto"/>
          <w:spacing w:val="9"/>
          <w:sz w:val="20"/>
          <w:szCs w:val="20"/>
          <w:highlight w:val="none"/>
          <w:u w:val="single" w:color="auto"/>
        </w:rPr>
        <w:t>中列明的该项目工程量有偏差</w:t>
      </w:r>
      <w:r>
        <w:rPr>
          <w:rFonts w:ascii="宋体" w:hAnsi="宋体" w:eastAsia="宋体" w:cs="宋体"/>
          <w:color w:val="auto"/>
          <w:spacing w:val="7"/>
          <w:sz w:val="20"/>
          <w:szCs w:val="20"/>
          <w:highlight w:val="none"/>
          <w:u w:val="single" w:color="auto"/>
        </w:rPr>
        <w:t>时，其综合单价的确定按专用条款“</w:t>
      </w:r>
      <w:r>
        <w:rPr>
          <w:rFonts w:ascii="宋体" w:hAnsi="宋体" w:eastAsia="宋体" w:cs="宋体"/>
          <w:color w:val="auto"/>
          <w:spacing w:val="-60"/>
          <w:sz w:val="20"/>
          <w:szCs w:val="20"/>
          <w:highlight w:val="none"/>
          <w:u w:val="single" w:color="auto"/>
        </w:rPr>
        <w:t xml:space="preserve"> </w:t>
      </w:r>
      <w:r>
        <w:rPr>
          <w:rFonts w:ascii="宋体" w:hAnsi="宋体" w:eastAsia="宋体" w:cs="宋体"/>
          <w:color w:val="auto"/>
          <w:spacing w:val="7"/>
          <w:sz w:val="20"/>
          <w:szCs w:val="20"/>
          <w:highlight w:val="none"/>
          <w:u w:val="single" w:color="auto"/>
        </w:rPr>
        <w:t>1.13</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7"/>
          <w:sz w:val="20"/>
          <w:szCs w:val="20"/>
          <w:highlight w:val="none"/>
          <w:u w:val="single" w:color="auto"/>
        </w:rPr>
        <w:t>工程量清单错误的修正</w:t>
      </w:r>
      <w:r>
        <w:rPr>
          <w:rFonts w:ascii="宋体" w:hAnsi="宋体" w:eastAsia="宋体" w:cs="宋体"/>
          <w:color w:val="auto"/>
          <w:spacing w:val="-70"/>
          <w:sz w:val="20"/>
          <w:szCs w:val="20"/>
          <w:highlight w:val="none"/>
          <w:u w:val="single" w:color="auto"/>
        </w:rPr>
        <w:t xml:space="preserve"> </w:t>
      </w:r>
      <w:r>
        <w:rPr>
          <w:rFonts w:ascii="宋体" w:hAnsi="宋体" w:eastAsia="宋体" w:cs="宋体"/>
          <w:color w:val="auto"/>
          <w:spacing w:val="7"/>
          <w:sz w:val="20"/>
          <w:szCs w:val="20"/>
          <w:highlight w:val="none"/>
          <w:u w:val="single" w:color="auto"/>
        </w:rPr>
        <w:t>”执行。</w:t>
      </w:r>
    </w:p>
    <w:p w14:paraId="703642D1">
      <w:pPr>
        <w:autoSpaceDE/>
        <w:autoSpaceDN/>
        <w:spacing w:before="31" w:line="360" w:lineRule="auto"/>
        <w:ind w:left="0" w:firstLine="422" w:firstLineChars="200"/>
        <w:outlineLvl w:val="2"/>
        <w:rPr>
          <w:rFonts w:ascii="宋体" w:hAnsi="宋体" w:eastAsia="宋体" w:cs="宋体"/>
          <w:color w:val="auto"/>
          <w:sz w:val="20"/>
          <w:szCs w:val="20"/>
          <w:highlight w:val="none"/>
        </w:rPr>
      </w:pPr>
      <w:bookmarkStart w:id="312" w:name="_Toc21370"/>
      <w:bookmarkStart w:id="313" w:name="_Toc6183"/>
      <w:bookmarkStart w:id="314" w:name="_Toc29381"/>
      <w:r>
        <w:rPr>
          <w:rFonts w:ascii="宋体" w:hAnsi="宋体" w:eastAsia="宋体" w:cs="宋体"/>
          <w:b/>
          <w:bCs/>
          <w:color w:val="auto"/>
          <w:spacing w:val="5"/>
          <w:sz w:val="20"/>
          <w:szCs w:val="20"/>
          <w:highlight w:val="none"/>
        </w:rPr>
        <w:t>10.5</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承包人的合理化建议</w:t>
      </w:r>
      <w:bookmarkEnd w:id="312"/>
      <w:bookmarkEnd w:id="313"/>
      <w:bookmarkEnd w:id="314"/>
    </w:p>
    <w:p w14:paraId="352B3865">
      <w:pPr>
        <w:autoSpaceDE/>
        <w:autoSpaceDN/>
        <w:spacing w:before="94"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监理人审查承包人合理化建议的期限：</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按通用条款执行</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421E7E38">
      <w:pPr>
        <w:autoSpaceDE/>
        <w:autoSpaceDN/>
        <w:spacing w:before="93" w:line="360" w:lineRule="auto"/>
        <w:ind w:left="0" w:firstLine="428" w:firstLineChars="200"/>
        <w:rPr>
          <w:rFonts w:ascii="宋体" w:hAnsi="宋体" w:eastAsia="宋体" w:cs="宋体"/>
          <w:color w:val="auto"/>
          <w:spacing w:val="6"/>
          <w:sz w:val="20"/>
          <w:szCs w:val="20"/>
          <w:highlight w:val="none"/>
        </w:rPr>
      </w:pPr>
      <w:r>
        <w:rPr>
          <w:rFonts w:ascii="宋体" w:hAnsi="宋体" w:eastAsia="宋体" w:cs="宋体"/>
          <w:color w:val="auto"/>
          <w:spacing w:val="7"/>
          <w:sz w:val="20"/>
          <w:szCs w:val="20"/>
          <w:highlight w:val="none"/>
        </w:rPr>
        <w:t>发包人审批承包人合理化建议的期限：</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按通用条款执行</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48406583">
      <w:pPr>
        <w:autoSpaceDE/>
        <w:autoSpaceDN/>
        <w:spacing w:before="40" w:line="360" w:lineRule="auto"/>
        <w:ind w:left="0" w:right="321" w:firstLine="440" w:firstLineChars="20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承包人提出的合理化建议降低了合同价格或者提高了工程经</w:t>
      </w:r>
      <w:r>
        <w:rPr>
          <w:rFonts w:ascii="宋体" w:hAnsi="宋体" w:eastAsia="宋体" w:cs="宋体"/>
          <w:color w:val="auto"/>
          <w:spacing w:val="9"/>
          <w:sz w:val="20"/>
          <w:szCs w:val="20"/>
          <w:highlight w:val="none"/>
        </w:rPr>
        <w:t>济效益的奖励的方法和金额</w:t>
      </w:r>
      <w:r>
        <w:rPr>
          <w:rFonts w:ascii="宋体" w:hAnsi="宋体" w:eastAsia="宋体" w:cs="宋体"/>
          <w:color w:val="auto"/>
          <w:spacing w:val="2"/>
          <w:sz w:val="20"/>
          <w:szCs w:val="20"/>
          <w:highlight w:val="none"/>
        </w:rPr>
        <w:t>为：</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按通用条款执行</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w:t>
      </w:r>
    </w:p>
    <w:p w14:paraId="4FE65B7B">
      <w:pPr>
        <w:autoSpaceDE/>
        <w:autoSpaceDN/>
        <w:spacing w:before="30" w:line="360" w:lineRule="auto"/>
        <w:ind w:left="0" w:firstLine="402" w:firstLineChars="200"/>
        <w:outlineLvl w:val="2"/>
        <w:rPr>
          <w:rFonts w:ascii="宋体" w:hAnsi="宋体" w:eastAsia="宋体" w:cs="宋体"/>
          <w:color w:val="auto"/>
          <w:sz w:val="20"/>
          <w:szCs w:val="20"/>
          <w:highlight w:val="none"/>
        </w:rPr>
      </w:pPr>
      <w:bookmarkStart w:id="315" w:name="_Toc15877"/>
      <w:bookmarkStart w:id="316" w:name="_Toc5305"/>
      <w:bookmarkStart w:id="317" w:name="_Toc8859"/>
      <w:r>
        <w:rPr>
          <w:rFonts w:ascii="宋体" w:hAnsi="宋体" w:eastAsia="宋体" w:cs="宋体"/>
          <w:b/>
          <w:bCs/>
          <w:color w:val="auto"/>
          <w:sz w:val="20"/>
          <w:szCs w:val="20"/>
          <w:highlight w:val="none"/>
        </w:rPr>
        <w:t>10.7</w:t>
      </w:r>
      <w:r>
        <w:rPr>
          <w:rFonts w:ascii="宋体" w:hAnsi="宋体" w:eastAsia="宋体" w:cs="宋体"/>
          <w:color w:val="auto"/>
          <w:spacing w:val="20"/>
          <w:sz w:val="20"/>
          <w:szCs w:val="20"/>
          <w:highlight w:val="none"/>
        </w:rPr>
        <w:t xml:space="preserve"> </w:t>
      </w:r>
      <w:r>
        <w:rPr>
          <w:rFonts w:ascii="宋体" w:hAnsi="宋体" w:eastAsia="宋体" w:cs="宋体"/>
          <w:b/>
          <w:bCs/>
          <w:color w:val="auto"/>
          <w:sz w:val="20"/>
          <w:szCs w:val="20"/>
          <w:highlight w:val="none"/>
        </w:rPr>
        <w:t>暂估价</w:t>
      </w:r>
      <w:bookmarkEnd w:id="315"/>
      <w:bookmarkEnd w:id="316"/>
      <w:bookmarkEnd w:id="317"/>
    </w:p>
    <w:p w14:paraId="504F45EF">
      <w:pPr>
        <w:autoSpaceDE/>
        <w:autoSpaceDN/>
        <w:spacing w:before="96" w:line="360" w:lineRule="auto"/>
        <w:ind w:left="0" w:right="109" w:firstLine="440" w:firstLineChars="20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暂估价材料和工程设备的明细详见已标价工程量清</w:t>
      </w:r>
      <w:r>
        <w:rPr>
          <w:rFonts w:ascii="宋体" w:hAnsi="宋体" w:eastAsia="宋体" w:cs="宋体"/>
          <w:color w:val="auto"/>
          <w:spacing w:val="9"/>
          <w:sz w:val="20"/>
          <w:szCs w:val="20"/>
          <w:highlight w:val="none"/>
        </w:rPr>
        <w:t>单《材料（工程设备）暂估价格及调整</w:t>
      </w:r>
      <w:r>
        <w:rPr>
          <w:rFonts w:ascii="宋体" w:hAnsi="宋体" w:eastAsia="宋体" w:cs="宋体"/>
          <w:color w:val="auto"/>
          <w:spacing w:val="6"/>
          <w:sz w:val="20"/>
          <w:szCs w:val="20"/>
          <w:highlight w:val="none"/>
        </w:rPr>
        <w:t>表》（表</w:t>
      </w:r>
      <w:r>
        <w:rPr>
          <w:rFonts w:ascii="宋体" w:hAnsi="宋体" w:eastAsia="宋体" w:cs="宋体"/>
          <w:color w:val="auto"/>
          <w:spacing w:val="-24"/>
          <w:sz w:val="20"/>
          <w:szCs w:val="20"/>
          <w:highlight w:val="none"/>
        </w:rPr>
        <w:t xml:space="preserve"> </w:t>
      </w:r>
      <w:r>
        <w:rPr>
          <w:rFonts w:ascii="宋体" w:hAnsi="宋体" w:eastAsia="宋体" w:cs="宋体"/>
          <w:color w:val="auto"/>
          <w:spacing w:val="6"/>
          <w:sz w:val="20"/>
          <w:szCs w:val="20"/>
          <w:highlight w:val="none"/>
        </w:rPr>
        <w:t>12-2）和《专业工程暂估价表》（表</w:t>
      </w:r>
      <w:r>
        <w:rPr>
          <w:rFonts w:ascii="宋体" w:hAnsi="宋体" w:eastAsia="宋体" w:cs="宋体"/>
          <w:color w:val="auto"/>
          <w:spacing w:val="-23"/>
          <w:sz w:val="20"/>
          <w:szCs w:val="20"/>
          <w:highlight w:val="none"/>
        </w:rPr>
        <w:t xml:space="preserve"> </w:t>
      </w:r>
      <w:r>
        <w:rPr>
          <w:rFonts w:ascii="宋体" w:hAnsi="宋体" w:eastAsia="宋体" w:cs="宋体"/>
          <w:color w:val="auto"/>
          <w:spacing w:val="6"/>
          <w:sz w:val="20"/>
          <w:szCs w:val="20"/>
          <w:highlight w:val="none"/>
        </w:rPr>
        <w:t>1</w:t>
      </w:r>
      <w:r>
        <w:rPr>
          <w:rFonts w:ascii="宋体" w:hAnsi="宋体" w:eastAsia="宋体" w:cs="宋体"/>
          <w:color w:val="auto"/>
          <w:spacing w:val="5"/>
          <w:sz w:val="20"/>
          <w:szCs w:val="20"/>
          <w:highlight w:val="none"/>
        </w:rPr>
        <w:t>2-3）。</w:t>
      </w:r>
    </w:p>
    <w:p w14:paraId="557F5598">
      <w:pPr>
        <w:autoSpaceDE/>
        <w:autoSpaceDN/>
        <w:spacing w:before="33"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10.7.1 依法必须招标的暂估价项目</w:t>
      </w:r>
    </w:p>
    <w:p w14:paraId="717C9AA3">
      <w:pPr>
        <w:autoSpaceDE/>
        <w:autoSpaceDN/>
        <w:spacing w:before="93"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对于依法必须招标的暂估价项目的确认和批准采取第</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75"/>
          <w:sz w:val="20"/>
          <w:szCs w:val="20"/>
          <w:highlight w:val="none"/>
          <w:u w:val="single" w:color="auto"/>
        </w:rPr>
        <w:t xml:space="preserve"> </w:t>
      </w:r>
      <w:r>
        <w:rPr>
          <w:rFonts w:ascii="宋体" w:hAnsi="宋体" w:eastAsia="宋体" w:cs="宋体"/>
          <w:color w:val="auto"/>
          <w:spacing w:val="8"/>
          <w:sz w:val="20"/>
          <w:szCs w:val="20"/>
          <w:highlight w:val="none"/>
        </w:rPr>
        <w:t>种方式确定。</w:t>
      </w:r>
    </w:p>
    <w:p w14:paraId="64EB2845">
      <w:pPr>
        <w:autoSpaceDE/>
        <w:autoSpaceDN/>
        <w:spacing w:before="96"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10.7.2 不属于依法必须招标的暂估价项目</w:t>
      </w:r>
    </w:p>
    <w:p w14:paraId="47694980">
      <w:pPr>
        <w:autoSpaceDE/>
        <w:autoSpaceDN/>
        <w:spacing w:before="96" w:line="360" w:lineRule="auto"/>
        <w:ind w:left="0" w:right="1195" w:firstLine="432" w:firstLineChars="200"/>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对于不属于依法必须招标的暂估价项目的确认和批准采取第</w:t>
      </w:r>
      <w:r>
        <w:rPr>
          <w:rFonts w:ascii="宋体" w:hAnsi="宋体" w:eastAsia="宋体" w:cs="宋体"/>
          <w:color w:val="auto"/>
          <w:spacing w:val="-94"/>
          <w:sz w:val="20"/>
          <w:szCs w:val="20"/>
          <w:highlight w:val="none"/>
        </w:rPr>
        <w:t xml:space="preserve"> </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
          <w:sz w:val="20"/>
          <w:szCs w:val="20"/>
          <w:highlight w:val="none"/>
        </w:rPr>
        <w:t xml:space="preserve"> 种方式确定。</w:t>
      </w:r>
    </w:p>
    <w:p w14:paraId="6CDE1940">
      <w:pPr>
        <w:autoSpaceDE/>
        <w:autoSpaceDN/>
        <w:spacing w:before="96" w:line="360" w:lineRule="auto"/>
        <w:ind w:left="0" w:right="1195"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第</w:t>
      </w:r>
      <w:r>
        <w:rPr>
          <w:rFonts w:ascii="宋体" w:hAnsi="宋体" w:eastAsia="宋体" w:cs="宋体"/>
          <w:color w:val="auto"/>
          <w:spacing w:val="-35"/>
          <w:sz w:val="20"/>
          <w:szCs w:val="20"/>
          <w:highlight w:val="none"/>
        </w:rPr>
        <w:t xml:space="preserve"> </w:t>
      </w:r>
      <w:r>
        <w:rPr>
          <w:rFonts w:ascii="宋体" w:hAnsi="宋体" w:eastAsia="宋体" w:cs="宋体"/>
          <w:color w:val="auto"/>
          <w:spacing w:val="8"/>
          <w:sz w:val="20"/>
          <w:szCs w:val="20"/>
          <w:highlight w:val="none"/>
        </w:rPr>
        <w:t>3</w:t>
      </w:r>
      <w:r>
        <w:rPr>
          <w:rFonts w:ascii="宋体" w:hAnsi="宋体" w:eastAsia="宋体" w:cs="宋体"/>
          <w:color w:val="auto"/>
          <w:spacing w:val="-38"/>
          <w:sz w:val="20"/>
          <w:szCs w:val="20"/>
          <w:highlight w:val="none"/>
        </w:rPr>
        <w:t xml:space="preserve"> </w:t>
      </w:r>
      <w:r>
        <w:rPr>
          <w:rFonts w:ascii="宋体" w:hAnsi="宋体" w:eastAsia="宋体" w:cs="宋体"/>
          <w:color w:val="auto"/>
          <w:spacing w:val="8"/>
          <w:sz w:val="20"/>
          <w:szCs w:val="20"/>
          <w:highlight w:val="none"/>
        </w:rPr>
        <w:t>种方式：承包人直接实施的暂估价项目</w:t>
      </w:r>
    </w:p>
    <w:p w14:paraId="5F5AFFE3">
      <w:pPr>
        <w:autoSpaceDE/>
        <w:autoSpaceDN/>
        <w:spacing w:before="34"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承包人直接实施的暂估价项目的约定：</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报经报经发包人同意之后方可实施</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5B2188EB">
      <w:pPr>
        <w:autoSpaceDE/>
        <w:autoSpaceDN/>
        <w:spacing w:before="93" w:line="360" w:lineRule="auto"/>
        <w:ind w:left="0" w:firstLine="406" w:firstLineChars="200"/>
        <w:outlineLvl w:val="2"/>
        <w:rPr>
          <w:rFonts w:ascii="宋体" w:hAnsi="宋体" w:eastAsia="宋体" w:cs="宋体"/>
          <w:color w:val="auto"/>
          <w:sz w:val="20"/>
          <w:szCs w:val="20"/>
          <w:highlight w:val="none"/>
        </w:rPr>
      </w:pPr>
      <w:bookmarkStart w:id="318" w:name="_Toc5288"/>
      <w:bookmarkStart w:id="319" w:name="_Toc19881"/>
      <w:bookmarkStart w:id="320" w:name="_Toc6763"/>
      <w:r>
        <w:rPr>
          <w:rFonts w:ascii="宋体" w:hAnsi="宋体" w:eastAsia="宋体" w:cs="宋体"/>
          <w:b/>
          <w:bCs/>
          <w:color w:val="auto"/>
          <w:spacing w:val="1"/>
          <w:sz w:val="20"/>
          <w:szCs w:val="20"/>
          <w:highlight w:val="none"/>
        </w:rPr>
        <w:t>10.8</w:t>
      </w:r>
      <w:r>
        <w:rPr>
          <w:rFonts w:ascii="宋体" w:hAnsi="宋体" w:eastAsia="宋体" w:cs="宋体"/>
          <w:color w:val="auto"/>
          <w:spacing w:val="21"/>
          <w:sz w:val="20"/>
          <w:szCs w:val="20"/>
          <w:highlight w:val="none"/>
        </w:rPr>
        <w:t xml:space="preserve"> </w:t>
      </w:r>
      <w:r>
        <w:rPr>
          <w:rFonts w:ascii="宋体" w:hAnsi="宋体" w:eastAsia="宋体" w:cs="宋体"/>
          <w:b/>
          <w:bCs/>
          <w:color w:val="auto"/>
          <w:spacing w:val="1"/>
          <w:sz w:val="20"/>
          <w:szCs w:val="20"/>
          <w:highlight w:val="none"/>
        </w:rPr>
        <w:t>暂列金额</w:t>
      </w:r>
      <w:bookmarkEnd w:id="318"/>
      <w:bookmarkEnd w:id="319"/>
      <w:bookmarkEnd w:id="320"/>
    </w:p>
    <w:p w14:paraId="021A5AEB">
      <w:pPr>
        <w:autoSpaceDE/>
        <w:autoSpaceDN/>
        <w:spacing w:before="96"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合同当事人关于暂列金额使用的约定：</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以发包人要求为准，内容详见工程量清单</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78755281">
      <w:pPr>
        <w:autoSpaceDE/>
        <w:autoSpaceDN/>
        <w:spacing w:before="152" w:line="360" w:lineRule="auto"/>
        <w:ind w:left="0" w:firstLine="406" w:firstLineChars="200"/>
        <w:outlineLvl w:val="1"/>
        <w:rPr>
          <w:rFonts w:ascii="宋体" w:hAnsi="宋体" w:eastAsia="宋体" w:cs="宋体"/>
          <w:color w:val="auto"/>
          <w:sz w:val="20"/>
          <w:szCs w:val="20"/>
          <w:highlight w:val="none"/>
        </w:rPr>
      </w:pPr>
      <w:bookmarkStart w:id="321" w:name="_Toc5564"/>
      <w:bookmarkStart w:id="322" w:name="_Toc30576"/>
      <w:bookmarkStart w:id="323" w:name="_Toc11773"/>
      <w:r>
        <w:rPr>
          <w:rFonts w:ascii="宋体" w:hAnsi="宋体" w:eastAsia="宋体" w:cs="宋体"/>
          <w:b/>
          <w:bCs/>
          <w:color w:val="auto"/>
          <w:spacing w:val="1"/>
          <w:sz w:val="20"/>
          <w:szCs w:val="20"/>
          <w:highlight w:val="none"/>
        </w:rPr>
        <w:t>11.</w:t>
      </w:r>
      <w:r>
        <w:rPr>
          <w:rFonts w:ascii="宋体" w:hAnsi="宋体" w:eastAsia="宋体" w:cs="宋体"/>
          <w:color w:val="auto"/>
          <w:spacing w:val="18"/>
          <w:sz w:val="20"/>
          <w:szCs w:val="20"/>
          <w:highlight w:val="none"/>
        </w:rPr>
        <w:t xml:space="preserve"> </w:t>
      </w:r>
      <w:r>
        <w:rPr>
          <w:rFonts w:ascii="宋体" w:hAnsi="宋体" w:eastAsia="宋体" w:cs="宋体"/>
          <w:b/>
          <w:bCs/>
          <w:color w:val="auto"/>
          <w:spacing w:val="1"/>
          <w:sz w:val="20"/>
          <w:szCs w:val="20"/>
          <w:highlight w:val="none"/>
        </w:rPr>
        <w:t>价格调整</w:t>
      </w:r>
      <w:bookmarkEnd w:id="321"/>
      <w:bookmarkEnd w:id="322"/>
      <w:bookmarkEnd w:id="323"/>
    </w:p>
    <w:p w14:paraId="6FBA2E5F">
      <w:pPr>
        <w:autoSpaceDE/>
        <w:autoSpaceDN/>
        <w:spacing w:before="156"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①法律变化引起的调整；</w:t>
      </w:r>
    </w:p>
    <w:p w14:paraId="70D09FF9">
      <w:pPr>
        <w:autoSpaceDE/>
        <w:autoSpaceDN/>
        <w:spacing w:before="97" w:line="360" w:lineRule="auto"/>
        <w:ind w:left="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②工程变更、项目特征不符、工程量清单缺项、工程量偏差引起的调整；</w:t>
      </w:r>
    </w:p>
    <w:p w14:paraId="3EEE2DF0">
      <w:pPr>
        <w:autoSpaceDE/>
        <w:autoSpaceDN/>
        <w:spacing w:before="97"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③计日工引起的调整。</w:t>
      </w:r>
    </w:p>
    <w:p w14:paraId="0485434B">
      <w:pPr>
        <w:autoSpaceDE/>
        <w:autoSpaceDN/>
        <w:spacing w:before="97" w:line="360" w:lineRule="auto"/>
        <w:ind w:left="0" w:firstLine="422" w:firstLineChars="200"/>
        <w:outlineLvl w:val="2"/>
        <w:rPr>
          <w:rFonts w:ascii="宋体" w:hAnsi="宋体" w:eastAsia="宋体" w:cs="宋体"/>
          <w:color w:val="auto"/>
          <w:sz w:val="20"/>
          <w:szCs w:val="20"/>
          <w:highlight w:val="none"/>
        </w:rPr>
      </w:pPr>
      <w:bookmarkStart w:id="324" w:name="_Toc10871"/>
      <w:bookmarkStart w:id="325" w:name="_Toc17332"/>
      <w:bookmarkStart w:id="326" w:name="_Toc10246"/>
      <w:r>
        <w:rPr>
          <w:rFonts w:ascii="宋体" w:hAnsi="宋体" w:eastAsia="宋体" w:cs="宋体"/>
          <w:b/>
          <w:bCs/>
          <w:color w:val="auto"/>
          <w:spacing w:val="5"/>
          <w:sz w:val="20"/>
          <w:szCs w:val="20"/>
          <w:highlight w:val="none"/>
        </w:rPr>
        <w:t>11.1</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市场价格波动引起的调整</w:t>
      </w:r>
      <w:bookmarkEnd w:id="324"/>
      <w:bookmarkEnd w:id="325"/>
      <w:bookmarkEnd w:id="326"/>
    </w:p>
    <w:p w14:paraId="0F0604C9">
      <w:pPr>
        <w:autoSpaceDE/>
        <w:autoSpaceDN/>
        <w:spacing w:before="95" w:line="360" w:lineRule="auto"/>
        <w:ind w:left="0" w:right="110" w:firstLine="440" w:firstLineChars="200"/>
        <w:rPr>
          <w:rFonts w:ascii="宋体" w:hAnsi="宋体" w:eastAsia="宋体" w:cs="宋体"/>
          <w:color w:val="auto"/>
          <w:spacing w:val="10"/>
          <w:sz w:val="20"/>
          <w:szCs w:val="20"/>
          <w:highlight w:val="none"/>
        </w:rPr>
      </w:pPr>
      <w:r>
        <w:rPr>
          <w:rFonts w:ascii="宋体" w:hAnsi="宋体" w:eastAsia="宋体" w:cs="宋体"/>
          <w:color w:val="auto"/>
          <w:spacing w:val="10"/>
          <w:sz w:val="20"/>
          <w:szCs w:val="20"/>
          <w:highlight w:val="none"/>
        </w:rPr>
        <w:t>市场价格波动是否调整合同价格的约定：</w:t>
      </w:r>
      <w:r>
        <w:rPr>
          <w:rFonts w:ascii="宋体" w:hAnsi="宋体" w:eastAsia="宋体" w:cs="宋体"/>
          <w:color w:val="auto"/>
          <w:spacing w:val="10"/>
          <w:sz w:val="20"/>
          <w:szCs w:val="20"/>
          <w:highlight w:val="none"/>
          <w:u w:val="none"/>
        </w:rPr>
        <w:t xml:space="preserve"> </w:t>
      </w:r>
      <w:r>
        <w:rPr>
          <w:rFonts w:hint="default" w:ascii="宋体" w:hAnsi="宋体" w:eastAsia="宋体" w:cs="宋体"/>
          <w:color w:val="auto"/>
          <w:spacing w:val="10"/>
          <w:sz w:val="20"/>
          <w:szCs w:val="20"/>
          <w:highlight w:val="none"/>
          <w:u w:val="single"/>
        </w:rPr>
        <w:t>主要材料价差在5%以内(含5%)的，由承包人承担;超过5%部分的价差，由发包人承担</w:t>
      </w:r>
      <w:r>
        <w:rPr>
          <w:rFonts w:ascii="宋体" w:hAnsi="宋体" w:eastAsia="宋体" w:cs="宋体"/>
          <w:color w:val="auto"/>
          <w:spacing w:val="10"/>
          <w:sz w:val="20"/>
          <w:szCs w:val="20"/>
          <w:highlight w:val="none"/>
          <w:u w:val="none"/>
        </w:rPr>
        <w:t xml:space="preserve">  </w:t>
      </w:r>
      <w:r>
        <w:rPr>
          <w:rFonts w:ascii="宋体" w:hAnsi="宋体" w:eastAsia="宋体" w:cs="宋体"/>
          <w:color w:val="auto"/>
          <w:spacing w:val="10"/>
          <w:sz w:val="20"/>
          <w:szCs w:val="20"/>
          <w:highlight w:val="none"/>
        </w:rPr>
        <w:t>。</w:t>
      </w:r>
    </w:p>
    <w:p w14:paraId="2074698F">
      <w:pPr>
        <w:autoSpaceDE/>
        <w:autoSpaceDN/>
        <w:spacing w:before="96" w:line="360" w:lineRule="auto"/>
        <w:ind w:left="0" w:right="1213"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因市场价格波动调整合同价格，采用以下第</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lang w:val="en-US" w:eastAsia="zh-CN"/>
        </w:rPr>
        <w:t>2</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92"/>
          <w:sz w:val="20"/>
          <w:szCs w:val="20"/>
          <w:highlight w:val="none"/>
        </w:rPr>
        <w:t xml:space="preserve"> </w:t>
      </w:r>
      <w:r>
        <w:rPr>
          <w:rFonts w:ascii="宋体" w:hAnsi="宋体" w:eastAsia="宋体" w:cs="宋体"/>
          <w:color w:val="auto"/>
          <w:spacing w:val="7"/>
          <w:sz w:val="20"/>
          <w:szCs w:val="20"/>
          <w:highlight w:val="none"/>
        </w:rPr>
        <w:t>种方式对合同价格进行调整：</w:t>
      </w:r>
      <w:r>
        <w:rPr>
          <w:rFonts w:ascii="宋体" w:hAnsi="宋体" w:eastAsia="宋体" w:cs="宋体"/>
          <w:color w:val="auto"/>
          <w:sz w:val="20"/>
          <w:szCs w:val="20"/>
          <w:highlight w:val="none"/>
        </w:rPr>
        <w:t xml:space="preserve"> </w:t>
      </w:r>
    </w:p>
    <w:p w14:paraId="7641837E">
      <w:pPr>
        <w:autoSpaceDE/>
        <w:autoSpaceDN/>
        <w:spacing w:before="96" w:line="360" w:lineRule="auto"/>
        <w:ind w:left="0" w:right="1213"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第</w:t>
      </w:r>
      <w:r>
        <w:rPr>
          <w:rFonts w:ascii="宋体" w:hAnsi="宋体" w:eastAsia="宋体" w:cs="宋体"/>
          <w:color w:val="auto"/>
          <w:spacing w:val="-8"/>
          <w:sz w:val="20"/>
          <w:szCs w:val="20"/>
          <w:highlight w:val="none"/>
        </w:rPr>
        <w:t xml:space="preserve"> </w:t>
      </w:r>
      <w:r>
        <w:rPr>
          <w:rFonts w:ascii="宋体" w:hAnsi="宋体" w:eastAsia="宋体" w:cs="宋体"/>
          <w:color w:val="auto"/>
          <w:spacing w:val="6"/>
          <w:sz w:val="20"/>
          <w:szCs w:val="20"/>
          <w:highlight w:val="none"/>
        </w:rPr>
        <w:t>1</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种方式：采用价格指数进行价格调整。</w:t>
      </w:r>
    </w:p>
    <w:p w14:paraId="38ED581C">
      <w:pPr>
        <w:autoSpaceDE/>
        <w:autoSpaceDN/>
        <w:spacing w:before="34" w:line="360" w:lineRule="auto"/>
        <w:ind w:left="0" w:firstLine="416" w:firstLineChars="200"/>
        <w:rPr>
          <w:rFonts w:ascii="宋体" w:hAnsi="宋体" w:eastAsia="宋体" w:cs="宋体"/>
          <w:color w:val="auto"/>
          <w:spacing w:val="-46"/>
          <w:w w:val="93"/>
          <w:sz w:val="20"/>
          <w:szCs w:val="20"/>
          <w:highlight w:val="none"/>
        </w:rPr>
      </w:pPr>
      <w:r>
        <w:rPr>
          <w:rFonts w:ascii="宋体" w:hAnsi="宋体" w:eastAsia="宋体" w:cs="宋体"/>
          <w:color w:val="auto"/>
          <w:spacing w:val="4"/>
          <w:sz w:val="20"/>
          <w:szCs w:val="20"/>
          <w:highlight w:val="none"/>
        </w:rPr>
        <w:t>关于各可调因子、定值和变值权重，以及基本价格指数及其来源的约定</w:t>
      </w:r>
      <w:r>
        <w:rPr>
          <w:rFonts w:ascii="宋体" w:hAnsi="宋体" w:eastAsia="宋体" w:cs="宋体"/>
          <w:color w:val="auto"/>
          <w:spacing w:val="-46"/>
          <w:w w:val="93"/>
          <w:sz w:val="20"/>
          <w:szCs w:val="20"/>
          <w:highlight w:val="none"/>
        </w:rPr>
        <w:t>：</w:t>
      </w:r>
      <w:r>
        <w:rPr>
          <w:rFonts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46"/>
          <w:w w:val="93"/>
          <w:sz w:val="20"/>
          <w:szCs w:val="20"/>
          <w:highlight w:val="none"/>
        </w:rPr>
        <w:t>；</w:t>
      </w:r>
    </w:p>
    <w:p w14:paraId="4F60EA62">
      <w:pPr>
        <w:autoSpaceDE/>
        <w:autoSpaceDN/>
        <w:spacing w:before="34"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第</w:t>
      </w:r>
      <w:r>
        <w:rPr>
          <w:rFonts w:ascii="宋体" w:hAnsi="宋体" w:eastAsia="宋体" w:cs="宋体"/>
          <w:color w:val="auto"/>
          <w:spacing w:val="-27"/>
          <w:sz w:val="20"/>
          <w:szCs w:val="20"/>
          <w:highlight w:val="none"/>
        </w:rPr>
        <w:t xml:space="preserve"> </w:t>
      </w:r>
      <w:r>
        <w:rPr>
          <w:rFonts w:ascii="宋体" w:hAnsi="宋体" w:eastAsia="宋体" w:cs="宋体"/>
          <w:color w:val="auto"/>
          <w:spacing w:val="7"/>
          <w:sz w:val="20"/>
          <w:szCs w:val="20"/>
          <w:highlight w:val="none"/>
        </w:rPr>
        <w:t>2</w:t>
      </w:r>
      <w:r>
        <w:rPr>
          <w:rFonts w:ascii="宋体" w:hAnsi="宋体" w:eastAsia="宋体" w:cs="宋体"/>
          <w:color w:val="auto"/>
          <w:spacing w:val="-38"/>
          <w:sz w:val="20"/>
          <w:szCs w:val="20"/>
          <w:highlight w:val="none"/>
        </w:rPr>
        <w:t xml:space="preserve"> </w:t>
      </w:r>
      <w:r>
        <w:rPr>
          <w:rFonts w:ascii="宋体" w:hAnsi="宋体" w:eastAsia="宋体" w:cs="宋体"/>
          <w:color w:val="auto"/>
          <w:spacing w:val="7"/>
          <w:sz w:val="20"/>
          <w:szCs w:val="20"/>
          <w:highlight w:val="none"/>
        </w:rPr>
        <w:t>种方式：采用造价信息进行价格调整。</w:t>
      </w:r>
    </w:p>
    <w:p w14:paraId="44CE48FB">
      <w:pPr>
        <w:autoSpaceDE/>
        <w:autoSpaceDN/>
        <w:spacing w:before="32" w:line="360" w:lineRule="auto"/>
        <w:ind w:left="0" w:right="52"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w:t>
      </w:r>
      <w:r>
        <w:rPr>
          <w:rFonts w:hint="eastAsia" w:ascii="宋体" w:hAnsi="宋体" w:eastAsia="宋体" w:cs="宋体"/>
          <w:color w:val="auto"/>
          <w:spacing w:val="8"/>
          <w:sz w:val="20"/>
          <w:szCs w:val="20"/>
          <w:highlight w:val="none"/>
        </w:rPr>
        <w:t>允许调整的主要材料和设备、基期价格、风险系数、投标报价详见《承包人提供主要材料和设备一览表》(表-22),价差调整部分仅计算税金，除此表列明的材料、设备外，其余材料设备价差原则上不予调整</w:t>
      </w:r>
      <w:r>
        <w:rPr>
          <w:rFonts w:ascii="宋体" w:hAnsi="宋体" w:eastAsia="宋体" w:cs="宋体"/>
          <w:color w:val="auto"/>
          <w:spacing w:val="7"/>
          <w:sz w:val="20"/>
          <w:szCs w:val="20"/>
          <w:highlight w:val="none"/>
        </w:rPr>
        <w:t>。</w:t>
      </w:r>
    </w:p>
    <w:p w14:paraId="1559ABB3">
      <w:pPr>
        <w:autoSpaceDE/>
        <w:autoSpaceDN/>
        <w:spacing w:before="93"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（2）主要材料和设备确认价：</w:t>
      </w:r>
    </w:p>
    <w:p w14:paraId="55D15784">
      <w:pPr>
        <w:autoSpaceDE/>
        <w:autoSpaceDN/>
        <w:spacing w:before="97" w:line="360" w:lineRule="auto"/>
        <w:ind w:left="0" w:right="49"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按施工期间《</w:t>
      </w:r>
      <w:r>
        <w:rPr>
          <w:rFonts w:ascii="宋体" w:hAnsi="宋体" w:eastAsia="宋体" w:cs="宋体"/>
          <w:color w:val="auto"/>
          <w:spacing w:val="-66"/>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崇左</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3"/>
          <w:sz w:val="20"/>
          <w:szCs w:val="20"/>
          <w:highlight w:val="none"/>
        </w:rPr>
        <w:t xml:space="preserve"> </w:t>
      </w:r>
      <w:r>
        <w:rPr>
          <w:rFonts w:ascii="宋体" w:hAnsi="宋体" w:eastAsia="宋体" w:cs="宋体"/>
          <w:color w:val="auto"/>
          <w:spacing w:val="7"/>
          <w:sz w:val="20"/>
          <w:szCs w:val="20"/>
          <w:highlight w:val="none"/>
        </w:rPr>
        <w:t>市建设工程造价信息》</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lang w:val="en-US" w:eastAsia="zh-CN"/>
        </w:rPr>
        <w:t>大新县</w:t>
      </w:r>
      <w:r>
        <w:rPr>
          <w:rFonts w:hint="eastAsia" w:ascii="宋体" w:hAnsi="宋体" w:eastAsia="宋体" w:cs="宋体"/>
          <w:color w:val="auto"/>
          <w:spacing w:val="7"/>
          <w:sz w:val="20"/>
          <w:szCs w:val="20"/>
          <w:highlight w:val="none"/>
          <w:lang w:eastAsia="zh-CN"/>
        </w:rPr>
        <w:t>）</w:t>
      </w:r>
      <w:r>
        <w:rPr>
          <w:rFonts w:hint="eastAsia" w:ascii="宋体" w:hAnsi="宋体" w:eastAsia="宋体" w:cs="宋体"/>
          <w:color w:val="auto"/>
          <w:spacing w:val="7"/>
          <w:sz w:val="20"/>
          <w:szCs w:val="20"/>
          <w:highlight w:val="none"/>
          <w:lang w:val="en-US" w:eastAsia="zh-CN"/>
        </w:rPr>
        <w:t>材料信息价的</w:t>
      </w:r>
      <w:r>
        <w:rPr>
          <w:rFonts w:ascii="宋体" w:hAnsi="宋体" w:eastAsia="宋体" w:cs="宋体"/>
          <w:color w:val="auto"/>
          <w:spacing w:val="7"/>
          <w:sz w:val="20"/>
          <w:szCs w:val="20"/>
          <w:highlight w:val="none"/>
        </w:rPr>
        <w:t>加权平均计算，信息价没有的按通用条款规定</w:t>
      </w:r>
      <w:r>
        <w:rPr>
          <w:rFonts w:ascii="宋体" w:hAnsi="宋体" w:eastAsia="宋体" w:cs="宋体"/>
          <w:color w:val="auto"/>
          <w:spacing w:val="3"/>
          <w:sz w:val="20"/>
          <w:szCs w:val="20"/>
          <w:highlight w:val="none"/>
        </w:rPr>
        <w:t>确定。</w:t>
      </w:r>
    </w:p>
    <w:p w14:paraId="4EB6E9AB">
      <w:pPr>
        <w:autoSpaceDE/>
        <w:autoSpaceDN/>
        <w:spacing w:before="31"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（3）价差计算方法：</w:t>
      </w:r>
    </w:p>
    <w:p w14:paraId="4CD74D78">
      <w:pPr>
        <w:autoSpaceDE/>
        <w:autoSpaceDN/>
        <w:spacing w:before="96" w:line="360" w:lineRule="auto"/>
        <w:ind w:left="0" w:right="11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①《承包人提供主要材料和设备一览表》中载明的材料和设备投标报价低于基准价格的：</w:t>
      </w:r>
      <w:r>
        <w:rPr>
          <w:rFonts w:ascii="宋体" w:hAnsi="宋体" w:eastAsia="宋体" w:cs="宋体"/>
          <w:color w:val="auto"/>
          <w:spacing w:val="10"/>
          <w:sz w:val="20"/>
          <w:szCs w:val="20"/>
          <w:highlight w:val="none"/>
        </w:rPr>
        <w:t>合同履行期间材料和设备单价涨幅以基准价格为基础超过约定的风</w:t>
      </w:r>
      <w:r>
        <w:rPr>
          <w:rFonts w:ascii="宋体" w:hAnsi="宋体" w:eastAsia="宋体" w:cs="宋体"/>
          <w:color w:val="auto"/>
          <w:spacing w:val="9"/>
          <w:sz w:val="20"/>
          <w:szCs w:val="20"/>
          <w:highlight w:val="none"/>
        </w:rPr>
        <w:t>险范围时，或材料和设备单价跌幅以投标报价为基础超过约定的风险范围时，</w:t>
      </w:r>
      <w:r>
        <w:rPr>
          <w:rFonts w:hint="eastAsia" w:ascii="宋体" w:hAnsi="宋体" w:eastAsia="宋体" w:cs="宋体"/>
          <w:color w:val="auto"/>
          <w:spacing w:val="9"/>
          <w:sz w:val="20"/>
          <w:szCs w:val="20"/>
          <w:highlight w:val="none"/>
          <w:lang w:val="en-US" w:eastAsia="zh-CN"/>
        </w:rPr>
        <w:t>对其超过部分进行价差调整，价差计算公式：价格上涨价差=确认价-基准价*（1+风险系数），价格下跌价差=确认价-投标报价*（1+风险系数）</w:t>
      </w:r>
      <w:r>
        <w:rPr>
          <w:rFonts w:ascii="宋体" w:hAnsi="宋体" w:eastAsia="宋体" w:cs="宋体"/>
          <w:color w:val="auto"/>
          <w:spacing w:val="9"/>
          <w:sz w:val="20"/>
          <w:szCs w:val="20"/>
          <w:highlight w:val="none"/>
        </w:rPr>
        <w:t>。</w:t>
      </w:r>
    </w:p>
    <w:p w14:paraId="2A822494">
      <w:pPr>
        <w:autoSpaceDE/>
        <w:autoSpaceDN/>
        <w:spacing w:before="94" w:line="360" w:lineRule="auto"/>
        <w:ind w:left="0" w:right="110" w:firstLine="440" w:firstLineChars="20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②承包人在《承包人提供主要材料和设备一览表》中载明的材</w:t>
      </w:r>
      <w:r>
        <w:rPr>
          <w:rFonts w:ascii="宋体" w:hAnsi="宋体" w:eastAsia="宋体" w:cs="宋体"/>
          <w:color w:val="auto"/>
          <w:spacing w:val="9"/>
          <w:sz w:val="20"/>
          <w:szCs w:val="20"/>
          <w:highlight w:val="none"/>
        </w:rPr>
        <w:t>料和设备投标报价高于基准</w:t>
      </w:r>
      <w:r>
        <w:rPr>
          <w:rFonts w:ascii="宋体" w:hAnsi="宋体" w:eastAsia="宋体" w:cs="宋体"/>
          <w:color w:val="auto"/>
          <w:spacing w:val="10"/>
          <w:sz w:val="20"/>
          <w:szCs w:val="20"/>
          <w:highlight w:val="none"/>
        </w:rPr>
        <w:t>价格的：</w:t>
      </w:r>
      <w:r>
        <w:rPr>
          <w:rFonts w:hint="eastAsia" w:ascii="宋体" w:hAnsi="宋体" w:eastAsia="宋体" w:cs="宋体"/>
          <w:color w:val="auto"/>
          <w:spacing w:val="10"/>
          <w:sz w:val="20"/>
          <w:szCs w:val="20"/>
          <w:highlight w:val="none"/>
          <w:lang w:val="en-US" w:eastAsia="zh-CN"/>
        </w:rPr>
        <w:t>合同履行期间材料和设备单价跌幅以基准价格为基础超过约定的风险范围时，</w:t>
      </w:r>
      <w:r>
        <w:rPr>
          <w:rFonts w:hint="eastAsia" w:ascii="宋体" w:hAnsi="宋体" w:eastAsia="宋体" w:cs="宋体"/>
          <w:color w:val="auto"/>
          <w:spacing w:val="9"/>
          <w:sz w:val="20"/>
          <w:szCs w:val="20"/>
          <w:highlight w:val="none"/>
          <w:lang w:val="en-US" w:eastAsia="zh-CN"/>
        </w:rPr>
        <w:t>对其超过部分进行价差调整，价差计算公式：价格上涨价差=确认价-基准价*（1+风险系数），价格下跌价差=确认价-投标报价*（1+风险系数</w:t>
      </w:r>
      <w:r>
        <w:rPr>
          <w:rFonts w:ascii="宋体" w:hAnsi="宋体" w:eastAsia="宋体" w:cs="宋体"/>
          <w:color w:val="auto"/>
          <w:spacing w:val="9"/>
          <w:sz w:val="20"/>
          <w:szCs w:val="20"/>
          <w:highlight w:val="none"/>
        </w:rPr>
        <w:t>。</w:t>
      </w:r>
      <w:r>
        <w:rPr>
          <w:rFonts w:hint="eastAsia" w:ascii="宋体" w:hAnsi="宋体" w:eastAsia="宋体" w:cs="宋体"/>
          <w:color w:val="auto"/>
          <w:spacing w:val="9"/>
          <w:sz w:val="20"/>
          <w:szCs w:val="20"/>
          <w:highlight w:val="none"/>
          <w:lang w:val="en-US" w:eastAsia="zh-CN"/>
        </w:rPr>
        <w:t>）</w:t>
      </w:r>
    </w:p>
    <w:p w14:paraId="47C60F7B">
      <w:pPr>
        <w:autoSpaceDE/>
        <w:autoSpaceDN/>
        <w:spacing w:before="95" w:line="360" w:lineRule="auto"/>
        <w:ind w:left="0" w:right="110" w:firstLine="440" w:firstLineChars="200"/>
        <w:rPr>
          <w:rFonts w:hint="default" w:ascii="宋体" w:hAnsi="宋体" w:eastAsia="宋体" w:cs="宋体"/>
          <w:color w:val="auto"/>
          <w:sz w:val="20"/>
          <w:szCs w:val="20"/>
          <w:highlight w:val="none"/>
          <w:lang w:val="en-US" w:eastAsia="zh-CN"/>
        </w:rPr>
      </w:pPr>
      <w:r>
        <w:rPr>
          <w:rFonts w:ascii="宋体" w:hAnsi="宋体" w:eastAsia="宋体" w:cs="宋体"/>
          <w:color w:val="auto"/>
          <w:spacing w:val="10"/>
          <w:sz w:val="20"/>
          <w:szCs w:val="20"/>
          <w:highlight w:val="none"/>
        </w:rPr>
        <w:t>③承包人在《承包人提供主要材料和设备一览表》中载明的材</w:t>
      </w:r>
      <w:r>
        <w:rPr>
          <w:rFonts w:ascii="宋体" w:hAnsi="宋体" w:eastAsia="宋体" w:cs="宋体"/>
          <w:color w:val="auto"/>
          <w:spacing w:val="9"/>
          <w:sz w:val="20"/>
          <w:szCs w:val="20"/>
          <w:highlight w:val="none"/>
        </w:rPr>
        <w:t>料和设备单价等于基准单价</w:t>
      </w:r>
      <w:r>
        <w:rPr>
          <w:rFonts w:ascii="宋体" w:hAnsi="宋体" w:eastAsia="宋体" w:cs="宋体"/>
          <w:color w:val="auto"/>
          <w:spacing w:val="10"/>
          <w:sz w:val="20"/>
          <w:szCs w:val="20"/>
          <w:highlight w:val="none"/>
        </w:rPr>
        <w:t>的：合同履行期间材料和设备单价涨跌幅以基准单价为基础超过</w:t>
      </w:r>
      <w:r>
        <w:rPr>
          <w:rFonts w:ascii="宋体" w:hAnsi="宋体" w:eastAsia="宋体" w:cs="宋体"/>
          <w:color w:val="auto"/>
          <w:spacing w:val="9"/>
          <w:sz w:val="20"/>
          <w:szCs w:val="20"/>
          <w:highlight w:val="none"/>
        </w:rPr>
        <w:t>约定的风险范围时，其超过部</w:t>
      </w:r>
      <w:r>
        <w:rPr>
          <w:rFonts w:ascii="宋体" w:hAnsi="宋体" w:eastAsia="宋体" w:cs="宋体"/>
          <w:color w:val="auto"/>
          <w:spacing w:val="6"/>
          <w:sz w:val="20"/>
          <w:szCs w:val="20"/>
          <w:highlight w:val="none"/>
        </w:rPr>
        <w:t>分</w:t>
      </w:r>
      <w:r>
        <w:rPr>
          <w:rFonts w:hint="eastAsia" w:ascii="宋体" w:hAnsi="宋体" w:eastAsia="宋体" w:cs="宋体"/>
          <w:color w:val="auto"/>
          <w:spacing w:val="6"/>
          <w:sz w:val="20"/>
          <w:szCs w:val="20"/>
          <w:highlight w:val="none"/>
          <w:lang w:val="en-US" w:eastAsia="zh-CN"/>
        </w:rPr>
        <w:t>进行价差调整</w:t>
      </w:r>
      <w:r>
        <w:rPr>
          <w:rFonts w:ascii="宋体" w:hAnsi="宋体" w:eastAsia="宋体" w:cs="宋体"/>
          <w:color w:val="auto"/>
          <w:spacing w:val="6"/>
          <w:sz w:val="20"/>
          <w:szCs w:val="20"/>
          <w:highlight w:val="none"/>
        </w:rPr>
        <w:t>。</w:t>
      </w:r>
      <w:r>
        <w:rPr>
          <w:rFonts w:hint="eastAsia" w:ascii="宋体" w:hAnsi="宋体" w:eastAsia="宋体" w:cs="宋体"/>
          <w:color w:val="auto"/>
          <w:spacing w:val="6"/>
          <w:sz w:val="20"/>
          <w:szCs w:val="20"/>
          <w:highlight w:val="none"/>
          <w:lang w:val="en-US" w:eastAsia="zh-CN"/>
        </w:rPr>
        <w:t>价差计算公式：上涨或下跌价差=确认价-基准单价*（1+风险系数）</w:t>
      </w:r>
    </w:p>
    <w:p w14:paraId="2A010522">
      <w:pPr>
        <w:autoSpaceDE/>
        <w:autoSpaceDN/>
        <w:spacing w:before="94" w:line="360" w:lineRule="auto"/>
        <w:ind w:left="0" w:firstLine="412" w:firstLineChars="200"/>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第</w:t>
      </w:r>
      <w:r>
        <w:rPr>
          <w:rFonts w:ascii="宋体" w:hAnsi="宋体" w:eastAsia="宋体" w:cs="宋体"/>
          <w:color w:val="auto"/>
          <w:spacing w:val="-26"/>
          <w:sz w:val="20"/>
          <w:szCs w:val="20"/>
          <w:highlight w:val="none"/>
        </w:rPr>
        <w:t xml:space="preserve"> </w:t>
      </w:r>
      <w:r>
        <w:rPr>
          <w:rFonts w:ascii="宋体" w:hAnsi="宋体" w:eastAsia="宋体" w:cs="宋体"/>
          <w:color w:val="auto"/>
          <w:spacing w:val="3"/>
          <w:sz w:val="20"/>
          <w:szCs w:val="20"/>
          <w:highlight w:val="none"/>
        </w:rPr>
        <w:t>3</w:t>
      </w:r>
      <w:r>
        <w:rPr>
          <w:rFonts w:ascii="宋体" w:hAnsi="宋体" w:eastAsia="宋体" w:cs="宋体"/>
          <w:color w:val="auto"/>
          <w:spacing w:val="-41"/>
          <w:sz w:val="20"/>
          <w:szCs w:val="20"/>
          <w:highlight w:val="none"/>
        </w:rPr>
        <w:t xml:space="preserve"> </w:t>
      </w:r>
      <w:r>
        <w:rPr>
          <w:rFonts w:ascii="宋体" w:hAnsi="宋体" w:eastAsia="宋体" w:cs="宋体"/>
          <w:color w:val="auto"/>
          <w:spacing w:val="3"/>
          <w:sz w:val="20"/>
          <w:szCs w:val="20"/>
          <w:highlight w:val="none"/>
        </w:rPr>
        <w:t>种方式：</w:t>
      </w:r>
      <w:r>
        <w:rPr>
          <w:rFonts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u w:val="single" w:color="auto"/>
          <w:lang w:val="en-US" w:eastAsia="zh-CN"/>
        </w:rPr>
        <w:t>/</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3"/>
          <w:sz w:val="20"/>
          <w:szCs w:val="20"/>
          <w:highlight w:val="none"/>
        </w:rPr>
        <w:t xml:space="preserve"> 。</w:t>
      </w:r>
    </w:p>
    <w:p w14:paraId="4958A990">
      <w:pPr>
        <w:autoSpaceDE/>
        <w:autoSpaceDN/>
        <w:spacing w:before="41" w:line="360" w:lineRule="auto"/>
        <w:ind w:left="0" w:firstLine="422" w:firstLineChars="200"/>
        <w:outlineLvl w:val="1"/>
        <w:rPr>
          <w:rFonts w:ascii="宋体" w:hAnsi="宋体" w:eastAsia="宋体" w:cs="宋体"/>
          <w:color w:val="auto"/>
          <w:sz w:val="20"/>
          <w:szCs w:val="20"/>
          <w:highlight w:val="none"/>
        </w:rPr>
      </w:pPr>
      <w:bookmarkStart w:id="327" w:name="_Toc28555"/>
      <w:bookmarkStart w:id="328" w:name="_Toc29585"/>
      <w:bookmarkStart w:id="329" w:name="_Toc25311"/>
      <w:r>
        <w:rPr>
          <w:rFonts w:ascii="宋体" w:hAnsi="宋体" w:eastAsia="宋体" w:cs="宋体"/>
          <w:b/>
          <w:bCs/>
          <w:color w:val="auto"/>
          <w:spacing w:val="5"/>
          <w:sz w:val="20"/>
          <w:szCs w:val="20"/>
          <w:highlight w:val="none"/>
        </w:rPr>
        <w:t>12.</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合同价格、计量与支付</w:t>
      </w:r>
      <w:bookmarkEnd w:id="327"/>
      <w:bookmarkEnd w:id="328"/>
      <w:bookmarkEnd w:id="329"/>
    </w:p>
    <w:p w14:paraId="23123FC9">
      <w:pPr>
        <w:autoSpaceDE/>
        <w:autoSpaceDN/>
        <w:spacing w:before="155" w:line="360" w:lineRule="auto"/>
        <w:ind w:left="0" w:firstLine="418" w:firstLineChars="200"/>
        <w:outlineLvl w:val="2"/>
        <w:rPr>
          <w:rFonts w:ascii="宋体" w:hAnsi="宋体" w:eastAsia="宋体" w:cs="宋体"/>
          <w:color w:val="auto"/>
          <w:sz w:val="20"/>
          <w:szCs w:val="20"/>
          <w:highlight w:val="none"/>
        </w:rPr>
      </w:pPr>
      <w:bookmarkStart w:id="330" w:name="_Toc29937"/>
      <w:bookmarkStart w:id="331" w:name="_Toc1002"/>
      <w:bookmarkStart w:id="332" w:name="_Toc12198"/>
      <w:r>
        <w:rPr>
          <w:rFonts w:ascii="宋体" w:hAnsi="宋体" w:eastAsia="宋体" w:cs="宋体"/>
          <w:b/>
          <w:bCs/>
          <w:color w:val="auto"/>
          <w:spacing w:val="4"/>
          <w:sz w:val="20"/>
          <w:szCs w:val="20"/>
          <w:highlight w:val="none"/>
        </w:rPr>
        <w:t>12.1</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合同价格形式</w:t>
      </w:r>
      <w:bookmarkEnd w:id="330"/>
      <w:bookmarkEnd w:id="331"/>
      <w:bookmarkEnd w:id="332"/>
    </w:p>
    <w:p w14:paraId="347111BD">
      <w:pPr>
        <w:autoSpaceDE/>
        <w:autoSpaceDN/>
        <w:spacing w:before="95" w:line="360" w:lineRule="auto"/>
        <w:ind w:left="0" w:firstLine="424" w:firstLineChars="200"/>
        <w:rPr>
          <w:rFonts w:hint="default" w:ascii="宋体" w:hAnsi="宋体" w:eastAsia="宋体" w:cs="宋体"/>
          <w:color w:val="auto"/>
          <w:sz w:val="20"/>
          <w:szCs w:val="20"/>
          <w:highlight w:val="none"/>
          <w:lang w:val="en-US" w:eastAsia="zh-CN"/>
        </w:rPr>
      </w:pPr>
      <w:r>
        <w:rPr>
          <w:rFonts w:ascii="宋体" w:hAnsi="宋体" w:eastAsia="宋体" w:cs="宋体"/>
          <w:color w:val="auto"/>
          <w:spacing w:val="6"/>
          <w:sz w:val="20"/>
          <w:szCs w:val="20"/>
          <w:highlight w:val="none"/>
        </w:rPr>
        <w:t>本工程采用</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综合单价</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6"/>
          <w:sz w:val="20"/>
          <w:szCs w:val="20"/>
          <w:highlight w:val="none"/>
        </w:rPr>
        <w:t>合同价格形</w:t>
      </w:r>
      <w:r>
        <w:rPr>
          <w:rFonts w:ascii="宋体" w:hAnsi="宋体" w:eastAsia="宋体" w:cs="宋体"/>
          <w:color w:val="auto"/>
          <w:spacing w:val="5"/>
          <w:sz w:val="20"/>
          <w:szCs w:val="20"/>
          <w:highlight w:val="none"/>
        </w:rPr>
        <w:t>式。</w:t>
      </w:r>
      <w:r>
        <w:rPr>
          <w:rFonts w:hint="eastAsia" w:ascii="宋体" w:hAnsi="宋体" w:eastAsia="宋体" w:cs="宋体"/>
          <w:color w:val="auto"/>
          <w:spacing w:val="5"/>
          <w:sz w:val="20"/>
          <w:szCs w:val="20"/>
          <w:highlight w:val="none"/>
          <w:lang w:val="en-US" w:eastAsia="zh-CN"/>
        </w:rPr>
        <w:t>合同价格包含增值税，本工程计价时采用的增值税计税方法为：</w:t>
      </w:r>
      <w:r>
        <w:rPr>
          <w:rFonts w:hint="eastAsia" w:ascii="宋体" w:hAnsi="宋体" w:eastAsia="宋体" w:cs="宋体"/>
          <w:color w:val="auto"/>
          <w:spacing w:val="5"/>
          <w:sz w:val="20"/>
          <w:szCs w:val="20"/>
          <w:highlight w:val="none"/>
          <w:lang w:val="en-US" w:eastAsia="zh-CN"/>
        </w:rPr>
        <w:sym w:font="Wingdings 2" w:char="0052"/>
      </w:r>
      <w:r>
        <w:rPr>
          <w:rFonts w:hint="eastAsia" w:ascii="宋体" w:hAnsi="宋体" w:eastAsia="宋体" w:cs="宋体"/>
          <w:color w:val="auto"/>
          <w:spacing w:val="5"/>
          <w:sz w:val="20"/>
          <w:szCs w:val="20"/>
          <w:highlight w:val="none"/>
          <w:lang w:val="en-US" w:eastAsia="zh-CN"/>
        </w:rPr>
        <w:t xml:space="preserve">一般计税法      </w:t>
      </w:r>
      <w:r>
        <w:rPr>
          <w:rFonts w:hint="eastAsia" w:ascii="宋体" w:hAnsi="宋体" w:eastAsia="宋体" w:cs="宋体"/>
          <w:color w:val="auto"/>
          <w:spacing w:val="5"/>
          <w:sz w:val="20"/>
          <w:szCs w:val="20"/>
          <w:highlight w:val="none"/>
          <w:lang w:val="en-US" w:eastAsia="zh-CN"/>
        </w:rPr>
        <w:sym w:font="Wingdings 2" w:char="00A3"/>
      </w:r>
      <w:r>
        <w:rPr>
          <w:rFonts w:hint="eastAsia" w:ascii="宋体" w:hAnsi="宋体" w:eastAsia="宋体" w:cs="宋体"/>
          <w:color w:val="auto"/>
          <w:spacing w:val="5"/>
          <w:sz w:val="20"/>
          <w:szCs w:val="20"/>
          <w:highlight w:val="none"/>
          <w:lang w:val="en-US" w:eastAsia="zh-CN"/>
        </w:rPr>
        <w:t>简易计税法</w:t>
      </w:r>
    </w:p>
    <w:p w14:paraId="1A2CC38B">
      <w:pPr>
        <w:autoSpaceDE/>
        <w:autoSpaceDN/>
        <w:spacing w:before="96"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（1）单价合同。</w:t>
      </w:r>
    </w:p>
    <w:p w14:paraId="78A8438D">
      <w:pPr>
        <w:autoSpaceDE/>
        <w:autoSpaceDN/>
        <w:spacing w:before="95" w:line="360" w:lineRule="auto"/>
        <w:ind w:left="0" w:firstLine="420" w:firstLineChars="200"/>
        <w:rPr>
          <w:rFonts w:hint="eastAsia" w:ascii="宋体" w:hAnsi="宋体" w:eastAsia="宋体" w:cs="宋体"/>
          <w:color w:val="auto"/>
          <w:spacing w:val="5"/>
          <w:sz w:val="20"/>
          <w:szCs w:val="20"/>
          <w:highlight w:val="none"/>
          <w:lang w:eastAsia="zh-CN"/>
        </w:rPr>
      </w:pPr>
      <w:r>
        <w:rPr>
          <w:rFonts w:hint="eastAsia" w:ascii="宋体" w:hAnsi="宋体" w:eastAsia="宋体" w:cs="宋体"/>
          <w:color w:val="auto"/>
          <w:spacing w:val="5"/>
          <w:sz w:val="20"/>
          <w:szCs w:val="20"/>
          <w:highlight w:val="none"/>
          <w:lang w:eastAsia="zh-CN"/>
        </w:rPr>
        <w:t>采用综合单价合同方式时，工程量按建设单位、监理单位、施工单位三方确认的工图结算。</w:t>
      </w:r>
    </w:p>
    <w:p w14:paraId="569F3EBF">
      <w:pPr>
        <w:autoSpaceDE/>
        <w:autoSpaceDN/>
        <w:spacing w:before="95" w:line="360" w:lineRule="auto"/>
        <w:ind w:left="0" w:right="60" w:firstLine="440" w:firstLineChars="20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综合单价包含的风险范围：</w:t>
      </w:r>
      <w:r>
        <w:rPr>
          <w:rFonts w:ascii="宋体" w:hAnsi="宋体" w:eastAsia="宋体" w:cs="宋体"/>
          <w:color w:val="auto"/>
          <w:spacing w:val="10"/>
          <w:sz w:val="20"/>
          <w:szCs w:val="20"/>
          <w:highlight w:val="none"/>
          <w:u w:val="single" w:color="auto"/>
        </w:rPr>
        <w:t>除工程变更、项目特征不符、</w:t>
      </w:r>
      <w:r>
        <w:rPr>
          <w:rFonts w:ascii="宋体" w:hAnsi="宋体" w:eastAsia="宋体" w:cs="宋体"/>
          <w:color w:val="auto"/>
          <w:spacing w:val="9"/>
          <w:sz w:val="20"/>
          <w:szCs w:val="20"/>
          <w:highlight w:val="none"/>
          <w:u w:val="single" w:color="auto"/>
        </w:rPr>
        <w:t>工程量清单缺项、工程量偏差、</w:t>
      </w:r>
      <w:r>
        <w:rPr>
          <w:rFonts w:ascii="宋体" w:hAnsi="宋体" w:eastAsia="宋体" w:cs="宋体"/>
          <w:color w:val="auto"/>
          <w:spacing w:val="10"/>
          <w:sz w:val="20"/>
          <w:szCs w:val="20"/>
          <w:highlight w:val="none"/>
          <w:u w:val="single" w:color="auto"/>
        </w:rPr>
        <w:t>政策性调整、本工程《承包人提供主要材料和设备一览表》中约定的材</w:t>
      </w:r>
      <w:r>
        <w:rPr>
          <w:rFonts w:ascii="宋体" w:hAnsi="宋体" w:eastAsia="宋体" w:cs="宋体"/>
          <w:color w:val="auto"/>
          <w:spacing w:val="9"/>
          <w:sz w:val="20"/>
          <w:szCs w:val="20"/>
          <w:highlight w:val="none"/>
          <w:u w:val="single" w:color="auto"/>
        </w:rPr>
        <w:t>料和设备价格变动风险</w:t>
      </w:r>
      <w:r>
        <w:rPr>
          <w:rFonts w:ascii="宋体" w:hAnsi="宋体" w:eastAsia="宋体" w:cs="宋体"/>
          <w:color w:val="auto"/>
          <w:spacing w:val="11"/>
          <w:sz w:val="20"/>
          <w:szCs w:val="20"/>
          <w:highlight w:val="none"/>
          <w:u w:val="single" w:color="auto"/>
        </w:rPr>
        <w:t>以外的其他风险因素。</w:t>
      </w:r>
    </w:p>
    <w:p w14:paraId="64E213A5">
      <w:pPr>
        <w:autoSpaceDE/>
        <w:autoSpaceDN/>
        <w:spacing w:before="33"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风险范围以外合同价格的调整方法：</w:t>
      </w:r>
    </w:p>
    <w:p w14:paraId="7D42E076">
      <w:pPr>
        <w:autoSpaceDE/>
        <w:autoSpaceDN/>
        <w:spacing w:before="97"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①</w:t>
      </w:r>
      <w:r>
        <w:rPr>
          <w:rFonts w:hint="eastAsia" w:ascii="宋体" w:hAnsi="宋体" w:eastAsia="宋体" w:cs="宋体"/>
          <w:color w:val="auto"/>
          <w:spacing w:val="6"/>
          <w:sz w:val="20"/>
          <w:szCs w:val="20"/>
          <w:highlight w:val="none"/>
        </w:rPr>
        <w:t>工程变更、项目特征不符、工程量清单缺项:按10.4.1变更估价原则的约定调整</w:t>
      </w:r>
      <w:r>
        <w:rPr>
          <w:rFonts w:ascii="宋体" w:hAnsi="宋体" w:eastAsia="宋体" w:cs="宋体"/>
          <w:color w:val="auto"/>
          <w:spacing w:val="6"/>
          <w:sz w:val="20"/>
          <w:szCs w:val="20"/>
          <w:highlight w:val="none"/>
        </w:rPr>
        <w:t>。</w:t>
      </w:r>
    </w:p>
    <w:p w14:paraId="7AA70EC1">
      <w:pPr>
        <w:autoSpaceDE/>
        <w:autoSpaceDN/>
        <w:spacing w:before="97" w:line="360" w:lineRule="auto"/>
        <w:ind w:left="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②</w:t>
      </w:r>
      <w:r>
        <w:rPr>
          <w:rFonts w:hint="eastAsia" w:ascii="宋体" w:hAnsi="宋体" w:eastAsia="宋体" w:cs="宋体"/>
          <w:color w:val="auto"/>
          <w:spacing w:val="9"/>
          <w:sz w:val="20"/>
          <w:szCs w:val="20"/>
          <w:highlight w:val="none"/>
        </w:rPr>
        <w:t>工程量偏差:按1.13工程量清单错误修正的约定调整</w:t>
      </w:r>
      <w:r>
        <w:rPr>
          <w:rFonts w:ascii="宋体" w:hAnsi="宋体" w:eastAsia="宋体" w:cs="宋体"/>
          <w:color w:val="auto"/>
          <w:spacing w:val="9"/>
          <w:sz w:val="20"/>
          <w:szCs w:val="20"/>
          <w:highlight w:val="none"/>
        </w:rPr>
        <w:t>。</w:t>
      </w:r>
    </w:p>
    <w:p w14:paraId="1955F82F">
      <w:pPr>
        <w:autoSpaceDE/>
        <w:autoSpaceDN/>
        <w:spacing w:before="95" w:line="360" w:lineRule="auto"/>
        <w:ind w:left="0" w:right="60" w:firstLine="440" w:firstLineChars="200"/>
        <w:rPr>
          <w:rFonts w:ascii="宋体" w:hAnsi="宋体" w:eastAsia="宋体" w:cs="宋体"/>
          <w:color w:val="auto"/>
          <w:spacing w:val="10"/>
          <w:sz w:val="20"/>
          <w:szCs w:val="20"/>
          <w:highlight w:val="none"/>
          <w:u w:val="none" w:color="auto"/>
        </w:rPr>
      </w:pPr>
      <w:r>
        <w:rPr>
          <w:rFonts w:ascii="宋体" w:hAnsi="宋体" w:eastAsia="宋体" w:cs="宋体"/>
          <w:color w:val="auto"/>
          <w:spacing w:val="10"/>
          <w:sz w:val="20"/>
          <w:szCs w:val="20"/>
          <w:highlight w:val="none"/>
          <w:u w:val="none" w:color="auto"/>
        </w:rPr>
        <w:t>③</w:t>
      </w:r>
      <w:r>
        <w:rPr>
          <w:rFonts w:hint="default" w:ascii="宋体" w:hAnsi="宋体" w:eastAsia="宋体" w:cs="宋体"/>
          <w:color w:val="auto"/>
          <w:spacing w:val="10"/>
          <w:sz w:val="20"/>
          <w:szCs w:val="20"/>
          <w:highlight w:val="none"/>
          <w:u w:val="none" w:color="auto"/>
        </w:rPr>
        <w:t>政策性调整:按自治区住房城乡建设厅或工程所在地住房城乡建设主管部门颁布的</w:t>
      </w:r>
      <w:r>
        <w:rPr>
          <w:rFonts w:hint="default" w:ascii="宋体" w:hAnsi="宋体" w:eastAsia="宋体" w:cs="宋体"/>
          <w:color w:val="auto"/>
          <w:spacing w:val="10"/>
          <w:sz w:val="20"/>
          <w:szCs w:val="20"/>
          <w:highlight w:val="none"/>
          <w:u w:val="none" w:color="auto"/>
          <w:lang w:val="en-US" w:eastAsia="zh-CN"/>
        </w:rPr>
        <w:t>文件执行</w:t>
      </w:r>
      <w:r>
        <w:rPr>
          <w:rFonts w:ascii="宋体" w:hAnsi="宋体" w:eastAsia="宋体" w:cs="宋体"/>
          <w:color w:val="auto"/>
          <w:spacing w:val="10"/>
          <w:sz w:val="20"/>
          <w:szCs w:val="20"/>
          <w:highlight w:val="none"/>
          <w:u w:val="none" w:color="auto"/>
        </w:rPr>
        <w:t>。</w:t>
      </w:r>
    </w:p>
    <w:p w14:paraId="57E2EE97">
      <w:pPr>
        <w:autoSpaceDE/>
        <w:autoSpaceDN/>
        <w:spacing w:before="100"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④其它：</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lang w:val="en-US" w:eastAsia="zh-CN"/>
        </w:rPr>
        <w:t xml:space="preserve">按实际发生的工程量进行结算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6"/>
          <w:sz w:val="20"/>
          <w:szCs w:val="20"/>
          <w:highlight w:val="none"/>
        </w:rPr>
        <w:t>。</w:t>
      </w:r>
    </w:p>
    <w:p w14:paraId="5A07A52A">
      <w:pPr>
        <w:autoSpaceDE/>
        <w:autoSpaceDN/>
        <w:spacing w:before="94"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（2）总价合同。</w:t>
      </w:r>
    </w:p>
    <w:p w14:paraId="32877F73">
      <w:pPr>
        <w:autoSpaceDE/>
        <w:autoSpaceDN/>
        <w:spacing w:before="0" w:line="360" w:lineRule="auto"/>
        <w:ind w:left="0" w:right="0" w:firstLine="420" w:firstLineChars="200"/>
        <w:rPr>
          <w:rFonts w:ascii="宋体" w:hAnsi="宋体" w:eastAsia="宋体" w:cs="宋体"/>
          <w:color w:val="auto"/>
          <w:spacing w:val="5"/>
          <w:sz w:val="20"/>
          <w:szCs w:val="20"/>
          <w:highlight w:val="none"/>
        </w:rPr>
      </w:pPr>
      <w:r>
        <w:rPr>
          <w:rFonts w:ascii="宋体" w:hAnsi="宋体" w:eastAsia="宋体" w:cs="宋体"/>
          <w:color w:val="auto"/>
          <w:spacing w:val="5"/>
          <w:sz w:val="20"/>
          <w:szCs w:val="20"/>
          <w:highlight w:val="none"/>
        </w:rPr>
        <w:t>总价包含的风险范围：</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包含除工程变更、政策性调整、本工程《承包人提供主要材料和设备一览表》中约定的材料和设备价格变动风险以外的其他风险。除工程变更外，结算时不再对招标施工图对应的工程量重新计量</w:t>
      </w:r>
      <w:r>
        <w:rPr>
          <w:rFonts w:ascii="宋体" w:hAnsi="宋体" w:eastAsia="宋体" w:cs="宋体"/>
          <w:color w:val="auto"/>
          <w:spacing w:val="5"/>
          <w:sz w:val="20"/>
          <w:szCs w:val="20"/>
          <w:highlight w:val="none"/>
        </w:rPr>
        <w:t>。</w:t>
      </w:r>
    </w:p>
    <w:p w14:paraId="3F740B0A">
      <w:pPr>
        <w:autoSpaceDE/>
        <w:autoSpaceDN/>
        <w:spacing w:before="0" w:line="360" w:lineRule="auto"/>
        <w:ind w:left="0" w:righ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风险范围以外合同价格的调整方法：</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①工程变更：按10.4.1变更估价原则的约定调整。②政策性调整：按自治区住房和城乡建设厅或工程所在地住房城乡建设主管部门颁布的文件执行。③材料价格风险：按11.1的约定调整</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74FF608C">
      <w:pPr>
        <w:autoSpaceDE/>
        <w:autoSpaceDN/>
        <w:spacing w:before="3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（3）其他价格方式：</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779556DE">
      <w:pPr>
        <w:autoSpaceDE/>
        <w:autoSpaceDN/>
        <w:spacing w:before="95" w:line="360" w:lineRule="auto"/>
        <w:ind w:left="0" w:firstLine="402" w:firstLineChars="200"/>
        <w:outlineLvl w:val="2"/>
        <w:rPr>
          <w:rFonts w:ascii="宋体" w:hAnsi="宋体" w:eastAsia="宋体" w:cs="宋体"/>
          <w:color w:val="auto"/>
          <w:sz w:val="20"/>
          <w:szCs w:val="20"/>
          <w:highlight w:val="none"/>
        </w:rPr>
      </w:pPr>
      <w:bookmarkStart w:id="333" w:name="_Toc23072"/>
      <w:bookmarkStart w:id="334" w:name="_Toc2956"/>
      <w:bookmarkStart w:id="335" w:name="_Toc26601"/>
      <w:r>
        <w:rPr>
          <w:rFonts w:ascii="宋体" w:hAnsi="宋体" w:eastAsia="宋体" w:cs="宋体"/>
          <w:b/>
          <w:bCs/>
          <w:color w:val="auto"/>
          <w:sz w:val="20"/>
          <w:szCs w:val="20"/>
          <w:highlight w:val="none"/>
        </w:rPr>
        <w:t>12.2</w:t>
      </w:r>
      <w:r>
        <w:rPr>
          <w:rFonts w:ascii="宋体" w:hAnsi="宋体" w:eastAsia="宋体" w:cs="宋体"/>
          <w:color w:val="auto"/>
          <w:spacing w:val="20"/>
          <w:sz w:val="20"/>
          <w:szCs w:val="20"/>
          <w:highlight w:val="none"/>
        </w:rPr>
        <w:t xml:space="preserve"> </w:t>
      </w:r>
      <w:r>
        <w:rPr>
          <w:rFonts w:ascii="宋体" w:hAnsi="宋体" w:eastAsia="宋体" w:cs="宋体"/>
          <w:b/>
          <w:bCs/>
          <w:color w:val="auto"/>
          <w:sz w:val="20"/>
          <w:szCs w:val="20"/>
          <w:highlight w:val="none"/>
        </w:rPr>
        <w:t>预付款</w:t>
      </w:r>
      <w:bookmarkEnd w:id="333"/>
      <w:bookmarkEnd w:id="334"/>
      <w:bookmarkEnd w:id="335"/>
    </w:p>
    <w:p w14:paraId="183B3CCD">
      <w:pPr>
        <w:autoSpaceDE/>
        <w:autoSpaceDN/>
        <w:spacing w:before="92"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12.2.1 预付款的支付</w:t>
      </w:r>
    </w:p>
    <w:p w14:paraId="6C804A86">
      <w:pPr>
        <w:autoSpaceDE/>
        <w:autoSpaceDN/>
        <w:spacing w:before="93"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预付款支付比例或金额：</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本合同预付款为30%，由发包人在本项目开工令签发后7个工作日内进场按本工程合同价计算支付给承包人。工程预付款在工程进度款中抵扣，从第一次付工程款开始，分次扣回，直至扣完</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72ED5969">
      <w:pPr>
        <w:autoSpaceDE/>
        <w:autoSpaceDN/>
        <w:spacing w:before="94" w:line="360" w:lineRule="auto"/>
        <w:ind w:left="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预付款支付期限：</w:t>
      </w:r>
      <w:r>
        <w:rPr>
          <w:rFonts w:hint="eastAsia" w:ascii="宋体" w:hAnsi="宋体" w:eastAsia="宋体" w:cs="宋体"/>
          <w:color w:val="auto"/>
          <w:spacing w:val="9"/>
          <w:sz w:val="20"/>
          <w:szCs w:val="20"/>
          <w:highlight w:val="none"/>
          <w:u w:val="single"/>
        </w:rPr>
        <w:t>承包人按合同要求进驻项目经理、项目总工、主要管理人员、技术人员及主要机械设备、试验检测设备进场达到最低要求后</w:t>
      </w:r>
      <w:r>
        <w:rPr>
          <w:rFonts w:ascii="宋体" w:hAnsi="宋体" w:eastAsia="宋体" w:cs="宋体"/>
          <w:color w:val="auto"/>
          <w:spacing w:val="9"/>
          <w:sz w:val="20"/>
          <w:szCs w:val="20"/>
          <w:highlight w:val="none"/>
          <w:u w:val="single" w:color="auto"/>
        </w:rPr>
        <w:t>。</w:t>
      </w:r>
    </w:p>
    <w:p w14:paraId="4D437FA9">
      <w:pPr>
        <w:autoSpaceDE/>
        <w:autoSpaceDN/>
        <w:spacing w:before="94" w:line="360" w:lineRule="auto"/>
        <w:ind w:left="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预付款扣回的方式：</w:t>
      </w:r>
      <w:r>
        <w:rPr>
          <w:rFonts w:hint="eastAsia" w:ascii="宋体" w:hAnsi="宋体" w:eastAsia="宋体" w:cs="宋体"/>
          <w:color w:val="auto"/>
          <w:spacing w:val="9"/>
          <w:sz w:val="20"/>
          <w:szCs w:val="20"/>
          <w:highlight w:val="none"/>
          <w:u w:val="single" w:color="auto"/>
        </w:rPr>
        <w:t>每次支付工程进度款时按比例扣回</w:t>
      </w:r>
      <w:r>
        <w:rPr>
          <w:rFonts w:ascii="宋体" w:hAnsi="宋体" w:eastAsia="宋体" w:cs="宋体"/>
          <w:color w:val="auto"/>
          <w:spacing w:val="9"/>
          <w:sz w:val="20"/>
          <w:szCs w:val="20"/>
          <w:highlight w:val="none"/>
        </w:rPr>
        <w:t>。</w:t>
      </w:r>
    </w:p>
    <w:p w14:paraId="3997E74C">
      <w:pPr>
        <w:autoSpaceDE/>
        <w:autoSpaceDN/>
        <w:spacing w:before="94"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12.2.2 预付款担保</w:t>
      </w:r>
    </w:p>
    <w:p w14:paraId="580E640C">
      <w:pPr>
        <w:autoSpaceDE/>
        <w:autoSpaceDN/>
        <w:spacing w:before="0" w:line="360" w:lineRule="auto"/>
        <w:ind w:left="0" w:right="0" w:firstLine="424" w:firstLineChars="200"/>
        <w:jc w:val="left"/>
        <w:rPr>
          <w:rFonts w:hint="eastAsia" w:ascii="宋体" w:hAnsi="宋体" w:eastAsia="宋体" w:cs="宋体"/>
          <w:color w:val="auto"/>
          <w:spacing w:val="6"/>
          <w:sz w:val="20"/>
          <w:szCs w:val="20"/>
          <w:highlight w:val="none"/>
          <w:u w:val="single" w:color="auto"/>
          <w:lang w:eastAsia="zh-CN"/>
        </w:rPr>
      </w:pPr>
      <w:r>
        <w:rPr>
          <w:rFonts w:hint="eastAsia" w:ascii="宋体" w:hAnsi="宋体" w:eastAsia="宋体" w:cs="宋体"/>
          <w:color w:val="auto"/>
          <w:spacing w:val="6"/>
          <w:sz w:val="20"/>
          <w:szCs w:val="20"/>
          <w:highlight w:val="none"/>
          <w:u w:val="none" w:color="auto"/>
          <w:lang w:eastAsia="zh-CN"/>
        </w:rPr>
        <w:t>承包人提交预付款担保的期限：</w:t>
      </w:r>
      <w:r>
        <w:rPr>
          <w:rFonts w:hint="eastAsia" w:ascii="宋体" w:hAnsi="宋体" w:eastAsia="宋体" w:cs="宋体"/>
          <w:color w:val="auto"/>
          <w:spacing w:val="6"/>
          <w:sz w:val="20"/>
          <w:szCs w:val="20"/>
          <w:highlight w:val="none"/>
          <w:u w:val="single" w:color="auto"/>
          <w:lang w:eastAsia="zh-CN"/>
        </w:rPr>
        <w:t xml:space="preserve"> </w:t>
      </w:r>
      <w:r>
        <w:rPr>
          <w:rFonts w:hint="eastAsia" w:ascii="宋体" w:hAnsi="宋体" w:eastAsia="宋体" w:cs="宋体"/>
          <w:color w:val="auto"/>
          <w:spacing w:val="6"/>
          <w:sz w:val="20"/>
          <w:szCs w:val="20"/>
          <w:highlight w:val="none"/>
          <w:u w:val="single" w:color="auto"/>
          <w:lang w:val="en-US" w:eastAsia="zh-CN"/>
        </w:rPr>
        <w:t>如有：付完预付款相对应的工程量止</w:t>
      </w:r>
      <w:r>
        <w:rPr>
          <w:rFonts w:hint="eastAsia" w:ascii="宋体" w:hAnsi="宋体" w:eastAsia="宋体" w:cs="宋体"/>
          <w:color w:val="auto"/>
          <w:spacing w:val="6"/>
          <w:sz w:val="20"/>
          <w:szCs w:val="20"/>
          <w:highlight w:val="none"/>
          <w:u w:val="single" w:color="auto"/>
          <w:lang w:eastAsia="zh-CN"/>
        </w:rPr>
        <w:t xml:space="preserve">  。 </w:t>
      </w:r>
    </w:p>
    <w:p w14:paraId="38B92F2B">
      <w:pPr>
        <w:autoSpaceDE/>
        <w:autoSpaceDN/>
        <w:spacing w:before="95" w:line="360" w:lineRule="auto"/>
        <w:ind w:left="0" w:right="2406" w:firstLine="420" w:firstLineChars="200"/>
        <w:jc w:val="both"/>
        <w:rPr>
          <w:rFonts w:ascii="宋体" w:hAnsi="宋体" w:eastAsia="宋体" w:cs="宋体"/>
          <w:color w:val="auto"/>
          <w:spacing w:val="7"/>
          <w:sz w:val="20"/>
          <w:szCs w:val="20"/>
          <w:highlight w:val="none"/>
        </w:rPr>
      </w:pPr>
      <w:r>
        <w:rPr>
          <w:rFonts w:ascii="宋体" w:hAnsi="宋体" w:eastAsia="宋体" w:cs="宋体"/>
          <w:color w:val="auto"/>
          <w:spacing w:val="5"/>
          <w:sz w:val="20"/>
          <w:szCs w:val="20"/>
          <w:highlight w:val="none"/>
        </w:rPr>
        <w:t>预付款担保的形式为：</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lang w:val="en-US" w:eastAsia="zh-CN"/>
        </w:rPr>
        <w:t xml:space="preserve">现金、保函等 </w:t>
      </w:r>
      <w:r>
        <w:rPr>
          <w:rFonts w:ascii="宋体" w:hAnsi="宋体" w:eastAsia="宋体" w:cs="宋体"/>
          <w:color w:val="auto"/>
          <w:spacing w:val="5"/>
          <w:sz w:val="20"/>
          <w:szCs w:val="20"/>
          <w:highlight w:val="none"/>
        </w:rPr>
        <w:t>。</w:t>
      </w:r>
      <w:r>
        <w:rPr>
          <w:rFonts w:ascii="宋体" w:hAnsi="宋体" w:eastAsia="宋体" w:cs="宋体"/>
          <w:color w:val="auto"/>
          <w:spacing w:val="7"/>
          <w:sz w:val="20"/>
          <w:szCs w:val="20"/>
          <w:highlight w:val="none"/>
        </w:rPr>
        <w:t xml:space="preserve"> </w:t>
      </w:r>
    </w:p>
    <w:p w14:paraId="42CDD097">
      <w:pPr>
        <w:autoSpaceDE/>
        <w:autoSpaceDN/>
        <w:spacing w:before="0" w:line="360" w:lineRule="auto"/>
        <w:ind w:left="0" w:right="0" w:firstLine="424" w:firstLineChars="200"/>
        <w:jc w:val="left"/>
        <w:rPr>
          <w:rFonts w:hint="eastAsia" w:ascii="宋体" w:hAnsi="宋体" w:eastAsia="宋体" w:cs="宋体"/>
          <w:color w:val="auto"/>
          <w:spacing w:val="6"/>
          <w:sz w:val="20"/>
          <w:szCs w:val="20"/>
          <w:highlight w:val="none"/>
          <w:u w:val="none" w:color="auto"/>
          <w:lang w:val="en-US" w:eastAsia="zh-CN"/>
        </w:rPr>
      </w:pPr>
      <w:r>
        <w:rPr>
          <w:rFonts w:hint="eastAsia" w:ascii="宋体" w:hAnsi="宋体" w:eastAsia="宋体" w:cs="宋体"/>
          <w:color w:val="auto"/>
          <w:spacing w:val="6"/>
          <w:sz w:val="20"/>
          <w:szCs w:val="20"/>
          <w:highlight w:val="none"/>
          <w:u w:val="none" w:color="auto"/>
          <w:lang w:eastAsia="zh-CN"/>
        </w:rPr>
        <w:t xml:space="preserve">预付款担保格式见合同附件 </w:t>
      </w:r>
      <w:r>
        <w:rPr>
          <w:rFonts w:hint="eastAsia" w:ascii="宋体" w:hAnsi="宋体" w:eastAsia="宋体" w:cs="宋体"/>
          <w:color w:val="auto"/>
          <w:spacing w:val="6"/>
          <w:sz w:val="20"/>
          <w:szCs w:val="20"/>
          <w:highlight w:val="none"/>
          <w:u w:val="none" w:color="auto"/>
          <w:lang w:val="en-US" w:eastAsia="zh-CN"/>
        </w:rPr>
        <w:t>8</w:t>
      </w:r>
      <w:r>
        <w:rPr>
          <w:rFonts w:hint="eastAsia" w:ascii="宋体" w:hAnsi="宋体" w:eastAsia="宋体" w:cs="宋体"/>
          <w:color w:val="auto"/>
          <w:spacing w:val="6"/>
          <w:sz w:val="20"/>
          <w:szCs w:val="20"/>
          <w:highlight w:val="none"/>
          <w:u w:val="none" w:color="auto"/>
          <w:lang w:eastAsia="zh-CN"/>
        </w:rPr>
        <w:t>。</w:t>
      </w:r>
      <w:r>
        <w:rPr>
          <w:rFonts w:hint="eastAsia" w:ascii="宋体" w:hAnsi="宋体" w:eastAsia="宋体" w:cs="宋体"/>
          <w:color w:val="auto"/>
          <w:spacing w:val="6"/>
          <w:sz w:val="20"/>
          <w:szCs w:val="20"/>
          <w:highlight w:val="none"/>
          <w:u w:val="none" w:color="auto"/>
          <w:lang w:val="en-US" w:eastAsia="zh-CN"/>
        </w:rPr>
        <w:t>预付款支付申请（核准）表见合同附件10</w:t>
      </w:r>
    </w:p>
    <w:p w14:paraId="2D39A3B8">
      <w:pPr>
        <w:autoSpaceDE/>
        <w:autoSpaceDN/>
        <w:spacing w:before="34" w:line="360" w:lineRule="auto"/>
        <w:ind w:left="0" w:firstLine="398" w:firstLineChars="200"/>
        <w:outlineLvl w:val="2"/>
        <w:rPr>
          <w:rFonts w:ascii="宋体" w:hAnsi="宋体" w:eastAsia="宋体" w:cs="宋体"/>
          <w:color w:val="auto"/>
          <w:sz w:val="20"/>
          <w:szCs w:val="20"/>
          <w:highlight w:val="none"/>
        </w:rPr>
      </w:pPr>
      <w:bookmarkStart w:id="336" w:name="_Toc19214"/>
      <w:bookmarkStart w:id="337" w:name="_Toc24876"/>
      <w:bookmarkStart w:id="338" w:name="_Toc9543"/>
      <w:r>
        <w:rPr>
          <w:rFonts w:ascii="宋体" w:hAnsi="宋体" w:eastAsia="宋体" w:cs="宋体"/>
          <w:b/>
          <w:bCs/>
          <w:color w:val="auto"/>
          <w:spacing w:val="-1"/>
          <w:sz w:val="20"/>
          <w:szCs w:val="20"/>
          <w:highlight w:val="none"/>
        </w:rPr>
        <w:t>12.3</w:t>
      </w:r>
      <w:r>
        <w:rPr>
          <w:rFonts w:ascii="宋体" w:hAnsi="宋体" w:eastAsia="宋体" w:cs="宋体"/>
          <w:color w:val="auto"/>
          <w:spacing w:val="16"/>
          <w:sz w:val="20"/>
          <w:szCs w:val="20"/>
          <w:highlight w:val="none"/>
        </w:rPr>
        <w:t xml:space="preserve"> </w:t>
      </w:r>
      <w:r>
        <w:rPr>
          <w:rFonts w:ascii="宋体" w:hAnsi="宋体" w:eastAsia="宋体" w:cs="宋体"/>
          <w:b/>
          <w:bCs/>
          <w:color w:val="auto"/>
          <w:spacing w:val="-1"/>
          <w:sz w:val="20"/>
          <w:szCs w:val="20"/>
          <w:highlight w:val="none"/>
        </w:rPr>
        <w:t>计量</w:t>
      </w:r>
      <w:bookmarkEnd w:id="336"/>
      <w:bookmarkEnd w:id="337"/>
      <w:bookmarkEnd w:id="338"/>
    </w:p>
    <w:p w14:paraId="1C7A4A5C">
      <w:pPr>
        <w:autoSpaceDE/>
        <w:autoSpaceDN/>
        <w:spacing w:before="93"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12.3.1 计量原则</w:t>
      </w:r>
    </w:p>
    <w:p w14:paraId="5F1FD54B">
      <w:pPr>
        <w:autoSpaceDE/>
        <w:autoSpaceDN/>
        <w:spacing w:before="95"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工程量计算规则：</w:t>
      </w:r>
      <w:r>
        <w:rPr>
          <w:rFonts w:ascii="宋体" w:hAnsi="宋体" w:eastAsia="宋体" w:cs="宋体"/>
          <w:color w:val="auto"/>
          <w:spacing w:val="8"/>
          <w:sz w:val="20"/>
          <w:szCs w:val="20"/>
          <w:highlight w:val="none"/>
          <w:u w:val="single" w:color="auto"/>
        </w:rPr>
        <w:t>工程的计量均以《建设工程工程量清单计价规范》（</w:t>
      </w:r>
      <w:r>
        <w:rPr>
          <w:rFonts w:ascii="宋体" w:hAnsi="宋体" w:eastAsia="宋体" w:cs="宋体"/>
          <w:color w:val="auto"/>
          <w:sz w:val="20"/>
          <w:szCs w:val="20"/>
          <w:highlight w:val="none"/>
          <w:u w:val="single" w:color="auto"/>
        </w:rPr>
        <w:t>GB</w:t>
      </w:r>
      <w:r>
        <w:rPr>
          <w:rFonts w:ascii="宋体" w:hAnsi="宋体" w:eastAsia="宋体" w:cs="宋体"/>
          <w:color w:val="auto"/>
          <w:spacing w:val="8"/>
          <w:sz w:val="20"/>
          <w:szCs w:val="20"/>
          <w:highlight w:val="none"/>
          <w:u w:val="single" w:color="auto"/>
        </w:rPr>
        <w:t>50500</w:t>
      </w:r>
      <w:r>
        <w:rPr>
          <w:rFonts w:ascii="宋体" w:hAnsi="宋体" w:eastAsia="宋体" w:cs="宋体"/>
          <w:color w:val="auto"/>
          <w:spacing w:val="7"/>
          <w:sz w:val="20"/>
          <w:szCs w:val="20"/>
          <w:highlight w:val="none"/>
          <w:u w:val="single" w:color="auto"/>
        </w:rPr>
        <w:t>－2013）和</w:t>
      </w:r>
      <w:r>
        <w:rPr>
          <w:rFonts w:ascii="宋体" w:hAnsi="宋体" w:eastAsia="宋体" w:cs="宋体"/>
          <w:color w:val="auto"/>
          <w:spacing w:val="8"/>
          <w:sz w:val="20"/>
          <w:szCs w:val="20"/>
          <w:highlight w:val="none"/>
          <w:u w:val="single" w:color="auto"/>
        </w:rPr>
        <w:t>及其广西壮族自治区实施细则、《建设工程工程量清单</w:t>
      </w:r>
      <w:r>
        <w:rPr>
          <w:rFonts w:ascii="宋体" w:hAnsi="宋体" w:eastAsia="宋体" w:cs="宋体"/>
          <w:color w:val="auto"/>
          <w:spacing w:val="7"/>
          <w:sz w:val="20"/>
          <w:szCs w:val="20"/>
          <w:highlight w:val="none"/>
          <w:u w:val="single" w:color="auto"/>
        </w:rPr>
        <w:t>计算规范》（</w:t>
      </w:r>
      <w:r>
        <w:rPr>
          <w:rFonts w:ascii="宋体" w:hAnsi="宋体" w:eastAsia="宋体" w:cs="宋体"/>
          <w:color w:val="auto"/>
          <w:sz w:val="20"/>
          <w:szCs w:val="20"/>
          <w:highlight w:val="none"/>
          <w:u w:val="single" w:color="auto"/>
        </w:rPr>
        <w:t>GB</w:t>
      </w:r>
      <w:r>
        <w:rPr>
          <w:rFonts w:ascii="宋体" w:hAnsi="宋体" w:eastAsia="宋体" w:cs="宋体"/>
          <w:color w:val="auto"/>
          <w:spacing w:val="7"/>
          <w:sz w:val="20"/>
          <w:szCs w:val="20"/>
          <w:highlight w:val="none"/>
          <w:u w:val="single" w:color="auto"/>
        </w:rPr>
        <w:t>50854~50862－2013）及</w:t>
      </w:r>
      <w:r>
        <w:rPr>
          <w:rFonts w:ascii="宋体" w:hAnsi="宋体" w:eastAsia="宋体" w:cs="宋体"/>
          <w:color w:val="auto"/>
          <w:spacing w:val="10"/>
          <w:sz w:val="20"/>
          <w:szCs w:val="20"/>
          <w:highlight w:val="none"/>
          <w:u w:val="single" w:color="auto"/>
        </w:rPr>
        <w:t>其广西实施细则、本工程补充项目清单为准。</w:t>
      </w:r>
    </w:p>
    <w:p w14:paraId="7F9A2CE8">
      <w:pPr>
        <w:autoSpaceDE/>
        <w:autoSpaceDN/>
        <w:spacing w:before="37"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12.3.2 计量周期</w:t>
      </w:r>
    </w:p>
    <w:p w14:paraId="560FDA7E">
      <w:pPr>
        <w:autoSpaceDE/>
        <w:autoSpaceDN/>
        <w:spacing w:before="90"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关于计量周期的约定：</w:t>
      </w:r>
      <w:r>
        <w:rPr>
          <w:rFonts w:ascii="宋体" w:hAnsi="宋体" w:eastAsia="宋体" w:cs="宋体"/>
          <w:color w:val="auto"/>
          <w:spacing w:val="4"/>
          <w:sz w:val="20"/>
          <w:szCs w:val="20"/>
          <w:highlight w:val="none"/>
          <w:u w:val="single" w:color="auto"/>
        </w:rPr>
        <w:t>每月</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4"/>
          <w:sz w:val="20"/>
          <w:szCs w:val="20"/>
          <w:highlight w:val="none"/>
          <w:u w:val="single" w:color="auto"/>
        </w:rPr>
        <w:t>25 日前</w:t>
      </w:r>
      <w:r>
        <w:rPr>
          <w:rFonts w:ascii="宋体" w:hAnsi="宋体" w:eastAsia="宋体" w:cs="宋体"/>
          <w:color w:val="auto"/>
          <w:spacing w:val="4"/>
          <w:sz w:val="20"/>
          <w:szCs w:val="20"/>
          <w:highlight w:val="none"/>
        </w:rPr>
        <w:t>。</w:t>
      </w:r>
    </w:p>
    <w:p w14:paraId="6ACD0A14">
      <w:pPr>
        <w:autoSpaceDE/>
        <w:autoSpaceDN/>
        <w:spacing w:before="95" w:line="360" w:lineRule="auto"/>
        <w:ind w:left="0" w:firstLine="420" w:firstLineChars="200"/>
        <w:outlineLvl w:val="0"/>
        <w:rPr>
          <w:rFonts w:ascii="宋体" w:hAnsi="宋体" w:eastAsia="宋体" w:cs="宋体"/>
          <w:color w:val="auto"/>
          <w:sz w:val="20"/>
          <w:szCs w:val="20"/>
          <w:highlight w:val="none"/>
        </w:rPr>
      </w:pPr>
      <w:bookmarkStart w:id="339" w:name="_Toc1734"/>
      <w:bookmarkStart w:id="340" w:name="_Toc4272"/>
      <w:bookmarkStart w:id="341" w:name="_Toc2465"/>
      <w:r>
        <w:rPr>
          <w:rFonts w:ascii="宋体" w:hAnsi="宋体" w:eastAsia="宋体" w:cs="宋体"/>
          <w:color w:val="auto"/>
          <w:spacing w:val="5"/>
          <w:sz w:val="20"/>
          <w:szCs w:val="20"/>
          <w:highlight w:val="none"/>
        </w:rPr>
        <w:t>12.3.3 单价合同的计量</w:t>
      </w:r>
      <w:bookmarkEnd w:id="339"/>
      <w:bookmarkEnd w:id="340"/>
      <w:bookmarkEnd w:id="341"/>
    </w:p>
    <w:p w14:paraId="224BE4F0">
      <w:pPr>
        <w:autoSpaceDE/>
        <w:autoSpaceDN/>
        <w:spacing w:before="96"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关于单价合同计量的约定：</w:t>
      </w:r>
    </w:p>
    <w:p w14:paraId="469A1029">
      <w:pPr>
        <w:autoSpaceDE/>
        <w:autoSpaceDN/>
        <w:spacing w:before="96" w:line="360" w:lineRule="auto"/>
        <w:ind w:left="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 工程量清单所列的工程量，不能作为承包人按合同履行其责任依据，实际施工中发生的工程量增加或减少并不影响承包人履行合同的责任，工程结算以完成的实际工程量为准。</w:t>
      </w:r>
    </w:p>
    <w:p w14:paraId="03EA9396">
      <w:pPr>
        <w:autoSpaceDE/>
        <w:autoSpaceDN/>
        <w:spacing w:before="90" w:line="360" w:lineRule="auto"/>
        <w:ind w:left="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 除另有规定外，工程师应按照合同通过计量来核实确定已完成的工程量和价款，承包</w:t>
      </w:r>
      <w:r>
        <w:rPr>
          <w:rFonts w:ascii="宋体" w:hAnsi="宋体" w:eastAsia="宋体" w:cs="宋体"/>
          <w:color w:val="auto"/>
          <w:spacing w:val="11"/>
          <w:sz w:val="20"/>
          <w:szCs w:val="20"/>
          <w:highlight w:val="none"/>
        </w:rPr>
        <w:t>人应得到该价款扣除保留金后的金额。当工程师要对已完工的工程量进行计量时，应适时地通</w:t>
      </w:r>
      <w:r>
        <w:rPr>
          <w:rFonts w:ascii="宋体" w:hAnsi="宋体" w:eastAsia="宋体" w:cs="宋体"/>
          <w:color w:val="auto"/>
          <w:spacing w:val="6"/>
          <w:sz w:val="20"/>
          <w:szCs w:val="20"/>
          <w:highlight w:val="none"/>
        </w:rPr>
        <w:t xml:space="preserve"> 知承包人参加。</w:t>
      </w:r>
    </w:p>
    <w:p w14:paraId="7BC0CF5B">
      <w:pPr>
        <w:autoSpaceDE/>
        <w:autoSpaceDN/>
        <w:spacing w:before="95"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12.3.4 总价合同的计量</w:t>
      </w:r>
    </w:p>
    <w:p w14:paraId="67312986">
      <w:pPr>
        <w:autoSpaceDE/>
        <w:autoSpaceDN/>
        <w:spacing w:before="41" w:line="360" w:lineRule="auto"/>
        <w:ind w:left="0" w:right="68" w:firstLine="440" w:firstLineChars="200"/>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关于总价合同计量的约定：除工程变更外，原图纸范围内</w:t>
      </w:r>
      <w:r>
        <w:rPr>
          <w:rFonts w:ascii="宋体" w:hAnsi="宋体" w:eastAsia="宋体" w:cs="宋体"/>
          <w:color w:val="auto"/>
          <w:spacing w:val="9"/>
          <w:sz w:val="20"/>
          <w:szCs w:val="20"/>
          <w:highlight w:val="none"/>
        </w:rPr>
        <w:t>的工程量不得按实计量。进度款</w:t>
      </w:r>
      <w:r>
        <w:rPr>
          <w:rFonts w:ascii="宋体" w:hAnsi="宋体" w:eastAsia="宋体" w:cs="宋体"/>
          <w:color w:val="auto"/>
          <w:spacing w:val="7"/>
          <w:sz w:val="20"/>
          <w:szCs w:val="20"/>
          <w:highlight w:val="none"/>
        </w:rPr>
        <w:t>按支付分解表支付，按通用条款第12.3.4项〔总价合同的计量〕约定进行计量，但合同价款按照支付分解表进行支付。</w:t>
      </w:r>
    </w:p>
    <w:p w14:paraId="479FE383">
      <w:pPr>
        <w:autoSpaceDE/>
        <w:autoSpaceDN/>
        <w:spacing w:before="31"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12.3.6 其他价格形式合同的计量</w:t>
      </w:r>
    </w:p>
    <w:p w14:paraId="1D3ADD6B">
      <w:pPr>
        <w:autoSpaceDE/>
        <w:autoSpaceDN/>
        <w:spacing w:before="95"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其他价格形式的计量方式和程序：</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7C688869">
      <w:pPr>
        <w:autoSpaceDE/>
        <w:autoSpaceDN/>
        <w:spacing w:before="95" w:line="360" w:lineRule="auto"/>
        <w:ind w:left="0" w:firstLine="418" w:firstLineChars="200"/>
        <w:outlineLvl w:val="1"/>
        <w:rPr>
          <w:rFonts w:ascii="宋体" w:hAnsi="宋体" w:eastAsia="宋体" w:cs="宋体"/>
          <w:color w:val="auto"/>
          <w:sz w:val="20"/>
          <w:szCs w:val="20"/>
          <w:highlight w:val="none"/>
        </w:rPr>
      </w:pPr>
      <w:bookmarkStart w:id="342" w:name="_Toc10596"/>
      <w:bookmarkStart w:id="343" w:name="_Toc20247"/>
      <w:bookmarkStart w:id="344" w:name="_Toc18775"/>
      <w:r>
        <w:rPr>
          <w:rFonts w:ascii="宋体" w:hAnsi="宋体" w:eastAsia="宋体" w:cs="宋体"/>
          <w:b/>
          <w:bCs/>
          <w:color w:val="auto"/>
          <w:spacing w:val="4"/>
          <w:sz w:val="20"/>
          <w:szCs w:val="20"/>
          <w:highlight w:val="none"/>
        </w:rPr>
        <w:t>12.4</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工程进度款支付</w:t>
      </w:r>
      <w:bookmarkEnd w:id="342"/>
      <w:bookmarkEnd w:id="343"/>
      <w:bookmarkEnd w:id="344"/>
    </w:p>
    <w:p w14:paraId="2A8FDFCD">
      <w:pPr>
        <w:autoSpaceDE/>
        <w:autoSpaceDN/>
        <w:spacing w:before="91"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12.4.1 付款周期</w:t>
      </w:r>
    </w:p>
    <w:p w14:paraId="68F591C6">
      <w:pPr>
        <w:autoSpaceDE/>
        <w:autoSpaceDN/>
        <w:spacing w:before="95" w:line="360" w:lineRule="auto"/>
        <w:ind w:left="0" w:right="68" w:firstLine="432" w:firstLineChars="200"/>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关于付款周期的约定：</w:t>
      </w:r>
    </w:p>
    <w:p w14:paraId="1E0BCB84">
      <w:pPr>
        <w:autoSpaceDE/>
        <w:autoSpaceDN/>
        <w:spacing w:before="95" w:line="360" w:lineRule="auto"/>
        <w:ind w:left="0" w:right="68" w:firstLine="434" w:firstLineChars="200"/>
        <w:rPr>
          <w:rFonts w:hint="default" w:ascii="宋体" w:hAnsi="宋体" w:eastAsia="宋体" w:cs="宋体"/>
          <w:b/>
          <w:bCs/>
          <w:color w:val="auto"/>
          <w:spacing w:val="8"/>
          <w:sz w:val="20"/>
          <w:szCs w:val="20"/>
          <w:highlight w:val="none"/>
          <w:u w:val="single" w:color="auto"/>
        </w:rPr>
      </w:pPr>
      <w:r>
        <w:rPr>
          <w:rFonts w:hint="default" w:ascii="宋体" w:hAnsi="宋体" w:eastAsia="宋体" w:cs="宋体"/>
          <w:b/>
          <w:bCs/>
          <w:color w:val="auto"/>
          <w:spacing w:val="8"/>
          <w:sz w:val="20"/>
          <w:szCs w:val="20"/>
          <w:highlight w:val="none"/>
          <w:u w:val="single" w:color="auto"/>
          <w:lang w:eastAsia="zh-CN"/>
        </w:rPr>
        <w:t>（</w:t>
      </w:r>
      <w:r>
        <w:rPr>
          <w:rFonts w:hint="default" w:ascii="宋体" w:hAnsi="宋体" w:eastAsia="宋体" w:cs="宋体"/>
          <w:b/>
          <w:bCs/>
          <w:color w:val="auto"/>
          <w:spacing w:val="8"/>
          <w:sz w:val="20"/>
          <w:szCs w:val="20"/>
          <w:highlight w:val="none"/>
          <w:u w:val="single" w:color="auto"/>
          <w:lang w:val="en-US" w:eastAsia="zh-CN"/>
        </w:rPr>
        <w:t>1</w:t>
      </w:r>
      <w:r>
        <w:rPr>
          <w:rFonts w:hint="default" w:ascii="宋体" w:hAnsi="宋体" w:eastAsia="宋体" w:cs="宋体"/>
          <w:b/>
          <w:bCs/>
          <w:color w:val="auto"/>
          <w:spacing w:val="8"/>
          <w:sz w:val="20"/>
          <w:szCs w:val="20"/>
          <w:highlight w:val="none"/>
          <w:u w:val="single" w:color="auto"/>
          <w:lang w:eastAsia="zh-CN"/>
        </w:rPr>
        <w:t>）</w:t>
      </w:r>
      <w:r>
        <w:rPr>
          <w:rFonts w:hint="default" w:ascii="宋体" w:hAnsi="宋体" w:eastAsia="宋体" w:cs="宋体"/>
          <w:b/>
          <w:bCs/>
          <w:color w:val="auto"/>
          <w:spacing w:val="8"/>
          <w:sz w:val="20"/>
          <w:szCs w:val="20"/>
          <w:highlight w:val="none"/>
          <w:u w:val="single" w:color="auto"/>
        </w:rPr>
        <w:t>双方约定的工程款（进度款）支付的方式和时间：按完成工程量的工程款的85%支付工程进度款，当支付工程进度款累计达到合同款的85%时，则停止支付工程款；待工程竣工验收且竣工结算经县级人民政府以上指导的审计部门审定并经发包人确认后，工程款支付至结算审定总价的97%（含已支付的），余下工程款的3%作为工程质量保证金</w:t>
      </w:r>
      <w:r>
        <w:rPr>
          <w:rFonts w:hint="eastAsia" w:ascii="宋体" w:hAnsi="宋体" w:eastAsia="宋体" w:cs="宋体"/>
          <w:b/>
          <w:bCs/>
          <w:color w:val="auto"/>
          <w:spacing w:val="8"/>
          <w:sz w:val="20"/>
          <w:szCs w:val="20"/>
          <w:highlight w:val="none"/>
          <w:u w:val="single" w:color="auto"/>
          <w:lang w:eastAsia="zh-CN"/>
        </w:rPr>
        <w:t>，</w:t>
      </w:r>
      <w:r>
        <w:rPr>
          <w:rFonts w:ascii="宋体" w:hAnsi="宋体" w:eastAsia="宋体" w:cs="宋体"/>
          <w:b/>
          <w:bCs/>
          <w:color w:val="auto"/>
          <w:spacing w:val="8"/>
          <w:sz w:val="20"/>
          <w:szCs w:val="20"/>
          <w:highlight w:val="none"/>
          <w:u w:val="single" w:color="auto"/>
        </w:rPr>
        <w:t>待工程质量保修期满后返还（工程验</w:t>
      </w:r>
      <w:r>
        <w:rPr>
          <w:rFonts w:ascii="宋体" w:hAnsi="宋体" w:eastAsia="宋体" w:cs="宋体"/>
          <w:b/>
          <w:bCs/>
          <w:color w:val="auto"/>
          <w:spacing w:val="9"/>
          <w:sz w:val="20"/>
          <w:szCs w:val="20"/>
          <w:highlight w:val="none"/>
          <w:u w:val="single" w:color="auto"/>
        </w:rPr>
        <w:t>收合格后</w:t>
      </w:r>
      <w:r>
        <w:rPr>
          <w:rFonts w:hint="eastAsia" w:ascii="宋体" w:hAnsi="宋体" w:eastAsia="宋体" w:cs="宋体"/>
          <w:b/>
          <w:bCs/>
          <w:color w:val="auto"/>
          <w:spacing w:val="9"/>
          <w:sz w:val="20"/>
          <w:szCs w:val="20"/>
          <w:highlight w:val="none"/>
          <w:u w:val="single" w:color="auto"/>
          <w:lang w:val="en-US" w:eastAsia="zh-CN"/>
        </w:rPr>
        <w:t>1</w:t>
      </w:r>
      <w:r>
        <w:rPr>
          <w:rFonts w:ascii="宋体" w:hAnsi="宋体" w:eastAsia="宋体" w:cs="宋体"/>
          <w:b/>
          <w:bCs/>
          <w:color w:val="auto"/>
          <w:spacing w:val="9"/>
          <w:sz w:val="20"/>
          <w:szCs w:val="20"/>
          <w:highlight w:val="none"/>
          <w:u w:val="single" w:color="auto"/>
        </w:rPr>
        <w:t>年内为保修期）</w:t>
      </w:r>
      <w:r>
        <w:rPr>
          <w:rFonts w:hint="default" w:ascii="宋体" w:hAnsi="宋体" w:eastAsia="宋体" w:cs="宋体"/>
          <w:b/>
          <w:bCs/>
          <w:color w:val="auto"/>
          <w:spacing w:val="8"/>
          <w:sz w:val="20"/>
          <w:szCs w:val="20"/>
          <w:highlight w:val="none"/>
          <w:u w:val="single" w:color="auto"/>
        </w:rPr>
        <w:t>。同时项目申请资金拨付次数原则上不超过3次（除工程质量保证金外）。</w:t>
      </w:r>
    </w:p>
    <w:p w14:paraId="2DBA6369">
      <w:pPr>
        <w:autoSpaceDE/>
        <w:autoSpaceDN/>
        <w:spacing w:before="95" w:line="360" w:lineRule="auto"/>
        <w:ind w:left="0" w:right="68" w:firstLine="434" w:firstLineChars="200"/>
        <w:rPr>
          <w:rFonts w:hint="default" w:ascii="宋体" w:hAnsi="宋体" w:eastAsia="宋体" w:cs="宋体"/>
          <w:b/>
          <w:bCs/>
          <w:color w:val="auto"/>
          <w:spacing w:val="8"/>
          <w:sz w:val="20"/>
          <w:szCs w:val="20"/>
          <w:highlight w:val="none"/>
          <w:u w:val="single" w:color="auto"/>
        </w:rPr>
      </w:pPr>
      <w:r>
        <w:rPr>
          <w:rFonts w:hint="default" w:ascii="宋体" w:hAnsi="宋体" w:eastAsia="宋体" w:cs="宋体"/>
          <w:b/>
          <w:bCs/>
          <w:color w:val="auto"/>
          <w:spacing w:val="8"/>
          <w:sz w:val="20"/>
          <w:szCs w:val="20"/>
          <w:highlight w:val="none"/>
          <w:u w:val="single" w:color="auto"/>
        </w:rPr>
        <w:t>发包方应当自收到到发票后在</w:t>
      </w:r>
      <w:r>
        <w:rPr>
          <w:rFonts w:hint="eastAsia" w:ascii="宋体" w:hAnsi="宋体" w:eastAsia="宋体" w:cs="宋体"/>
          <w:b/>
          <w:bCs/>
          <w:color w:val="auto"/>
          <w:spacing w:val="8"/>
          <w:sz w:val="20"/>
          <w:szCs w:val="20"/>
          <w:highlight w:val="none"/>
          <w:u w:val="single" w:color="auto"/>
          <w:lang w:val="en-US" w:eastAsia="zh-CN"/>
        </w:rPr>
        <w:t>10个工作</w:t>
      </w:r>
      <w:r>
        <w:rPr>
          <w:rFonts w:hint="default" w:ascii="宋体" w:hAnsi="宋体" w:eastAsia="宋体" w:cs="宋体"/>
          <w:b/>
          <w:bCs/>
          <w:color w:val="auto"/>
          <w:spacing w:val="8"/>
          <w:sz w:val="20"/>
          <w:szCs w:val="20"/>
          <w:highlight w:val="none"/>
          <w:u w:val="single" w:color="auto"/>
        </w:rPr>
        <w:t>日内将资金支付到合同约定的供应商帐户上。</w:t>
      </w:r>
    </w:p>
    <w:p w14:paraId="0BA1907F">
      <w:pPr>
        <w:autoSpaceDE/>
        <w:autoSpaceDN/>
        <w:spacing w:before="95" w:line="360" w:lineRule="auto"/>
        <w:ind w:left="0" w:right="68" w:firstLine="434" w:firstLineChars="200"/>
        <w:rPr>
          <w:rFonts w:hint="default" w:ascii="宋体" w:hAnsi="宋体" w:eastAsia="宋体" w:cs="宋体"/>
          <w:b/>
          <w:bCs/>
          <w:color w:val="auto"/>
          <w:spacing w:val="8"/>
          <w:sz w:val="20"/>
          <w:szCs w:val="20"/>
          <w:highlight w:val="none"/>
          <w:u w:val="single" w:color="auto"/>
        </w:rPr>
      </w:pPr>
      <w:r>
        <w:rPr>
          <w:rFonts w:hint="default" w:ascii="宋体" w:hAnsi="宋体" w:eastAsia="宋体" w:cs="宋体"/>
          <w:b/>
          <w:bCs/>
          <w:color w:val="auto"/>
          <w:spacing w:val="8"/>
          <w:sz w:val="20"/>
          <w:szCs w:val="20"/>
          <w:highlight w:val="none"/>
          <w:u w:val="single" w:color="auto"/>
        </w:rPr>
        <w:t>承包人存入的履约保证金（合同价的0%）、预留的质量保证金（合同价的3%）待到期过后无违约、无质量问题给予无息退还，其他的按原合同继续履行。</w:t>
      </w:r>
    </w:p>
    <w:p w14:paraId="02BA4002">
      <w:pPr>
        <w:autoSpaceDE/>
        <w:autoSpaceDN/>
        <w:spacing w:before="95" w:line="360" w:lineRule="auto"/>
        <w:ind w:left="0" w:right="68" w:firstLine="434" w:firstLineChars="200"/>
        <w:rPr>
          <w:rFonts w:hint="default" w:ascii="宋体" w:hAnsi="宋体" w:eastAsia="宋体" w:cs="宋体"/>
          <w:b/>
          <w:bCs/>
          <w:color w:val="auto"/>
          <w:spacing w:val="8"/>
          <w:sz w:val="20"/>
          <w:szCs w:val="20"/>
          <w:highlight w:val="none"/>
          <w:u w:val="single" w:color="auto"/>
        </w:rPr>
      </w:pPr>
      <w:r>
        <w:rPr>
          <w:rFonts w:hint="default" w:ascii="宋体" w:hAnsi="宋体" w:eastAsia="宋体" w:cs="宋体"/>
          <w:b/>
          <w:bCs/>
          <w:color w:val="auto"/>
          <w:spacing w:val="8"/>
          <w:sz w:val="20"/>
          <w:szCs w:val="20"/>
          <w:highlight w:val="none"/>
          <w:u w:val="single" w:color="auto"/>
        </w:rPr>
        <w:t>（2）材料、设备预付款：本项目无材料、设备预付款。</w:t>
      </w:r>
    </w:p>
    <w:p w14:paraId="0A700B2D">
      <w:pPr>
        <w:autoSpaceDE/>
        <w:autoSpaceDN/>
        <w:spacing w:before="35"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12.4.2 进度付款申请单的编制</w:t>
      </w:r>
    </w:p>
    <w:p w14:paraId="20EC8F02">
      <w:pPr>
        <w:autoSpaceDE/>
        <w:autoSpaceDN/>
        <w:spacing w:before="91"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关于进度付款申请单编制的约定：</w:t>
      </w:r>
      <w:r>
        <w:rPr>
          <w:rFonts w:hint="eastAsia" w:ascii="宋体" w:hAnsi="宋体" w:eastAsia="宋体" w:cs="宋体"/>
          <w:color w:val="auto"/>
          <w:spacing w:val="6"/>
          <w:sz w:val="20"/>
          <w:szCs w:val="20"/>
          <w:highlight w:val="none"/>
          <w:u w:val="single" w:color="auto"/>
        </w:rPr>
        <w:t>进度付款申请单承包人应在每个计量周期到期后的7天内向发包人提交已完工程进度款支付申请一式四份，详细说明此周期自己认为有权得到的款额，经监理人审核后报发包人</w:t>
      </w:r>
      <w:r>
        <w:rPr>
          <w:rFonts w:ascii="宋体" w:hAnsi="宋体" w:eastAsia="宋体" w:cs="宋体"/>
          <w:color w:val="auto"/>
          <w:spacing w:val="6"/>
          <w:sz w:val="20"/>
          <w:szCs w:val="20"/>
          <w:highlight w:val="none"/>
        </w:rPr>
        <w:t>。</w:t>
      </w:r>
    </w:p>
    <w:p w14:paraId="158934A4">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12.4.3 进度付款申请单的提交</w:t>
      </w:r>
    </w:p>
    <w:p w14:paraId="4BBD407B">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（1）单价合同进度付款申请单提交的约定：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本月已完成工程的价款、累计已完成的工程价款、累计已支付的工程价款、应抵扣的工程预付款、增加和扣减的其他金额等(按发包人要求编制)</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7FB5D852">
      <w:pPr>
        <w:autoSpaceDE/>
        <w:autoSpaceDN/>
        <w:spacing w:before="96"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（2）总价合同进度付款申请单提交的约定：</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无</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738D78A6">
      <w:pPr>
        <w:autoSpaceDE/>
        <w:autoSpaceDN/>
        <w:spacing w:before="96"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（3）其他价格形式合同进度付款申请单提交的约定：</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无</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61B42975">
      <w:pPr>
        <w:autoSpaceDE/>
        <w:autoSpaceDN/>
        <w:spacing w:before="93"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12.4.4 进度款审核和支付</w:t>
      </w:r>
    </w:p>
    <w:p w14:paraId="700D0CDB">
      <w:pPr>
        <w:autoSpaceDE/>
        <w:autoSpaceDN/>
        <w:spacing w:before="94"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（1）监理人审查并报送发包人的期限：</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按通用条款执行</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5306A3BA">
      <w:pPr>
        <w:autoSpaceDE/>
        <w:autoSpaceDN/>
        <w:spacing w:before="94" w:line="360" w:lineRule="auto"/>
        <w:ind w:left="0" w:right="163" w:firstLine="424" w:firstLineChars="200"/>
        <w:rPr>
          <w:rFonts w:ascii="宋体" w:hAnsi="宋体" w:eastAsia="宋体" w:cs="宋体"/>
          <w:color w:val="auto"/>
          <w:spacing w:val="6"/>
          <w:sz w:val="20"/>
          <w:szCs w:val="20"/>
          <w:highlight w:val="none"/>
        </w:rPr>
      </w:pPr>
      <w:r>
        <w:rPr>
          <w:rFonts w:ascii="宋体" w:hAnsi="宋体" w:eastAsia="宋体" w:cs="宋体"/>
          <w:color w:val="auto"/>
          <w:spacing w:val="6"/>
          <w:sz w:val="20"/>
          <w:szCs w:val="20"/>
          <w:highlight w:val="none"/>
        </w:rPr>
        <w:t>发包人完成审批并签发进度款支付证书的期限：</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按通用条款执行</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125BC456">
      <w:pPr>
        <w:autoSpaceDE/>
        <w:autoSpaceDN/>
        <w:spacing w:before="94" w:line="360" w:lineRule="auto"/>
        <w:ind w:left="0" w:right="163"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（2）发包人支付进度款的期限：</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按通用条款执行</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7806245C">
      <w:pPr>
        <w:autoSpaceDE/>
        <w:autoSpaceDN/>
        <w:spacing w:before="32" w:line="360" w:lineRule="auto"/>
        <w:ind w:left="0" w:right="163" w:firstLine="424" w:firstLineChars="200"/>
        <w:rPr>
          <w:rFonts w:ascii="宋体" w:hAnsi="宋体" w:eastAsia="宋体" w:cs="宋体"/>
          <w:color w:val="auto"/>
          <w:spacing w:val="6"/>
          <w:sz w:val="20"/>
          <w:szCs w:val="20"/>
          <w:highlight w:val="none"/>
        </w:rPr>
      </w:pPr>
      <w:r>
        <w:rPr>
          <w:rFonts w:ascii="宋体" w:hAnsi="宋体" w:eastAsia="宋体" w:cs="宋体"/>
          <w:color w:val="auto"/>
          <w:spacing w:val="6"/>
          <w:sz w:val="20"/>
          <w:szCs w:val="20"/>
          <w:highlight w:val="none"/>
        </w:rPr>
        <w:t>发包人逾期支付进度款的违约金的计算方式：</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双方另行协商</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609E6C0A">
      <w:pPr>
        <w:autoSpaceDE/>
        <w:autoSpaceDN/>
        <w:spacing w:before="32" w:line="360" w:lineRule="auto"/>
        <w:ind w:left="0" w:right="163"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进度款支付方式：</w:t>
      </w:r>
      <w:r>
        <w:rPr>
          <w:rFonts w:ascii="宋体" w:hAnsi="宋体" w:eastAsia="宋体" w:cs="宋体"/>
          <w:color w:val="auto"/>
          <w:spacing w:val="8"/>
          <w:sz w:val="20"/>
          <w:szCs w:val="20"/>
          <w:highlight w:val="none"/>
          <w:u w:val="single" w:color="auto"/>
        </w:rPr>
        <w:t>银行转账</w:t>
      </w:r>
      <w:r>
        <w:rPr>
          <w:rFonts w:ascii="宋体" w:hAnsi="宋体" w:eastAsia="宋体" w:cs="宋体"/>
          <w:color w:val="auto"/>
          <w:spacing w:val="8"/>
          <w:sz w:val="20"/>
          <w:szCs w:val="20"/>
          <w:highlight w:val="none"/>
        </w:rPr>
        <w:t>。</w:t>
      </w:r>
    </w:p>
    <w:p w14:paraId="46A4FCCF">
      <w:pPr>
        <w:autoSpaceDE/>
        <w:autoSpaceDN/>
        <w:spacing w:before="31"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12.4.6 支付分解表的编制</w:t>
      </w:r>
    </w:p>
    <w:p w14:paraId="38F0057D">
      <w:pPr>
        <w:autoSpaceDE/>
        <w:autoSpaceDN/>
        <w:spacing w:before="92" w:line="360" w:lineRule="auto"/>
        <w:ind w:firstLine="412" w:firstLineChars="200"/>
        <w:jc w:val="both"/>
        <w:rPr>
          <w:rFonts w:ascii="宋体" w:hAnsi="宋体" w:eastAsia="宋体" w:cs="宋体"/>
          <w:color w:val="auto"/>
          <w:sz w:val="20"/>
          <w:szCs w:val="20"/>
          <w:highlight w:val="none"/>
        </w:rPr>
      </w:pPr>
      <w:r>
        <w:rPr>
          <w:rFonts w:hint="eastAsia" w:ascii="宋体" w:hAnsi="宋体" w:eastAsia="宋体" w:cs="宋体"/>
          <w:color w:val="auto"/>
          <w:spacing w:val="3"/>
          <w:sz w:val="20"/>
          <w:szCs w:val="20"/>
          <w:highlight w:val="none"/>
          <w:lang w:val="en-US" w:eastAsia="zh-CN"/>
        </w:rPr>
        <w:t>1</w:t>
      </w:r>
      <w:r>
        <w:rPr>
          <w:rFonts w:ascii="宋体" w:hAnsi="宋体" w:eastAsia="宋体" w:cs="宋体"/>
          <w:color w:val="auto"/>
          <w:spacing w:val="3"/>
          <w:sz w:val="20"/>
          <w:szCs w:val="20"/>
          <w:highlight w:val="none"/>
        </w:rPr>
        <w:t>. 总价合同支付分解表的编制与审批：</w:t>
      </w:r>
      <w:r>
        <w:rPr>
          <w:rFonts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3"/>
          <w:sz w:val="20"/>
          <w:szCs w:val="20"/>
          <w:highlight w:val="none"/>
          <w:u w:val="single" w:color="auto"/>
        </w:rPr>
        <w:t>总价合同支付分解表在招标完成后由发包人和承包人共同编制，发包人审批，并作为本合同内容，具体详见合同附件</w:t>
      </w:r>
      <w:r>
        <w:rPr>
          <w:rFonts w:hint="eastAsia" w:ascii="宋体" w:hAnsi="宋体" w:eastAsia="宋体" w:cs="宋体"/>
          <w:color w:val="auto"/>
          <w:spacing w:val="3"/>
          <w:sz w:val="20"/>
          <w:szCs w:val="20"/>
          <w:highlight w:val="none"/>
          <w:u w:val="single" w:color="auto"/>
          <w:lang w:eastAsia="zh-CN"/>
        </w:rPr>
        <w:t>1</w:t>
      </w:r>
      <w:r>
        <w:rPr>
          <w:rFonts w:hint="eastAsia" w:ascii="宋体" w:hAnsi="宋体" w:eastAsia="宋体" w:cs="宋体"/>
          <w:color w:val="auto"/>
          <w:spacing w:val="3"/>
          <w:sz w:val="20"/>
          <w:szCs w:val="20"/>
          <w:highlight w:val="none"/>
          <w:u w:val="single" w:color="auto"/>
          <w:lang w:val="en-US" w:eastAsia="zh-CN"/>
        </w:rPr>
        <w:t>0</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w:t>
      </w:r>
    </w:p>
    <w:p w14:paraId="7B818498">
      <w:pPr>
        <w:autoSpaceDE/>
        <w:autoSpaceDN/>
        <w:spacing w:before="95" w:line="360" w:lineRule="auto"/>
        <w:ind w:left="0" w:right="128" w:firstLine="436" w:firstLineChars="200"/>
        <w:rPr>
          <w:rFonts w:ascii="宋体" w:hAnsi="宋体" w:eastAsia="宋体" w:cs="宋体"/>
          <w:color w:val="auto"/>
          <w:sz w:val="20"/>
          <w:szCs w:val="20"/>
          <w:highlight w:val="none"/>
        </w:rPr>
      </w:pPr>
      <w:r>
        <w:rPr>
          <w:rFonts w:hint="eastAsia" w:ascii="宋体" w:hAnsi="宋体" w:eastAsia="宋体" w:cs="宋体"/>
          <w:color w:val="auto"/>
          <w:spacing w:val="9"/>
          <w:sz w:val="20"/>
          <w:szCs w:val="20"/>
          <w:highlight w:val="none"/>
          <w:lang w:val="en-US" w:eastAsia="zh-CN"/>
        </w:rPr>
        <w:t>2</w:t>
      </w:r>
      <w:r>
        <w:rPr>
          <w:rFonts w:ascii="宋体" w:hAnsi="宋体" w:eastAsia="宋体" w:cs="宋体"/>
          <w:color w:val="auto"/>
          <w:spacing w:val="9"/>
          <w:sz w:val="20"/>
          <w:szCs w:val="20"/>
          <w:highlight w:val="none"/>
        </w:rPr>
        <w:t>. 单价合同的总价项目支付分解表的编制与审批：总价项目不采用支付分解表的方式计算，而按《建设工程工程量清单计价规范（</w:t>
      </w:r>
      <w:r>
        <w:rPr>
          <w:rFonts w:ascii="宋体" w:hAnsi="宋体" w:eastAsia="宋体" w:cs="宋体"/>
          <w:color w:val="auto"/>
          <w:sz w:val="20"/>
          <w:szCs w:val="20"/>
          <w:highlight w:val="none"/>
        </w:rPr>
        <w:t>GB</w:t>
      </w:r>
      <w:r>
        <w:rPr>
          <w:rFonts w:ascii="宋体" w:hAnsi="宋体" w:eastAsia="宋体" w:cs="宋体"/>
          <w:color w:val="auto"/>
          <w:spacing w:val="9"/>
          <w:sz w:val="20"/>
          <w:szCs w:val="20"/>
          <w:highlight w:val="none"/>
        </w:rPr>
        <w:t>50500-2013）广西壮族自治区</w:t>
      </w:r>
      <w:r>
        <w:rPr>
          <w:rFonts w:ascii="宋体" w:hAnsi="宋体" w:eastAsia="宋体" w:cs="宋体"/>
          <w:color w:val="auto"/>
          <w:spacing w:val="8"/>
          <w:sz w:val="20"/>
          <w:szCs w:val="20"/>
          <w:highlight w:val="none"/>
        </w:rPr>
        <w:t>实施细则》的规定</w:t>
      </w:r>
      <w:r>
        <w:rPr>
          <w:rFonts w:ascii="宋体" w:hAnsi="宋体" w:eastAsia="宋体" w:cs="宋体"/>
          <w:color w:val="auto"/>
          <w:spacing w:val="3"/>
          <w:sz w:val="20"/>
          <w:szCs w:val="20"/>
          <w:highlight w:val="none"/>
        </w:rPr>
        <w:t>执行。</w:t>
      </w:r>
    </w:p>
    <w:p w14:paraId="442AB9E3">
      <w:pPr>
        <w:autoSpaceDE/>
        <w:autoSpaceDN/>
        <w:spacing w:before="153" w:line="360" w:lineRule="auto"/>
        <w:ind w:left="0" w:firstLine="418" w:firstLineChars="200"/>
        <w:outlineLvl w:val="1"/>
        <w:rPr>
          <w:rFonts w:ascii="宋体" w:hAnsi="宋体" w:eastAsia="宋体" w:cs="宋体"/>
          <w:color w:val="auto"/>
          <w:sz w:val="20"/>
          <w:szCs w:val="20"/>
          <w:highlight w:val="none"/>
        </w:rPr>
      </w:pPr>
      <w:bookmarkStart w:id="345" w:name="_Toc32595"/>
      <w:bookmarkStart w:id="346" w:name="_Toc7227"/>
      <w:bookmarkStart w:id="347" w:name="_Toc28903"/>
      <w:r>
        <w:rPr>
          <w:rFonts w:ascii="宋体" w:hAnsi="宋体" w:eastAsia="宋体" w:cs="宋体"/>
          <w:b/>
          <w:bCs/>
          <w:color w:val="auto"/>
          <w:spacing w:val="4"/>
          <w:sz w:val="20"/>
          <w:szCs w:val="20"/>
          <w:highlight w:val="none"/>
        </w:rPr>
        <w:t>13.</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验收和工程试车</w:t>
      </w:r>
      <w:bookmarkEnd w:id="345"/>
      <w:bookmarkEnd w:id="346"/>
      <w:bookmarkEnd w:id="347"/>
    </w:p>
    <w:p w14:paraId="717E78ED">
      <w:pPr>
        <w:autoSpaceDE/>
        <w:autoSpaceDN/>
        <w:spacing w:before="152" w:line="360" w:lineRule="auto"/>
        <w:ind w:left="0" w:firstLine="418" w:firstLineChars="200"/>
        <w:outlineLvl w:val="2"/>
        <w:rPr>
          <w:rFonts w:ascii="宋体" w:hAnsi="宋体" w:eastAsia="宋体" w:cs="宋体"/>
          <w:color w:val="auto"/>
          <w:sz w:val="20"/>
          <w:szCs w:val="20"/>
          <w:highlight w:val="none"/>
        </w:rPr>
      </w:pPr>
      <w:bookmarkStart w:id="348" w:name="_Toc19155"/>
      <w:bookmarkStart w:id="349" w:name="_Toc31515"/>
      <w:bookmarkStart w:id="350" w:name="_Toc3633"/>
      <w:r>
        <w:rPr>
          <w:rFonts w:ascii="宋体" w:hAnsi="宋体" w:eastAsia="宋体" w:cs="宋体"/>
          <w:b/>
          <w:bCs/>
          <w:color w:val="auto"/>
          <w:spacing w:val="4"/>
          <w:sz w:val="20"/>
          <w:szCs w:val="20"/>
          <w:highlight w:val="none"/>
        </w:rPr>
        <w:t>13.1</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分部分项工程验收</w:t>
      </w:r>
      <w:bookmarkEnd w:id="348"/>
      <w:bookmarkEnd w:id="349"/>
      <w:bookmarkEnd w:id="350"/>
    </w:p>
    <w:p w14:paraId="10A4DA10">
      <w:pPr>
        <w:autoSpaceDE/>
        <w:autoSpaceDN/>
        <w:spacing w:before="96" w:line="360" w:lineRule="auto"/>
        <w:ind w:left="0" w:right="1267"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13.1.2</w:t>
      </w:r>
      <w:r>
        <w:rPr>
          <w:rFonts w:ascii="宋体" w:hAnsi="宋体" w:eastAsia="宋体" w:cs="宋体"/>
          <w:color w:val="auto"/>
          <w:spacing w:val="-24"/>
          <w:sz w:val="20"/>
          <w:szCs w:val="20"/>
          <w:highlight w:val="none"/>
        </w:rPr>
        <w:t xml:space="preserve"> </w:t>
      </w:r>
      <w:r>
        <w:rPr>
          <w:rFonts w:ascii="宋体" w:hAnsi="宋体" w:eastAsia="宋体" w:cs="宋体"/>
          <w:color w:val="auto"/>
          <w:spacing w:val="6"/>
          <w:sz w:val="20"/>
          <w:szCs w:val="20"/>
          <w:highlight w:val="none"/>
        </w:rPr>
        <w:t>监理人不能按时进行验收时，应提前</w:t>
      </w:r>
      <w:r>
        <w:rPr>
          <w:rFonts w:ascii="宋体" w:hAnsi="宋体" w:eastAsia="宋体" w:cs="宋体"/>
          <w:color w:val="auto"/>
          <w:spacing w:val="-97"/>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4"/>
          <w:sz w:val="20"/>
          <w:szCs w:val="20"/>
          <w:highlight w:val="none"/>
          <w:u w:val="single" w:color="auto"/>
        </w:rPr>
        <w:t>24</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0"/>
          <w:sz w:val="20"/>
          <w:szCs w:val="20"/>
          <w:highlight w:val="none"/>
        </w:rPr>
        <w:t xml:space="preserve"> </w:t>
      </w:r>
      <w:r>
        <w:rPr>
          <w:rFonts w:ascii="宋体" w:hAnsi="宋体" w:eastAsia="宋体" w:cs="宋体"/>
          <w:color w:val="auto"/>
          <w:spacing w:val="6"/>
          <w:sz w:val="20"/>
          <w:szCs w:val="20"/>
          <w:highlight w:val="none"/>
        </w:rPr>
        <w:t>小时提交书面延期要求。关于延期最长不得超过：</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lang w:val="en-US" w:eastAsia="zh-CN"/>
        </w:rPr>
        <w:t>48</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79"/>
          <w:sz w:val="20"/>
          <w:szCs w:val="20"/>
          <w:highlight w:val="none"/>
        </w:rPr>
        <w:t xml:space="preserve"> </w:t>
      </w:r>
      <w:r>
        <w:rPr>
          <w:rFonts w:ascii="宋体" w:hAnsi="宋体" w:eastAsia="宋体" w:cs="宋体"/>
          <w:color w:val="auto"/>
          <w:spacing w:val="6"/>
          <w:sz w:val="20"/>
          <w:szCs w:val="20"/>
          <w:highlight w:val="none"/>
        </w:rPr>
        <w:t>小时。</w:t>
      </w:r>
    </w:p>
    <w:p w14:paraId="127CBA09">
      <w:pPr>
        <w:autoSpaceDE/>
        <w:autoSpaceDN/>
        <w:spacing w:before="33" w:line="360" w:lineRule="auto"/>
        <w:ind w:left="0" w:firstLine="414" w:firstLineChars="200"/>
        <w:outlineLvl w:val="2"/>
        <w:rPr>
          <w:rFonts w:ascii="宋体" w:hAnsi="宋体" w:eastAsia="宋体" w:cs="宋体"/>
          <w:color w:val="auto"/>
          <w:sz w:val="20"/>
          <w:szCs w:val="20"/>
          <w:highlight w:val="none"/>
        </w:rPr>
      </w:pPr>
      <w:bookmarkStart w:id="351" w:name="_Toc31134"/>
      <w:bookmarkStart w:id="352" w:name="_Toc5337"/>
      <w:bookmarkStart w:id="353" w:name="_Toc11715"/>
      <w:r>
        <w:rPr>
          <w:rFonts w:ascii="宋体" w:hAnsi="宋体" w:eastAsia="宋体" w:cs="宋体"/>
          <w:b/>
          <w:bCs/>
          <w:color w:val="auto"/>
          <w:spacing w:val="3"/>
          <w:sz w:val="20"/>
          <w:szCs w:val="20"/>
          <w:highlight w:val="none"/>
        </w:rPr>
        <w:t>13.2</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竣工验收</w:t>
      </w:r>
      <w:bookmarkEnd w:id="351"/>
      <w:bookmarkEnd w:id="352"/>
      <w:bookmarkEnd w:id="353"/>
    </w:p>
    <w:p w14:paraId="14A7D700">
      <w:pPr>
        <w:autoSpaceDE/>
        <w:autoSpaceDN/>
        <w:spacing w:before="94"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13.2.1</w:t>
      </w:r>
      <w:r>
        <w:rPr>
          <w:rFonts w:ascii="宋体" w:hAnsi="宋体" w:eastAsia="宋体" w:cs="宋体"/>
          <w:color w:val="auto"/>
          <w:spacing w:val="-34"/>
          <w:sz w:val="20"/>
          <w:szCs w:val="20"/>
          <w:highlight w:val="none"/>
        </w:rPr>
        <w:t xml:space="preserve"> </w:t>
      </w:r>
      <w:r>
        <w:rPr>
          <w:rFonts w:ascii="宋体" w:hAnsi="宋体" w:eastAsia="宋体" w:cs="宋体"/>
          <w:color w:val="auto"/>
          <w:spacing w:val="4"/>
          <w:sz w:val="20"/>
          <w:szCs w:val="20"/>
          <w:highlight w:val="none"/>
        </w:rPr>
        <w:t>竣工验收条件</w:t>
      </w:r>
    </w:p>
    <w:p w14:paraId="58183063">
      <w:pPr>
        <w:autoSpaceDE/>
        <w:autoSpaceDN/>
        <w:spacing w:before="94"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（3）承包人负责整理和提交的竣工验收资料应当符合工程所在地建设行政主管部门和(或)</w:t>
      </w:r>
      <w:r>
        <w:rPr>
          <w:rFonts w:ascii="宋体" w:hAnsi="宋体" w:eastAsia="宋体" w:cs="宋体"/>
          <w:color w:val="auto"/>
          <w:spacing w:val="7"/>
          <w:sz w:val="20"/>
          <w:szCs w:val="20"/>
          <w:highlight w:val="none"/>
        </w:rPr>
        <w:t>城市建设档案管理机构有关施工资料的要求，具体内容包括：</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竣工图纸、竣工验收意见书、施工合同及补充协议、图纸会审纪录、设计修改通知单等</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30DA4255">
      <w:pPr>
        <w:autoSpaceDE/>
        <w:autoSpaceDN/>
        <w:spacing w:before="92"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竣工验收资料的份数：</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一式三份</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17307061">
      <w:pPr>
        <w:autoSpaceDE/>
        <w:autoSpaceDN/>
        <w:spacing w:before="95" w:line="360" w:lineRule="auto"/>
        <w:ind w:left="0" w:right="128"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承包人提供竣工图的约定：</w:t>
      </w:r>
      <w:r>
        <w:rPr>
          <w:rFonts w:ascii="宋体" w:hAnsi="宋体" w:eastAsia="宋体" w:cs="宋体"/>
          <w:color w:val="auto"/>
          <w:spacing w:val="7"/>
          <w:sz w:val="20"/>
          <w:szCs w:val="20"/>
          <w:highlight w:val="none"/>
          <w:u w:val="single" w:color="auto"/>
        </w:rPr>
        <w:t>竣工验收正式通过后</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7"/>
          <w:sz w:val="20"/>
          <w:szCs w:val="20"/>
          <w:highlight w:val="none"/>
          <w:u w:val="single" w:color="auto"/>
        </w:rPr>
        <w:t>5</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7"/>
          <w:sz w:val="20"/>
          <w:szCs w:val="20"/>
          <w:highlight w:val="none"/>
          <w:u w:val="single" w:color="auto"/>
        </w:rPr>
        <w:t>天（工程造价在</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7"/>
          <w:sz w:val="20"/>
          <w:szCs w:val="20"/>
          <w:highlight w:val="none"/>
          <w:u w:val="single" w:color="auto"/>
        </w:rPr>
        <w:t>500</w:t>
      </w:r>
      <w:r>
        <w:rPr>
          <w:rFonts w:ascii="宋体" w:hAnsi="宋体" w:eastAsia="宋体" w:cs="宋体"/>
          <w:color w:val="auto"/>
          <w:spacing w:val="-36"/>
          <w:sz w:val="20"/>
          <w:szCs w:val="20"/>
          <w:highlight w:val="none"/>
          <w:u w:val="single" w:color="auto"/>
        </w:rPr>
        <w:t xml:space="preserve"> </w:t>
      </w:r>
      <w:r>
        <w:rPr>
          <w:rFonts w:ascii="宋体" w:hAnsi="宋体" w:eastAsia="宋体" w:cs="宋体"/>
          <w:color w:val="auto"/>
          <w:spacing w:val="7"/>
          <w:sz w:val="20"/>
          <w:szCs w:val="20"/>
          <w:highlight w:val="none"/>
          <w:u w:val="single" w:color="auto"/>
        </w:rPr>
        <w:t>万元以下含</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7"/>
          <w:sz w:val="20"/>
          <w:szCs w:val="20"/>
          <w:highlight w:val="none"/>
          <w:u w:val="single" w:color="auto"/>
        </w:rPr>
        <w:t>500</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7"/>
          <w:sz w:val="20"/>
          <w:szCs w:val="20"/>
          <w:highlight w:val="none"/>
          <w:u w:val="single" w:color="auto"/>
        </w:rPr>
        <w:t>万</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u w:val="single" w:color="auto"/>
        </w:rPr>
        <w:t>元）、10天（工程造价在</w:t>
      </w:r>
      <w:r>
        <w:rPr>
          <w:rFonts w:ascii="宋体" w:hAnsi="宋体" w:eastAsia="宋体" w:cs="宋体"/>
          <w:color w:val="auto"/>
          <w:spacing w:val="-33"/>
          <w:sz w:val="20"/>
          <w:szCs w:val="20"/>
          <w:highlight w:val="none"/>
          <w:u w:val="single" w:color="auto"/>
        </w:rPr>
        <w:t xml:space="preserve"> </w:t>
      </w:r>
      <w:r>
        <w:rPr>
          <w:rFonts w:ascii="宋体" w:hAnsi="宋体" w:eastAsia="宋体" w:cs="宋体"/>
          <w:color w:val="auto"/>
          <w:spacing w:val="5"/>
          <w:sz w:val="20"/>
          <w:szCs w:val="20"/>
          <w:highlight w:val="none"/>
          <w:u w:val="single" w:color="auto"/>
        </w:rPr>
        <w:t>500</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5"/>
          <w:sz w:val="20"/>
          <w:szCs w:val="20"/>
          <w:highlight w:val="none"/>
          <w:u w:val="single" w:color="auto"/>
        </w:rPr>
        <w:t>万元至</w:t>
      </w:r>
      <w:r>
        <w:rPr>
          <w:rFonts w:ascii="宋体" w:hAnsi="宋体" w:eastAsia="宋体" w:cs="宋体"/>
          <w:color w:val="auto"/>
          <w:spacing w:val="-24"/>
          <w:sz w:val="20"/>
          <w:szCs w:val="20"/>
          <w:highlight w:val="none"/>
          <w:u w:val="single" w:color="auto"/>
        </w:rPr>
        <w:t xml:space="preserve"> </w:t>
      </w:r>
      <w:r>
        <w:rPr>
          <w:rFonts w:ascii="宋体" w:hAnsi="宋体" w:eastAsia="宋体" w:cs="宋体"/>
          <w:color w:val="auto"/>
          <w:spacing w:val="5"/>
          <w:sz w:val="20"/>
          <w:szCs w:val="20"/>
          <w:highlight w:val="none"/>
          <w:u w:val="single" w:color="auto"/>
        </w:rPr>
        <w:t>1000</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5"/>
          <w:sz w:val="20"/>
          <w:szCs w:val="20"/>
          <w:highlight w:val="none"/>
          <w:u w:val="single" w:color="auto"/>
        </w:rPr>
        <w:t>万元之间含</w:t>
      </w:r>
      <w:r>
        <w:rPr>
          <w:rFonts w:ascii="宋体" w:hAnsi="宋体" w:eastAsia="宋体" w:cs="宋体"/>
          <w:color w:val="auto"/>
          <w:spacing w:val="-22"/>
          <w:sz w:val="20"/>
          <w:szCs w:val="20"/>
          <w:highlight w:val="none"/>
          <w:u w:val="single" w:color="auto"/>
        </w:rPr>
        <w:t xml:space="preserve"> </w:t>
      </w:r>
      <w:r>
        <w:rPr>
          <w:rFonts w:ascii="宋体" w:hAnsi="宋体" w:eastAsia="宋体" w:cs="宋体"/>
          <w:color w:val="auto"/>
          <w:spacing w:val="5"/>
          <w:sz w:val="20"/>
          <w:szCs w:val="20"/>
          <w:highlight w:val="none"/>
          <w:u w:val="single" w:color="auto"/>
        </w:rPr>
        <w:t>10</w:t>
      </w:r>
      <w:r>
        <w:rPr>
          <w:rFonts w:ascii="宋体" w:hAnsi="宋体" w:eastAsia="宋体" w:cs="宋体"/>
          <w:color w:val="auto"/>
          <w:spacing w:val="4"/>
          <w:sz w:val="20"/>
          <w:szCs w:val="20"/>
          <w:highlight w:val="none"/>
          <w:u w:val="single" w:color="auto"/>
        </w:rPr>
        <w:t>00</w:t>
      </w:r>
      <w:r>
        <w:rPr>
          <w:rFonts w:ascii="宋体" w:hAnsi="宋体" w:eastAsia="宋体" w:cs="宋体"/>
          <w:color w:val="auto"/>
          <w:spacing w:val="-35"/>
          <w:sz w:val="20"/>
          <w:szCs w:val="20"/>
          <w:highlight w:val="none"/>
          <w:u w:val="single" w:color="auto"/>
        </w:rPr>
        <w:t xml:space="preserve"> </w:t>
      </w:r>
      <w:r>
        <w:rPr>
          <w:rFonts w:ascii="宋体" w:hAnsi="宋体" w:eastAsia="宋体" w:cs="宋体"/>
          <w:color w:val="auto"/>
          <w:spacing w:val="4"/>
          <w:sz w:val="20"/>
          <w:szCs w:val="20"/>
          <w:highlight w:val="none"/>
          <w:u w:val="single" w:color="auto"/>
        </w:rPr>
        <w:t>万元）、15</w:t>
      </w:r>
      <w:r>
        <w:rPr>
          <w:rFonts w:ascii="宋体" w:hAnsi="宋体" w:eastAsia="宋体" w:cs="宋体"/>
          <w:color w:val="auto"/>
          <w:spacing w:val="-34"/>
          <w:sz w:val="20"/>
          <w:szCs w:val="20"/>
          <w:highlight w:val="none"/>
          <w:u w:val="single" w:color="auto"/>
        </w:rPr>
        <w:t xml:space="preserve"> </w:t>
      </w:r>
      <w:r>
        <w:rPr>
          <w:rFonts w:ascii="宋体" w:hAnsi="宋体" w:eastAsia="宋体" w:cs="宋体"/>
          <w:color w:val="auto"/>
          <w:spacing w:val="4"/>
          <w:sz w:val="20"/>
          <w:szCs w:val="20"/>
          <w:highlight w:val="none"/>
          <w:u w:val="single" w:color="auto"/>
        </w:rPr>
        <w:t>天（工程造价在</w:t>
      </w:r>
      <w:r>
        <w:rPr>
          <w:rFonts w:ascii="宋体" w:hAnsi="宋体" w:eastAsia="宋体" w:cs="宋体"/>
          <w:color w:val="auto"/>
          <w:spacing w:val="-23"/>
          <w:sz w:val="20"/>
          <w:szCs w:val="20"/>
          <w:highlight w:val="none"/>
          <w:u w:val="single" w:color="auto"/>
        </w:rPr>
        <w:t xml:space="preserve"> </w:t>
      </w:r>
      <w:r>
        <w:rPr>
          <w:rFonts w:ascii="宋体" w:hAnsi="宋体" w:eastAsia="宋体" w:cs="宋体"/>
          <w:color w:val="auto"/>
          <w:spacing w:val="4"/>
          <w:sz w:val="20"/>
          <w:szCs w:val="20"/>
          <w:highlight w:val="none"/>
          <w:u w:val="single" w:color="auto"/>
        </w:rPr>
        <w:t>1000</w:t>
      </w:r>
      <w:r>
        <w:rPr>
          <w:rFonts w:ascii="宋体" w:hAnsi="宋体" w:eastAsia="宋体" w:cs="宋体"/>
          <w:color w:val="auto"/>
          <w:spacing w:val="7"/>
          <w:sz w:val="20"/>
          <w:szCs w:val="20"/>
          <w:highlight w:val="none"/>
          <w:u w:val="single" w:color="auto"/>
        </w:rPr>
        <w:t>万元以上</w:t>
      </w:r>
      <w:r>
        <w:rPr>
          <w:rFonts w:ascii="宋体" w:hAnsi="宋体" w:eastAsia="宋体" w:cs="宋体"/>
          <w:color w:val="auto"/>
          <w:spacing w:val="20"/>
          <w:sz w:val="20"/>
          <w:szCs w:val="20"/>
          <w:highlight w:val="none"/>
          <w:u w:val="single" w:color="auto"/>
        </w:rPr>
        <w:t>），</w:t>
      </w:r>
      <w:r>
        <w:rPr>
          <w:rFonts w:ascii="宋体" w:hAnsi="宋体" w:eastAsia="宋体" w:cs="宋体"/>
          <w:color w:val="auto"/>
          <w:spacing w:val="7"/>
          <w:sz w:val="20"/>
          <w:szCs w:val="20"/>
          <w:highlight w:val="none"/>
          <w:u w:val="single" w:color="auto"/>
        </w:rPr>
        <w:t>提供竣工图的数量分别为</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7"/>
          <w:sz w:val="20"/>
          <w:szCs w:val="20"/>
          <w:highlight w:val="none"/>
          <w:u w:val="single" w:color="auto"/>
        </w:rPr>
        <w:t>2</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7"/>
          <w:sz w:val="20"/>
          <w:szCs w:val="20"/>
          <w:highlight w:val="none"/>
          <w:u w:val="single" w:color="auto"/>
        </w:rPr>
        <w:t>套、4</w:t>
      </w:r>
      <w:r>
        <w:rPr>
          <w:rFonts w:ascii="宋体" w:hAnsi="宋体" w:eastAsia="宋体" w:cs="宋体"/>
          <w:color w:val="auto"/>
          <w:spacing w:val="-40"/>
          <w:sz w:val="20"/>
          <w:szCs w:val="20"/>
          <w:highlight w:val="none"/>
          <w:u w:val="single" w:color="auto"/>
        </w:rPr>
        <w:t xml:space="preserve"> </w:t>
      </w:r>
      <w:r>
        <w:rPr>
          <w:rFonts w:ascii="宋体" w:hAnsi="宋体" w:eastAsia="宋体" w:cs="宋体"/>
          <w:color w:val="auto"/>
          <w:spacing w:val="7"/>
          <w:sz w:val="20"/>
          <w:szCs w:val="20"/>
          <w:highlight w:val="none"/>
          <w:u w:val="single" w:color="auto"/>
        </w:rPr>
        <w:t>套、6</w:t>
      </w:r>
      <w:r>
        <w:rPr>
          <w:rFonts w:ascii="宋体" w:hAnsi="宋体" w:eastAsia="宋体" w:cs="宋体"/>
          <w:color w:val="auto"/>
          <w:spacing w:val="-37"/>
          <w:sz w:val="20"/>
          <w:szCs w:val="20"/>
          <w:highlight w:val="none"/>
          <w:u w:val="single" w:color="auto"/>
        </w:rPr>
        <w:t xml:space="preserve"> </w:t>
      </w:r>
      <w:r>
        <w:rPr>
          <w:rFonts w:ascii="宋体" w:hAnsi="宋体" w:eastAsia="宋体" w:cs="宋体"/>
          <w:color w:val="auto"/>
          <w:spacing w:val="7"/>
          <w:sz w:val="20"/>
          <w:szCs w:val="20"/>
          <w:highlight w:val="none"/>
          <w:u w:val="single" w:color="auto"/>
        </w:rPr>
        <w:t>套。</w:t>
      </w:r>
    </w:p>
    <w:p w14:paraId="13BBADE9">
      <w:pPr>
        <w:autoSpaceDE/>
        <w:autoSpaceDN/>
        <w:spacing w:before="94"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13.2.2</w:t>
      </w:r>
      <w:r>
        <w:rPr>
          <w:rFonts w:ascii="宋体" w:hAnsi="宋体" w:eastAsia="宋体" w:cs="宋体"/>
          <w:color w:val="auto"/>
          <w:spacing w:val="-34"/>
          <w:sz w:val="20"/>
          <w:szCs w:val="20"/>
          <w:highlight w:val="none"/>
        </w:rPr>
        <w:t xml:space="preserve"> </w:t>
      </w:r>
      <w:r>
        <w:rPr>
          <w:rFonts w:ascii="宋体" w:hAnsi="宋体" w:eastAsia="宋体" w:cs="宋体"/>
          <w:color w:val="auto"/>
          <w:spacing w:val="4"/>
          <w:sz w:val="20"/>
          <w:szCs w:val="20"/>
          <w:highlight w:val="none"/>
        </w:rPr>
        <w:t>竣工验收程序</w:t>
      </w:r>
    </w:p>
    <w:p w14:paraId="42F6148C">
      <w:pPr>
        <w:autoSpaceDE/>
        <w:autoSpaceDN/>
        <w:spacing w:before="93"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关于竣工验收程序的约定：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按建设行政主管部门有关规定执行</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5EB9ECF0">
      <w:pPr>
        <w:autoSpaceDE/>
        <w:autoSpaceDN/>
        <w:spacing w:before="94" w:line="360" w:lineRule="auto"/>
        <w:ind w:left="0" w:firstLine="432" w:firstLineChars="200"/>
        <w:rPr>
          <w:rFonts w:ascii="宋体" w:hAnsi="宋体" w:eastAsia="宋体" w:cs="宋体"/>
          <w:color w:val="auto"/>
          <w:spacing w:val="8"/>
          <w:sz w:val="20"/>
          <w:szCs w:val="20"/>
          <w:highlight w:val="none"/>
        </w:rPr>
      </w:pPr>
      <w:r>
        <w:rPr>
          <w:rFonts w:ascii="宋体" w:hAnsi="宋体" w:eastAsia="宋体" w:cs="宋体"/>
          <w:color w:val="auto"/>
          <w:spacing w:val="8"/>
          <w:sz w:val="20"/>
          <w:szCs w:val="20"/>
          <w:highlight w:val="none"/>
        </w:rPr>
        <w:t>发包人不按照本项约定组织竣工验收、颁发工程接收证书的违约金的计算方法：</w:t>
      </w:r>
      <w:r>
        <w:rPr>
          <w:rFonts w:ascii="宋体" w:hAnsi="宋体" w:eastAsia="宋体" w:cs="宋体"/>
          <w:color w:val="auto"/>
          <w:spacing w:val="8"/>
          <w:sz w:val="20"/>
          <w:szCs w:val="20"/>
          <w:highlight w:val="none"/>
          <w:u w:val="none"/>
        </w:rPr>
        <w:t xml:space="preserve"> </w:t>
      </w:r>
      <w:r>
        <w:rPr>
          <w:rFonts w:ascii="宋体" w:hAnsi="宋体" w:eastAsia="宋体" w:cs="宋体"/>
          <w:color w:val="auto"/>
          <w:spacing w:val="8"/>
          <w:sz w:val="20"/>
          <w:szCs w:val="20"/>
          <w:highlight w:val="none"/>
          <w:u w:val="single"/>
        </w:rPr>
        <w:t xml:space="preserve"> </w:t>
      </w:r>
      <w:r>
        <w:rPr>
          <w:rFonts w:hint="eastAsia" w:ascii="宋体" w:hAnsi="宋体" w:eastAsia="宋体" w:cs="宋体"/>
          <w:color w:val="auto"/>
          <w:spacing w:val="8"/>
          <w:sz w:val="20"/>
          <w:szCs w:val="20"/>
          <w:highlight w:val="none"/>
          <w:u w:val="single"/>
        </w:rPr>
        <w:t>无</w:t>
      </w:r>
      <w:r>
        <w:rPr>
          <w:rFonts w:ascii="宋体" w:hAnsi="宋体" w:eastAsia="宋体" w:cs="宋体"/>
          <w:color w:val="auto"/>
          <w:spacing w:val="8"/>
          <w:sz w:val="20"/>
          <w:szCs w:val="20"/>
          <w:highlight w:val="none"/>
          <w:u w:val="single"/>
        </w:rPr>
        <w:t xml:space="preserve"> </w:t>
      </w:r>
      <w:r>
        <w:rPr>
          <w:rFonts w:ascii="宋体" w:hAnsi="宋体" w:eastAsia="宋体" w:cs="宋体"/>
          <w:color w:val="auto"/>
          <w:spacing w:val="8"/>
          <w:sz w:val="20"/>
          <w:szCs w:val="20"/>
          <w:highlight w:val="none"/>
        </w:rPr>
        <w:t>。</w:t>
      </w:r>
    </w:p>
    <w:p w14:paraId="020CFAE6">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13.2.5</w:t>
      </w:r>
      <w:r>
        <w:rPr>
          <w:rFonts w:ascii="宋体" w:hAnsi="宋体" w:eastAsia="宋体" w:cs="宋体"/>
          <w:color w:val="auto"/>
          <w:spacing w:val="-34"/>
          <w:sz w:val="20"/>
          <w:szCs w:val="20"/>
          <w:highlight w:val="none"/>
        </w:rPr>
        <w:t xml:space="preserve"> </w:t>
      </w:r>
      <w:r>
        <w:rPr>
          <w:rFonts w:ascii="宋体" w:hAnsi="宋体" w:eastAsia="宋体" w:cs="宋体"/>
          <w:color w:val="auto"/>
          <w:spacing w:val="6"/>
          <w:sz w:val="20"/>
          <w:szCs w:val="20"/>
          <w:highlight w:val="none"/>
        </w:rPr>
        <w:t>移交、接收全部与部分工程</w:t>
      </w:r>
    </w:p>
    <w:p w14:paraId="5ED387A5">
      <w:pPr>
        <w:autoSpaceDE/>
        <w:autoSpaceDN/>
        <w:spacing w:before="94"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承包人向发包人移交工程的期限：</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验收合格后15日内</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4CD28D03">
      <w:pPr>
        <w:autoSpaceDE/>
        <w:autoSpaceDN/>
        <w:spacing w:before="92" w:line="360" w:lineRule="auto"/>
        <w:ind w:left="0" w:right="364" w:firstLine="432" w:firstLineChars="200"/>
        <w:rPr>
          <w:rFonts w:ascii="宋体" w:hAnsi="宋体" w:eastAsia="宋体" w:cs="宋体"/>
          <w:color w:val="auto"/>
          <w:spacing w:val="7"/>
          <w:sz w:val="20"/>
          <w:szCs w:val="20"/>
          <w:highlight w:val="none"/>
        </w:rPr>
      </w:pPr>
      <w:r>
        <w:rPr>
          <w:rFonts w:ascii="宋体" w:hAnsi="宋体" w:eastAsia="宋体" w:cs="宋体"/>
          <w:color w:val="auto"/>
          <w:spacing w:val="8"/>
          <w:sz w:val="20"/>
          <w:szCs w:val="20"/>
          <w:highlight w:val="none"/>
        </w:rPr>
        <w:t>发包人未按本合同约定接收全部或部分工程</w:t>
      </w:r>
      <w:r>
        <w:rPr>
          <w:rFonts w:ascii="宋体" w:hAnsi="宋体" w:eastAsia="宋体" w:cs="宋体"/>
          <w:color w:val="auto"/>
          <w:spacing w:val="7"/>
          <w:sz w:val="20"/>
          <w:szCs w:val="20"/>
          <w:highlight w:val="none"/>
        </w:rPr>
        <w:t>的，违约金的计算方法为：</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每日处合同总价的万分之四，最高不超过合同价款的</w:t>
      </w:r>
      <w:r>
        <w:rPr>
          <w:rFonts w:hint="eastAsia" w:ascii="宋体" w:hAnsi="宋体" w:eastAsia="宋体" w:cs="宋体"/>
          <w:color w:val="auto"/>
          <w:spacing w:val="7"/>
          <w:sz w:val="20"/>
          <w:szCs w:val="20"/>
          <w:highlight w:val="none"/>
          <w:u w:val="single" w:color="auto"/>
          <w:lang w:eastAsia="zh-CN"/>
        </w:rPr>
        <w:t>3</w:t>
      </w:r>
      <w:r>
        <w:rPr>
          <w:rFonts w:hint="eastAsia" w:ascii="宋体" w:hAnsi="宋体" w:eastAsia="宋体" w:cs="宋体"/>
          <w:color w:val="auto"/>
          <w:spacing w:val="7"/>
          <w:sz w:val="20"/>
          <w:szCs w:val="20"/>
          <w:highlight w:val="none"/>
          <w:u w:val="single" w:color="auto"/>
        </w:rPr>
        <w:t>%</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6BFA3112">
      <w:pPr>
        <w:autoSpaceDE/>
        <w:autoSpaceDN/>
        <w:spacing w:before="92" w:line="360" w:lineRule="auto"/>
        <w:ind w:left="0" w:right="364"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承包人未按时移交工程的，违约金的计算方法为：</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每日处合同总价的万分之四，最高不超过合同价款的</w:t>
      </w:r>
      <w:r>
        <w:rPr>
          <w:rFonts w:hint="eastAsia" w:ascii="宋体" w:hAnsi="宋体" w:eastAsia="宋体" w:cs="宋体"/>
          <w:color w:val="auto"/>
          <w:spacing w:val="6"/>
          <w:sz w:val="20"/>
          <w:szCs w:val="20"/>
          <w:highlight w:val="none"/>
          <w:u w:val="single" w:color="auto"/>
          <w:lang w:eastAsia="zh-CN"/>
        </w:rPr>
        <w:t>3</w:t>
      </w:r>
      <w:r>
        <w:rPr>
          <w:rFonts w:hint="eastAsia" w:ascii="宋体" w:hAnsi="宋体" w:eastAsia="宋体" w:cs="宋体"/>
          <w:color w:val="auto"/>
          <w:spacing w:val="6"/>
          <w:sz w:val="20"/>
          <w:szCs w:val="20"/>
          <w:highlight w:val="none"/>
          <w:u w:val="single" w:color="auto"/>
        </w:rPr>
        <w:t>%</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05983049">
      <w:pPr>
        <w:autoSpaceDE/>
        <w:autoSpaceDN/>
        <w:spacing w:before="31" w:line="360" w:lineRule="auto"/>
        <w:ind w:left="0" w:firstLine="406" w:firstLineChars="200"/>
        <w:outlineLvl w:val="2"/>
        <w:rPr>
          <w:rFonts w:ascii="宋体" w:hAnsi="宋体" w:eastAsia="宋体" w:cs="宋体"/>
          <w:color w:val="auto"/>
          <w:sz w:val="20"/>
          <w:szCs w:val="20"/>
          <w:highlight w:val="none"/>
        </w:rPr>
      </w:pPr>
      <w:bookmarkStart w:id="354" w:name="_Toc3533"/>
      <w:bookmarkStart w:id="355" w:name="_Toc26163"/>
      <w:bookmarkStart w:id="356" w:name="_Toc28984"/>
      <w:r>
        <w:rPr>
          <w:rFonts w:ascii="宋体" w:hAnsi="宋体" w:eastAsia="宋体" w:cs="宋体"/>
          <w:b/>
          <w:bCs/>
          <w:color w:val="auto"/>
          <w:spacing w:val="1"/>
          <w:sz w:val="20"/>
          <w:szCs w:val="20"/>
          <w:highlight w:val="none"/>
        </w:rPr>
        <w:t>13.3</w:t>
      </w:r>
      <w:r>
        <w:rPr>
          <w:rFonts w:ascii="宋体" w:hAnsi="宋体" w:eastAsia="宋体" w:cs="宋体"/>
          <w:color w:val="auto"/>
          <w:spacing w:val="21"/>
          <w:sz w:val="20"/>
          <w:szCs w:val="20"/>
          <w:highlight w:val="none"/>
        </w:rPr>
        <w:t xml:space="preserve"> </w:t>
      </w:r>
      <w:r>
        <w:rPr>
          <w:rFonts w:ascii="宋体" w:hAnsi="宋体" w:eastAsia="宋体" w:cs="宋体"/>
          <w:b/>
          <w:bCs/>
          <w:color w:val="auto"/>
          <w:spacing w:val="1"/>
          <w:sz w:val="20"/>
          <w:szCs w:val="20"/>
          <w:highlight w:val="none"/>
        </w:rPr>
        <w:t>工程试车</w:t>
      </w:r>
      <w:bookmarkEnd w:id="354"/>
      <w:bookmarkEnd w:id="355"/>
      <w:bookmarkEnd w:id="356"/>
    </w:p>
    <w:p w14:paraId="253C8DC1">
      <w:pPr>
        <w:autoSpaceDE/>
        <w:autoSpaceDN/>
        <w:spacing w:before="94"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13.3.1 试车程序</w:t>
      </w:r>
    </w:p>
    <w:p w14:paraId="7225DEDC">
      <w:pPr>
        <w:autoSpaceDE/>
        <w:autoSpaceDN/>
        <w:spacing w:before="95" w:line="360" w:lineRule="auto"/>
        <w:ind w:left="0" w:right="575"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工程试车内容：</w:t>
      </w:r>
      <w:r>
        <w:rPr>
          <w:rFonts w:ascii="宋体" w:hAnsi="宋体" w:eastAsia="宋体" w:cs="宋体"/>
          <w:color w:val="auto"/>
          <w:sz w:val="20"/>
          <w:szCs w:val="20"/>
          <w:highlight w:val="none"/>
          <w:u w:val="single" w:color="auto"/>
        </w:rPr>
        <w:t xml:space="preserve"> </w:t>
      </w:r>
      <w:r>
        <w:rPr>
          <w:rFonts w:hint="eastAsia"/>
          <w:color w:val="auto"/>
          <w:spacing w:val="7"/>
          <w:sz w:val="20"/>
          <w:szCs w:val="20"/>
          <w:highlight w:val="none"/>
          <w:u w:val="single" w:color="auto"/>
        </w:rPr>
        <w:t>另行约定</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rPr>
        <w:t xml:space="preserve"> </w:t>
      </w:r>
    </w:p>
    <w:p w14:paraId="13870CCD">
      <w:pPr>
        <w:autoSpaceDE/>
        <w:autoSpaceDN/>
        <w:spacing w:before="95" w:line="360" w:lineRule="auto"/>
        <w:ind w:left="0" w:right="575"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（1）单机无负荷试车费用由</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承包人</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5"/>
          <w:sz w:val="20"/>
          <w:szCs w:val="20"/>
          <w:highlight w:val="none"/>
        </w:rPr>
        <w:t>承担；</w:t>
      </w:r>
    </w:p>
    <w:p w14:paraId="3BD180E1">
      <w:pPr>
        <w:autoSpaceDE/>
        <w:autoSpaceDN/>
        <w:spacing w:before="37"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（2）无负荷联动试车费用由</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承包人</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5"/>
          <w:sz w:val="20"/>
          <w:szCs w:val="20"/>
          <w:highlight w:val="none"/>
        </w:rPr>
        <w:t>承担。</w:t>
      </w:r>
    </w:p>
    <w:p w14:paraId="018E1066">
      <w:pPr>
        <w:autoSpaceDE/>
        <w:autoSpaceDN/>
        <w:spacing w:before="91"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13.3.3 投料试车</w:t>
      </w:r>
    </w:p>
    <w:p w14:paraId="3D90E16D">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关于投料试车相关事项的约定：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投料试运行应在工程竣工验收后由发包人负责，如发包人要求在工程竣工验收前进行或需要承包人配合时，应征得承包人同意，另行签订补充协议</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0FE7A7CE">
      <w:pPr>
        <w:autoSpaceDE/>
        <w:autoSpaceDN/>
        <w:spacing w:before="94" w:line="360" w:lineRule="auto"/>
        <w:ind w:left="0" w:firstLine="414" w:firstLineChars="200"/>
        <w:outlineLvl w:val="2"/>
        <w:rPr>
          <w:rFonts w:ascii="宋体" w:hAnsi="宋体" w:eastAsia="宋体" w:cs="宋体"/>
          <w:color w:val="auto"/>
          <w:sz w:val="20"/>
          <w:szCs w:val="20"/>
          <w:highlight w:val="none"/>
        </w:rPr>
      </w:pPr>
      <w:bookmarkStart w:id="357" w:name="_Toc12860"/>
      <w:bookmarkStart w:id="358" w:name="_Toc16160"/>
      <w:bookmarkStart w:id="359" w:name="_Toc14666"/>
      <w:r>
        <w:rPr>
          <w:rFonts w:ascii="宋体" w:hAnsi="宋体" w:eastAsia="宋体" w:cs="宋体"/>
          <w:b/>
          <w:bCs/>
          <w:color w:val="auto"/>
          <w:spacing w:val="3"/>
          <w:sz w:val="20"/>
          <w:szCs w:val="20"/>
          <w:highlight w:val="none"/>
        </w:rPr>
        <w:t>13.6</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竣工退场</w:t>
      </w:r>
      <w:bookmarkEnd w:id="357"/>
      <w:bookmarkEnd w:id="358"/>
      <w:bookmarkEnd w:id="359"/>
    </w:p>
    <w:p w14:paraId="170CD7FC">
      <w:pPr>
        <w:autoSpaceDE/>
        <w:autoSpaceDN/>
        <w:spacing w:before="94" w:line="360" w:lineRule="auto"/>
        <w:ind w:left="0" w:firstLine="416" w:firstLineChars="200"/>
        <w:outlineLvl w:val="0"/>
        <w:rPr>
          <w:rFonts w:ascii="宋体" w:hAnsi="宋体" w:eastAsia="宋体" w:cs="宋体"/>
          <w:color w:val="auto"/>
          <w:sz w:val="20"/>
          <w:szCs w:val="20"/>
          <w:highlight w:val="none"/>
        </w:rPr>
      </w:pPr>
      <w:bookmarkStart w:id="360" w:name="_Toc32504"/>
      <w:bookmarkStart w:id="361" w:name="_Toc6631"/>
      <w:bookmarkStart w:id="362" w:name="_Toc4944"/>
      <w:r>
        <w:rPr>
          <w:rFonts w:ascii="宋体" w:hAnsi="宋体" w:eastAsia="宋体" w:cs="宋体"/>
          <w:color w:val="auto"/>
          <w:spacing w:val="4"/>
          <w:sz w:val="20"/>
          <w:szCs w:val="20"/>
          <w:highlight w:val="none"/>
        </w:rPr>
        <w:t>13.6.1 竣工退场</w:t>
      </w:r>
      <w:bookmarkEnd w:id="360"/>
      <w:bookmarkEnd w:id="361"/>
      <w:bookmarkEnd w:id="362"/>
    </w:p>
    <w:p w14:paraId="14343973">
      <w:pPr>
        <w:autoSpaceDE/>
        <w:autoSpaceDN/>
        <w:spacing w:before="93"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承包人完成竣工退场的期限：</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28DD508B">
      <w:pPr>
        <w:autoSpaceDE/>
        <w:autoSpaceDN/>
        <w:spacing w:before="152" w:line="360" w:lineRule="auto"/>
        <w:ind w:left="0" w:firstLine="406" w:firstLineChars="200"/>
        <w:outlineLvl w:val="1"/>
        <w:rPr>
          <w:rFonts w:ascii="宋体" w:hAnsi="宋体" w:eastAsia="宋体" w:cs="宋体"/>
          <w:color w:val="auto"/>
          <w:sz w:val="20"/>
          <w:szCs w:val="20"/>
          <w:highlight w:val="none"/>
        </w:rPr>
      </w:pPr>
      <w:bookmarkStart w:id="363" w:name="_Toc15407"/>
      <w:bookmarkStart w:id="364" w:name="_Toc2251"/>
      <w:bookmarkStart w:id="365" w:name="_Toc29680"/>
      <w:r>
        <w:rPr>
          <w:rFonts w:ascii="宋体" w:hAnsi="宋体" w:eastAsia="宋体" w:cs="宋体"/>
          <w:b/>
          <w:bCs/>
          <w:color w:val="auto"/>
          <w:spacing w:val="1"/>
          <w:sz w:val="20"/>
          <w:szCs w:val="20"/>
          <w:highlight w:val="none"/>
        </w:rPr>
        <w:t>14.</w:t>
      </w:r>
      <w:r>
        <w:rPr>
          <w:rFonts w:ascii="宋体" w:hAnsi="宋体" w:eastAsia="宋体" w:cs="宋体"/>
          <w:color w:val="auto"/>
          <w:spacing w:val="18"/>
          <w:sz w:val="20"/>
          <w:szCs w:val="20"/>
          <w:highlight w:val="none"/>
        </w:rPr>
        <w:t xml:space="preserve"> </w:t>
      </w:r>
      <w:r>
        <w:rPr>
          <w:rFonts w:ascii="宋体" w:hAnsi="宋体" w:eastAsia="宋体" w:cs="宋体"/>
          <w:b/>
          <w:bCs/>
          <w:color w:val="auto"/>
          <w:spacing w:val="1"/>
          <w:sz w:val="20"/>
          <w:szCs w:val="20"/>
          <w:highlight w:val="none"/>
        </w:rPr>
        <w:t>竣工结算</w:t>
      </w:r>
      <w:bookmarkEnd w:id="363"/>
      <w:bookmarkEnd w:id="364"/>
      <w:bookmarkEnd w:id="365"/>
    </w:p>
    <w:p w14:paraId="79920137">
      <w:pPr>
        <w:autoSpaceDE/>
        <w:autoSpaceDN/>
        <w:spacing w:before="154" w:line="360" w:lineRule="auto"/>
        <w:ind w:left="0" w:firstLine="418" w:firstLineChars="200"/>
        <w:outlineLvl w:val="2"/>
        <w:rPr>
          <w:rFonts w:ascii="宋体" w:hAnsi="宋体" w:eastAsia="宋体" w:cs="宋体"/>
          <w:color w:val="auto"/>
          <w:sz w:val="20"/>
          <w:szCs w:val="20"/>
          <w:highlight w:val="none"/>
        </w:rPr>
      </w:pPr>
      <w:bookmarkStart w:id="366" w:name="_Toc239"/>
      <w:bookmarkStart w:id="367" w:name="_Toc25961"/>
      <w:bookmarkStart w:id="368" w:name="_Toc9196"/>
      <w:r>
        <w:rPr>
          <w:rFonts w:ascii="宋体" w:hAnsi="宋体" w:eastAsia="宋体" w:cs="宋体"/>
          <w:b/>
          <w:bCs/>
          <w:color w:val="auto"/>
          <w:spacing w:val="4"/>
          <w:sz w:val="20"/>
          <w:szCs w:val="20"/>
          <w:highlight w:val="none"/>
        </w:rPr>
        <w:t>14.1</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竣工付款申请</w:t>
      </w:r>
      <w:bookmarkEnd w:id="366"/>
      <w:bookmarkEnd w:id="367"/>
      <w:bookmarkEnd w:id="368"/>
    </w:p>
    <w:p w14:paraId="6BA4E53F">
      <w:pPr>
        <w:autoSpaceDE/>
        <w:autoSpaceDN/>
        <w:spacing w:before="93"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承包人提交竣工付款申请单的期限：</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工程竣工验收合格后28天内</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19224AF4">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竣工付款申请单应包括的内容：</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除通用条款外，有关本工程的施工图纸与说明和会审记录，以及图表、资料、双方进行的有关会议、洽谈记录、双方协商同意并经双方当事人签证的有关修改设计的变更文件等，都是施工和竣工验收的有效技术资料，也是工程结算的论据</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64E5B5DF">
      <w:pPr>
        <w:autoSpaceDE/>
        <w:autoSpaceDN/>
        <w:spacing w:before="94" w:line="360" w:lineRule="auto"/>
        <w:ind w:left="0" w:firstLine="418" w:firstLineChars="200"/>
        <w:outlineLvl w:val="2"/>
        <w:rPr>
          <w:rFonts w:ascii="宋体" w:hAnsi="宋体" w:eastAsia="宋体" w:cs="宋体"/>
          <w:color w:val="auto"/>
          <w:sz w:val="20"/>
          <w:szCs w:val="20"/>
          <w:highlight w:val="none"/>
        </w:rPr>
      </w:pPr>
      <w:bookmarkStart w:id="369" w:name="_Toc18832"/>
      <w:bookmarkStart w:id="370" w:name="_Toc7890"/>
      <w:bookmarkStart w:id="371" w:name="_Toc1144"/>
      <w:r>
        <w:rPr>
          <w:rFonts w:ascii="宋体" w:hAnsi="宋体" w:eastAsia="宋体" w:cs="宋体"/>
          <w:b/>
          <w:bCs/>
          <w:color w:val="auto"/>
          <w:spacing w:val="4"/>
          <w:sz w:val="20"/>
          <w:szCs w:val="20"/>
          <w:highlight w:val="none"/>
        </w:rPr>
        <w:t>14.2</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竣工结算审核</w:t>
      </w:r>
      <w:bookmarkEnd w:id="369"/>
      <w:bookmarkEnd w:id="370"/>
      <w:bookmarkEnd w:id="371"/>
    </w:p>
    <w:p w14:paraId="64223AA1">
      <w:pPr>
        <w:autoSpaceDE/>
        <w:autoSpaceDN/>
        <w:spacing w:before="94" w:line="360" w:lineRule="auto"/>
        <w:ind w:left="0" w:firstLine="432" w:firstLineChars="200"/>
        <w:rPr>
          <w:color w:val="auto"/>
          <w:highlight w:val="none"/>
        </w:rPr>
      </w:pPr>
      <w:r>
        <w:rPr>
          <w:rFonts w:ascii="宋体" w:hAnsi="宋体" w:eastAsia="宋体" w:cs="宋体"/>
          <w:color w:val="auto"/>
          <w:spacing w:val="8"/>
          <w:sz w:val="20"/>
          <w:szCs w:val="20"/>
          <w:highlight w:val="none"/>
        </w:rPr>
        <w:t>发包人审批竣工付款申请单的期限：</w:t>
      </w:r>
    </w:p>
    <w:tbl>
      <w:tblPr>
        <w:tblStyle w:val="14"/>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825"/>
        <w:gridCol w:w="2648"/>
        <w:gridCol w:w="6413"/>
      </w:tblGrid>
      <w:tr w14:paraId="48BCD8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417" w:type="pct"/>
            <w:vAlign w:val="top"/>
          </w:tcPr>
          <w:p w14:paraId="7C7B7137">
            <w:pPr>
              <w:autoSpaceDE/>
              <w:autoSpaceDN/>
              <w:spacing w:line="360" w:lineRule="auto"/>
              <w:ind w:firstLine="420" w:firstLineChars="200"/>
              <w:jc w:val="center"/>
              <w:rPr>
                <w:rFonts w:ascii="Arial"/>
                <w:color w:val="auto"/>
                <w:sz w:val="21"/>
                <w:highlight w:val="none"/>
              </w:rPr>
            </w:pPr>
          </w:p>
        </w:tc>
        <w:tc>
          <w:tcPr>
            <w:tcW w:w="1339" w:type="pct"/>
            <w:vAlign w:val="top"/>
          </w:tcPr>
          <w:p w14:paraId="59C04160">
            <w:pPr>
              <w:pStyle w:val="15"/>
              <w:spacing w:before="37" w:line="360" w:lineRule="auto"/>
              <w:ind w:left="0" w:firstLine="432" w:firstLineChars="200"/>
              <w:jc w:val="center"/>
              <w:rPr>
                <w:color w:val="auto"/>
                <w:highlight w:val="none"/>
              </w:rPr>
            </w:pPr>
            <w:r>
              <w:rPr>
                <w:color w:val="auto"/>
                <w:spacing w:val="8"/>
                <w:highlight w:val="none"/>
              </w:rPr>
              <w:t>工程竣工结算报告金额</w:t>
            </w:r>
          </w:p>
        </w:tc>
        <w:tc>
          <w:tcPr>
            <w:tcW w:w="3243" w:type="pct"/>
            <w:vAlign w:val="top"/>
          </w:tcPr>
          <w:p w14:paraId="44CD0ABE">
            <w:pPr>
              <w:pStyle w:val="15"/>
              <w:spacing w:before="37" w:line="360" w:lineRule="auto"/>
              <w:ind w:left="2477" w:firstLine="432" w:firstLineChars="200"/>
              <w:jc w:val="center"/>
              <w:rPr>
                <w:color w:val="auto"/>
                <w:highlight w:val="none"/>
              </w:rPr>
            </w:pPr>
            <w:r>
              <w:rPr>
                <w:color w:val="auto"/>
                <w:spacing w:val="8"/>
                <w:highlight w:val="none"/>
              </w:rPr>
              <w:t>发包人审查时间</w:t>
            </w:r>
          </w:p>
        </w:tc>
      </w:tr>
      <w:tr w14:paraId="1CBE9B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17" w:type="pct"/>
            <w:vAlign w:val="top"/>
          </w:tcPr>
          <w:p w14:paraId="07AD72C7">
            <w:pPr>
              <w:pStyle w:val="15"/>
              <w:autoSpaceDE/>
              <w:autoSpaceDN/>
              <w:spacing w:before="65" w:line="360" w:lineRule="auto"/>
              <w:ind w:left="0" w:firstLine="0" w:firstLineChars="0"/>
              <w:jc w:val="center"/>
              <w:rPr>
                <w:color w:val="auto"/>
                <w:highlight w:val="none"/>
              </w:rPr>
            </w:pPr>
            <w:r>
              <w:rPr>
                <w:color w:val="auto"/>
                <w:highlight w:val="none"/>
              </w:rPr>
              <w:t>1</w:t>
            </w:r>
          </w:p>
        </w:tc>
        <w:tc>
          <w:tcPr>
            <w:tcW w:w="1339" w:type="pct"/>
            <w:vAlign w:val="top"/>
          </w:tcPr>
          <w:p w14:paraId="560553EE">
            <w:pPr>
              <w:pStyle w:val="15"/>
              <w:spacing w:before="33" w:line="360" w:lineRule="auto"/>
              <w:ind w:left="0" w:firstLine="412" w:firstLineChars="200"/>
              <w:jc w:val="center"/>
              <w:rPr>
                <w:color w:val="auto"/>
                <w:highlight w:val="none"/>
              </w:rPr>
            </w:pPr>
            <w:r>
              <w:rPr>
                <w:color w:val="auto"/>
                <w:spacing w:val="3"/>
                <w:highlight w:val="none"/>
              </w:rPr>
              <w:t>500</w:t>
            </w:r>
            <w:r>
              <w:rPr>
                <w:color w:val="auto"/>
                <w:spacing w:val="-30"/>
                <w:highlight w:val="none"/>
              </w:rPr>
              <w:t xml:space="preserve"> </w:t>
            </w:r>
            <w:r>
              <w:rPr>
                <w:color w:val="auto"/>
                <w:spacing w:val="3"/>
                <w:highlight w:val="none"/>
              </w:rPr>
              <w:t>万元以下</w:t>
            </w:r>
          </w:p>
        </w:tc>
        <w:tc>
          <w:tcPr>
            <w:tcW w:w="3243" w:type="pct"/>
            <w:vAlign w:val="top"/>
          </w:tcPr>
          <w:p w14:paraId="62303F76">
            <w:pPr>
              <w:pStyle w:val="15"/>
              <w:spacing w:before="33" w:line="360" w:lineRule="auto"/>
              <w:ind w:left="0" w:firstLine="432" w:firstLineChars="200"/>
              <w:jc w:val="center"/>
              <w:rPr>
                <w:color w:val="auto"/>
                <w:highlight w:val="none"/>
              </w:rPr>
            </w:pPr>
            <w:r>
              <w:rPr>
                <w:color w:val="auto"/>
                <w:spacing w:val="8"/>
                <w:highlight w:val="none"/>
              </w:rPr>
              <w:t>从接到竣工结算报告和完整的竣工结算资料之日起</w:t>
            </w:r>
            <w:r>
              <w:rPr>
                <w:color w:val="auto"/>
                <w:spacing w:val="-29"/>
                <w:highlight w:val="none"/>
              </w:rPr>
              <w:t xml:space="preserve"> </w:t>
            </w:r>
            <w:r>
              <w:rPr>
                <w:color w:val="auto"/>
                <w:spacing w:val="8"/>
                <w:highlight w:val="none"/>
              </w:rPr>
              <w:t>20</w:t>
            </w:r>
            <w:r>
              <w:rPr>
                <w:color w:val="auto"/>
                <w:spacing w:val="-36"/>
                <w:highlight w:val="none"/>
              </w:rPr>
              <w:t xml:space="preserve"> </w:t>
            </w:r>
            <w:r>
              <w:rPr>
                <w:color w:val="auto"/>
                <w:spacing w:val="8"/>
                <w:highlight w:val="none"/>
              </w:rPr>
              <w:t>天</w:t>
            </w:r>
          </w:p>
        </w:tc>
      </w:tr>
      <w:tr w14:paraId="261BB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17" w:type="pct"/>
            <w:vAlign w:val="top"/>
          </w:tcPr>
          <w:p w14:paraId="481D6339">
            <w:pPr>
              <w:pStyle w:val="15"/>
              <w:autoSpaceDE/>
              <w:autoSpaceDN/>
              <w:spacing w:before="67" w:line="360" w:lineRule="auto"/>
              <w:ind w:left="0" w:firstLine="0" w:firstLineChars="0"/>
              <w:jc w:val="center"/>
              <w:rPr>
                <w:color w:val="auto"/>
                <w:highlight w:val="none"/>
              </w:rPr>
            </w:pPr>
            <w:r>
              <w:rPr>
                <w:color w:val="auto"/>
                <w:highlight w:val="none"/>
              </w:rPr>
              <w:t>2</w:t>
            </w:r>
          </w:p>
        </w:tc>
        <w:tc>
          <w:tcPr>
            <w:tcW w:w="1339" w:type="pct"/>
            <w:vAlign w:val="top"/>
          </w:tcPr>
          <w:p w14:paraId="222B98F2">
            <w:pPr>
              <w:pStyle w:val="15"/>
              <w:spacing w:before="35" w:line="360" w:lineRule="auto"/>
              <w:ind w:left="0" w:firstLine="412" w:firstLineChars="200"/>
              <w:jc w:val="center"/>
              <w:rPr>
                <w:color w:val="auto"/>
                <w:highlight w:val="none"/>
              </w:rPr>
            </w:pPr>
            <w:r>
              <w:rPr>
                <w:color w:val="auto"/>
                <w:spacing w:val="3"/>
                <w:highlight w:val="none"/>
              </w:rPr>
              <w:t>500</w:t>
            </w:r>
            <w:r>
              <w:rPr>
                <w:color w:val="auto"/>
                <w:spacing w:val="-34"/>
                <w:highlight w:val="none"/>
              </w:rPr>
              <w:t xml:space="preserve"> </w:t>
            </w:r>
            <w:r>
              <w:rPr>
                <w:color w:val="auto"/>
                <w:spacing w:val="3"/>
                <w:highlight w:val="none"/>
              </w:rPr>
              <w:t>万元-2000</w:t>
            </w:r>
            <w:r>
              <w:rPr>
                <w:color w:val="auto"/>
                <w:spacing w:val="-32"/>
                <w:highlight w:val="none"/>
              </w:rPr>
              <w:t xml:space="preserve"> </w:t>
            </w:r>
            <w:r>
              <w:rPr>
                <w:color w:val="auto"/>
                <w:spacing w:val="3"/>
                <w:highlight w:val="none"/>
              </w:rPr>
              <w:t>万元</w:t>
            </w:r>
          </w:p>
        </w:tc>
        <w:tc>
          <w:tcPr>
            <w:tcW w:w="3243" w:type="pct"/>
            <w:vAlign w:val="top"/>
          </w:tcPr>
          <w:p w14:paraId="22DCBC4E">
            <w:pPr>
              <w:pStyle w:val="15"/>
              <w:spacing w:before="34" w:line="360" w:lineRule="auto"/>
              <w:ind w:left="0" w:firstLine="432" w:firstLineChars="200"/>
              <w:jc w:val="center"/>
              <w:rPr>
                <w:color w:val="auto"/>
                <w:highlight w:val="none"/>
              </w:rPr>
            </w:pPr>
            <w:r>
              <w:rPr>
                <w:color w:val="auto"/>
                <w:spacing w:val="8"/>
                <w:highlight w:val="none"/>
              </w:rPr>
              <w:t>从接到竣工结算报告和完整的竣工结算资料之日起</w:t>
            </w:r>
            <w:r>
              <w:rPr>
                <w:color w:val="auto"/>
                <w:spacing w:val="-29"/>
                <w:highlight w:val="none"/>
              </w:rPr>
              <w:t xml:space="preserve"> </w:t>
            </w:r>
            <w:r>
              <w:rPr>
                <w:color w:val="auto"/>
                <w:spacing w:val="8"/>
                <w:highlight w:val="none"/>
              </w:rPr>
              <w:t>30</w:t>
            </w:r>
            <w:r>
              <w:rPr>
                <w:color w:val="auto"/>
                <w:spacing w:val="-36"/>
                <w:highlight w:val="none"/>
              </w:rPr>
              <w:t xml:space="preserve"> </w:t>
            </w:r>
            <w:r>
              <w:rPr>
                <w:color w:val="auto"/>
                <w:spacing w:val="8"/>
                <w:highlight w:val="none"/>
              </w:rPr>
              <w:t>天</w:t>
            </w:r>
          </w:p>
        </w:tc>
      </w:tr>
      <w:tr w14:paraId="235BE5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17" w:type="pct"/>
            <w:vAlign w:val="top"/>
          </w:tcPr>
          <w:p w14:paraId="0E32866D">
            <w:pPr>
              <w:pStyle w:val="15"/>
              <w:autoSpaceDE/>
              <w:autoSpaceDN/>
              <w:spacing w:before="67" w:line="360" w:lineRule="auto"/>
              <w:ind w:left="0" w:firstLine="0" w:firstLineChars="0"/>
              <w:jc w:val="center"/>
              <w:rPr>
                <w:color w:val="auto"/>
                <w:highlight w:val="none"/>
              </w:rPr>
            </w:pPr>
            <w:r>
              <w:rPr>
                <w:color w:val="auto"/>
                <w:highlight w:val="none"/>
              </w:rPr>
              <w:t>3</w:t>
            </w:r>
          </w:p>
        </w:tc>
        <w:tc>
          <w:tcPr>
            <w:tcW w:w="1339" w:type="pct"/>
            <w:vAlign w:val="top"/>
          </w:tcPr>
          <w:p w14:paraId="05AEB177">
            <w:pPr>
              <w:pStyle w:val="15"/>
              <w:spacing w:before="35" w:line="360" w:lineRule="auto"/>
              <w:ind w:left="0" w:firstLine="412" w:firstLineChars="200"/>
              <w:jc w:val="center"/>
              <w:rPr>
                <w:color w:val="auto"/>
                <w:highlight w:val="none"/>
              </w:rPr>
            </w:pPr>
            <w:r>
              <w:rPr>
                <w:color w:val="auto"/>
                <w:spacing w:val="3"/>
                <w:highlight w:val="none"/>
              </w:rPr>
              <w:t>2000</w:t>
            </w:r>
            <w:r>
              <w:rPr>
                <w:color w:val="auto"/>
                <w:spacing w:val="-29"/>
                <w:highlight w:val="none"/>
              </w:rPr>
              <w:t xml:space="preserve"> </w:t>
            </w:r>
            <w:r>
              <w:rPr>
                <w:color w:val="auto"/>
                <w:spacing w:val="3"/>
                <w:highlight w:val="none"/>
              </w:rPr>
              <w:t>万元-5000</w:t>
            </w:r>
            <w:r>
              <w:rPr>
                <w:color w:val="auto"/>
                <w:spacing w:val="-36"/>
                <w:highlight w:val="none"/>
              </w:rPr>
              <w:t xml:space="preserve"> </w:t>
            </w:r>
            <w:r>
              <w:rPr>
                <w:color w:val="auto"/>
                <w:spacing w:val="3"/>
                <w:highlight w:val="none"/>
              </w:rPr>
              <w:t>万元</w:t>
            </w:r>
          </w:p>
        </w:tc>
        <w:tc>
          <w:tcPr>
            <w:tcW w:w="3243" w:type="pct"/>
            <w:vAlign w:val="top"/>
          </w:tcPr>
          <w:p w14:paraId="07536D27">
            <w:pPr>
              <w:pStyle w:val="15"/>
              <w:spacing w:before="35" w:line="360" w:lineRule="auto"/>
              <w:ind w:left="0" w:firstLine="432" w:firstLineChars="200"/>
              <w:jc w:val="center"/>
              <w:rPr>
                <w:color w:val="auto"/>
                <w:highlight w:val="none"/>
              </w:rPr>
            </w:pPr>
            <w:r>
              <w:rPr>
                <w:color w:val="auto"/>
                <w:spacing w:val="8"/>
                <w:highlight w:val="none"/>
              </w:rPr>
              <w:t>从接到竣工结算报告和完整的竣工结算资料之日起</w:t>
            </w:r>
            <w:r>
              <w:rPr>
                <w:color w:val="auto"/>
                <w:spacing w:val="-29"/>
                <w:highlight w:val="none"/>
              </w:rPr>
              <w:t xml:space="preserve"> </w:t>
            </w:r>
            <w:r>
              <w:rPr>
                <w:color w:val="auto"/>
                <w:spacing w:val="8"/>
                <w:highlight w:val="none"/>
              </w:rPr>
              <w:t>45</w:t>
            </w:r>
            <w:r>
              <w:rPr>
                <w:color w:val="auto"/>
                <w:spacing w:val="-36"/>
                <w:highlight w:val="none"/>
              </w:rPr>
              <w:t xml:space="preserve"> </w:t>
            </w:r>
            <w:r>
              <w:rPr>
                <w:color w:val="auto"/>
                <w:spacing w:val="8"/>
                <w:highlight w:val="none"/>
              </w:rPr>
              <w:t>天</w:t>
            </w:r>
          </w:p>
        </w:tc>
      </w:tr>
      <w:tr w14:paraId="6FA00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417" w:type="pct"/>
            <w:vAlign w:val="top"/>
          </w:tcPr>
          <w:p w14:paraId="7D74D62F">
            <w:pPr>
              <w:pStyle w:val="15"/>
              <w:autoSpaceDE/>
              <w:autoSpaceDN/>
              <w:spacing w:before="69" w:line="360" w:lineRule="auto"/>
              <w:ind w:left="0" w:firstLine="0" w:firstLineChars="0"/>
              <w:jc w:val="center"/>
              <w:rPr>
                <w:color w:val="auto"/>
                <w:highlight w:val="none"/>
              </w:rPr>
            </w:pPr>
            <w:r>
              <w:rPr>
                <w:color w:val="auto"/>
                <w:highlight w:val="none"/>
              </w:rPr>
              <w:t>4</w:t>
            </w:r>
          </w:p>
        </w:tc>
        <w:tc>
          <w:tcPr>
            <w:tcW w:w="1339" w:type="pct"/>
            <w:vAlign w:val="top"/>
          </w:tcPr>
          <w:p w14:paraId="4DD196CB">
            <w:pPr>
              <w:pStyle w:val="15"/>
              <w:spacing w:before="36" w:line="360" w:lineRule="auto"/>
              <w:ind w:left="0" w:firstLine="416" w:firstLineChars="200"/>
              <w:jc w:val="center"/>
              <w:rPr>
                <w:color w:val="auto"/>
                <w:highlight w:val="none"/>
              </w:rPr>
            </w:pPr>
            <w:r>
              <w:rPr>
                <w:color w:val="auto"/>
                <w:spacing w:val="4"/>
                <w:highlight w:val="none"/>
              </w:rPr>
              <w:t>5000</w:t>
            </w:r>
            <w:r>
              <w:rPr>
                <w:color w:val="auto"/>
                <w:spacing w:val="-35"/>
                <w:highlight w:val="none"/>
              </w:rPr>
              <w:t xml:space="preserve"> </w:t>
            </w:r>
            <w:r>
              <w:rPr>
                <w:color w:val="auto"/>
                <w:spacing w:val="4"/>
                <w:highlight w:val="none"/>
              </w:rPr>
              <w:t>万元以上</w:t>
            </w:r>
          </w:p>
        </w:tc>
        <w:tc>
          <w:tcPr>
            <w:tcW w:w="3243" w:type="pct"/>
            <w:vAlign w:val="top"/>
          </w:tcPr>
          <w:p w14:paraId="38E4C9B2">
            <w:pPr>
              <w:pStyle w:val="15"/>
              <w:spacing w:before="36" w:line="360" w:lineRule="auto"/>
              <w:ind w:left="0" w:firstLine="432" w:firstLineChars="200"/>
              <w:jc w:val="center"/>
              <w:rPr>
                <w:color w:val="auto"/>
                <w:highlight w:val="none"/>
              </w:rPr>
            </w:pPr>
            <w:r>
              <w:rPr>
                <w:color w:val="auto"/>
                <w:spacing w:val="8"/>
                <w:highlight w:val="none"/>
              </w:rPr>
              <w:t>从接到竣工结算报告和完整的竣工结算资料之日起</w:t>
            </w:r>
            <w:r>
              <w:rPr>
                <w:color w:val="auto"/>
                <w:spacing w:val="-29"/>
                <w:highlight w:val="none"/>
              </w:rPr>
              <w:t xml:space="preserve"> </w:t>
            </w:r>
            <w:r>
              <w:rPr>
                <w:color w:val="auto"/>
                <w:spacing w:val="8"/>
                <w:highlight w:val="none"/>
              </w:rPr>
              <w:t>60</w:t>
            </w:r>
            <w:r>
              <w:rPr>
                <w:color w:val="auto"/>
                <w:spacing w:val="-36"/>
                <w:highlight w:val="none"/>
              </w:rPr>
              <w:t xml:space="preserve"> </w:t>
            </w:r>
            <w:r>
              <w:rPr>
                <w:color w:val="auto"/>
                <w:spacing w:val="8"/>
                <w:highlight w:val="none"/>
              </w:rPr>
              <w:t>天</w:t>
            </w:r>
          </w:p>
        </w:tc>
      </w:tr>
    </w:tbl>
    <w:p w14:paraId="1373F98D">
      <w:pPr>
        <w:autoSpaceDE/>
        <w:autoSpaceDN/>
        <w:spacing w:before="32" w:line="360" w:lineRule="auto"/>
        <w:ind w:left="0" w:right="329"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因承包人提供的结算资料不完整而需要补充或承包人不按时对账耽误时间时，审查时间应</w:t>
      </w:r>
      <w:r>
        <w:rPr>
          <w:rFonts w:ascii="宋体" w:hAnsi="宋体" w:eastAsia="宋体" w:cs="宋体"/>
          <w:color w:val="auto"/>
          <w:spacing w:val="5"/>
          <w:sz w:val="20"/>
          <w:szCs w:val="20"/>
          <w:highlight w:val="none"/>
        </w:rPr>
        <w:t>相应顺延。</w:t>
      </w:r>
    </w:p>
    <w:p w14:paraId="49CA11C1">
      <w:pPr>
        <w:autoSpaceDE/>
        <w:autoSpaceDN/>
        <w:spacing w:before="35"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结算审核约定：</w:t>
      </w:r>
    </w:p>
    <w:p w14:paraId="4D5796F5">
      <w:pPr>
        <w:autoSpaceDE/>
        <w:autoSpaceDN/>
        <w:spacing w:before="92" w:line="360" w:lineRule="auto"/>
        <w:ind w:left="0" w:right="269" w:firstLine="444" w:firstLineChars="200"/>
        <w:rPr>
          <w:rFonts w:ascii="宋体" w:hAnsi="宋体" w:eastAsia="宋体" w:cs="宋体"/>
          <w:color w:val="auto"/>
          <w:spacing w:val="7"/>
          <w:sz w:val="20"/>
          <w:szCs w:val="20"/>
          <w:highlight w:val="none"/>
          <w:u w:val="single" w:color="auto"/>
        </w:rPr>
      </w:pPr>
      <w:r>
        <w:rPr>
          <w:rFonts w:ascii="宋体" w:hAnsi="宋体" w:eastAsia="宋体" w:cs="宋体"/>
          <w:color w:val="auto"/>
          <w:spacing w:val="11"/>
          <w:sz w:val="20"/>
          <w:szCs w:val="20"/>
          <w:highlight w:val="none"/>
        </w:rPr>
        <w:t>非国有投资项目：</w:t>
      </w:r>
      <w:r>
        <w:rPr>
          <w:rFonts w:ascii="宋体" w:hAnsi="宋体" w:eastAsia="宋体" w:cs="宋体"/>
          <w:color w:val="auto"/>
          <w:spacing w:val="11"/>
          <w:sz w:val="20"/>
          <w:szCs w:val="20"/>
          <w:highlight w:val="none"/>
          <w:u w:val="single" w:color="auto"/>
        </w:rPr>
        <w:t>1、工程竣工验收报告经发包人认可后   天内，承包</w:t>
      </w:r>
      <w:r>
        <w:rPr>
          <w:rFonts w:ascii="宋体" w:hAnsi="宋体" w:eastAsia="宋体" w:cs="宋体"/>
          <w:color w:val="auto"/>
          <w:spacing w:val="10"/>
          <w:sz w:val="20"/>
          <w:szCs w:val="20"/>
          <w:highlight w:val="none"/>
          <w:u w:val="single" w:color="auto"/>
        </w:rPr>
        <w:t>人向发包人递交竣</w:t>
      </w:r>
      <w:r>
        <w:rPr>
          <w:rFonts w:ascii="宋体" w:hAnsi="宋体" w:eastAsia="宋体" w:cs="宋体"/>
          <w:color w:val="auto"/>
          <w:spacing w:val="11"/>
          <w:sz w:val="20"/>
          <w:szCs w:val="20"/>
          <w:highlight w:val="none"/>
          <w:u w:val="single" w:color="auto"/>
        </w:rPr>
        <w:t>工验收合格资料及完整的结算资料和报告，双方按照协议书约定的合同价款及专用条款约定的</w:t>
      </w:r>
      <w:r>
        <w:rPr>
          <w:rFonts w:ascii="宋体" w:hAnsi="宋体" w:eastAsia="宋体" w:cs="宋体"/>
          <w:color w:val="auto"/>
          <w:spacing w:val="9"/>
          <w:sz w:val="20"/>
          <w:szCs w:val="20"/>
          <w:highlight w:val="none"/>
          <w:u w:val="single" w:color="auto"/>
        </w:rPr>
        <w:t>合同价调整内容，进行工程竣工结算。2、发包人收</w:t>
      </w:r>
      <w:r>
        <w:rPr>
          <w:rFonts w:ascii="宋体" w:hAnsi="宋体" w:eastAsia="宋体" w:cs="宋体"/>
          <w:color w:val="auto"/>
          <w:spacing w:val="8"/>
          <w:sz w:val="20"/>
          <w:szCs w:val="20"/>
          <w:highlight w:val="none"/>
          <w:u w:val="single" w:color="auto"/>
        </w:rPr>
        <w:t>到承包人递交的竣工结算报告及结算资料之日起   天内进行审核，给予确认或者提出初审意见。发包人逾期不予审定结算的视为发包人已</w:t>
      </w:r>
      <w:r>
        <w:rPr>
          <w:rFonts w:ascii="宋体" w:hAnsi="宋体" w:eastAsia="宋体" w:cs="宋体"/>
          <w:color w:val="auto"/>
          <w:spacing w:val="11"/>
          <w:sz w:val="20"/>
          <w:szCs w:val="20"/>
          <w:highlight w:val="none"/>
          <w:u w:val="single" w:color="auto"/>
        </w:rPr>
        <w:t>同意上述竣工结算报告及结算资料，并以此作为最终结算的依据。发包人初审竣工结算完毕之日起  天内，按审定后的结算价款，通知经办银行向承包人支付工程竣工结算价款</w:t>
      </w:r>
      <w:r>
        <w:rPr>
          <w:rFonts w:ascii="宋体" w:hAnsi="宋体" w:eastAsia="宋体" w:cs="宋体"/>
          <w:color w:val="auto"/>
          <w:spacing w:val="10"/>
          <w:sz w:val="20"/>
          <w:szCs w:val="20"/>
          <w:highlight w:val="none"/>
          <w:u w:val="single" w:color="auto"/>
        </w:rPr>
        <w:t>。承包人应根据发包人的需要随时将竣工工程交付发包人。</w:t>
      </w:r>
      <w:r>
        <w:rPr>
          <w:rFonts w:ascii="宋体" w:hAnsi="宋体" w:eastAsia="宋体" w:cs="宋体"/>
          <w:color w:val="auto"/>
          <w:spacing w:val="8"/>
          <w:sz w:val="20"/>
          <w:szCs w:val="20"/>
          <w:highlight w:val="none"/>
          <w:u w:val="single" w:color="auto"/>
        </w:rPr>
        <w:t>国有投资项目</w:t>
      </w:r>
      <w:r>
        <w:rPr>
          <w:rFonts w:ascii="宋体" w:hAnsi="宋体" w:eastAsia="宋体" w:cs="宋体"/>
          <w:color w:val="auto"/>
          <w:spacing w:val="-6"/>
          <w:sz w:val="20"/>
          <w:szCs w:val="20"/>
          <w:highlight w:val="none"/>
          <w:u w:val="single" w:color="auto"/>
        </w:rPr>
        <w:t>：（</w:t>
      </w:r>
      <w:r>
        <w:rPr>
          <w:rFonts w:ascii="宋体" w:hAnsi="宋体" w:eastAsia="宋体" w:cs="宋体"/>
          <w:color w:val="auto"/>
          <w:spacing w:val="8"/>
          <w:sz w:val="20"/>
          <w:szCs w:val="20"/>
          <w:highlight w:val="none"/>
          <w:u w:val="single" w:color="auto"/>
        </w:rPr>
        <w:t>双方结合各地政府或有关部门出台的管理规定</w:t>
      </w:r>
      <w:r>
        <w:rPr>
          <w:rFonts w:ascii="宋体" w:hAnsi="宋体" w:eastAsia="宋体" w:cs="宋体"/>
          <w:color w:val="auto"/>
          <w:spacing w:val="7"/>
          <w:sz w:val="20"/>
          <w:szCs w:val="20"/>
          <w:highlight w:val="none"/>
          <w:u w:val="single" w:color="auto"/>
        </w:rPr>
        <w:t xml:space="preserve">进行约定）             </w:t>
      </w:r>
    </w:p>
    <w:p w14:paraId="3456297A">
      <w:pPr>
        <w:autoSpaceDE/>
        <w:autoSpaceDN/>
        <w:spacing w:before="41"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发包人完成竣工付款的期限：</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17D02438">
      <w:pPr>
        <w:autoSpaceDE/>
        <w:autoSpaceDN/>
        <w:spacing w:before="94"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关于竣工付款证书异议部分复核的方式和程序：</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629F8349">
      <w:pPr>
        <w:autoSpaceDE/>
        <w:autoSpaceDN/>
        <w:spacing w:before="94" w:line="360" w:lineRule="auto"/>
        <w:ind w:left="0" w:firstLine="406" w:firstLineChars="200"/>
        <w:outlineLvl w:val="2"/>
        <w:rPr>
          <w:rFonts w:ascii="宋体" w:hAnsi="宋体" w:eastAsia="宋体" w:cs="宋体"/>
          <w:color w:val="auto"/>
          <w:sz w:val="20"/>
          <w:szCs w:val="20"/>
          <w:highlight w:val="none"/>
        </w:rPr>
      </w:pPr>
      <w:bookmarkStart w:id="372" w:name="_Toc7679"/>
      <w:bookmarkStart w:id="373" w:name="_Toc12669"/>
      <w:bookmarkStart w:id="374" w:name="_Toc31176"/>
      <w:r>
        <w:rPr>
          <w:rFonts w:ascii="宋体" w:hAnsi="宋体" w:eastAsia="宋体" w:cs="宋体"/>
          <w:b/>
          <w:bCs/>
          <w:color w:val="auto"/>
          <w:spacing w:val="1"/>
          <w:sz w:val="20"/>
          <w:szCs w:val="20"/>
          <w:highlight w:val="none"/>
        </w:rPr>
        <w:t>14.4</w:t>
      </w:r>
      <w:r>
        <w:rPr>
          <w:rFonts w:ascii="宋体" w:hAnsi="宋体" w:eastAsia="宋体" w:cs="宋体"/>
          <w:color w:val="auto"/>
          <w:spacing w:val="21"/>
          <w:sz w:val="20"/>
          <w:szCs w:val="20"/>
          <w:highlight w:val="none"/>
        </w:rPr>
        <w:t xml:space="preserve"> </w:t>
      </w:r>
      <w:r>
        <w:rPr>
          <w:rFonts w:ascii="宋体" w:hAnsi="宋体" w:eastAsia="宋体" w:cs="宋体"/>
          <w:b/>
          <w:bCs/>
          <w:color w:val="auto"/>
          <w:spacing w:val="1"/>
          <w:sz w:val="20"/>
          <w:szCs w:val="20"/>
          <w:highlight w:val="none"/>
        </w:rPr>
        <w:t>最终结清</w:t>
      </w:r>
      <w:bookmarkEnd w:id="372"/>
      <w:bookmarkEnd w:id="373"/>
      <w:bookmarkEnd w:id="374"/>
    </w:p>
    <w:p w14:paraId="7A1C5F63">
      <w:pPr>
        <w:autoSpaceDE/>
        <w:autoSpaceDN/>
        <w:spacing w:before="93"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14.4.1 最终结清申请单</w:t>
      </w:r>
    </w:p>
    <w:p w14:paraId="6187E97F">
      <w:pPr>
        <w:autoSpaceDE/>
        <w:autoSpaceDN/>
        <w:spacing w:before="94" w:line="360" w:lineRule="auto"/>
        <w:ind w:left="0" w:right="2683" w:firstLine="424" w:firstLineChars="200"/>
        <w:rPr>
          <w:rFonts w:ascii="宋体" w:hAnsi="宋体" w:eastAsia="宋体" w:cs="宋体"/>
          <w:color w:val="auto"/>
          <w:spacing w:val="3"/>
          <w:sz w:val="20"/>
          <w:szCs w:val="20"/>
          <w:highlight w:val="none"/>
        </w:rPr>
      </w:pPr>
      <w:r>
        <w:rPr>
          <w:rFonts w:ascii="宋体" w:hAnsi="宋体" w:eastAsia="宋体" w:cs="宋体"/>
          <w:color w:val="auto"/>
          <w:spacing w:val="6"/>
          <w:sz w:val="20"/>
          <w:szCs w:val="20"/>
          <w:highlight w:val="none"/>
        </w:rPr>
        <w:t>承包人提交最终结清申请单的份数：</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一式三份</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3"/>
          <w:sz w:val="20"/>
          <w:szCs w:val="20"/>
          <w:highlight w:val="none"/>
        </w:rPr>
        <w:t xml:space="preserve"> </w:t>
      </w:r>
    </w:p>
    <w:p w14:paraId="44E08EB5">
      <w:pPr>
        <w:autoSpaceDE/>
        <w:autoSpaceDN/>
        <w:spacing w:before="94" w:line="360" w:lineRule="auto"/>
        <w:ind w:left="0" w:right="2683"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承包人提交最终结算申请单的期限：</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结算审定后7天内</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4369CE6D">
      <w:pPr>
        <w:autoSpaceDE/>
        <w:autoSpaceDN/>
        <w:spacing w:before="29"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14.4.2 最终结清证书和支付</w:t>
      </w:r>
    </w:p>
    <w:p w14:paraId="5CB06550">
      <w:pPr>
        <w:autoSpaceDE/>
        <w:autoSpaceDN/>
        <w:spacing w:before="95"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（1）发包人完成最终结清申请单的审批并颁发最终结清证书的期限：</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rPr>
        <w:t>收到最终结清申请单及相关材料后20天内。若承包人提交材料漏缺，时间相应顺应</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73AE96F9">
      <w:pPr>
        <w:autoSpaceDE/>
        <w:autoSpaceDN/>
        <w:spacing w:before="95"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（2）发包人完成支付的期限：</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rPr>
        <w:t>发包人完成最终结清申请单的审批并颁发最终结清证书后14天内</w:t>
      </w:r>
      <w:r>
        <w:rPr>
          <w:rFonts w:ascii="宋体" w:hAnsi="宋体" w:eastAsia="宋体" w:cs="宋体"/>
          <w:color w:val="auto"/>
          <w:spacing w:val="6"/>
          <w:sz w:val="20"/>
          <w:szCs w:val="20"/>
          <w:highlight w:val="none"/>
        </w:rPr>
        <w:t>。</w:t>
      </w:r>
    </w:p>
    <w:p w14:paraId="61E671D6">
      <w:pPr>
        <w:autoSpaceDE/>
        <w:autoSpaceDN/>
        <w:spacing w:before="154" w:line="360" w:lineRule="auto"/>
        <w:ind w:left="0" w:firstLine="422" w:firstLineChars="200"/>
        <w:outlineLvl w:val="1"/>
        <w:rPr>
          <w:rFonts w:ascii="宋体" w:hAnsi="宋体" w:eastAsia="宋体" w:cs="宋体"/>
          <w:color w:val="auto"/>
          <w:sz w:val="20"/>
          <w:szCs w:val="20"/>
          <w:highlight w:val="none"/>
        </w:rPr>
      </w:pPr>
      <w:bookmarkStart w:id="375" w:name="_Toc23474"/>
      <w:bookmarkStart w:id="376" w:name="_Toc30393"/>
      <w:bookmarkStart w:id="377" w:name="_Toc31986"/>
      <w:r>
        <w:rPr>
          <w:rFonts w:ascii="宋体" w:hAnsi="宋体" w:eastAsia="宋体" w:cs="宋体"/>
          <w:b/>
          <w:bCs/>
          <w:color w:val="auto"/>
          <w:spacing w:val="5"/>
          <w:sz w:val="20"/>
          <w:szCs w:val="20"/>
          <w:highlight w:val="none"/>
        </w:rPr>
        <w:t>15.</w:t>
      </w:r>
      <w:r>
        <w:rPr>
          <w:rFonts w:ascii="宋体" w:hAnsi="宋体" w:eastAsia="宋体" w:cs="宋体"/>
          <w:color w:val="auto"/>
          <w:spacing w:val="5"/>
          <w:sz w:val="20"/>
          <w:szCs w:val="20"/>
          <w:highlight w:val="none"/>
        </w:rPr>
        <w:t xml:space="preserve"> </w:t>
      </w:r>
      <w:r>
        <w:rPr>
          <w:rFonts w:ascii="宋体" w:hAnsi="宋体" w:eastAsia="宋体" w:cs="宋体"/>
          <w:b/>
          <w:bCs/>
          <w:color w:val="auto"/>
          <w:spacing w:val="5"/>
          <w:sz w:val="20"/>
          <w:szCs w:val="20"/>
          <w:highlight w:val="none"/>
        </w:rPr>
        <w:t>缺陷责任期与保修</w:t>
      </w:r>
      <w:bookmarkEnd w:id="375"/>
      <w:bookmarkEnd w:id="376"/>
      <w:bookmarkEnd w:id="377"/>
    </w:p>
    <w:p w14:paraId="6A63C694">
      <w:pPr>
        <w:autoSpaceDE/>
        <w:autoSpaceDN/>
        <w:spacing w:before="154" w:line="360" w:lineRule="auto"/>
        <w:ind w:left="0" w:firstLine="414" w:firstLineChars="200"/>
        <w:outlineLvl w:val="2"/>
        <w:rPr>
          <w:rFonts w:ascii="宋体" w:hAnsi="宋体" w:eastAsia="宋体" w:cs="宋体"/>
          <w:color w:val="auto"/>
          <w:sz w:val="20"/>
          <w:szCs w:val="20"/>
          <w:highlight w:val="none"/>
        </w:rPr>
      </w:pPr>
      <w:bookmarkStart w:id="378" w:name="_Toc7252"/>
      <w:bookmarkStart w:id="379" w:name="_Toc21961"/>
      <w:bookmarkStart w:id="380" w:name="_Toc16762"/>
      <w:r>
        <w:rPr>
          <w:rFonts w:ascii="宋体" w:hAnsi="宋体" w:eastAsia="宋体" w:cs="宋体"/>
          <w:b/>
          <w:bCs/>
          <w:color w:val="auto"/>
          <w:spacing w:val="3"/>
          <w:sz w:val="20"/>
          <w:szCs w:val="20"/>
          <w:highlight w:val="none"/>
        </w:rPr>
        <w:t>15.2</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缺陷责任期</w:t>
      </w:r>
      <w:bookmarkEnd w:id="378"/>
      <w:bookmarkEnd w:id="379"/>
      <w:bookmarkEnd w:id="380"/>
    </w:p>
    <w:p w14:paraId="59136269">
      <w:pPr>
        <w:autoSpaceDE/>
        <w:autoSpaceDN/>
        <w:spacing w:before="91"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缺陷责任期的具体期限：</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整体竣工验收合格后24个月</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4615DEBA">
      <w:pPr>
        <w:autoSpaceDE/>
        <w:autoSpaceDN/>
        <w:spacing w:before="97" w:line="360" w:lineRule="auto"/>
        <w:ind w:left="0" w:firstLine="414" w:firstLineChars="200"/>
        <w:outlineLvl w:val="2"/>
        <w:rPr>
          <w:rFonts w:ascii="宋体" w:hAnsi="宋体" w:eastAsia="宋体" w:cs="宋体"/>
          <w:color w:val="auto"/>
          <w:sz w:val="20"/>
          <w:szCs w:val="20"/>
          <w:highlight w:val="none"/>
        </w:rPr>
      </w:pPr>
      <w:bookmarkStart w:id="381" w:name="_Toc6987"/>
      <w:bookmarkStart w:id="382" w:name="_Toc25468"/>
      <w:bookmarkStart w:id="383" w:name="_Toc2785"/>
      <w:r>
        <w:rPr>
          <w:rFonts w:ascii="宋体" w:hAnsi="宋体" w:eastAsia="宋体" w:cs="宋体"/>
          <w:b/>
          <w:bCs/>
          <w:color w:val="auto"/>
          <w:spacing w:val="3"/>
          <w:sz w:val="20"/>
          <w:szCs w:val="20"/>
          <w:highlight w:val="none"/>
        </w:rPr>
        <w:t>15.3</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质量保证金</w:t>
      </w:r>
      <w:bookmarkEnd w:id="381"/>
      <w:bookmarkEnd w:id="382"/>
      <w:bookmarkEnd w:id="383"/>
    </w:p>
    <w:p w14:paraId="0AA0D018">
      <w:pPr>
        <w:autoSpaceDE/>
        <w:autoSpaceDN/>
        <w:spacing w:before="91"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关于是否扣留质量保证金的约定：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扣留</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06D6CDFD">
      <w:pPr>
        <w:autoSpaceDE/>
        <w:autoSpaceDN/>
        <w:spacing w:before="94" w:line="360" w:lineRule="auto"/>
        <w:ind w:left="0" w:firstLine="424" w:firstLineChars="200"/>
        <w:outlineLvl w:val="0"/>
        <w:rPr>
          <w:rFonts w:ascii="宋体" w:hAnsi="宋体" w:eastAsia="宋体" w:cs="宋体"/>
          <w:color w:val="auto"/>
          <w:sz w:val="20"/>
          <w:szCs w:val="20"/>
          <w:highlight w:val="none"/>
        </w:rPr>
      </w:pPr>
      <w:bookmarkStart w:id="384" w:name="_Toc2733"/>
      <w:bookmarkStart w:id="385" w:name="_Toc32334"/>
      <w:bookmarkStart w:id="386" w:name="_Toc840"/>
      <w:r>
        <w:rPr>
          <w:rFonts w:ascii="宋体" w:hAnsi="宋体" w:eastAsia="宋体" w:cs="宋体"/>
          <w:color w:val="auto"/>
          <w:spacing w:val="6"/>
          <w:sz w:val="20"/>
          <w:szCs w:val="20"/>
          <w:highlight w:val="none"/>
        </w:rPr>
        <w:t>15.3.1 承包人提供质量保证金的方式</w:t>
      </w:r>
      <w:bookmarkEnd w:id="384"/>
      <w:bookmarkEnd w:id="385"/>
      <w:bookmarkEnd w:id="386"/>
    </w:p>
    <w:p w14:paraId="59B0A2B3">
      <w:pPr>
        <w:autoSpaceDE/>
        <w:autoSpaceDN/>
        <w:spacing w:before="95"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质量保证金采用以下第</w:t>
      </w:r>
      <w:r>
        <w:rPr>
          <w:rFonts w:ascii="宋体" w:hAnsi="宋体" w:eastAsia="宋体" w:cs="宋体"/>
          <w:color w:val="auto"/>
          <w:spacing w:val="-8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4"/>
          <w:sz w:val="20"/>
          <w:szCs w:val="20"/>
          <w:highlight w:val="none"/>
          <w:u w:val="single" w:color="auto"/>
          <w:lang w:val="en-US" w:eastAsia="zh-CN"/>
        </w:rPr>
        <w:t>(2</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8"/>
          <w:sz w:val="20"/>
          <w:szCs w:val="20"/>
          <w:highlight w:val="none"/>
        </w:rPr>
        <w:t xml:space="preserve"> </w:t>
      </w:r>
      <w:r>
        <w:rPr>
          <w:rFonts w:hint="eastAsia" w:ascii="宋体" w:hAnsi="宋体" w:eastAsia="宋体" w:cs="宋体"/>
          <w:color w:val="auto"/>
          <w:spacing w:val="-88"/>
          <w:sz w:val="20"/>
          <w:szCs w:val="20"/>
          <w:highlight w:val="none"/>
          <w:lang w:eastAsia="zh-CN"/>
        </w:rPr>
        <w:t>）</w:t>
      </w:r>
      <w:r>
        <w:rPr>
          <w:rFonts w:ascii="宋体" w:hAnsi="宋体" w:eastAsia="宋体" w:cs="宋体"/>
          <w:color w:val="auto"/>
          <w:spacing w:val="7"/>
          <w:sz w:val="20"/>
          <w:szCs w:val="20"/>
          <w:highlight w:val="none"/>
        </w:rPr>
        <w:t>种方式：</w:t>
      </w:r>
    </w:p>
    <w:p w14:paraId="6EF25791">
      <w:pPr>
        <w:autoSpaceDE/>
        <w:autoSpaceDN/>
        <w:spacing w:before="94"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（1）质量保证金保函，保证金额为</w:t>
      </w:r>
      <w:r>
        <w:rPr>
          <w:rFonts w:ascii="宋体" w:hAnsi="宋体" w:eastAsia="宋体" w:cs="宋体"/>
          <w:color w:val="auto"/>
          <w:spacing w:val="7"/>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
          <w:sz w:val="20"/>
          <w:szCs w:val="20"/>
          <w:highlight w:val="none"/>
        </w:rPr>
        <w:t>；</w:t>
      </w:r>
    </w:p>
    <w:p w14:paraId="68392794">
      <w:pPr>
        <w:autoSpaceDE/>
        <w:autoSpaceDN/>
        <w:spacing w:before="95" w:line="360" w:lineRule="auto"/>
        <w:ind w:left="0" w:right="13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（2）发包人按工程价款结算总额的</w:t>
      </w:r>
      <w:r>
        <w:rPr>
          <w:rFonts w:ascii="宋体" w:hAnsi="宋体" w:eastAsia="宋体" w:cs="宋体"/>
          <w:color w:val="auto"/>
          <w:spacing w:val="8"/>
          <w:sz w:val="20"/>
          <w:szCs w:val="20"/>
          <w:highlight w:val="none"/>
          <w:u w:val="single" w:color="auto"/>
        </w:rPr>
        <w:t xml:space="preserve"> 3 </w:t>
      </w:r>
      <w:r>
        <w:rPr>
          <w:rFonts w:ascii="宋体" w:hAnsi="宋体" w:eastAsia="宋体" w:cs="宋体"/>
          <w:color w:val="auto"/>
          <w:spacing w:val="8"/>
          <w:sz w:val="20"/>
          <w:szCs w:val="20"/>
          <w:highlight w:val="none"/>
        </w:rPr>
        <w:t>%（3%-5%）预留工程质量保修金，待缺陷责任期满</w:t>
      </w:r>
      <w:r>
        <w:rPr>
          <w:rFonts w:ascii="宋体" w:hAnsi="宋体" w:eastAsia="宋体" w:cs="宋体"/>
          <w:color w:val="auto"/>
          <w:spacing w:val="7"/>
          <w:sz w:val="20"/>
          <w:szCs w:val="20"/>
          <w:highlight w:val="none"/>
        </w:rPr>
        <w:t>后返还（无息</w:t>
      </w:r>
      <w:r>
        <w:rPr>
          <w:rFonts w:ascii="宋体" w:hAnsi="宋体" w:eastAsia="宋体" w:cs="宋体"/>
          <w:color w:val="auto"/>
          <w:spacing w:val="2"/>
          <w:sz w:val="20"/>
          <w:szCs w:val="20"/>
          <w:highlight w:val="none"/>
        </w:rPr>
        <w:t>）；</w:t>
      </w:r>
    </w:p>
    <w:p w14:paraId="564B8C72">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（3）其他方式：</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6"/>
          <w:sz w:val="20"/>
          <w:szCs w:val="20"/>
          <w:highlight w:val="none"/>
        </w:rPr>
        <w:t>。</w:t>
      </w:r>
    </w:p>
    <w:p w14:paraId="4DB6C9A4">
      <w:pPr>
        <w:autoSpaceDE/>
        <w:autoSpaceDN/>
        <w:spacing w:before="94"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15.3.2 质量保证金的扣留</w:t>
      </w:r>
    </w:p>
    <w:p w14:paraId="3F384597">
      <w:pPr>
        <w:autoSpaceDE/>
        <w:autoSpaceDN/>
        <w:spacing w:before="93"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质量保证金的扣留采取以下第</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lang w:eastAsia="zh-CN"/>
        </w:rPr>
        <w:t>（</w:t>
      </w:r>
      <w:r>
        <w:rPr>
          <w:rFonts w:hint="eastAsia" w:ascii="宋体" w:hAnsi="宋体" w:eastAsia="宋体" w:cs="宋体"/>
          <w:color w:val="auto"/>
          <w:spacing w:val="7"/>
          <w:sz w:val="20"/>
          <w:szCs w:val="20"/>
          <w:highlight w:val="none"/>
          <w:u w:val="single" w:color="auto"/>
          <w:lang w:val="en-US" w:eastAsia="zh-CN"/>
        </w:rPr>
        <w:t>2</w:t>
      </w:r>
      <w:r>
        <w:rPr>
          <w:rFonts w:hint="eastAsia" w:ascii="宋体" w:hAnsi="宋体" w:eastAsia="宋体" w:cs="宋体"/>
          <w:color w:val="auto"/>
          <w:spacing w:val="7"/>
          <w:sz w:val="20"/>
          <w:szCs w:val="20"/>
          <w:highlight w:val="none"/>
          <w:u w:val="single" w:color="auto"/>
          <w:lang w:eastAsia="zh-CN"/>
        </w:rPr>
        <w:t>）</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81"/>
          <w:sz w:val="20"/>
          <w:szCs w:val="20"/>
          <w:highlight w:val="none"/>
        </w:rPr>
        <w:t xml:space="preserve"> </w:t>
      </w:r>
      <w:r>
        <w:rPr>
          <w:rFonts w:ascii="宋体" w:hAnsi="宋体" w:eastAsia="宋体" w:cs="宋体"/>
          <w:color w:val="auto"/>
          <w:spacing w:val="7"/>
          <w:sz w:val="20"/>
          <w:szCs w:val="20"/>
          <w:highlight w:val="none"/>
        </w:rPr>
        <w:t>种方式：</w:t>
      </w:r>
    </w:p>
    <w:p w14:paraId="52194111">
      <w:pPr>
        <w:autoSpaceDE/>
        <w:autoSpaceDN/>
        <w:spacing w:before="96" w:line="360" w:lineRule="auto"/>
        <w:ind w:left="0" w:right="68"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（1）在支付工程进度款时逐次扣留，在此情形下，质量保证金的计算基数不包括预付款的支付、扣回以及价格调整的金额；</w:t>
      </w:r>
    </w:p>
    <w:p w14:paraId="660DE498">
      <w:pPr>
        <w:autoSpaceDE/>
        <w:autoSpaceDN/>
        <w:spacing w:before="95"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（2）工程竣工结算时一次性扣留质量保证金；</w:t>
      </w:r>
    </w:p>
    <w:p w14:paraId="250215AA">
      <w:pPr>
        <w:autoSpaceDE/>
        <w:autoSpaceDN/>
        <w:spacing w:before="95" w:line="360" w:lineRule="auto"/>
        <w:ind w:left="0" w:right="0" w:firstLine="412" w:firstLineChars="200"/>
        <w:rPr>
          <w:rFonts w:ascii="宋体" w:hAnsi="宋体" w:eastAsia="宋体" w:cs="宋体"/>
          <w:color w:val="auto"/>
          <w:spacing w:val="2"/>
          <w:sz w:val="20"/>
          <w:szCs w:val="20"/>
          <w:highlight w:val="none"/>
        </w:rPr>
      </w:pPr>
      <w:r>
        <w:rPr>
          <w:rFonts w:ascii="宋体" w:hAnsi="宋体" w:eastAsia="宋体" w:cs="宋体"/>
          <w:color w:val="auto"/>
          <w:spacing w:val="3"/>
          <w:sz w:val="20"/>
          <w:szCs w:val="20"/>
          <w:highlight w:val="none"/>
        </w:rPr>
        <w:t>（3）其他扣留方式:</w:t>
      </w:r>
      <w:r>
        <w:rPr>
          <w:rFonts w:ascii="宋体" w:hAnsi="宋体" w:eastAsia="宋体" w:cs="宋体"/>
          <w:color w:val="auto"/>
          <w:spacing w:val="-99"/>
          <w:sz w:val="20"/>
          <w:szCs w:val="20"/>
          <w:highlight w:val="none"/>
        </w:rPr>
        <w:t xml:space="preserve"> </w:t>
      </w:r>
      <w:r>
        <w:rPr>
          <w:rFonts w:ascii="宋体" w:hAnsi="宋体" w:eastAsia="宋体" w:cs="宋体"/>
          <w:color w:val="auto"/>
          <w:spacing w:val="3"/>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rPr>
        <w:t>银行转账、电汇或网上支付、保函（银行保函、电子保函、保证保险保函、工程担保保函）等形式</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w:t>
      </w:r>
    </w:p>
    <w:p w14:paraId="4B5E8F66">
      <w:pPr>
        <w:autoSpaceDE/>
        <w:autoSpaceDN/>
        <w:spacing w:before="93" w:line="360" w:lineRule="auto"/>
        <w:ind w:left="0" w:right="2368"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关于质量保证金的补充约定：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无</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1733DA4D">
      <w:pPr>
        <w:autoSpaceDE/>
        <w:autoSpaceDN/>
        <w:spacing w:before="93" w:line="360" w:lineRule="auto"/>
        <w:ind w:left="0" w:firstLine="398" w:firstLineChars="200"/>
        <w:outlineLvl w:val="1"/>
        <w:rPr>
          <w:rFonts w:ascii="宋体" w:hAnsi="宋体" w:eastAsia="宋体" w:cs="宋体"/>
          <w:color w:val="auto"/>
          <w:sz w:val="20"/>
          <w:szCs w:val="20"/>
          <w:highlight w:val="none"/>
        </w:rPr>
      </w:pPr>
      <w:bookmarkStart w:id="387" w:name="_Toc31396"/>
      <w:bookmarkStart w:id="388" w:name="_Toc16369"/>
      <w:bookmarkStart w:id="389" w:name="_Toc21568"/>
      <w:r>
        <w:rPr>
          <w:rFonts w:ascii="宋体" w:hAnsi="宋体" w:eastAsia="宋体" w:cs="宋体"/>
          <w:b/>
          <w:bCs/>
          <w:color w:val="auto"/>
          <w:spacing w:val="-1"/>
          <w:sz w:val="20"/>
          <w:szCs w:val="20"/>
          <w:highlight w:val="none"/>
        </w:rPr>
        <w:t>15.4</w:t>
      </w:r>
      <w:r>
        <w:rPr>
          <w:rFonts w:ascii="宋体" w:hAnsi="宋体" w:eastAsia="宋体" w:cs="宋体"/>
          <w:color w:val="auto"/>
          <w:spacing w:val="16"/>
          <w:sz w:val="20"/>
          <w:szCs w:val="20"/>
          <w:highlight w:val="none"/>
        </w:rPr>
        <w:t xml:space="preserve"> </w:t>
      </w:r>
      <w:r>
        <w:rPr>
          <w:rFonts w:ascii="宋体" w:hAnsi="宋体" w:eastAsia="宋体" w:cs="宋体"/>
          <w:b/>
          <w:bCs/>
          <w:color w:val="auto"/>
          <w:spacing w:val="-1"/>
          <w:sz w:val="20"/>
          <w:szCs w:val="20"/>
          <w:highlight w:val="none"/>
        </w:rPr>
        <w:t>保修</w:t>
      </w:r>
      <w:bookmarkEnd w:id="387"/>
      <w:bookmarkEnd w:id="388"/>
      <w:bookmarkEnd w:id="389"/>
    </w:p>
    <w:p w14:paraId="2B5CB05F">
      <w:pPr>
        <w:autoSpaceDE/>
        <w:autoSpaceDN/>
        <w:spacing w:before="94" w:line="360" w:lineRule="auto"/>
        <w:ind w:left="0" w:firstLine="416" w:firstLineChars="200"/>
        <w:outlineLvl w:val="0"/>
        <w:rPr>
          <w:rFonts w:ascii="宋体" w:hAnsi="宋体" w:eastAsia="宋体" w:cs="宋体"/>
          <w:color w:val="auto"/>
          <w:sz w:val="20"/>
          <w:szCs w:val="20"/>
          <w:highlight w:val="none"/>
        </w:rPr>
      </w:pPr>
      <w:bookmarkStart w:id="390" w:name="_Toc1580"/>
      <w:bookmarkStart w:id="391" w:name="_Toc27160"/>
      <w:bookmarkStart w:id="392" w:name="_Toc27979"/>
      <w:r>
        <w:rPr>
          <w:rFonts w:ascii="宋体" w:hAnsi="宋体" w:eastAsia="宋体" w:cs="宋体"/>
          <w:color w:val="auto"/>
          <w:spacing w:val="4"/>
          <w:sz w:val="20"/>
          <w:szCs w:val="20"/>
          <w:highlight w:val="none"/>
        </w:rPr>
        <w:t>15.4.1 保修责任</w:t>
      </w:r>
      <w:bookmarkEnd w:id="390"/>
      <w:bookmarkEnd w:id="391"/>
      <w:bookmarkEnd w:id="392"/>
    </w:p>
    <w:p w14:paraId="12F19A9F">
      <w:pPr>
        <w:autoSpaceDE/>
        <w:autoSpaceDN/>
        <w:spacing w:before="95" w:line="360" w:lineRule="auto"/>
        <w:ind w:left="0" w:right="0" w:firstLine="412" w:firstLineChars="200"/>
        <w:rPr>
          <w:rFonts w:ascii="宋体" w:hAnsi="宋体" w:eastAsia="宋体" w:cs="宋体"/>
          <w:color w:val="auto"/>
          <w:spacing w:val="2"/>
          <w:sz w:val="20"/>
          <w:szCs w:val="20"/>
          <w:highlight w:val="none"/>
        </w:rPr>
      </w:pPr>
      <w:r>
        <w:rPr>
          <w:rFonts w:ascii="宋体" w:hAnsi="宋体" w:eastAsia="宋体" w:cs="宋体"/>
          <w:color w:val="auto"/>
          <w:spacing w:val="3"/>
          <w:sz w:val="20"/>
          <w:szCs w:val="20"/>
          <w:highlight w:val="none"/>
        </w:rPr>
        <w:t>工程保修期为：</w:t>
      </w:r>
      <w:r>
        <w:rPr>
          <w:rFonts w:hint="eastAsia"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lang w:eastAsia="zh-CN"/>
        </w:rPr>
        <w:t>工程验收合格后</w:t>
      </w:r>
      <w:r>
        <w:rPr>
          <w:rFonts w:hint="eastAsia" w:ascii="宋体" w:hAnsi="宋体" w:eastAsia="宋体" w:cs="宋体"/>
          <w:color w:val="auto"/>
          <w:spacing w:val="8"/>
          <w:sz w:val="20"/>
          <w:szCs w:val="20"/>
          <w:highlight w:val="none"/>
          <w:u w:val="single" w:color="auto"/>
          <w:lang w:val="en-US" w:eastAsia="zh-CN"/>
        </w:rPr>
        <w:t>1</w:t>
      </w:r>
      <w:r>
        <w:rPr>
          <w:rFonts w:hint="eastAsia" w:ascii="宋体" w:hAnsi="宋体" w:eastAsia="宋体" w:cs="宋体"/>
          <w:color w:val="auto"/>
          <w:spacing w:val="8"/>
          <w:sz w:val="20"/>
          <w:szCs w:val="20"/>
          <w:highlight w:val="none"/>
          <w:u w:val="single" w:color="auto"/>
          <w:lang w:eastAsia="zh-CN"/>
        </w:rPr>
        <w:t>年</w:t>
      </w:r>
      <w:r>
        <w:rPr>
          <w:rFonts w:ascii="宋体" w:hAnsi="宋体" w:eastAsia="宋体" w:cs="宋体"/>
          <w:color w:val="auto"/>
          <w:spacing w:val="2"/>
          <w:sz w:val="20"/>
          <w:szCs w:val="20"/>
          <w:highlight w:val="none"/>
        </w:rPr>
        <w:t>。</w:t>
      </w:r>
    </w:p>
    <w:p w14:paraId="29366BE7">
      <w:pPr>
        <w:autoSpaceDE/>
        <w:autoSpaceDN/>
        <w:spacing w:before="95" w:line="360" w:lineRule="auto"/>
        <w:ind w:left="0" w:right="2484"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工程保修书具体内容见合同附件</w:t>
      </w:r>
      <w:r>
        <w:rPr>
          <w:rFonts w:ascii="宋体" w:hAnsi="宋体" w:eastAsia="宋体" w:cs="宋体"/>
          <w:color w:val="auto"/>
          <w:spacing w:val="-29"/>
          <w:sz w:val="20"/>
          <w:szCs w:val="20"/>
          <w:highlight w:val="none"/>
        </w:rPr>
        <w:t xml:space="preserve"> </w:t>
      </w:r>
      <w:r>
        <w:rPr>
          <w:rFonts w:hint="eastAsia" w:ascii="宋体" w:hAnsi="宋体" w:eastAsia="宋体" w:cs="宋体"/>
          <w:color w:val="auto"/>
          <w:spacing w:val="7"/>
          <w:sz w:val="20"/>
          <w:szCs w:val="20"/>
          <w:highlight w:val="none"/>
          <w:lang w:val="en-US" w:eastAsia="zh-CN"/>
        </w:rPr>
        <w:t>9</w:t>
      </w:r>
      <w:r>
        <w:rPr>
          <w:rFonts w:ascii="宋体" w:hAnsi="宋体" w:eastAsia="宋体" w:cs="宋体"/>
          <w:color w:val="auto"/>
          <w:spacing w:val="7"/>
          <w:sz w:val="20"/>
          <w:szCs w:val="20"/>
          <w:highlight w:val="none"/>
        </w:rPr>
        <w:t>。</w:t>
      </w:r>
    </w:p>
    <w:p w14:paraId="2E64750C">
      <w:pPr>
        <w:autoSpaceDE/>
        <w:autoSpaceDN/>
        <w:spacing w:before="37"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15.4.3 修复通知</w:t>
      </w:r>
    </w:p>
    <w:p w14:paraId="331AE44F">
      <w:pPr>
        <w:autoSpaceDE/>
        <w:autoSpaceDN/>
        <w:spacing w:before="91"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承包人收到保修通知并到达工程现场的合理时间：</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rPr>
        <w:t>收到通知后24小时</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540D12D9">
      <w:pPr>
        <w:autoSpaceDE/>
        <w:autoSpaceDN/>
        <w:spacing w:before="154" w:line="360" w:lineRule="auto"/>
        <w:ind w:left="0" w:firstLine="394" w:firstLineChars="200"/>
        <w:outlineLvl w:val="1"/>
        <w:rPr>
          <w:rFonts w:ascii="宋体" w:hAnsi="宋体" w:eastAsia="宋体" w:cs="宋体"/>
          <w:color w:val="auto"/>
          <w:sz w:val="20"/>
          <w:szCs w:val="20"/>
          <w:highlight w:val="none"/>
        </w:rPr>
      </w:pPr>
      <w:bookmarkStart w:id="393" w:name="_Toc27944"/>
      <w:bookmarkStart w:id="394" w:name="_Toc10377"/>
      <w:bookmarkStart w:id="395" w:name="_Toc14255"/>
      <w:r>
        <w:rPr>
          <w:rFonts w:ascii="宋体" w:hAnsi="宋体" w:eastAsia="宋体" w:cs="宋体"/>
          <w:b/>
          <w:bCs/>
          <w:color w:val="auto"/>
          <w:spacing w:val="-2"/>
          <w:sz w:val="20"/>
          <w:szCs w:val="20"/>
          <w:highlight w:val="none"/>
        </w:rPr>
        <w:t>16.</w:t>
      </w:r>
      <w:r>
        <w:rPr>
          <w:rFonts w:ascii="宋体" w:hAnsi="宋体" w:eastAsia="宋体" w:cs="宋体"/>
          <w:color w:val="auto"/>
          <w:spacing w:val="17"/>
          <w:sz w:val="20"/>
          <w:szCs w:val="20"/>
          <w:highlight w:val="none"/>
        </w:rPr>
        <w:t xml:space="preserve"> </w:t>
      </w:r>
      <w:r>
        <w:rPr>
          <w:rFonts w:ascii="宋体" w:hAnsi="宋体" w:eastAsia="宋体" w:cs="宋体"/>
          <w:b/>
          <w:bCs/>
          <w:color w:val="auto"/>
          <w:spacing w:val="-2"/>
          <w:sz w:val="20"/>
          <w:szCs w:val="20"/>
          <w:highlight w:val="none"/>
        </w:rPr>
        <w:t>违约</w:t>
      </w:r>
      <w:bookmarkEnd w:id="393"/>
      <w:bookmarkEnd w:id="394"/>
      <w:bookmarkEnd w:id="395"/>
    </w:p>
    <w:p w14:paraId="16B41C92">
      <w:pPr>
        <w:autoSpaceDE/>
        <w:autoSpaceDN/>
        <w:spacing w:before="149" w:line="360" w:lineRule="auto"/>
        <w:ind w:left="0" w:firstLine="414" w:firstLineChars="200"/>
        <w:outlineLvl w:val="2"/>
        <w:rPr>
          <w:rFonts w:ascii="宋体" w:hAnsi="宋体" w:eastAsia="宋体" w:cs="宋体"/>
          <w:color w:val="auto"/>
          <w:sz w:val="20"/>
          <w:szCs w:val="20"/>
          <w:highlight w:val="none"/>
        </w:rPr>
      </w:pPr>
      <w:bookmarkStart w:id="396" w:name="_Toc11226"/>
      <w:bookmarkStart w:id="397" w:name="_Toc14822"/>
      <w:bookmarkStart w:id="398" w:name="_Toc9787"/>
      <w:r>
        <w:rPr>
          <w:rFonts w:ascii="宋体" w:hAnsi="宋体" w:eastAsia="宋体" w:cs="宋体"/>
          <w:b/>
          <w:bCs/>
          <w:color w:val="auto"/>
          <w:spacing w:val="3"/>
          <w:sz w:val="20"/>
          <w:szCs w:val="20"/>
          <w:highlight w:val="none"/>
        </w:rPr>
        <w:t>16.1</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发包人违约</w:t>
      </w:r>
      <w:bookmarkEnd w:id="396"/>
      <w:bookmarkEnd w:id="397"/>
      <w:bookmarkEnd w:id="398"/>
    </w:p>
    <w:p w14:paraId="25D0334A">
      <w:pPr>
        <w:autoSpaceDE/>
        <w:autoSpaceDN/>
        <w:spacing w:before="94"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16.1.1</w:t>
      </w:r>
      <w:r>
        <w:rPr>
          <w:rFonts w:ascii="宋体" w:hAnsi="宋体" w:eastAsia="宋体" w:cs="宋体"/>
          <w:color w:val="auto"/>
          <w:spacing w:val="-36"/>
          <w:sz w:val="20"/>
          <w:szCs w:val="20"/>
          <w:highlight w:val="none"/>
        </w:rPr>
        <w:t xml:space="preserve"> </w:t>
      </w:r>
      <w:r>
        <w:rPr>
          <w:rFonts w:ascii="宋体" w:hAnsi="宋体" w:eastAsia="宋体" w:cs="宋体"/>
          <w:color w:val="auto"/>
          <w:spacing w:val="5"/>
          <w:sz w:val="20"/>
          <w:szCs w:val="20"/>
          <w:highlight w:val="none"/>
        </w:rPr>
        <w:t>发包人违约的情形</w:t>
      </w:r>
    </w:p>
    <w:p w14:paraId="395655CD">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发包人违约的其他情形：</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无</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34A65A69">
      <w:pPr>
        <w:autoSpaceDE/>
        <w:autoSpaceDN/>
        <w:spacing w:before="90" w:line="360" w:lineRule="auto"/>
        <w:ind w:left="0" w:firstLine="420" w:firstLineChars="200"/>
        <w:outlineLvl w:val="0"/>
        <w:rPr>
          <w:rFonts w:ascii="宋体" w:hAnsi="宋体" w:eastAsia="宋体" w:cs="宋体"/>
          <w:color w:val="auto"/>
          <w:sz w:val="20"/>
          <w:szCs w:val="20"/>
          <w:highlight w:val="none"/>
        </w:rPr>
      </w:pPr>
      <w:bookmarkStart w:id="399" w:name="_Toc13635"/>
      <w:bookmarkStart w:id="400" w:name="_Toc5962"/>
      <w:bookmarkStart w:id="401" w:name="_Toc13129"/>
      <w:r>
        <w:rPr>
          <w:rFonts w:ascii="宋体" w:hAnsi="宋体" w:eastAsia="宋体" w:cs="宋体"/>
          <w:color w:val="auto"/>
          <w:spacing w:val="5"/>
          <w:sz w:val="20"/>
          <w:szCs w:val="20"/>
          <w:highlight w:val="none"/>
        </w:rPr>
        <w:t>16.1.2 发包人违约的责任</w:t>
      </w:r>
      <w:bookmarkEnd w:id="399"/>
      <w:bookmarkEnd w:id="400"/>
      <w:bookmarkEnd w:id="401"/>
    </w:p>
    <w:p w14:paraId="34B63958">
      <w:pPr>
        <w:autoSpaceDE/>
        <w:autoSpaceDN/>
        <w:spacing w:before="94"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发包人违约责任的承担方式和计算方法：</w:t>
      </w:r>
    </w:p>
    <w:p w14:paraId="7F71AFB6">
      <w:pPr>
        <w:numPr>
          <w:ilvl w:val="-1"/>
          <w:numId w:val="0"/>
        </w:numPr>
        <w:autoSpaceDE/>
        <w:autoSpaceDN/>
        <w:spacing w:before="94" w:line="360" w:lineRule="auto"/>
        <w:ind w:firstLine="424" w:firstLineChars="200"/>
        <w:jc w:val="both"/>
        <w:rPr>
          <w:rFonts w:ascii="宋体" w:hAnsi="宋体" w:eastAsia="宋体" w:cs="宋体"/>
          <w:color w:val="auto"/>
          <w:spacing w:val="5"/>
          <w:sz w:val="20"/>
          <w:szCs w:val="20"/>
          <w:highlight w:val="none"/>
        </w:rPr>
      </w:pPr>
      <w:r>
        <w:rPr>
          <w:rFonts w:hint="eastAsia" w:ascii="宋体" w:hAnsi="宋体" w:eastAsia="宋体" w:cs="宋体"/>
          <w:color w:val="auto"/>
          <w:spacing w:val="6"/>
          <w:sz w:val="20"/>
          <w:szCs w:val="20"/>
          <w:highlight w:val="none"/>
          <w:lang w:eastAsia="zh-CN"/>
        </w:rPr>
        <w:t>（</w:t>
      </w:r>
      <w:r>
        <w:rPr>
          <w:rFonts w:hint="eastAsia" w:ascii="宋体" w:hAnsi="宋体" w:eastAsia="宋体" w:cs="宋体"/>
          <w:color w:val="auto"/>
          <w:spacing w:val="6"/>
          <w:sz w:val="20"/>
          <w:szCs w:val="20"/>
          <w:highlight w:val="none"/>
          <w:lang w:val="en-US" w:eastAsia="zh-CN"/>
        </w:rPr>
        <w:t>1</w:t>
      </w:r>
      <w:r>
        <w:rPr>
          <w:rFonts w:hint="eastAsia" w:ascii="宋体" w:hAnsi="宋体" w:eastAsia="宋体" w:cs="宋体"/>
          <w:color w:val="auto"/>
          <w:spacing w:val="6"/>
          <w:sz w:val="20"/>
          <w:szCs w:val="20"/>
          <w:highlight w:val="none"/>
          <w:lang w:eastAsia="zh-CN"/>
        </w:rPr>
        <w:t>）</w:t>
      </w:r>
      <w:r>
        <w:rPr>
          <w:rFonts w:ascii="宋体" w:hAnsi="宋体" w:eastAsia="宋体" w:cs="宋体"/>
          <w:color w:val="auto"/>
          <w:spacing w:val="6"/>
          <w:sz w:val="20"/>
          <w:szCs w:val="20"/>
          <w:highlight w:val="none"/>
        </w:rPr>
        <w:t>因发包人原因未能在计划开工日期前</w:t>
      </w:r>
      <w:r>
        <w:rPr>
          <w:rFonts w:ascii="宋体" w:hAnsi="宋体" w:eastAsia="宋体" w:cs="宋体"/>
          <w:color w:val="auto"/>
          <w:spacing w:val="-31"/>
          <w:sz w:val="20"/>
          <w:szCs w:val="20"/>
          <w:highlight w:val="none"/>
        </w:rPr>
        <w:t xml:space="preserve"> </w:t>
      </w:r>
      <w:r>
        <w:rPr>
          <w:rFonts w:ascii="宋体" w:hAnsi="宋体" w:eastAsia="宋体" w:cs="宋体"/>
          <w:color w:val="auto"/>
          <w:spacing w:val="6"/>
          <w:sz w:val="20"/>
          <w:szCs w:val="20"/>
          <w:highlight w:val="none"/>
        </w:rPr>
        <w:t>7</w:t>
      </w:r>
      <w:r>
        <w:rPr>
          <w:rFonts w:ascii="宋体" w:hAnsi="宋体" w:eastAsia="宋体" w:cs="宋体"/>
          <w:color w:val="auto"/>
          <w:spacing w:val="-36"/>
          <w:sz w:val="20"/>
          <w:szCs w:val="20"/>
          <w:highlight w:val="none"/>
        </w:rPr>
        <w:t xml:space="preserve"> </w:t>
      </w:r>
      <w:r>
        <w:rPr>
          <w:rFonts w:ascii="宋体" w:hAnsi="宋体" w:eastAsia="宋体" w:cs="宋体"/>
          <w:color w:val="auto"/>
          <w:spacing w:val="6"/>
          <w:sz w:val="20"/>
          <w:szCs w:val="20"/>
          <w:highlight w:val="none"/>
        </w:rPr>
        <w:t>天内下达开工通知的违约责任：</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工期相应顺延</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37D4A020">
      <w:pPr>
        <w:autoSpaceDE/>
        <w:autoSpaceDN/>
        <w:spacing w:before="94" w:line="360" w:lineRule="auto"/>
        <w:ind w:right="0" w:firstLine="428" w:firstLineChars="200"/>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（2）因发包人原因未能按合同约定支付合同价款的违约责任：</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按本合同《专用合同条款》第12.4.4项第（2）点执行</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2D3F709D">
      <w:pPr>
        <w:autoSpaceDE/>
        <w:autoSpaceDN/>
        <w:spacing w:before="95" w:line="360" w:lineRule="auto"/>
        <w:ind w:left="0" w:right="68"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（3）发包人违反第</w:t>
      </w:r>
      <w:r>
        <w:rPr>
          <w:rFonts w:ascii="宋体" w:hAnsi="宋体" w:eastAsia="宋体" w:cs="宋体"/>
          <w:color w:val="auto"/>
          <w:spacing w:val="-21"/>
          <w:sz w:val="20"/>
          <w:szCs w:val="20"/>
          <w:highlight w:val="none"/>
        </w:rPr>
        <w:t xml:space="preserve"> </w:t>
      </w:r>
      <w:r>
        <w:rPr>
          <w:rFonts w:ascii="宋体" w:hAnsi="宋体" w:eastAsia="宋体" w:cs="宋体"/>
          <w:color w:val="auto"/>
          <w:spacing w:val="6"/>
          <w:sz w:val="20"/>
          <w:szCs w:val="20"/>
          <w:highlight w:val="none"/>
        </w:rPr>
        <w:t>10.1</w:t>
      </w:r>
      <w:r>
        <w:rPr>
          <w:rFonts w:ascii="宋体" w:hAnsi="宋体" w:eastAsia="宋体" w:cs="宋体"/>
          <w:color w:val="auto"/>
          <w:spacing w:val="-40"/>
          <w:sz w:val="20"/>
          <w:szCs w:val="20"/>
          <w:highlight w:val="none"/>
        </w:rPr>
        <w:t xml:space="preserve"> </w:t>
      </w:r>
      <w:r>
        <w:rPr>
          <w:rFonts w:ascii="宋体" w:hAnsi="宋体" w:eastAsia="宋体" w:cs="宋体"/>
          <w:color w:val="auto"/>
          <w:spacing w:val="6"/>
          <w:sz w:val="20"/>
          <w:szCs w:val="20"/>
          <w:highlight w:val="none"/>
        </w:rPr>
        <w:t>款〔变更的范围〕第（2）项约定，</w:t>
      </w:r>
      <w:r>
        <w:rPr>
          <w:rFonts w:ascii="宋体" w:hAnsi="宋体" w:eastAsia="宋体" w:cs="宋体"/>
          <w:color w:val="auto"/>
          <w:spacing w:val="-56"/>
          <w:sz w:val="20"/>
          <w:szCs w:val="20"/>
          <w:highlight w:val="none"/>
        </w:rPr>
        <w:t xml:space="preserve"> </w:t>
      </w:r>
      <w:r>
        <w:rPr>
          <w:rFonts w:ascii="宋体" w:hAnsi="宋体" w:eastAsia="宋体" w:cs="宋体"/>
          <w:color w:val="auto"/>
          <w:spacing w:val="6"/>
          <w:sz w:val="20"/>
          <w:szCs w:val="20"/>
          <w:highlight w:val="none"/>
        </w:rPr>
        <w:t>自行实施被取消</w:t>
      </w:r>
      <w:r>
        <w:rPr>
          <w:rFonts w:ascii="宋体" w:hAnsi="宋体" w:eastAsia="宋体" w:cs="宋体"/>
          <w:color w:val="auto"/>
          <w:spacing w:val="5"/>
          <w:sz w:val="20"/>
          <w:szCs w:val="20"/>
          <w:highlight w:val="none"/>
        </w:rPr>
        <w:t>的工作或转由</w:t>
      </w:r>
      <w:r>
        <w:rPr>
          <w:rFonts w:ascii="宋体" w:hAnsi="宋体" w:eastAsia="宋体" w:cs="宋体"/>
          <w:color w:val="auto"/>
          <w:spacing w:val="6"/>
          <w:sz w:val="20"/>
          <w:szCs w:val="20"/>
          <w:highlight w:val="none"/>
        </w:rPr>
        <w:t>他人实施的违约责任：</w:t>
      </w:r>
      <w:r>
        <w:rPr>
          <w:rFonts w:ascii="宋体" w:hAnsi="宋体" w:eastAsia="宋体" w:cs="宋体"/>
          <w:color w:val="auto"/>
          <w:spacing w:val="6"/>
          <w:sz w:val="20"/>
          <w:szCs w:val="20"/>
          <w:highlight w:val="none"/>
          <w:u w:val="single" w:color="auto"/>
        </w:rPr>
        <w:t xml:space="preserve"> </w:t>
      </w:r>
      <w:r>
        <w:rPr>
          <w:rFonts w:hint="eastAsia"/>
          <w:color w:val="auto"/>
          <w:spacing w:val="8"/>
          <w:sz w:val="20"/>
          <w:szCs w:val="20"/>
          <w:highlight w:val="none"/>
          <w:u w:val="single" w:color="auto"/>
        </w:rPr>
        <w:t>若发生工程量增减，发包人按实施部分合同价款与承包人据实结算</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71FC924C">
      <w:pPr>
        <w:autoSpaceDE/>
        <w:autoSpaceDN/>
        <w:spacing w:before="93" w:line="360" w:lineRule="auto"/>
        <w:ind w:left="0" w:right="68"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（4）发包人提供的材料、工程设备的规格、数量或质量不符合合同约定，或因发包人原因</w:t>
      </w:r>
      <w:r>
        <w:rPr>
          <w:rFonts w:ascii="宋体" w:hAnsi="宋体" w:eastAsia="宋体" w:cs="宋体"/>
          <w:color w:val="auto"/>
          <w:spacing w:val="7"/>
          <w:sz w:val="20"/>
          <w:szCs w:val="20"/>
          <w:highlight w:val="none"/>
        </w:rPr>
        <w:t>导致交货日期延误或交货地点变更等情况的违约责任：</w:t>
      </w:r>
      <w:r>
        <w:rPr>
          <w:rFonts w:ascii="宋体" w:hAnsi="宋体" w:eastAsia="宋体" w:cs="宋体"/>
          <w:color w:val="auto"/>
          <w:spacing w:val="7"/>
          <w:sz w:val="20"/>
          <w:szCs w:val="20"/>
          <w:highlight w:val="none"/>
          <w:u w:val="single" w:color="auto"/>
        </w:rPr>
        <w:t xml:space="preserve"> </w:t>
      </w:r>
      <w:r>
        <w:rPr>
          <w:rFonts w:hint="eastAsia" w:ascii="Calibri" w:hAnsi="Calibri" w:eastAsia="Calibri" w:cs="Calibri"/>
          <w:color w:val="auto"/>
          <w:spacing w:val="8"/>
          <w:sz w:val="20"/>
          <w:szCs w:val="20"/>
          <w:highlight w:val="none"/>
          <w:u w:val="single" w:color="auto"/>
        </w:rPr>
        <w:t>经双方确认一致的，所耽误的工期相应顺延</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2E649C10">
      <w:pPr>
        <w:autoSpaceDE/>
        <w:autoSpaceDN/>
        <w:spacing w:before="95"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（5）因发包人违反合同约定造成暂停施工的违约责任：</w:t>
      </w:r>
      <w:r>
        <w:rPr>
          <w:rFonts w:ascii="宋体" w:hAnsi="宋体" w:eastAsia="宋体" w:cs="宋体"/>
          <w:color w:val="auto"/>
          <w:spacing w:val="7"/>
          <w:sz w:val="20"/>
          <w:szCs w:val="20"/>
          <w:highlight w:val="none"/>
          <w:u w:val="single" w:color="auto"/>
        </w:rPr>
        <w:t xml:space="preserve"> </w:t>
      </w:r>
      <w:r>
        <w:rPr>
          <w:color w:val="auto"/>
          <w:spacing w:val="8"/>
          <w:sz w:val="20"/>
          <w:szCs w:val="20"/>
          <w:highlight w:val="none"/>
          <w:u w:val="single" w:color="auto"/>
        </w:rPr>
        <w:t>工期顺延，停工超过</w:t>
      </w:r>
      <w:r>
        <w:rPr>
          <w:rFonts w:ascii="Calibri" w:hAnsi="Calibri" w:eastAsia="Calibri" w:cs="Calibri"/>
          <w:color w:val="auto"/>
          <w:spacing w:val="8"/>
          <w:sz w:val="20"/>
          <w:szCs w:val="20"/>
          <w:highlight w:val="none"/>
          <w:u w:val="single" w:color="auto"/>
        </w:rPr>
        <w:t>10</w:t>
      </w:r>
      <w:r>
        <w:rPr>
          <w:color w:val="auto"/>
          <w:spacing w:val="8"/>
          <w:sz w:val="20"/>
          <w:szCs w:val="20"/>
          <w:highlight w:val="none"/>
          <w:u w:val="single" w:color="auto"/>
        </w:rPr>
        <w:t>天的，自第</w:t>
      </w:r>
      <w:r>
        <w:rPr>
          <w:rFonts w:ascii="Calibri" w:hAnsi="Calibri" w:eastAsia="Calibri" w:cs="Calibri"/>
          <w:color w:val="auto"/>
          <w:spacing w:val="8"/>
          <w:sz w:val="20"/>
          <w:szCs w:val="20"/>
          <w:highlight w:val="none"/>
          <w:u w:val="single" w:color="auto"/>
        </w:rPr>
        <w:t>11</w:t>
      </w:r>
      <w:r>
        <w:rPr>
          <w:color w:val="auto"/>
          <w:spacing w:val="8"/>
          <w:sz w:val="20"/>
          <w:szCs w:val="20"/>
          <w:highlight w:val="none"/>
          <w:u w:val="single" w:color="auto"/>
        </w:rPr>
        <w:t>天起每天向承包人支付合同价款的</w:t>
      </w:r>
      <w:r>
        <w:rPr>
          <w:color w:val="auto"/>
          <w:spacing w:val="7"/>
          <w:sz w:val="20"/>
          <w:szCs w:val="20"/>
          <w:highlight w:val="none"/>
          <w:u w:val="single" w:color="auto"/>
        </w:rPr>
        <w:t>万分之四违约金，上限为合同价款的</w:t>
      </w:r>
      <w:r>
        <w:rPr>
          <w:rFonts w:ascii="Calibri" w:hAnsi="Calibri" w:eastAsia="Calibri" w:cs="Calibri"/>
          <w:color w:val="auto"/>
          <w:spacing w:val="7"/>
          <w:sz w:val="20"/>
          <w:szCs w:val="20"/>
          <w:highlight w:val="none"/>
          <w:u w:val="single" w:color="auto"/>
        </w:rPr>
        <w:t>2%</w:t>
      </w:r>
      <w:r>
        <w:rPr>
          <w:rFonts w:ascii="宋体" w:hAnsi="宋体" w:eastAsia="宋体" w:cs="宋体"/>
          <w:color w:val="auto"/>
          <w:spacing w:val="6"/>
          <w:sz w:val="20"/>
          <w:szCs w:val="20"/>
          <w:highlight w:val="none"/>
        </w:rPr>
        <w:t>。</w:t>
      </w:r>
    </w:p>
    <w:p w14:paraId="30FCE681">
      <w:pPr>
        <w:autoSpaceDE/>
        <w:autoSpaceDN/>
        <w:spacing w:before="92" w:line="360" w:lineRule="auto"/>
        <w:ind w:left="0" w:right="234"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（6）发包人无正当理由没有在约定期限内发出复工指示，导致承包人无法复工的违约责</w:t>
      </w:r>
      <w:r>
        <w:rPr>
          <w:rFonts w:ascii="宋体" w:hAnsi="宋体" w:eastAsia="宋体" w:cs="宋体"/>
          <w:color w:val="auto"/>
          <w:spacing w:val="3"/>
          <w:sz w:val="20"/>
          <w:szCs w:val="20"/>
          <w:highlight w:val="none"/>
        </w:rPr>
        <w:t>任：</w:t>
      </w:r>
      <w:r>
        <w:rPr>
          <w:rFonts w:hint="eastAsia" w:ascii="宋体" w:hAnsi="宋体" w:eastAsia="宋体" w:cs="宋体"/>
          <w:color w:val="auto"/>
          <w:spacing w:val="3"/>
          <w:sz w:val="20"/>
          <w:szCs w:val="20"/>
          <w:highlight w:val="none"/>
          <w:u w:val="single" w:color="auto"/>
        </w:rPr>
        <w:t>工期顺延，停工超过10天的，自第11天起每天向承包人支付合同价款的万分之四违约金，上限为合同价款的2%</w:t>
      </w:r>
      <w:r>
        <w:rPr>
          <w:rFonts w:ascii="宋体" w:hAnsi="宋体" w:eastAsia="宋体" w:cs="宋体"/>
          <w:color w:val="auto"/>
          <w:spacing w:val="2"/>
          <w:sz w:val="20"/>
          <w:szCs w:val="20"/>
          <w:highlight w:val="none"/>
        </w:rPr>
        <w:t>。</w:t>
      </w:r>
    </w:p>
    <w:p w14:paraId="320384B0">
      <w:pPr>
        <w:autoSpaceDE/>
        <w:autoSpaceDN/>
        <w:spacing w:before="94"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（7）其他：</w:t>
      </w:r>
      <w:r>
        <w:rPr>
          <w:rFonts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4"/>
          <w:sz w:val="20"/>
          <w:szCs w:val="20"/>
          <w:highlight w:val="none"/>
          <w:u w:val="single" w:color="auto"/>
        </w:rPr>
        <w:t>无</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w:t>
      </w:r>
    </w:p>
    <w:p w14:paraId="0D36098E">
      <w:pPr>
        <w:autoSpaceDE/>
        <w:autoSpaceDN/>
        <w:spacing w:before="93"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16.1.3</w:t>
      </w:r>
      <w:r>
        <w:rPr>
          <w:rFonts w:ascii="宋体" w:hAnsi="宋体" w:eastAsia="宋体" w:cs="宋体"/>
          <w:color w:val="auto"/>
          <w:spacing w:val="43"/>
          <w:sz w:val="20"/>
          <w:szCs w:val="20"/>
          <w:highlight w:val="none"/>
        </w:rPr>
        <w:t xml:space="preserve"> </w:t>
      </w:r>
      <w:r>
        <w:rPr>
          <w:rFonts w:ascii="宋体" w:hAnsi="宋体" w:eastAsia="宋体" w:cs="宋体"/>
          <w:color w:val="auto"/>
          <w:spacing w:val="4"/>
          <w:sz w:val="20"/>
          <w:szCs w:val="20"/>
          <w:highlight w:val="none"/>
        </w:rPr>
        <w:t>因发包人违约解除合同</w:t>
      </w:r>
    </w:p>
    <w:p w14:paraId="05F00EC4">
      <w:pPr>
        <w:autoSpaceDE/>
        <w:autoSpaceDN/>
        <w:spacing w:before="94" w:line="360" w:lineRule="auto"/>
        <w:ind w:left="0" w:right="13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承包人按16.1.1项〔发包人违约的情形〕约</w:t>
      </w:r>
      <w:r>
        <w:rPr>
          <w:rFonts w:ascii="宋体" w:hAnsi="宋体" w:eastAsia="宋体" w:cs="宋体"/>
          <w:color w:val="auto"/>
          <w:spacing w:val="8"/>
          <w:sz w:val="20"/>
          <w:szCs w:val="20"/>
          <w:highlight w:val="none"/>
        </w:rPr>
        <w:t>定暂停施工满</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hint="eastAsia" w:ascii="宋体" w:hAnsi="宋体" w:eastAsia="宋体" w:cs="宋体"/>
          <w:color w:val="auto"/>
          <w:spacing w:val="5"/>
          <w:sz w:val="20"/>
          <w:szCs w:val="20"/>
          <w:highlight w:val="none"/>
          <w:u w:val="single" w:color="auto"/>
          <w:lang w:val="en-US" w:eastAsia="zh-CN"/>
        </w:rPr>
        <w:t>14</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8"/>
          <w:sz w:val="20"/>
          <w:szCs w:val="20"/>
          <w:highlight w:val="none"/>
        </w:rPr>
        <w:t>天后发包人仍不纠正其违约</w:t>
      </w:r>
      <w:r>
        <w:rPr>
          <w:rFonts w:ascii="宋体" w:hAnsi="宋体" w:eastAsia="宋体" w:cs="宋体"/>
          <w:color w:val="auto"/>
          <w:spacing w:val="9"/>
          <w:sz w:val="20"/>
          <w:szCs w:val="20"/>
          <w:highlight w:val="none"/>
        </w:rPr>
        <w:t>行为并致使合同目的不能实现的，承包人有权解除合同。</w:t>
      </w:r>
    </w:p>
    <w:p w14:paraId="4C5F1FBB">
      <w:pPr>
        <w:autoSpaceDE/>
        <w:autoSpaceDN/>
        <w:spacing w:before="36" w:line="360" w:lineRule="auto"/>
        <w:ind w:left="0" w:firstLine="414" w:firstLineChars="200"/>
        <w:outlineLvl w:val="1"/>
        <w:rPr>
          <w:rFonts w:ascii="宋体" w:hAnsi="宋体" w:eastAsia="宋体" w:cs="宋体"/>
          <w:color w:val="auto"/>
          <w:sz w:val="20"/>
          <w:szCs w:val="20"/>
          <w:highlight w:val="none"/>
        </w:rPr>
      </w:pPr>
      <w:bookmarkStart w:id="402" w:name="_Toc14907"/>
      <w:bookmarkStart w:id="403" w:name="_Toc1913"/>
      <w:bookmarkStart w:id="404" w:name="_Toc1565"/>
      <w:r>
        <w:rPr>
          <w:rFonts w:ascii="宋体" w:hAnsi="宋体" w:eastAsia="宋体" w:cs="宋体"/>
          <w:b/>
          <w:bCs/>
          <w:color w:val="auto"/>
          <w:spacing w:val="3"/>
          <w:sz w:val="20"/>
          <w:szCs w:val="20"/>
          <w:highlight w:val="none"/>
        </w:rPr>
        <w:t>16.2</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承包人违约</w:t>
      </w:r>
      <w:bookmarkEnd w:id="402"/>
      <w:bookmarkEnd w:id="403"/>
      <w:bookmarkEnd w:id="404"/>
    </w:p>
    <w:p w14:paraId="4973E630">
      <w:pPr>
        <w:autoSpaceDE/>
        <w:autoSpaceDN/>
        <w:spacing w:before="91"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16.2.1 承包人违约的情形</w:t>
      </w:r>
    </w:p>
    <w:p w14:paraId="71800B67">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承包人违约的其他情形：</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1）因承包人原因不能按照协议书约定的竣工日期或工程师同意顺延的工期竣工；（2）承包人原因工程质量达不到协议书约定的质量标准；（3）不履行合同义务或不按合同约定履行义务的其他情况；（4）国家和地方现行的其他规定</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680EF7EF">
      <w:pPr>
        <w:autoSpaceDE/>
        <w:autoSpaceDN/>
        <w:spacing w:before="94" w:line="360" w:lineRule="auto"/>
        <w:ind w:left="0" w:firstLine="420" w:firstLineChars="200"/>
        <w:outlineLvl w:val="0"/>
        <w:rPr>
          <w:rFonts w:ascii="宋体" w:hAnsi="宋体" w:eastAsia="宋体" w:cs="宋体"/>
          <w:color w:val="auto"/>
          <w:sz w:val="20"/>
          <w:szCs w:val="20"/>
          <w:highlight w:val="none"/>
        </w:rPr>
      </w:pPr>
      <w:bookmarkStart w:id="405" w:name="_Toc12883"/>
      <w:bookmarkStart w:id="406" w:name="_Toc9462"/>
      <w:bookmarkStart w:id="407" w:name="_Toc22079"/>
      <w:r>
        <w:rPr>
          <w:rFonts w:ascii="宋体" w:hAnsi="宋体" w:eastAsia="宋体" w:cs="宋体"/>
          <w:color w:val="auto"/>
          <w:spacing w:val="5"/>
          <w:sz w:val="20"/>
          <w:szCs w:val="20"/>
          <w:highlight w:val="none"/>
        </w:rPr>
        <w:t>16.2.2</w:t>
      </w:r>
      <w:r>
        <w:rPr>
          <w:rFonts w:ascii="宋体" w:hAnsi="宋体" w:eastAsia="宋体" w:cs="宋体"/>
          <w:color w:val="auto"/>
          <w:spacing w:val="-36"/>
          <w:sz w:val="20"/>
          <w:szCs w:val="20"/>
          <w:highlight w:val="none"/>
        </w:rPr>
        <w:t xml:space="preserve"> </w:t>
      </w:r>
      <w:r>
        <w:rPr>
          <w:rFonts w:ascii="宋体" w:hAnsi="宋体" w:eastAsia="宋体" w:cs="宋体"/>
          <w:color w:val="auto"/>
          <w:spacing w:val="5"/>
          <w:sz w:val="20"/>
          <w:szCs w:val="20"/>
          <w:highlight w:val="none"/>
        </w:rPr>
        <w:t>承包人违约的责任</w:t>
      </w:r>
      <w:bookmarkEnd w:id="405"/>
      <w:bookmarkEnd w:id="406"/>
      <w:bookmarkEnd w:id="407"/>
    </w:p>
    <w:p w14:paraId="4603A7F0">
      <w:pPr>
        <w:autoSpaceDE/>
        <w:autoSpaceDN/>
        <w:spacing w:before="94"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承包人违约责任的承担方式和计算方法：</w:t>
      </w:r>
    </w:p>
    <w:p w14:paraId="28CFF468">
      <w:pPr>
        <w:autoSpaceDE/>
        <w:autoSpaceDN/>
        <w:spacing w:before="94" w:line="360" w:lineRule="auto"/>
        <w:ind w:left="0" w:right="7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（1）承包人未按本合同通用条款第</w:t>
      </w:r>
      <w:r>
        <w:rPr>
          <w:rFonts w:ascii="宋体" w:hAnsi="宋体" w:eastAsia="宋体" w:cs="宋体"/>
          <w:color w:val="auto"/>
          <w:spacing w:val="-23"/>
          <w:sz w:val="20"/>
          <w:szCs w:val="20"/>
          <w:highlight w:val="none"/>
        </w:rPr>
        <w:t xml:space="preserve"> </w:t>
      </w:r>
      <w:r>
        <w:rPr>
          <w:rFonts w:ascii="宋体" w:hAnsi="宋体" w:eastAsia="宋体" w:cs="宋体"/>
          <w:color w:val="auto"/>
          <w:spacing w:val="6"/>
          <w:sz w:val="20"/>
          <w:szCs w:val="20"/>
          <w:highlight w:val="none"/>
        </w:rPr>
        <w:t>16.2.1（2）、（3）条</w:t>
      </w:r>
      <w:r>
        <w:rPr>
          <w:rFonts w:ascii="宋体" w:hAnsi="宋体" w:eastAsia="宋体" w:cs="宋体"/>
          <w:color w:val="auto"/>
          <w:spacing w:val="5"/>
          <w:sz w:val="20"/>
          <w:szCs w:val="20"/>
          <w:highlight w:val="none"/>
        </w:rPr>
        <w:t>内容完成的，承包人无条件返工</w:t>
      </w:r>
      <w:r>
        <w:rPr>
          <w:rFonts w:ascii="宋体" w:hAnsi="宋体" w:eastAsia="宋体" w:cs="宋体"/>
          <w:color w:val="auto"/>
          <w:spacing w:val="10"/>
          <w:sz w:val="20"/>
          <w:szCs w:val="20"/>
          <w:highlight w:val="none"/>
        </w:rPr>
        <w:t>处理，修复至工程质量要求并承担相关费用，并在发包人规定的时</w:t>
      </w:r>
      <w:r>
        <w:rPr>
          <w:rFonts w:ascii="宋体" w:hAnsi="宋体" w:eastAsia="宋体" w:cs="宋体"/>
          <w:color w:val="auto"/>
          <w:spacing w:val="9"/>
          <w:sz w:val="20"/>
          <w:szCs w:val="20"/>
          <w:highlight w:val="none"/>
        </w:rPr>
        <w:t>间内完成返工，否则发包人</w:t>
      </w:r>
      <w:r>
        <w:rPr>
          <w:rFonts w:ascii="宋体" w:hAnsi="宋体" w:eastAsia="宋体" w:cs="宋体"/>
          <w:color w:val="auto"/>
          <w:spacing w:val="7"/>
          <w:sz w:val="20"/>
          <w:szCs w:val="20"/>
          <w:highlight w:val="none"/>
        </w:rPr>
        <w:t>有权扣罚该分项工程</w:t>
      </w:r>
      <w:r>
        <w:rPr>
          <w:rFonts w:ascii="宋体" w:hAnsi="宋体" w:eastAsia="宋体" w:cs="宋体"/>
          <w:color w:val="auto"/>
          <w:spacing w:val="-24"/>
          <w:sz w:val="20"/>
          <w:szCs w:val="20"/>
          <w:highlight w:val="none"/>
        </w:rPr>
        <w:t xml:space="preserve"> </w:t>
      </w:r>
      <w:r>
        <w:rPr>
          <w:rFonts w:ascii="宋体" w:hAnsi="宋体" w:eastAsia="宋体" w:cs="宋体"/>
          <w:color w:val="auto"/>
          <w:spacing w:val="7"/>
          <w:sz w:val="20"/>
          <w:szCs w:val="20"/>
          <w:highlight w:val="none"/>
        </w:rPr>
        <w:t>10%的工程款作为处罚。</w:t>
      </w:r>
    </w:p>
    <w:p w14:paraId="252D053D">
      <w:pPr>
        <w:autoSpaceDE/>
        <w:autoSpaceDN/>
        <w:spacing w:before="94" w:line="360" w:lineRule="auto"/>
        <w:ind w:left="0" w:right="78"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（2）承包人有本合同通用条款第</w:t>
      </w:r>
      <w:r>
        <w:rPr>
          <w:rFonts w:ascii="宋体" w:hAnsi="宋体" w:eastAsia="宋体" w:cs="宋体"/>
          <w:color w:val="auto"/>
          <w:spacing w:val="-24"/>
          <w:sz w:val="20"/>
          <w:szCs w:val="20"/>
          <w:highlight w:val="none"/>
        </w:rPr>
        <w:t xml:space="preserve"> </w:t>
      </w:r>
      <w:r>
        <w:rPr>
          <w:rFonts w:ascii="宋体" w:hAnsi="宋体" w:eastAsia="宋体" w:cs="宋体"/>
          <w:color w:val="auto"/>
          <w:spacing w:val="8"/>
          <w:sz w:val="20"/>
          <w:szCs w:val="20"/>
          <w:highlight w:val="none"/>
        </w:rPr>
        <w:t>16.2.1（6）条情形的，或经监理人检验认为修复质量不</w:t>
      </w:r>
      <w:r>
        <w:rPr>
          <w:rFonts w:ascii="宋体" w:hAnsi="宋体" w:eastAsia="宋体" w:cs="宋体"/>
          <w:color w:val="auto"/>
          <w:spacing w:val="9"/>
          <w:sz w:val="20"/>
          <w:szCs w:val="20"/>
          <w:highlight w:val="none"/>
        </w:rPr>
        <w:t>合格而承包人拒绝再进行修补的，发包人将扣除承包人全部质量保修金。</w:t>
      </w:r>
    </w:p>
    <w:p w14:paraId="08C8DCD4">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（3）承包人有本专用合同条款</w:t>
      </w:r>
      <w:r>
        <w:rPr>
          <w:rFonts w:ascii="宋体" w:hAnsi="宋体" w:eastAsia="宋体" w:cs="宋体"/>
          <w:color w:val="auto"/>
          <w:spacing w:val="-22"/>
          <w:sz w:val="20"/>
          <w:szCs w:val="20"/>
          <w:highlight w:val="none"/>
        </w:rPr>
        <w:t xml:space="preserve"> </w:t>
      </w:r>
      <w:r>
        <w:rPr>
          <w:rFonts w:ascii="宋体" w:hAnsi="宋体" w:eastAsia="宋体" w:cs="宋体"/>
          <w:color w:val="auto"/>
          <w:spacing w:val="6"/>
          <w:sz w:val="20"/>
          <w:szCs w:val="20"/>
          <w:highlight w:val="none"/>
        </w:rPr>
        <w:t>3.2、3.3</w:t>
      </w:r>
      <w:r>
        <w:rPr>
          <w:rFonts w:ascii="宋体" w:hAnsi="宋体" w:eastAsia="宋体" w:cs="宋体"/>
          <w:color w:val="auto"/>
          <w:spacing w:val="-38"/>
          <w:sz w:val="20"/>
          <w:szCs w:val="20"/>
          <w:highlight w:val="none"/>
        </w:rPr>
        <w:t xml:space="preserve"> </w:t>
      </w:r>
      <w:r>
        <w:rPr>
          <w:rFonts w:ascii="宋体" w:hAnsi="宋体" w:eastAsia="宋体" w:cs="宋体"/>
          <w:color w:val="auto"/>
          <w:spacing w:val="6"/>
          <w:sz w:val="20"/>
          <w:szCs w:val="20"/>
          <w:highlight w:val="none"/>
        </w:rPr>
        <w:t>条违约责任的，发包人有权扣除承包人的违约金。</w:t>
      </w:r>
      <w:r>
        <w:rPr>
          <w:rFonts w:ascii="宋体" w:hAnsi="宋体" w:eastAsia="宋体" w:cs="宋体"/>
          <w:color w:val="auto"/>
          <w:spacing w:val="10"/>
          <w:sz w:val="20"/>
          <w:szCs w:val="20"/>
          <w:highlight w:val="none"/>
        </w:rPr>
        <w:t>违约金金额均在承包人的履约保证金及计量支付款内扣除。监理人预</w:t>
      </w:r>
      <w:r>
        <w:rPr>
          <w:rFonts w:ascii="宋体" w:hAnsi="宋体" w:eastAsia="宋体" w:cs="宋体"/>
          <w:color w:val="auto"/>
          <w:spacing w:val="9"/>
          <w:sz w:val="20"/>
          <w:szCs w:val="20"/>
          <w:highlight w:val="none"/>
        </w:rPr>
        <w:t>先下发含有罚款意向的指</w:t>
      </w:r>
      <w:r>
        <w:rPr>
          <w:rFonts w:ascii="宋体" w:hAnsi="宋体" w:eastAsia="宋体" w:cs="宋体"/>
          <w:color w:val="auto"/>
          <w:spacing w:val="10"/>
          <w:sz w:val="20"/>
          <w:szCs w:val="20"/>
          <w:highlight w:val="none"/>
        </w:rPr>
        <w:t>令，如承包人不及时采取措施纠正，则在指令下达后十五天下发罚款</w:t>
      </w:r>
      <w:r>
        <w:rPr>
          <w:rFonts w:ascii="宋体" w:hAnsi="宋体" w:eastAsia="宋体" w:cs="宋体"/>
          <w:color w:val="auto"/>
          <w:spacing w:val="9"/>
          <w:sz w:val="20"/>
          <w:szCs w:val="20"/>
          <w:highlight w:val="none"/>
        </w:rPr>
        <w:t>通知书（不再陈述罚款理</w:t>
      </w:r>
      <w:r>
        <w:rPr>
          <w:rFonts w:ascii="宋体" w:hAnsi="宋体" w:eastAsia="宋体" w:cs="宋体"/>
          <w:color w:val="auto"/>
          <w:spacing w:val="10"/>
          <w:sz w:val="20"/>
          <w:szCs w:val="20"/>
          <w:highlight w:val="none"/>
        </w:rPr>
        <w:t>由）。承包人履约保证金被罚款后由发包人从最后一次计量支付时扣</w:t>
      </w:r>
      <w:r>
        <w:rPr>
          <w:rFonts w:ascii="宋体" w:hAnsi="宋体" w:eastAsia="宋体" w:cs="宋体"/>
          <w:color w:val="auto"/>
          <w:spacing w:val="9"/>
          <w:sz w:val="20"/>
          <w:szCs w:val="20"/>
          <w:highlight w:val="none"/>
        </w:rPr>
        <w:t>除相应金额补足履约保证</w:t>
      </w:r>
      <w:r>
        <w:rPr>
          <w:rFonts w:ascii="宋体" w:hAnsi="宋体" w:eastAsia="宋体" w:cs="宋体"/>
          <w:color w:val="auto"/>
          <w:spacing w:val="10"/>
          <w:sz w:val="20"/>
          <w:szCs w:val="20"/>
          <w:highlight w:val="none"/>
        </w:rPr>
        <w:t>金。承包人在合同期内，完成合同规定的全部工程，且质量合格，在</w:t>
      </w:r>
      <w:r>
        <w:rPr>
          <w:rFonts w:ascii="宋体" w:hAnsi="宋体" w:eastAsia="宋体" w:cs="宋体"/>
          <w:color w:val="auto"/>
          <w:spacing w:val="9"/>
          <w:sz w:val="20"/>
          <w:szCs w:val="20"/>
          <w:highlight w:val="none"/>
        </w:rPr>
        <w:t>本工程施工竣工验收后十</w:t>
      </w:r>
      <w:r>
        <w:rPr>
          <w:rFonts w:ascii="宋体" w:hAnsi="宋体" w:eastAsia="宋体" w:cs="宋体"/>
          <w:color w:val="auto"/>
          <w:spacing w:val="10"/>
          <w:sz w:val="20"/>
          <w:szCs w:val="20"/>
          <w:highlight w:val="none"/>
        </w:rPr>
        <w:t>五天内可申请返还全部或部分罚款，返还金额由监理人审核，发包人</w:t>
      </w:r>
      <w:r>
        <w:rPr>
          <w:rFonts w:ascii="宋体" w:hAnsi="宋体" w:eastAsia="宋体" w:cs="宋体"/>
          <w:color w:val="auto"/>
          <w:spacing w:val="9"/>
          <w:sz w:val="20"/>
          <w:szCs w:val="20"/>
          <w:highlight w:val="none"/>
        </w:rPr>
        <w:t>批准。罚款金额返还时不</w:t>
      </w:r>
      <w:r>
        <w:rPr>
          <w:rFonts w:ascii="宋体" w:hAnsi="宋体" w:eastAsia="宋体" w:cs="宋体"/>
          <w:color w:val="auto"/>
          <w:spacing w:val="7"/>
          <w:sz w:val="20"/>
          <w:szCs w:val="20"/>
          <w:highlight w:val="none"/>
        </w:rPr>
        <w:t>包括银行利息。</w:t>
      </w:r>
    </w:p>
    <w:p w14:paraId="686348E4">
      <w:pPr>
        <w:autoSpaceDE/>
        <w:autoSpaceDN/>
        <w:spacing w:before="93" w:line="360" w:lineRule="auto"/>
        <w:ind w:left="0" w:firstLine="416" w:firstLineChars="20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16.2.3</w:t>
      </w:r>
      <w:r>
        <w:rPr>
          <w:rFonts w:ascii="宋体" w:hAnsi="宋体" w:eastAsia="宋体" w:cs="宋体"/>
          <w:color w:val="auto"/>
          <w:spacing w:val="43"/>
          <w:sz w:val="20"/>
          <w:szCs w:val="20"/>
          <w:highlight w:val="none"/>
        </w:rPr>
        <w:t xml:space="preserve"> </w:t>
      </w:r>
      <w:r>
        <w:rPr>
          <w:rFonts w:ascii="宋体" w:hAnsi="宋体" w:eastAsia="宋体" w:cs="宋体"/>
          <w:color w:val="auto"/>
          <w:spacing w:val="4"/>
          <w:sz w:val="20"/>
          <w:szCs w:val="20"/>
          <w:highlight w:val="none"/>
        </w:rPr>
        <w:t>因承包人违约解除合同</w:t>
      </w:r>
    </w:p>
    <w:p w14:paraId="3E9789AA">
      <w:pPr>
        <w:autoSpaceDE/>
        <w:autoSpaceDN/>
        <w:spacing w:before="92" w:line="360" w:lineRule="auto"/>
        <w:ind w:left="0" w:right="130" w:firstLine="440" w:firstLineChars="20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关于承包人违约解除合同的特别约定：</w:t>
      </w:r>
      <w:r>
        <w:rPr>
          <w:rFonts w:ascii="宋体" w:hAnsi="宋体" w:eastAsia="宋体" w:cs="宋体"/>
          <w:color w:val="auto"/>
          <w:spacing w:val="10"/>
          <w:sz w:val="20"/>
          <w:szCs w:val="20"/>
          <w:highlight w:val="none"/>
          <w:u w:val="single" w:color="auto"/>
        </w:rPr>
        <w:t>承包人有违</w:t>
      </w:r>
      <w:r>
        <w:rPr>
          <w:rFonts w:ascii="宋体" w:hAnsi="宋体" w:eastAsia="宋体" w:cs="宋体"/>
          <w:color w:val="auto"/>
          <w:spacing w:val="9"/>
          <w:sz w:val="20"/>
          <w:szCs w:val="20"/>
          <w:highlight w:val="none"/>
          <w:u w:val="single" w:color="auto"/>
        </w:rPr>
        <w:t>反以下情况之一的，发包人有权解除合</w:t>
      </w:r>
      <w:r>
        <w:rPr>
          <w:rFonts w:ascii="宋体" w:hAnsi="宋体" w:eastAsia="宋体" w:cs="宋体"/>
          <w:color w:val="auto"/>
          <w:spacing w:val="7"/>
          <w:sz w:val="20"/>
          <w:szCs w:val="20"/>
          <w:highlight w:val="none"/>
          <w:u w:val="single" w:color="auto"/>
        </w:rPr>
        <w:t>同，并没收其全部履约保证金</w:t>
      </w:r>
      <w:r>
        <w:rPr>
          <w:rFonts w:ascii="宋体" w:hAnsi="宋体" w:eastAsia="宋体" w:cs="宋体"/>
          <w:color w:val="auto"/>
          <w:spacing w:val="7"/>
          <w:sz w:val="20"/>
          <w:szCs w:val="20"/>
          <w:highlight w:val="none"/>
        </w:rPr>
        <w:t>。</w:t>
      </w:r>
    </w:p>
    <w:p w14:paraId="79B1BCB9">
      <w:pPr>
        <w:autoSpaceDE/>
        <w:autoSpaceDN/>
        <w:spacing w:before="28" w:line="360" w:lineRule="auto"/>
        <w:ind w:left="0" w:right="234"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(1)承包人无正当理由不按开工通知的要求及时进场组织施工和不按签订协议书时商定的</w:t>
      </w:r>
      <w:r>
        <w:rPr>
          <w:rFonts w:ascii="宋体" w:hAnsi="宋体" w:eastAsia="宋体" w:cs="宋体"/>
          <w:color w:val="auto"/>
          <w:spacing w:val="9"/>
          <w:sz w:val="20"/>
          <w:szCs w:val="20"/>
          <w:highlight w:val="none"/>
        </w:rPr>
        <w:t>进度计划有效地开展施工准备，造成工期延误的；</w:t>
      </w:r>
    </w:p>
    <w:p w14:paraId="52D78704">
      <w:pPr>
        <w:autoSpaceDE/>
        <w:autoSpaceDN/>
        <w:spacing w:before="94" w:line="360" w:lineRule="auto"/>
        <w:ind w:left="0" w:right="68"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(2)承包人违反本合同通用条款第3.5</w:t>
      </w:r>
      <w:r>
        <w:rPr>
          <w:rFonts w:ascii="宋体" w:hAnsi="宋体" w:eastAsia="宋体" w:cs="宋体"/>
          <w:color w:val="auto"/>
          <w:spacing w:val="-58"/>
          <w:sz w:val="20"/>
          <w:szCs w:val="20"/>
          <w:highlight w:val="none"/>
        </w:rPr>
        <w:t xml:space="preserve"> </w:t>
      </w:r>
      <w:r>
        <w:rPr>
          <w:rFonts w:ascii="宋体" w:hAnsi="宋体" w:eastAsia="宋体" w:cs="宋体"/>
          <w:color w:val="auto"/>
          <w:spacing w:val="9"/>
          <w:sz w:val="20"/>
          <w:szCs w:val="20"/>
          <w:highlight w:val="none"/>
        </w:rPr>
        <w:t>条规定私自</w:t>
      </w:r>
      <w:r>
        <w:rPr>
          <w:rFonts w:ascii="宋体" w:hAnsi="宋体" w:eastAsia="宋体" w:cs="宋体"/>
          <w:color w:val="auto"/>
          <w:spacing w:val="8"/>
          <w:sz w:val="20"/>
          <w:szCs w:val="20"/>
          <w:highlight w:val="none"/>
        </w:rPr>
        <w:t>将合同或合同的任何部分或任何权利转让</w:t>
      </w:r>
      <w:r>
        <w:rPr>
          <w:rFonts w:ascii="宋体" w:hAnsi="宋体" w:eastAsia="宋体" w:cs="宋体"/>
          <w:color w:val="auto"/>
          <w:spacing w:val="9"/>
          <w:sz w:val="20"/>
          <w:szCs w:val="20"/>
          <w:highlight w:val="none"/>
        </w:rPr>
        <w:t>给其他人，或私自将工程或工程的一部分分包出去的；</w:t>
      </w:r>
    </w:p>
    <w:p w14:paraId="45C57E50">
      <w:pPr>
        <w:autoSpaceDE/>
        <w:autoSpaceDN/>
        <w:spacing w:before="93" w:line="360" w:lineRule="auto"/>
        <w:ind w:left="0" w:right="68"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(3)未经监理人批准，承包人私自将已按响应文件承诺进入工地的工程设备、施工设备、临时工程或材料撤离工地的；</w:t>
      </w:r>
    </w:p>
    <w:p w14:paraId="6FD5E816">
      <w:pPr>
        <w:autoSpaceDE/>
        <w:autoSpaceDN/>
        <w:spacing w:before="96" w:line="360" w:lineRule="auto"/>
        <w:ind w:left="0" w:right="7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(4)由于承包人原因拒绝按合同进度计划及时完成合同规定的工程，而又未采取有效措施赶</w:t>
      </w:r>
      <w:r>
        <w:rPr>
          <w:rFonts w:ascii="宋体" w:hAnsi="宋体" w:eastAsia="宋体" w:cs="宋体"/>
          <w:color w:val="auto"/>
          <w:spacing w:val="8"/>
          <w:sz w:val="20"/>
          <w:szCs w:val="20"/>
          <w:highlight w:val="none"/>
        </w:rPr>
        <w:t>上进度，造成工期严重延误的；</w:t>
      </w:r>
    </w:p>
    <w:p w14:paraId="614A5283">
      <w:pPr>
        <w:autoSpaceDE/>
        <w:autoSpaceDN/>
        <w:spacing w:before="93"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(5)承包人否认合同有效或拒绝履行合同规定的承包人义务，或由于法律、财务等原因导致</w:t>
      </w:r>
      <w:r>
        <w:rPr>
          <w:rFonts w:ascii="宋体" w:hAnsi="宋体" w:eastAsia="宋体" w:cs="宋体"/>
          <w:color w:val="auto"/>
          <w:spacing w:val="9"/>
          <w:sz w:val="20"/>
          <w:szCs w:val="20"/>
          <w:highlight w:val="none"/>
        </w:rPr>
        <w:t>承包人无法继续履行或实质上已停止履行合同的义务的；</w:t>
      </w:r>
    </w:p>
    <w:p w14:paraId="64D1896E">
      <w:pPr>
        <w:autoSpaceDE/>
        <w:autoSpaceDN/>
        <w:spacing w:before="93"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(6)合同签订之日起十五日内，承包人无法按合同规定及响应文件的承诺进场经监理工程师</w:t>
      </w:r>
      <w:r>
        <w:rPr>
          <w:rFonts w:ascii="宋体" w:hAnsi="宋体" w:eastAsia="宋体" w:cs="宋体"/>
          <w:color w:val="auto"/>
          <w:spacing w:val="8"/>
          <w:sz w:val="20"/>
          <w:szCs w:val="20"/>
          <w:highlight w:val="none"/>
        </w:rPr>
        <w:t>认可的全部人员和机械的。</w:t>
      </w:r>
    </w:p>
    <w:p w14:paraId="23827E28">
      <w:pPr>
        <w:autoSpaceDE/>
        <w:autoSpaceDN/>
        <w:spacing w:before="32" w:line="360" w:lineRule="auto"/>
        <w:ind w:left="0" w:firstLine="444" w:firstLineChars="200"/>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发包人继续使用承包人在施工现场的材料、设备、临时工程、承包人文件和由承包人或以</w:t>
      </w:r>
      <w:r>
        <w:rPr>
          <w:rFonts w:ascii="宋体" w:hAnsi="宋体" w:eastAsia="宋体" w:cs="宋体"/>
          <w:color w:val="auto"/>
          <w:spacing w:val="6"/>
          <w:sz w:val="20"/>
          <w:szCs w:val="20"/>
          <w:highlight w:val="none"/>
        </w:rPr>
        <w:t>其名义编制的其他文件的费用承担方式：</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发包人和承包人可协商解决费用承担问题，无法协商一致的，发包人发出清场通知之日起十日内，承包人应将施工现场的材料、设备无条件搬离，不得以任何理由拒不清场搬离，否则每延误一天承包人按工程总价款的千分之三向发包人支付逾期清场违约金</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5D7B8335">
      <w:pPr>
        <w:autoSpaceDE/>
        <w:autoSpaceDN/>
        <w:spacing w:before="91" w:line="360" w:lineRule="auto"/>
        <w:ind w:left="0" w:firstLine="406" w:firstLineChars="200"/>
        <w:outlineLvl w:val="1"/>
        <w:rPr>
          <w:rFonts w:ascii="宋体" w:hAnsi="宋体" w:eastAsia="宋体" w:cs="宋体"/>
          <w:color w:val="auto"/>
          <w:sz w:val="20"/>
          <w:szCs w:val="20"/>
          <w:highlight w:val="none"/>
        </w:rPr>
      </w:pPr>
      <w:bookmarkStart w:id="408" w:name="_Toc4374"/>
      <w:bookmarkStart w:id="409" w:name="_Toc18321"/>
      <w:bookmarkStart w:id="410" w:name="_Toc12760"/>
      <w:r>
        <w:rPr>
          <w:rFonts w:ascii="宋体" w:hAnsi="宋体" w:eastAsia="宋体" w:cs="宋体"/>
          <w:b/>
          <w:bCs/>
          <w:color w:val="auto"/>
          <w:spacing w:val="1"/>
          <w:sz w:val="20"/>
          <w:szCs w:val="20"/>
          <w:highlight w:val="none"/>
        </w:rPr>
        <w:t>17.</w:t>
      </w:r>
      <w:r>
        <w:rPr>
          <w:rFonts w:ascii="宋体" w:hAnsi="宋体" w:eastAsia="宋体" w:cs="宋体"/>
          <w:color w:val="auto"/>
          <w:spacing w:val="18"/>
          <w:sz w:val="20"/>
          <w:szCs w:val="20"/>
          <w:highlight w:val="none"/>
        </w:rPr>
        <w:t xml:space="preserve"> </w:t>
      </w:r>
      <w:r>
        <w:rPr>
          <w:rFonts w:ascii="宋体" w:hAnsi="宋体" w:eastAsia="宋体" w:cs="宋体"/>
          <w:b/>
          <w:bCs/>
          <w:color w:val="auto"/>
          <w:spacing w:val="1"/>
          <w:sz w:val="20"/>
          <w:szCs w:val="20"/>
          <w:highlight w:val="none"/>
        </w:rPr>
        <w:t>不可抗力</w:t>
      </w:r>
      <w:bookmarkEnd w:id="408"/>
      <w:bookmarkEnd w:id="409"/>
      <w:bookmarkEnd w:id="410"/>
    </w:p>
    <w:p w14:paraId="4409CF1D">
      <w:pPr>
        <w:autoSpaceDE/>
        <w:autoSpaceDN/>
        <w:spacing w:before="151" w:line="360" w:lineRule="auto"/>
        <w:ind w:left="0" w:firstLine="418" w:firstLineChars="200"/>
        <w:outlineLvl w:val="2"/>
        <w:rPr>
          <w:rFonts w:ascii="宋体" w:hAnsi="宋体" w:eastAsia="宋体" w:cs="宋体"/>
          <w:color w:val="auto"/>
          <w:sz w:val="20"/>
          <w:szCs w:val="20"/>
          <w:highlight w:val="none"/>
        </w:rPr>
      </w:pPr>
      <w:bookmarkStart w:id="411" w:name="_Toc28263"/>
      <w:bookmarkStart w:id="412" w:name="_Toc3992"/>
      <w:bookmarkStart w:id="413" w:name="_Toc13843"/>
      <w:r>
        <w:rPr>
          <w:rFonts w:ascii="宋体" w:hAnsi="宋体" w:eastAsia="宋体" w:cs="宋体"/>
          <w:b/>
          <w:bCs/>
          <w:color w:val="auto"/>
          <w:spacing w:val="4"/>
          <w:sz w:val="20"/>
          <w:szCs w:val="20"/>
          <w:highlight w:val="none"/>
        </w:rPr>
        <w:t>17.1</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不可抗力的确认</w:t>
      </w:r>
      <w:bookmarkEnd w:id="411"/>
      <w:bookmarkEnd w:id="412"/>
      <w:bookmarkEnd w:id="413"/>
    </w:p>
    <w:p w14:paraId="4C8AB7B0">
      <w:pPr>
        <w:autoSpaceDE/>
        <w:autoSpaceDN/>
        <w:spacing w:before="93"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除通用合同条款约定的不可抗力事件之外，视为不可抗力的其他情形：</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rPr>
        <w:t>①6级以上的地震；②10级以上的持续3天的大风；③暴雨级以上的持续3天的大雨；④50年以上未发生过，持续3天的高温天气；⑤50年以上未发生过，持续3天的严寒天气；⑥50年以上未发生过的洪水；⑦战争、战乱、空中巨型物坠落；⑧其他不可预见的不可抗力；⑨由于任何爆炸性核装置或其看不见的任何核燃料或核燃料燃烧后的核废物、放射性有毒炸药，或其它有害物质所引起的放射性污染</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3A1CC0AC">
      <w:pPr>
        <w:autoSpaceDE/>
        <w:autoSpaceDN/>
        <w:spacing w:before="94" w:line="360" w:lineRule="auto"/>
        <w:ind w:left="0" w:firstLine="414" w:firstLineChars="200"/>
        <w:outlineLvl w:val="2"/>
        <w:rPr>
          <w:rFonts w:ascii="宋体" w:hAnsi="宋体" w:eastAsia="宋体" w:cs="宋体"/>
          <w:color w:val="auto"/>
          <w:sz w:val="20"/>
          <w:szCs w:val="20"/>
          <w:highlight w:val="none"/>
        </w:rPr>
      </w:pPr>
      <w:bookmarkStart w:id="414" w:name="_Toc27040"/>
      <w:bookmarkStart w:id="415" w:name="_Toc22508"/>
      <w:bookmarkStart w:id="416" w:name="_Toc13294"/>
      <w:r>
        <w:rPr>
          <w:rFonts w:ascii="宋体" w:hAnsi="宋体" w:eastAsia="宋体" w:cs="宋体"/>
          <w:b/>
          <w:bCs/>
          <w:color w:val="auto"/>
          <w:spacing w:val="3"/>
          <w:sz w:val="20"/>
          <w:szCs w:val="20"/>
          <w:highlight w:val="none"/>
        </w:rPr>
        <w:t>17.4</w:t>
      </w:r>
      <w:r>
        <w:rPr>
          <w:rFonts w:ascii="宋体" w:hAnsi="宋体" w:eastAsia="宋体" w:cs="宋体"/>
          <w:color w:val="auto"/>
          <w:spacing w:val="33"/>
          <w:sz w:val="20"/>
          <w:szCs w:val="20"/>
          <w:highlight w:val="none"/>
        </w:rPr>
        <w:t xml:space="preserve"> </w:t>
      </w:r>
      <w:r>
        <w:rPr>
          <w:rFonts w:ascii="宋体" w:hAnsi="宋体" w:eastAsia="宋体" w:cs="宋体"/>
          <w:b/>
          <w:bCs/>
          <w:color w:val="auto"/>
          <w:spacing w:val="3"/>
          <w:sz w:val="20"/>
          <w:szCs w:val="20"/>
          <w:highlight w:val="none"/>
        </w:rPr>
        <w:t>因不可抗力解除合同</w:t>
      </w:r>
      <w:bookmarkEnd w:id="414"/>
      <w:bookmarkEnd w:id="415"/>
      <w:bookmarkEnd w:id="416"/>
    </w:p>
    <w:p w14:paraId="06BB5DF8">
      <w:pPr>
        <w:autoSpaceDE/>
        <w:autoSpaceDN/>
        <w:spacing w:before="94" w:line="360" w:lineRule="auto"/>
        <w:ind w:left="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合同解除后，发包人应在商定或确定发包人应支付款</w:t>
      </w:r>
      <w:r>
        <w:rPr>
          <w:rFonts w:ascii="宋体" w:hAnsi="宋体" w:eastAsia="宋体" w:cs="宋体"/>
          <w:color w:val="auto"/>
          <w:spacing w:val="8"/>
          <w:sz w:val="20"/>
          <w:szCs w:val="20"/>
          <w:highlight w:val="none"/>
        </w:rPr>
        <w:t>项后</w:t>
      </w:r>
      <w:r>
        <w:rPr>
          <w:rFonts w:ascii="宋体" w:hAnsi="宋体" w:eastAsia="宋体" w:cs="宋体"/>
          <w:color w:val="auto"/>
          <w:spacing w:val="8"/>
          <w:sz w:val="20"/>
          <w:szCs w:val="20"/>
          <w:highlight w:val="none"/>
          <w:u w:val="single" w:color="auto"/>
        </w:rPr>
        <w:t xml:space="preserve"> </w:t>
      </w:r>
      <w:r>
        <w:rPr>
          <w:rFonts w:hint="eastAsia" w:ascii="宋体" w:hAnsi="宋体" w:eastAsia="宋体" w:cs="宋体"/>
          <w:color w:val="auto"/>
          <w:spacing w:val="8"/>
          <w:sz w:val="20"/>
          <w:szCs w:val="20"/>
          <w:highlight w:val="none"/>
          <w:u w:val="single" w:color="auto"/>
          <w:lang w:val="en-US" w:eastAsia="zh-CN"/>
        </w:rPr>
        <w:t>30</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8"/>
          <w:sz w:val="20"/>
          <w:szCs w:val="20"/>
          <w:highlight w:val="none"/>
        </w:rPr>
        <w:t xml:space="preserve"> </w:t>
      </w:r>
      <w:r>
        <w:rPr>
          <w:rFonts w:ascii="宋体" w:hAnsi="宋体" w:eastAsia="宋体" w:cs="宋体"/>
          <w:color w:val="auto"/>
          <w:spacing w:val="8"/>
          <w:sz w:val="20"/>
          <w:szCs w:val="20"/>
          <w:highlight w:val="none"/>
        </w:rPr>
        <w:t>天内完成款项的支付。</w:t>
      </w:r>
    </w:p>
    <w:p w14:paraId="74CF809A">
      <w:pPr>
        <w:autoSpaceDE/>
        <w:autoSpaceDN/>
        <w:spacing w:before="154" w:line="360" w:lineRule="auto"/>
        <w:ind w:left="0" w:firstLine="394" w:firstLineChars="200"/>
        <w:outlineLvl w:val="1"/>
        <w:rPr>
          <w:rFonts w:ascii="宋体" w:hAnsi="宋体" w:eastAsia="宋体" w:cs="宋体"/>
          <w:color w:val="auto"/>
          <w:sz w:val="20"/>
          <w:szCs w:val="20"/>
          <w:highlight w:val="none"/>
        </w:rPr>
      </w:pPr>
      <w:bookmarkStart w:id="417" w:name="_Toc6452"/>
      <w:bookmarkStart w:id="418" w:name="_Toc32375"/>
      <w:bookmarkStart w:id="419" w:name="_Toc8328"/>
      <w:r>
        <w:rPr>
          <w:rFonts w:ascii="宋体" w:hAnsi="宋体" w:eastAsia="宋体" w:cs="宋体"/>
          <w:b/>
          <w:bCs/>
          <w:color w:val="auto"/>
          <w:spacing w:val="-2"/>
          <w:sz w:val="20"/>
          <w:szCs w:val="20"/>
          <w:highlight w:val="none"/>
        </w:rPr>
        <w:t>18.</w:t>
      </w:r>
      <w:r>
        <w:rPr>
          <w:rFonts w:ascii="宋体" w:hAnsi="宋体" w:eastAsia="宋体" w:cs="宋体"/>
          <w:color w:val="auto"/>
          <w:spacing w:val="17"/>
          <w:sz w:val="20"/>
          <w:szCs w:val="20"/>
          <w:highlight w:val="none"/>
        </w:rPr>
        <w:t xml:space="preserve"> </w:t>
      </w:r>
      <w:r>
        <w:rPr>
          <w:rFonts w:ascii="宋体" w:hAnsi="宋体" w:eastAsia="宋体" w:cs="宋体"/>
          <w:b/>
          <w:bCs/>
          <w:color w:val="auto"/>
          <w:spacing w:val="-2"/>
          <w:sz w:val="20"/>
          <w:szCs w:val="20"/>
          <w:highlight w:val="none"/>
        </w:rPr>
        <w:t>保险</w:t>
      </w:r>
      <w:bookmarkEnd w:id="417"/>
      <w:bookmarkEnd w:id="418"/>
      <w:bookmarkEnd w:id="419"/>
    </w:p>
    <w:p w14:paraId="5258E19A">
      <w:pPr>
        <w:autoSpaceDE/>
        <w:autoSpaceDN/>
        <w:spacing w:before="152" w:line="360" w:lineRule="auto"/>
        <w:ind w:left="0" w:firstLine="406" w:firstLineChars="200"/>
        <w:outlineLvl w:val="2"/>
        <w:rPr>
          <w:rFonts w:ascii="宋体" w:hAnsi="宋体" w:eastAsia="宋体" w:cs="宋体"/>
          <w:color w:val="auto"/>
          <w:sz w:val="20"/>
          <w:szCs w:val="20"/>
          <w:highlight w:val="none"/>
        </w:rPr>
      </w:pPr>
      <w:bookmarkStart w:id="420" w:name="_Toc25179"/>
      <w:bookmarkStart w:id="421" w:name="_Toc27482"/>
      <w:bookmarkStart w:id="422" w:name="_Toc2453"/>
      <w:r>
        <w:rPr>
          <w:rFonts w:ascii="宋体" w:hAnsi="宋体" w:eastAsia="宋体" w:cs="宋体"/>
          <w:b/>
          <w:bCs/>
          <w:color w:val="auto"/>
          <w:spacing w:val="1"/>
          <w:sz w:val="20"/>
          <w:szCs w:val="20"/>
          <w:highlight w:val="none"/>
        </w:rPr>
        <w:t>18.1</w:t>
      </w:r>
      <w:r>
        <w:rPr>
          <w:rFonts w:ascii="宋体" w:hAnsi="宋体" w:eastAsia="宋体" w:cs="宋体"/>
          <w:color w:val="auto"/>
          <w:spacing w:val="21"/>
          <w:sz w:val="20"/>
          <w:szCs w:val="20"/>
          <w:highlight w:val="none"/>
        </w:rPr>
        <w:t xml:space="preserve"> </w:t>
      </w:r>
      <w:r>
        <w:rPr>
          <w:rFonts w:ascii="宋体" w:hAnsi="宋体" w:eastAsia="宋体" w:cs="宋体"/>
          <w:b/>
          <w:bCs/>
          <w:color w:val="auto"/>
          <w:spacing w:val="1"/>
          <w:sz w:val="20"/>
          <w:szCs w:val="20"/>
          <w:highlight w:val="none"/>
        </w:rPr>
        <w:t>工程保险</w:t>
      </w:r>
      <w:bookmarkEnd w:id="420"/>
      <w:bookmarkEnd w:id="421"/>
      <w:bookmarkEnd w:id="422"/>
    </w:p>
    <w:p w14:paraId="0D2F5657">
      <w:pPr>
        <w:autoSpaceDE/>
        <w:autoSpaceDN/>
        <w:spacing w:before="95"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关于工程保险的特别约定：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发包人可根据需要投保工程质量保险；对已投保的工程项目，承包人应积极配合保险公司开展相关工作</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0E9B0D82">
      <w:pPr>
        <w:autoSpaceDE/>
        <w:autoSpaceDN/>
        <w:spacing w:before="92" w:line="360" w:lineRule="auto"/>
        <w:ind w:left="0" w:firstLine="414" w:firstLineChars="200"/>
        <w:outlineLvl w:val="2"/>
        <w:rPr>
          <w:rFonts w:ascii="宋体" w:hAnsi="宋体" w:eastAsia="宋体" w:cs="宋体"/>
          <w:color w:val="auto"/>
          <w:sz w:val="20"/>
          <w:szCs w:val="20"/>
          <w:highlight w:val="none"/>
        </w:rPr>
      </w:pPr>
      <w:bookmarkStart w:id="423" w:name="_Toc9644"/>
      <w:bookmarkStart w:id="424" w:name="_Toc2221"/>
      <w:bookmarkStart w:id="425" w:name="_Toc25015"/>
      <w:r>
        <w:rPr>
          <w:rFonts w:ascii="宋体" w:hAnsi="宋体" w:eastAsia="宋体" w:cs="宋体"/>
          <w:b/>
          <w:bCs/>
          <w:color w:val="auto"/>
          <w:spacing w:val="3"/>
          <w:sz w:val="20"/>
          <w:szCs w:val="20"/>
          <w:highlight w:val="none"/>
        </w:rPr>
        <w:t>18.3</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其他保险</w:t>
      </w:r>
      <w:bookmarkEnd w:id="423"/>
      <w:bookmarkEnd w:id="424"/>
      <w:bookmarkEnd w:id="425"/>
    </w:p>
    <w:p w14:paraId="0E7AE42C">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关于其他保险的约定：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6"/>
          <w:sz w:val="20"/>
          <w:szCs w:val="20"/>
          <w:highlight w:val="none"/>
          <w:u w:val="single" w:color="auto"/>
        </w:rPr>
        <w:t>承包人必须为施工现场从事施工的所有作业人员和管理人员办理意外伤害保险，并支付保险费，费用已包含在综合单价中不再另计计价</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p>
    <w:p w14:paraId="40358FC2">
      <w:pPr>
        <w:autoSpaceDE/>
        <w:autoSpaceDN/>
        <w:spacing w:before="93"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承包人是否应为其施工设备等办理财产保险：</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由承包人根据实际需要另行购买，但应符合本合同《通用条款》及相关法律、法规、规章之规定</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2A464F0C">
      <w:pPr>
        <w:autoSpaceDE/>
        <w:autoSpaceDN/>
        <w:spacing w:before="94" w:line="360" w:lineRule="auto"/>
        <w:ind w:left="0" w:firstLine="414" w:firstLineChars="200"/>
        <w:outlineLvl w:val="2"/>
        <w:rPr>
          <w:rFonts w:ascii="宋体" w:hAnsi="宋体" w:eastAsia="宋体" w:cs="宋体"/>
          <w:color w:val="auto"/>
          <w:sz w:val="20"/>
          <w:szCs w:val="20"/>
          <w:highlight w:val="none"/>
        </w:rPr>
      </w:pPr>
      <w:bookmarkStart w:id="426" w:name="_Toc10805"/>
      <w:bookmarkStart w:id="427" w:name="_Toc19375"/>
      <w:bookmarkStart w:id="428" w:name="_Toc2624"/>
      <w:r>
        <w:rPr>
          <w:rFonts w:ascii="宋体" w:hAnsi="宋体" w:eastAsia="宋体" w:cs="宋体"/>
          <w:b/>
          <w:bCs/>
          <w:color w:val="auto"/>
          <w:spacing w:val="3"/>
          <w:sz w:val="20"/>
          <w:szCs w:val="20"/>
          <w:highlight w:val="none"/>
        </w:rPr>
        <w:t>18.7</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3"/>
          <w:sz w:val="20"/>
          <w:szCs w:val="20"/>
          <w:highlight w:val="none"/>
        </w:rPr>
        <w:t>通知义务</w:t>
      </w:r>
      <w:bookmarkEnd w:id="426"/>
      <w:bookmarkEnd w:id="427"/>
      <w:bookmarkEnd w:id="428"/>
    </w:p>
    <w:p w14:paraId="114CB3F8">
      <w:pPr>
        <w:autoSpaceDE/>
        <w:autoSpaceDN/>
        <w:spacing w:before="94"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关于变更保险合同时的通知义务的约定：</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发包人变更除工伤保险之外的保险合同时，应事先征得承包人同意，并通知监理人；承包人变更除工伤保险之外的保险合同时，应事先征得发包人同意，并通知监理人。保险事故发生时，投保人应按照保险合同规定的条件和期限及时向保险人报告。发包人和承包人应当在知道保险事故发生后及时通知对方</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0B943BB9">
      <w:pPr>
        <w:autoSpaceDE/>
        <w:autoSpaceDN/>
        <w:spacing w:before="151" w:line="360" w:lineRule="auto"/>
        <w:ind w:left="0" w:firstLine="410" w:firstLineChars="200"/>
        <w:outlineLvl w:val="1"/>
        <w:rPr>
          <w:rFonts w:ascii="宋体" w:hAnsi="宋体" w:eastAsia="宋体" w:cs="宋体"/>
          <w:color w:val="auto"/>
          <w:sz w:val="20"/>
          <w:szCs w:val="20"/>
          <w:highlight w:val="none"/>
        </w:rPr>
      </w:pPr>
      <w:bookmarkStart w:id="429" w:name="_Toc7884"/>
      <w:bookmarkStart w:id="430" w:name="_Toc16416"/>
      <w:bookmarkStart w:id="431" w:name="_Toc11293"/>
      <w:r>
        <w:rPr>
          <w:rFonts w:ascii="宋体" w:hAnsi="宋体" w:eastAsia="宋体" w:cs="宋体"/>
          <w:b/>
          <w:bCs/>
          <w:color w:val="auto"/>
          <w:spacing w:val="2"/>
          <w:sz w:val="20"/>
          <w:szCs w:val="20"/>
          <w:highlight w:val="none"/>
        </w:rPr>
        <w:t>20.</w:t>
      </w:r>
      <w:r>
        <w:rPr>
          <w:rFonts w:ascii="宋体" w:hAnsi="宋体" w:eastAsia="宋体" w:cs="宋体"/>
          <w:color w:val="auto"/>
          <w:spacing w:val="24"/>
          <w:sz w:val="20"/>
          <w:szCs w:val="20"/>
          <w:highlight w:val="none"/>
        </w:rPr>
        <w:t xml:space="preserve"> </w:t>
      </w:r>
      <w:r>
        <w:rPr>
          <w:rFonts w:ascii="宋体" w:hAnsi="宋体" w:eastAsia="宋体" w:cs="宋体"/>
          <w:b/>
          <w:bCs/>
          <w:color w:val="auto"/>
          <w:spacing w:val="2"/>
          <w:sz w:val="20"/>
          <w:szCs w:val="20"/>
          <w:highlight w:val="none"/>
        </w:rPr>
        <w:t>争议解决</w:t>
      </w:r>
      <w:bookmarkEnd w:id="429"/>
      <w:bookmarkEnd w:id="430"/>
      <w:bookmarkEnd w:id="431"/>
    </w:p>
    <w:p w14:paraId="2B590D23">
      <w:pPr>
        <w:autoSpaceDE/>
        <w:autoSpaceDN/>
        <w:spacing w:before="154" w:line="360" w:lineRule="auto"/>
        <w:ind w:left="0" w:firstLine="414" w:firstLineChars="200"/>
        <w:outlineLvl w:val="2"/>
        <w:rPr>
          <w:rFonts w:ascii="宋体" w:hAnsi="宋体" w:eastAsia="宋体" w:cs="宋体"/>
          <w:color w:val="auto"/>
          <w:sz w:val="20"/>
          <w:szCs w:val="20"/>
          <w:highlight w:val="none"/>
        </w:rPr>
      </w:pPr>
      <w:bookmarkStart w:id="432" w:name="_Toc3974"/>
      <w:bookmarkStart w:id="433" w:name="_Toc9315"/>
      <w:bookmarkStart w:id="434" w:name="_Toc26153"/>
      <w:r>
        <w:rPr>
          <w:rFonts w:ascii="宋体" w:hAnsi="宋体" w:eastAsia="宋体" w:cs="宋体"/>
          <w:b/>
          <w:bCs/>
          <w:color w:val="auto"/>
          <w:spacing w:val="3"/>
          <w:sz w:val="20"/>
          <w:szCs w:val="20"/>
          <w:highlight w:val="none"/>
        </w:rPr>
        <w:t>20.3</w:t>
      </w:r>
      <w:r>
        <w:rPr>
          <w:rFonts w:ascii="宋体" w:hAnsi="宋体" w:eastAsia="宋体" w:cs="宋体"/>
          <w:color w:val="auto"/>
          <w:spacing w:val="18"/>
          <w:sz w:val="20"/>
          <w:szCs w:val="20"/>
          <w:highlight w:val="none"/>
        </w:rPr>
        <w:t xml:space="preserve"> </w:t>
      </w:r>
      <w:r>
        <w:rPr>
          <w:rFonts w:ascii="宋体" w:hAnsi="宋体" w:eastAsia="宋体" w:cs="宋体"/>
          <w:b/>
          <w:bCs/>
          <w:color w:val="auto"/>
          <w:spacing w:val="3"/>
          <w:sz w:val="20"/>
          <w:szCs w:val="20"/>
          <w:highlight w:val="none"/>
        </w:rPr>
        <w:t>争议评审</w:t>
      </w:r>
      <w:bookmarkEnd w:id="432"/>
      <w:bookmarkEnd w:id="433"/>
      <w:bookmarkEnd w:id="434"/>
    </w:p>
    <w:p w14:paraId="60882903">
      <w:pPr>
        <w:autoSpaceDE/>
        <w:autoSpaceDN/>
        <w:spacing w:before="94"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合同当事人是否同意将工程争议提交争议评审小组决定：</w:t>
      </w:r>
      <w:r>
        <w:rPr>
          <w:rFonts w:ascii="宋体" w:hAnsi="宋体" w:eastAsia="宋体" w:cs="宋体"/>
          <w:color w:val="auto"/>
          <w:spacing w:val="7"/>
          <w:sz w:val="20"/>
          <w:szCs w:val="20"/>
          <w:highlight w:val="none"/>
          <w:u w:val="single" w:color="auto"/>
        </w:rPr>
        <w:t xml:space="preserve"> </w:t>
      </w:r>
      <w:r>
        <w:rPr>
          <w:rFonts w:hint="eastAsia" w:ascii="宋体" w:hAnsi="宋体" w:eastAsia="宋体" w:cs="宋体"/>
          <w:color w:val="auto"/>
          <w:spacing w:val="7"/>
          <w:sz w:val="20"/>
          <w:szCs w:val="20"/>
          <w:highlight w:val="none"/>
          <w:u w:val="single" w:color="auto"/>
        </w:rPr>
        <w:t>无</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w:t>
      </w:r>
    </w:p>
    <w:p w14:paraId="495FF50C">
      <w:pPr>
        <w:autoSpaceDE/>
        <w:autoSpaceDN/>
        <w:spacing w:before="93" w:line="360" w:lineRule="auto"/>
        <w:ind w:left="0" w:firstLine="428" w:firstLineChars="200"/>
        <w:outlineLvl w:val="0"/>
        <w:rPr>
          <w:rFonts w:ascii="宋体" w:hAnsi="宋体" w:eastAsia="宋体" w:cs="宋体"/>
          <w:color w:val="auto"/>
          <w:sz w:val="20"/>
          <w:szCs w:val="20"/>
          <w:highlight w:val="none"/>
        </w:rPr>
      </w:pPr>
      <w:bookmarkStart w:id="435" w:name="_Toc27582"/>
      <w:bookmarkStart w:id="436" w:name="_Toc30399"/>
      <w:bookmarkStart w:id="437" w:name="_Toc30753"/>
      <w:r>
        <w:rPr>
          <w:rFonts w:ascii="宋体" w:hAnsi="宋体" w:eastAsia="宋体" w:cs="宋体"/>
          <w:color w:val="auto"/>
          <w:spacing w:val="7"/>
          <w:sz w:val="20"/>
          <w:szCs w:val="20"/>
          <w:highlight w:val="none"/>
        </w:rPr>
        <w:t>20.3.1 争议评审小组的确定</w:t>
      </w:r>
      <w:bookmarkEnd w:id="435"/>
      <w:bookmarkEnd w:id="436"/>
      <w:bookmarkEnd w:id="437"/>
    </w:p>
    <w:p w14:paraId="3F35B14E">
      <w:pPr>
        <w:autoSpaceDE/>
        <w:autoSpaceDN/>
        <w:spacing w:before="93" w:line="360" w:lineRule="auto"/>
        <w:ind w:left="0" w:right="2511" w:firstLine="424" w:firstLineChars="200"/>
        <w:jc w:val="both"/>
        <w:rPr>
          <w:rFonts w:ascii="宋体" w:hAnsi="宋体" w:eastAsia="宋体" w:cs="宋体"/>
          <w:color w:val="auto"/>
          <w:spacing w:val="16"/>
          <w:sz w:val="20"/>
          <w:szCs w:val="20"/>
          <w:highlight w:val="none"/>
        </w:rPr>
      </w:pPr>
      <w:r>
        <w:rPr>
          <w:rFonts w:ascii="宋体" w:hAnsi="宋体" w:eastAsia="宋体" w:cs="宋体"/>
          <w:color w:val="auto"/>
          <w:spacing w:val="6"/>
          <w:sz w:val="20"/>
          <w:szCs w:val="20"/>
          <w:highlight w:val="none"/>
        </w:rPr>
        <w:t>争议评审小组成员的确定：</w:t>
      </w:r>
      <w:r>
        <w:rPr>
          <w:rFonts w:ascii="宋体" w:hAnsi="宋体" w:eastAsia="宋体" w:cs="宋体"/>
          <w:color w:val="auto"/>
          <w:spacing w:val="1"/>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按本合同通用条款相关规定执行</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16"/>
          <w:sz w:val="20"/>
          <w:szCs w:val="20"/>
          <w:highlight w:val="none"/>
        </w:rPr>
        <w:t xml:space="preserve"> </w:t>
      </w:r>
    </w:p>
    <w:p w14:paraId="5A01A908">
      <w:pPr>
        <w:autoSpaceDE/>
        <w:autoSpaceDN/>
        <w:spacing w:before="93" w:line="360" w:lineRule="auto"/>
        <w:ind w:left="0" w:right="2511" w:firstLine="424" w:firstLineChars="200"/>
        <w:jc w:val="both"/>
        <w:rPr>
          <w:rFonts w:ascii="宋体" w:hAnsi="宋体" w:eastAsia="宋体" w:cs="宋体"/>
          <w:color w:val="auto"/>
          <w:spacing w:val="1"/>
          <w:sz w:val="20"/>
          <w:szCs w:val="20"/>
          <w:highlight w:val="none"/>
        </w:rPr>
      </w:pPr>
      <w:r>
        <w:rPr>
          <w:rFonts w:ascii="宋体" w:hAnsi="宋体" w:eastAsia="宋体" w:cs="宋体"/>
          <w:color w:val="auto"/>
          <w:spacing w:val="6"/>
          <w:sz w:val="20"/>
          <w:szCs w:val="20"/>
          <w:highlight w:val="none"/>
        </w:rPr>
        <w:t>选定争议评审员的期限：</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1"/>
          <w:sz w:val="20"/>
          <w:szCs w:val="20"/>
          <w:highlight w:val="none"/>
          <w:u w:val="single" w:color="auto"/>
        </w:rPr>
        <w:t>按本合同通用条款相关规定执行</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1"/>
          <w:sz w:val="20"/>
          <w:szCs w:val="20"/>
          <w:highlight w:val="none"/>
        </w:rPr>
        <w:t xml:space="preserve"> </w:t>
      </w:r>
    </w:p>
    <w:p w14:paraId="464CB72D">
      <w:pPr>
        <w:autoSpaceDE/>
        <w:autoSpaceDN/>
        <w:spacing w:before="93" w:line="360" w:lineRule="auto"/>
        <w:ind w:left="0" w:right="2511" w:firstLine="424" w:firstLineChars="200"/>
        <w:jc w:val="both"/>
        <w:rPr>
          <w:rFonts w:ascii="宋体" w:hAnsi="宋体" w:eastAsia="宋体" w:cs="宋体"/>
          <w:color w:val="auto"/>
          <w:spacing w:val="1"/>
          <w:sz w:val="20"/>
          <w:szCs w:val="20"/>
          <w:highlight w:val="none"/>
        </w:rPr>
      </w:pPr>
      <w:r>
        <w:rPr>
          <w:rFonts w:ascii="宋体" w:hAnsi="宋体" w:eastAsia="宋体" w:cs="宋体"/>
          <w:color w:val="auto"/>
          <w:spacing w:val="6"/>
          <w:sz w:val="20"/>
          <w:szCs w:val="20"/>
          <w:highlight w:val="none"/>
        </w:rPr>
        <w:t>争议评审小组成员的报酬承担方式：</w:t>
      </w:r>
      <w:r>
        <w:rPr>
          <w:rFonts w:hint="eastAsia" w:ascii="宋体" w:hAnsi="宋体" w:eastAsia="宋体" w:cs="宋体"/>
          <w:color w:val="auto"/>
          <w:spacing w:val="1"/>
          <w:sz w:val="20"/>
          <w:szCs w:val="20"/>
          <w:highlight w:val="none"/>
          <w:u w:val="single" w:color="auto"/>
        </w:rPr>
        <w:t>按本合同通用条款相关规定执行</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1"/>
          <w:sz w:val="20"/>
          <w:szCs w:val="20"/>
          <w:highlight w:val="none"/>
        </w:rPr>
        <w:t xml:space="preserve"> </w:t>
      </w:r>
    </w:p>
    <w:p w14:paraId="77F7CBF6">
      <w:pPr>
        <w:autoSpaceDE/>
        <w:autoSpaceDN/>
        <w:spacing w:before="93" w:line="360" w:lineRule="auto"/>
        <w:ind w:left="0" w:right="2511" w:firstLine="420" w:firstLineChars="200"/>
        <w:jc w:val="both"/>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其他事项的约定：</w:t>
      </w:r>
      <w:r>
        <w:rPr>
          <w:rFonts w:ascii="宋体" w:hAnsi="宋体" w:eastAsia="宋体" w:cs="宋体"/>
          <w:color w:val="auto"/>
          <w:spacing w:val="2"/>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无</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5"/>
          <w:sz w:val="20"/>
          <w:szCs w:val="20"/>
          <w:highlight w:val="none"/>
        </w:rPr>
        <w:t>。</w:t>
      </w:r>
    </w:p>
    <w:p w14:paraId="5D3205D0">
      <w:pPr>
        <w:autoSpaceDE/>
        <w:autoSpaceDN/>
        <w:spacing w:before="32" w:line="360" w:lineRule="auto"/>
        <w:ind w:left="0"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20.3.2 争议评审小组的决定</w:t>
      </w:r>
    </w:p>
    <w:p w14:paraId="352585BB">
      <w:pPr>
        <w:autoSpaceDE/>
        <w:autoSpaceDN/>
        <w:spacing w:before="94" w:line="360" w:lineRule="auto"/>
        <w:ind w:left="0"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合同当事人关于本项的约定：</w:t>
      </w:r>
      <w:r>
        <w:rPr>
          <w:rFonts w:ascii="宋体" w:hAnsi="宋体" w:eastAsia="宋体" w:cs="宋体"/>
          <w:color w:val="auto"/>
          <w:spacing w:val="6"/>
          <w:sz w:val="20"/>
          <w:szCs w:val="20"/>
          <w:highlight w:val="none"/>
          <w:u w:val="single" w:color="auto"/>
        </w:rPr>
        <w:t xml:space="preserve">  </w:t>
      </w:r>
      <w:r>
        <w:rPr>
          <w:rFonts w:hint="eastAsia" w:ascii="宋体" w:hAnsi="宋体" w:eastAsia="宋体" w:cs="宋体"/>
          <w:color w:val="auto"/>
          <w:spacing w:val="2"/>
          <w:sz w:val="20"/>
          <w:szCs w:val="20"/>
          <w:highlight w:val="none"/>
          <w:u w:val="single" w:color="auto"/>
        </w:rPr>
        <w:t>无</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w:t>
      </w:r>
    </w:p>
    <w:p w14:paraId="12B29F1A">
      <w:pPr>
        <w:autoSpaceDE/>
        <w:autoSpaceDN/>
        <w:spacing w:before="94" w:line="360" w:lineRule="auto"/>
        <w:ind w:left="0" w:firstLine="418" w:firstLineChars="200"/>
        <w:outlineLvl w:val="1"/>
        <w:rPr>
          <w:rFonts w:ascii="宋体" w:hAnsi="宋体" w:eastAsia="宋体" w:cs="宋体"/>
          <w:color w:val="auto"/>
          <w:sz w:val="20"/>
          <w:szCs w:val="20"/>
          <w:highlight w:val="none"/>
        </w:rPr>
      </w:pPr>
      <w:bookmarkStart w:id="438" w:name="_Toc18110"/>
      <w:bookmarkStart w:id="439" w:name="_Toc28636"/>
      <w:bookmarkStart w:id="440" w:name="_Toc25342"/>
      <w:r>
        <w:rPr>
          <w:rFonts w:ascii="宋体" w:hAnsi="宋体" w:eastAsia="宋体" w:cs="宋体"/>
          <w:b/>
          <w:bCs/>
          <w:color w:val="auto"/>
          <w:spacing w:val="4"/>
          <w:sz w:val="20"/>
          <w:szCs w:val="20"/>
          <w:highlight w:val="none"/>
        </w:rPr>
        <w:t>20.4</w:t>
      </w:r>
      <w:r>
        <w:rPr>
          <w:rFonts w:ascii="宋体" w:hAnsi="宋体" w:eastAsia="宋体" w:cs="宋体"/>
          <w:color w:val="auto"/>
          <w:spacing w:val="4"/>
          <w:sz w:val="20"/>
          <w:szCs w:val="20"/>
          <w:highlight w:val="none"/>
        </w:rPr>
        <w:t xml:space="preserve"> </w:t>
      </w:r>
      <w:r>
        <w:rPr>
          <w:rFonts w:ascii="宋体" w:hAnsi="宋体" w:eastAsia="宋体" w:cs="宋体"/>
          <w:b/>
          <w:bCs/>
          <w:color w:val="auto"/>
          <w:spacing w:val="4"/>
          <w:sz w:val="20"/>
          <w:szCs w:val="20"/>
          <w:highlight w:val="none"/>
        </w:rPr>
        <w:t>仲裁或诉讼</w:t>
      </w:r>
      <w:bookmarkEnd w:id="438"/>
      <w:bookmarkEnd w:id="439"/>
      <w:bookmarkEnd w:id="440"/>
    </w:p>
    <w:p w14:paraId="4ABE3B59">
      <w:pPr>
        <w:autoSpaceDE/>
        <w:autoSpaceDN/>
        <w:spacing w:before="94" w:line="360" w:lineRule="auto"/>
        <w:ind w:left="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因合同及合同有关事项发生的争议，按下列第</w:t>
      </w:r>
      <w:r>
        <w:rPr>
          <w:rFonts w:ascii="宋体" w:hAnsi="宋体" w:eastAsia="宋体" w:cs="宋体"/>
          <w:color w:val="auto"/>
          <w:spacing w:val="-94"/>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hint="eastAsia" w:ascii="宋体" w:hAnsi="宋体" w:eastAsia="宋体" w:cs="宋体"/>
          <w:color w:val="auto"/>
          <w:spacing w:val="4"/>
          <w:sz w:val="20"/>
          <w:szCs w:val="20"/>
          <w:highlight w:val="none"/>
          <w:u w:val="single" w:color="auto"/>
          <w:lang w:eastAsia="zh-CN"/>
        </w:rPr>
        <w:t>（</w:t>
      </w:r>
      <w:r>
        <w:rPr>
          <w:rFonts w:hint="eastAsia" w:ascii="宋体" w:hAnsi="宋体" w:eastAsia="宋体" w:cs="宋体"/>
          <w:color w:val="auto"/>
          <w:spacing w:val="4"/>
          <w:sz w:val="20"/>
          <w:szCs w:val="20"/>
          <w:highlight w:val="none"/>
          <w:u w:val="single" w:color="auto"/>
          <w:lang w:val="en-US" w:eastAsia="zh-CN"/>
        </w:rPr>
        <w:t>1</w:t>
      </w:r>
      <w:r>
        <w:rPr>
          <w:rFonts w:hint="eastAsia" w:ascii="宋体" w:hAnsi="宋体" w:eastAsia="宋体" w:cs="宋体"/>
          <w:color w:val="auto"/>
          <w:spacing w:val="4"/>
          <w:sz w:val="20"/>
          <w:szCs w:val="20"/>
          <w:highlight w:val="none"/>
          <w:u w:val="single" w:color="auto"/>
          <w:lang w:eastAsia="zh-CN"/>
        </w:rPr>
        <w:t>）</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8"/>
          <w:sz w:val="20"/>
          <w:szCs w:val="20"/>
          <w:highlight w:val="none"/>
        </w:rPr>
        <w:t>种方式解决：</w:t>
      </w:r>
    </w:p>
    <w:p w14:paraId="465E46B6">
      <w:pPr>
        <w:autoSpaceDE/>
        <w:autoSpaceDN/>
        <w:spacing w:before="92" w:line="360" w:lineRule="auto"/>
        <w:ind w:left="0" w:right="60" w:firstLine="432" w:firstLineChars="20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（1）提请</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color w:val="auto"/>
          <w:spacing w:val="8"/>
          <w:sz w:val="20"/>
          <w:szCs w:val="20"/>
          <w:highlight w:val="none"/>
          <w:u w:val="single" w:color="auto"/>
          <w:lang w:val="en-US" w:eastAsia="zh-CN"/>
        </w:rPr>
        <w:t xml:space="preserve">崇左 </w:t>
      </w:r>
      <w:r>
        <w:rPr>
          <w:rFonts w:ascii="宋体" w:hAnsi="宋体" w:eastAsia="宋体" w:cs="宋体"/>
          <w:color w:val="auto"/>
          <w:spacing w:val="8"/>
          <w:sz w:val="20"/>
          <w:szCs w:val="20"/>
          <w:highlight w:val="none"/>
        </w:rPr>
        <w:t>仲裁委员会按照该会仲裁规则进行仲裁，仲裁裁决是终局的，对合同双</w:t>
      </w:r>
      <w:r>
        <w:rPr>
          <w:rFonts w:ascii="宋体" w:hAnsi="宋体" w:eastAsia="宋体" w:cs="宋体"/>
          <w:color w:val="auto"/>
          <w:spacing w:val="6"/>
          <w:sz w:val="20"/>
          <w:szCs w:val="20"/>
          <w:highlight w:val="none"/>
        </w:rPr>
        <w:t>方均有约束力。</w:t>
      </w:r>
    </w:p>
    <w:p w14:paraId="38F0125C">
      <w:pPr>
        <w:autoSpaceDE/>
        <w:autoSpaceDN/>
        <w:spacing w:before="93" w:line="360" w:lineRule="auto"/>
        <w:ind w:left="0"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（2）向</w:t>
      </w:r>
      <w:r>
        <w:rPr>
          <w:rFonts w:ascii="宋体" w:hAnsi="宋体" w:eastAsia="宋体" w:cs="宋体"/>
          <w:color w:val="auto"/>
          <w:spacing w:val="-92"/>
          <w:sz w:val="20"/>
          <w:szCs w:val="20"/>
          <w:highlight w:val="none"/>
        </w:rPr>
        <w:t xml:space="preserve"> </w:t>
      </w:r>
      <w:r>
        <w:rPr>
          <w:rFonts w:ascii="宋体" w:hAnsi="宋体" w:eastAsia="宋体" w:cs="宋体"/>
          <w:color w:val="auto"/>
          <w:sz w:val="20"/>
          <w:szCs w:val="20"/>
          <w:highlight w:val="none"/>
          <w:u w:val="single" w:color="auto"/>
        </w:rPr>
        <w:t xml:space="preserve">  </w:t>
      </w:r>
      <w:r>
        <w:rPr>
          <w:rFonts w:hint="eastAsia" w:ascii="宋体" w:hAnsi="宋体" w:eastAsia="宋体" w:cs="宋体"/>
          <w:color w:val="auto"/>
          <w:sz w:val="20"/>
          <w:szCs w:val="20"/>
          <w:highlight w:val="none"/>
          <w:u w:val="single" w:color="auto"/>
          <w:lang w:val="en-US" w:eastAsia="zh-CN"/>
        </w:rPr>
        <w:t xml:space="preserve">甲方所在地  </w:t>
      </w:r>
      <w:r>
        <w:rPr>
          <w:rFonts w:ascii="宋体" w:hAnsi="宋体" w:eastAsia="宋体" w:cs="宋体"/>
          <w:color w:val="auto"/>
          <w:spacing w:val="5"/>
          <w:sz w:val="20"/>
          <w:szCs w:val="20"/>
          <w:highlight w:val="none"/>
        </w:rPr>
        <w:t>人民法院起诉。</w:t>
      </w:r>
    </w:p>
    <w:p w14:paraId="074D6D8C">
      <w:pPr>
        <w:autoSpaceDE/>
        <w:autoSpaceDN/>
        <w:spacing w:before="153" w:line="360" w:lineRule="auto"/>
        <w:ind w:left="0" w:firstLine="414" w:firstLineChars="200"/>
        <w:outlineLvl w:val="1"/>
        <w:rPr>
          <w:rFonts w:ascii="宋体" w:hAnsi="宋体" w:eastAsia="宋体" w:cs="宋体"/>
          <w:color w:val="auto"/>
          <w:sz w:val="20"/>
          <w:szCs w:val="20"/>
          <w:highlight w:val="none"/>
        </w:rPr>
      </w:pPr>
      <w:bookmarkStart w:id="441" w:name="_Toc11028"/>
      <w:bookmarkStart w:id="442" w:name="_Toc13881"/>
      <w:bookmarkStart w:id="443" w:name="_Toc23752"/>
      <w:r>
        <w:rPr>
          <w:rFonts w:ascii="宋体" w:hAnsi="宋体" w:eastAsia="宋体" w:cs="宋体"/>
          <w:b/>
          <w:bCs/>
          <w:color w:val="auto"/>
          <w:spacing w:val="3"/>
          <w:sz w:val="20"/>
          <w:szCs w:val="20"/>
          <w:highlight w:val="none"/>
        </w:rPr>
        <w:t>21.</w:t>
      </w:r>
      <w:r>
        <w:rPr>
          <w:rFonts w:ascii="宋体" w:hAnsi="宋体" w:eastAsia="宋体" w:cs="宋体"/>
          <w:color w:val="auto"/>
          <w:spacing w:val="17"/>
          <w:sz w:val="20"/>
          <w:szCs w:val="20"/>
          <w:highlight w:val="none"/>
        </w:rPr>
        <w:t xml:space="preserve"> </w:t>
      </w:r>
      <w:r>
        <w:rPr>
          <w:rFonts w:ascii="宋体" w:hAnsi="宋体" w:eastAsia="宋体" w:cs="宋体"/>
          <w:b/>
          <w:bCs/>
          <w:color w:val="auto"/>
          <w:spacing w:val="3"/>
          <w:sz w:val="20"/>
          <w:szCs w:val="20"/>
          <w:highlight w:val="none"/>
        </w:rPr>
        <w:t>补充条款</w:t>
      </w:r>
      <w:bookmarkEnd w:id="441"/>
      <w:bookmarkEnd w:id="442"/>
      <w:bookmarkEnd w:id="443"/>
    </w:p>
    <w:p w14:paraId="5C5261F5">
      <w:pPr>
        <w:autoSpaceDE/>
        <w:autoSpaceDN/>
        <w:spacing w:before="154" w:line="360" w:lineRule="auto"/>
        <w:ind w:left="0" w:firstLine="436" w:firstLineChars="20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21.1 凡进入本工程工作的妇女应持有计生证、否则不准安</w:t>
      </w:r>
      <w:r>
        <w:rPr>
          <w:rFonts w:ascii="宋体" w:hAnsi="宋体" w:eastAsia="宋体" w:cs="宋体"/>
          <w:color w:val="auto"/>
          <w:spacing w:val="8"/>
          <w:sz w:val="20"/>
          <w:szCs w:val="20"/>
          <w:highlight w:val="none"/>
        </w:rPr>
        <w:t>排工作，禁止使用童工。</w:t>
      </w:r>
    </w:p>
    <w:p w14:paraId="59D58C55">
      <w:pPr>
        <w:autoSpaceDE/>
        <w:autoSpaceDN/>
        <w:spacing w:before="65" w:line="360" w:lineRule="auto"/>
        <w:ind w:left="0" w:firstLine="382" w:firstLineChars="200"/>
        <w:rPr>
          <w:rFonts w:ascii="宋体" w:hAnsi="宋体" w:eastAsia="宋体" w:cs="宋体"/>
          <w:b/>
          <w:bCs/>
          <w:color w:val="auto"/>
          <w:spacing w:val="-5"/>
          <w:sz w:val="20"/>
          <w:szCs w:val="20"/>
          <w:highlight w:val="none"/>
        </w:rPr>
      </w:pPr>
    </w:p>
    <w:p w14:paraId="3834CFD5">
      <w:pPr>
        <w:spacing w:before="65" w:line="227" w:lineRule="auto"/>
        <w:ind w:left="0" w:firstLine="382" w:firstLineChars="200"/>
        <w:rPr>
          <w:rFonts w:ascii="宋体" w:hAnsi="宋体" w:eastAsia="宋体" w:cs="宋体"/>
          <w:b/>
          <w:bCs/>
          <w:color w:val="auto"/>
          <w:spacing w:val="-5"/>
          <w:sz w:val="20"/>
          <w:szCs w:val="20"/>
          <w:highlight w:val="none"/>
        </w:rPr>
      </w:pPr>
    </w:p>
    <w:p w14:paraId="7C28C89A">
      <w:pPr>
        <w:spacing w:before="65" w:line="227" w:lineRule="auto"/>
        <w:ind w:left="0" w:firstLine="382" w:firstLineChars="200"/>
        <w:rPr>
          <w:rFonts w:ascii="宋体" w:hAnsi="宋体" w:eastAsia="宋体" w:cs="宋体"/>
          <w:b/>
          <w:bCs/>
          <w:color w:val="auto"/>
          <w:spacing w:val="-5"/>
          <w:sz w:val="20"/>
          <w:szCs w:val="20"/>
          <w:highlight w:val="none"/>
        </w:rPr>
      </w:pPr>
    </w:p>
    <w:p w14:paraId="77E1E661">
      <w:pPr>
        <w:spacing w:before="0" w:line="240" w:lineRule="auto"/>
        <w:ind w:left="0" w:firstLine="0" w:firstLineChars="0"/>
        <w:rPr>
          <w:rFonts w:ascii="宋体" w:hAnsi="宋体" w:eastAsia="宋体" w:cs="宋体"/>
          <w:b/>
          <w:bCs/>
          <w:color w:val="auto"/>
          <w:spacing w:val="-5"/>
          <w:sz w:val="20"/>
          <w:szCs w:val="20"/>
          <w:highlight w:val="none"/>
        </w:rPr>
      </w:pPr>
      <w:r>
        <w:rPr>
          <w:rFonts w:ascii="宋体" w:hAnsi="宋体" w:eastAsia="宋体" w:cs="宋体"/>
          <w:b/>
          <w:bCs/>
          <w:color w:val="auto"/>
          <w:spacing w:val="-5"/>
          <w:sz w:val="20"/>
          <w:szCs w:val="20"/>
          <w:highlight w:val="none"/>
        </w:rPr>
        <w:br w:type="page"/>
      </w:r>
    </w:p>
    <w:p w14:paraId="6ED533ED">
      <w:pPr>
        <w:spacing w:before="65" w:line="227" w:lineRule="auto"/>
        <w:ind w:left="0" w:firstLine="382" w:firstLineChars="200"/>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附件</w:t>
      </w:r>
    </w:p>
    <w:p w14:paraId="60597E87">
      <w:pPr>
        <w:spacing w:before="94" w:line="227" w:lineRule="auto"/>
        <w:ind w:left="36"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附件</w:t>
      </w:r>
      <w:r>
        <w:rPr>
          <w:rFonts w:ascii="宋体" w:hAnsi="宋体" w:eastAsia="宋体" w:cs="宋体"/>
          <w:color w:val="auto"/>
          <w:spacing w:val="-17"/>
          <w:sz w:val="20"/>
          <w:szCs w:val="20"/>
          <w:highlight w:val="none"/>
        </w:rPr>
        <w:t xml:space="preserve"> </w:t>
      </w:r>
      <w:r>
        <w:rPr>
          <w:rFonts w:ascii="宋体" w:hAnsi="宋体" w:eastAsia="宋体" w:cs="宋体"/>
          <w:color w:val="auto"/>
          <w:spacing w:val="6"/>
          <w:sz w:val="20"/>
          <w:szCs w:val="20"/>
          <w:highlight w:val="none"/>
        </w:rPr>
        <w:t>1：承包人承揽工程项目一览表</w:t>
      </w:r>
    </w:p>
    <w:p w14:paraId="5F168E21">
      <w:pPr>
        <w:spacing w:before="94" w:line="227" w:lineRule="auto"/>
        <w:ind w:left="36" w:firstLine="420" w:firstLineChars="200"/>
        <w:rPr>
          <w:rFonts w:ascii="宋体" w:hAnsi="宋体" w:eastAsia="宋体" w:cs="宋体"/>
          <w:color w:val="auto"/>
          <w:spacing w:val="5"/>
          <w:sz w:val="20"/>
          <w:szCs w:val="20"/>
          <w:highlight w:val="none"/>
        </w:rPr>
      </w:pPr>
      <w:r>
        <w:rPr>
          <w:rFonts w:ascii="宋体" w:hAnsi="宋体" w:eastAsia="宋体" w:cs="宋体"/>
          <w:color w:val="auto"/>
          <w:spacing w:val="5"/>
          <w:sz w:val="20"/>
          <w:szCs w:val="20"/>
          <w:highlight w:val="none"/>
        </w:rPr>
        <w:t>附件</w:t>
      </w:r>
      <w:r>
        <w:rPr>
          <w:rFonts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lang w:val="en-US" w:eastAsia="zh-CN"/>
        </w:rPr>
        <w:t>2：</w:t>
      </w:r>
      <w:r>
        <w:rPr>
          <w:rFonts w:hint="eastAsia" w:ascii="宋体" w:hAnsi="宋体" w:eastAsia="宋体" w:cs="宋体"/>
          <w:color w:val="auto"/>
          <w:spacing w:val="5"/>
          <w:sz w:val="20"/>
          <w:szCs w:val="20"/>
          <w:highlight w:val="none"/>
        </w:rPr>
        <w:t>主要建设工程文件目录</w:t>
      </w:r>
    </w:p>
    <w:p w14:paraId="79E0FA57">
      <w:pPr>
        <w:spacing w:before="94" w:line="227" w:lineRule="auto"/>
        <w:ind w:left="36"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附件</w:t>
      </w:r>
      <w:r>
        <w:rPr>
          <w:rFonts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lang w:val="en-US" w:eastAsia="zh-CN"/>
        </w:rPr>
        <w:t>3</w:t>
      </w:r>
      <w:r>
        <w:rPr>
          <w:rFonts w:ascii="宋体" w:hAnsi="宋体" w:eastAsia="宋体" w:cs="宋体"/>
          <w:color w:val="auto"/>
          <w:spacing w:val="5"/>
          <w:sz w:val="20"/>
          <w:szCs w:val="20"/>
          <w:highlight w:val="none"/>
        </w:rPr>
        <w:t>：支付担保格式</w:t>
      </w:r>
    </w:p>
    <w:p w14:paraId="679971F6">
      <w:pPr>
        <w:spacing w:before="92" w:line="227" w:lineRule="auto"/>
        <w:ind w:left="36"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附件</w:t>
      </w:r>
      <w:r>
        <w:rPr>
          <w:rFonts w:ascii="宋体" w:hAnsi="宋体" w:eastAsia="宋体" w:cs="宋体"/>
          <w:color w:val="auto"/>
          <w:spacing w:val="-33"/>
          <w:sz w:val="20"/>
          <w:szCs w:val="20"/>
          <w:highlight w:val="none"/>
        </w:rPr>
        <w:t xml:space="preserve"> </w:t>
      </w:r>
      <w:r>
        <w:rPr>
          <w:rFonts w:hint="eastAsia" w:ascii="宋体" w:hAnsi="宋体" w:eastAsia="宋体" w:cs="宋体"/>
          <w:color w:val="auto"/>
          <w:spacing w:val="7"/>
          <w:sz w:val="20"/>
          <w:szCs w:val="20"/>
          <w:highlight w:val="none"/>
          <w:lang w:val="en-US" w:eastAsia="zh-CN"/>
        </w:rPr>
        <w:t>4</w:t>
      </w:r>
      <w:r>
        <w:rPr>
          <w:rFonts w:ascii="宋体" w:hAnsi="宋体" w:eastAsia="宋体" w:cs="宋体"/>
          <w:color w:val="auto"/>
          <w:spacing w:val="7"/>
          <w:sz w:val="20"/>
          <w:szCs w:val="20"/>
          <w:highlight w:val="none"/>
        </w:rPr>
        <w:t>：承包人主要施工管理人员表</w:t>
      </w:r>
    </w:p>
    <w:p w14:paraId="7D6F0802">
      <w:pPr>
        <w:spacing w:before="95" w:line="227" w:lineRule="auto"/>
        <w:ind w:left="36"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附件</w:t>
      </w:r>
      <w:r>
        <w:rPr>
          <w:rFonts w:ascii="宋体" w:hAnsi="宋体" w:eastAsia="宋体" w:cs="宋体"/>
          <w:color w:val="auto"/>
          <w:spacing w:val="-33"/>
          <w:sz w:val="20"/>
          <w:szCs w:val="20"/>
          <w:highlight w:val="none"/>
        </w:rPr>
        <w:t xml:space="preserve"> </w:t>
      </w:r>
      <w:r>
        <w:rPr>
          <w:rFonts w:hint="eastAsia" w:ascii="宋体" w:hAnsi="宋体" w:eastAsia="宋体" w:cs="宋体"/>
          <w:color w:val="auto"/>
          <w:spacing w:val="7"/>
          <w:sz w:val="20"/>
          <w:szCs w:val="20"/>
          <w:highlight w:val="none"/>
          <w:lang w:val="en-US" w:eastAsia="zh-CN"/>
        </w:rPr>
        <w:t>5</w:t>
      </w:r>
      <w:r>
        <w:rPr>
          <w:rFonts w:ascii="宋体" w:hAnsi="宋体" w:eastAsia="宋体" w:cs="宋体"/>
          <w:color w:val="auto"/>
          <w:spacing w:val="7"/>
          <w:sz w:val="20"/>
          <w:szCs w:val="20"/>
          <w:highlight w:val="none"/>
        </w:rPr>
        <w:t>：分包人主要施工管理人员表</w:t>
      </w:r>
    </w:p>
    <w:p w14:paraId="0F6A071B">
      <w:pPr>
        <w:spacing w:before="95" w:line="227" w:lineRule="auto"/>
        <w:ind w:left="36"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附件</w:t>
      </w:r>
      <w:r>
        <w:rPr>
          <w:rFonts w:ascii="宋体" w:hAnsi="宋体" w:eastAsia="宋体" w:cs="宋体"/>
          <w:color w:val="auto"/>
          <w:spacing w:val="-31"/>
          <w:sz w:val="20"/>
          <w:szCs w:val="20"/>
          <w:highlight w:val="none"/>
        </w:rPr>
        <w:t xml:space="preserve"> </w:t>
      </w:r>
      <w:r>
        <w:rPr>
          <w:rFonts w:hint="eastAsia" w:ascii="宋体" w:hAnsi="宋体" w:eastAsia="宋体" w:cs="宋体"/>
          <w:color w:val="auto"/>
          <w:spacing w:val="5"/>
          <w:sz w:val="20"/>
          <w:szCs w:val="20"/>
          <w:highlight w:val="none"/>
          <w:lang w:val="en-US" w:eastAsia="zh-CN"/>
        </w:rPr>
        <w:t>6</w:t>
      </w:r>
      <w:r>
        <w:rPr>
          <w:rFonts w:ascii="宋体" w:hAnsi="宋体" w:eastAsia="宋体" w:cs="宋体"/>
          <w:color w:val="auto"/>
          <w:spacing w:val="5"/>
          <w:sz w:val="20"/>
          <w:szCs w:val="20"/>
          <w:highlight w:val="none"/>
        </w:rPr>
        <w:t>：履约担保格式</w:t>
      </w:r>
    </w:p>
    <w:p w14:paraId="49693F1B">
      <w:pPr>
        <w:spacing w:before="94" w:line="227" w:lineRule="auto"/>
        <w:ind w:left="36" w:firstLine="428" w:firstLineChars="20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附件</w:t>
      </w:r>
      <w:r>
        <w:rPr>
          <w:rFonts w:ascii="宋体" w:hAnsi="宋体" w:eastAsia="宋体" w:cs="宋体"/>
          <w:color w:val="auto"/>
          <w:spacing w:val="-21"/>
          <w:sz w:val="20"/>
          <w:szCs w:val="20"/>
          <w:highlight w:val="none"/>
        </w:rPr>
        <w:t xml:space="preserve"> </w:t>
      </w:r>
      <w:r>
        <w:rPr>
          <w:rFonts w:hint="eastAsia" w:ascii="宋体" w:hAnsi="宋体" w:eastAsia="宋体" w:cs="宋体"/>
          <w:color w:val="auto"/>
          <w:spacing w:val="7"/>
          <w:sz w:val="20"/>
          <w:szCs w:val="20"/>
          <w:highlight w:val="none"/>
          <w:lang w:val="en-US" w:eastAsia="zh-CN"/>
        </w:rPr>
        <w:t>8</w:t>
      </w:r>
      <w:r>
        <w:rPr>
          <w:rFonts w:ascii="宋体" w:hAnsi="宋体" w:eastAsia="宋体" w:cs="宋体"/>
          <w:color w:val="auto"/>
          <w:spacing w:val="7"/>
          <w:sz w:val="20"/>
          <w:szCs w:val="20"/>
          <w:highlight w:val="none"/>
        </w:rPr>
        <w:t>：承包人用于本工程施工的机械设备表</w:t>
      </w:r>
    </w:p>
    <w:p w14:paraId="05B45FEC">
      <w:pPr>
        <w:spacing w:before="95" w:line="227" w:lineRule="auto"/>
        <w:ind w:left="36" w:firstLine="420" w:firstLineChars="200"/>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附件</w:t>
      </w:r>
      <w:r>
        <w:rPr>
          <w:rFonts w:ascii="宋体" w:hAnsi="宋体" w:eastAsia="宋体" w:cs="宋体"/>
          <w:color w:val="auto"/>
          <w:spacing w:val="-27"/>
          <w:sz w:val="20"/>
          <w:szCs w:val="20"/>
          <w:highlight w:val="none"/>
        </w:rPr>
        <w:t xml:space="preserve"> </w:t>
      </w:r>
      <w:r>
        <w:rPr>
          <w:rFonts w:hint="eastAsia" w:ascii="宋体" w:hAnsi="宋体" w:eastAsia="宋体" w:cs="宋体"/>
          <w:color w:val="auto"/>
          <w:spacing w:val="5"/>
          <w:sz w:val="20"/>
          <w:szCs w:val="20"/>
          <w:highlight w:val="none"/>
          <w:lang w:val="en-US" w:eastAsia="zh-CN"/>
        </w:rPr>
        <w:t>8</w:t>
      </w:r>
      <w:r>
        <w:rPr>
          <w:rFonts w:ascii="宋体" w:hAnsi="宋体" w:eastAsia="宋体" w:cs="宋体"/>
          <w:color w:val="auto"/>
          <w:spacing w:val="5"/>
          <w:sz w:val="20"/>
          <w:szCs w:val="20"/>
          <w:highlight w:val="none"/>
        </w:rPr>
        <w:t>：预付款担保格式</w:t>
      </w:r>
    </w:p>
    <w:p w14:paraId="7681261D">
      <w:pPr>
        <w:spacing w:before="93" w:line="227" w:lineRule="auto"/>
        <w:ind w:left="36" w:firstLine="424" w:firstLineChars="20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附件</w:t>
      </w:r>
      <w:r>
        <w:rPr>
          <w:rFonts w:ascii="宋体" w:hAnsi="宋体" w:eastAsia="宋体" w:cs="宋体"/>
          <w:color w:val="auto"/>
          <w:spacing w:val="-38"/>
          <w:sz w:val="20"/>
          <w:szCs w:val="20"/>
          <w:highlight w:val="none"/>
        </w:rPr>
        <w:t xml:space="preserve"> </w:t>
      </w:r>
      <w:r>
        <w:rPr>
          <w:rFonts w:hint="eastAsia" w:ascii="宋体" w:hAnsi="宋体" w:eastAsia="宋体" w:cs="宋体"/>
          <w:color w:val="auto"/>
          <w:spacing w:val="6"/>
          <w:sz w:val="20"/>
          <w:szCs w:val="20"/>
          <w:highlight w:val="none"/>
          <w:lang w:val="en-US" w:eastAsia="zh-CN"/>
        </w:rPr>
        <w:t>9</w:t>
      </w:r>
      <w:r>
        <w:rPr>
          <w:rFonts w:ascii="宋体" w:hAnsi="宋体" w:eastAsia="宋体" w:cs="宋体"/>
          <w:color w:val="auto"/>
          <w:spacing w:val="6"/>
          <w:sz w:val="20"/>
          <w:szCs w:val="20"/>
          <w:highlight w:val="none"/>
        </w:rPr>
        <w:t>：工程质量保修书</w:t>
      </w:r>
    </w:p>
    <w:p w14:paraId="02F3FBA9">
      <w:pPr>
        <w:spacing w:before="93" w:line="227" w:lineRule="auto"/>
        <w:ind w:left="36" w:firstLine="424" w:firstLineChars="200"/>
        <w:rPr>
          <w:rFonts w:ascii="宋体" w:hAnsi="宋体" w:eastAsia="宋体" w:cs="宋体"/>
          <w:color w:val="auto"/>
          <w:spacing w:val="6"/>
          <w:sz w:val="20"/>
          <w:szCs w:val="20"/>
          <w:highlight w:val="none"/>
        </w:rPr>
      </w:pPr>
      <w:r>
        <w:rPr>
          <w:rFonts w:hint="default" w:ascii="宋体" w:hAnsi="宋体" w:eastAsia="宋体" w:cs="宋体"/>
          <w:color w:val="auto"/>
          <w:spacing w:val="6"/>
          <w:sz w:val="20"/>
          <w:szCs w:val="20"/>
          <w:highlight w:val="none"/>
        </w:rPr>
        <w:t>附件</w:t>
      </w:r>
      <w:r>
        <w:rPr>
          <w:rFonts w:hint="eastAsia" w:ascii="宋体" w:hAnsi="宋体" w:eastAsia="宋体" w:cs="宋体"/>
          <w:color w:val="auto"/>
          <w:spacing w:val="6"/>
          <w:sz w:val="20"/>
          <w:szCs w:val="20"/>
          <w:highlight w:val="none"/>
          <w:lang w:val="en-US" w:eastAsia="zh-CN"/>
        </w:rPr>
        <w:t xml:space="preserve"> </w:t>
      </w:r>
      <w:r>
        <w:rPr>
          <w:rFonts w:hint="eastAsia" w:ascii="宋体" w:hAnsi="宋体" w:eastAsia="宋体" w:cs="宋体"/>
          <w:color w:val="auto"/>
          <w:spacing w:val="6"/>
          <w:sz w:val="20"/>
          <w:szCs w:val="20"/>
          <w:highlight w:val="none"/>
          <w:lang w:eastAsia="zh-CN"/>
        </w:rPr>
        <w:t>1</w:t>
      </w:r>
      <w:r>
        <w:rPr>
          <w:rFonts w:hint="eastAsia" w:ascii="宋体" w:hAnsi="宋体" w:eastAsia="宋体" w:cs="宋体"/>
          <w:color w:val="auto"/>
          <w:spacing w:val="6"/>
          <w:sz w:val="20"/>
          <w:szCs w:val="20"/>
          <w:highlight w:val="none"/>
          <w:lang w:val="en-US" w:eastAsia="zh-CN"/>
        </w:rPr>
        <w:t>0</w:t>
      </w:r>
      <w:r>
        <w:rPr>
          <w:rFonts w:hint="default" w:ascii="宋体" w:hAnsi="宋体" w:eastAsia="宋体" w:cs="宋体"/>
          <w:color w:val="auto"/>
          <w:spacing w:val="6"/>
          <w:sz w:val="20"/>
          <w:szCs w:val="20"/>
          <w:highlight w:val="none"/>
        </w:rPr>
        <w:t>：预付款支付申请（核准）表</w:t>
      </w:r>
    </w:p>
    <w:p w14:paraId="1AE7404C">
      <w:pPr>
        <w:spacing w:line="227" w:lineRule="auto"/>
        <w:ind w:firstLine="400" w:firstLineChars="200"/>
        <w:rPr>
          <w:rFonts w:ascii="宋体" w:hAnsi="宋体" w:eastAsia="宋体" w:cs="宋体"/>
          <w:color w:val="auto"/>
          <w:sz w:val="20"/>
          <w:szCs w:val="20"/>
          <w:highlight w:val="none"/>
        </w:rPr>
      </w:pPr>
    </w:p>
    <w:p w14:paraId="7925541C">
      <w:pPr>
        <w:spacing w:line="227" w:lineRule="auto"/>
        <w:ind w:firstLine="400" w:firstLineChars="200"/>
        <w:rPr>
          <w:rFonts w:ascii="宋体" w:hAnsi="宋体" w:eastAsia="宋体" w:cs="宋体"/>
          <w:color w:val="auto"/>
          <w:sz w:val="20"/>
          <w:szCs w:val="20"/>
          <w:highlight w:val="none"/>
        </w:rPr>
      </w:pPr>
    </w:p>
    <w:p w14:paraId="19EF162E">
      <w:pPr>
        <w:spacing w:line="227" w:lineRule="auto"/>
        <w:ind w:firstLine="400" w:firstLineChars="200"/>
        <w:rPr>
          <w:rFonts w:ascii="宋体" w:hAnsi="宋体" w:eastAsia="宋体" w:cs="宋体"/>
          <w:color w:val="auto"/>
          <w:sz w:val="20"/>
          <w:szCs w:val="20"/>
          <w:highlight w:val="none"/>
        </w:rPr>
      </w:pPr>
    </w:p>
    <w:p w14:paraId="030D27FC">
      <w:pPr>
        <w:pStyle w:val="2"/>
        <w:spacing w:line="254" w:lineRule="auto"/>
        <w:ind w:firstLine="420" w:firstLineChars="200"/>
        <w:rPr>
          <w:color w:val="auto"/>
          <w:highlight w:val="none"/>
        </w:rPr>
      </w:pPr>
    </w:p>
    <w:p w14:paraId="697733E0">
      <w:pPr>
        <w:pStyle w:val="2"/>
        <w:spacing w:line="255" w:lineRule="auto"/>
        <w:ind w:firstLine="420" w:firstLineChars="200"/>
        <w:rPr>
          <w:color w:val="auto"/>
          <w:highlight w:val="none"/>
        </w:rPr>
      </w:pPr>
    </w:p>
    <w:p w14:paraId="779643AF">
      <w:pPr>
        <w:spacing w:before="0" w:line="240" w:lineRule="auto"/>
        <w:ind w:left="0" w:firstLine="372" w:firstLineChars="200"/>
        <w:rPr>
          <w:rFonts w:ascii="宋体" w:hAnsi="宋体" w:eastAsia="宋体" w:cs="宋体"/>
          <w:color w:val="auto"/>
          <w:spacing w:val="-7"/>
          <w:sz w:val="20"/>
          <w:szCs w:val="20"/>
          <w:highlight w:val="none"/>
        </w:rPr>
      </w:pPr>
      <w:r>
        <w:rPr>
          <w:rFonts w:ascii="宋体" w:hAnsi="宋体" w:eastAsia="宋体" w:cs="宋体"/>
          <w:color w:val="auto"/>
          <w:spacing w:val="-7"/>
          <w:sz w:val="20"/>
          <w:szCs w:val="20"/>
          <w:highlight w:val="none"/>
        </w:rPr>
        <w:br w:type="page"/>
      </w:r>
    </w:p>
    <w:p w14:paraId="3715E8B0">
      <w:pPr>
        <w:spacing w:before="65" w:line="227" w:lineRule="auto"/>
        <w:ind w:left="13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附件</w:t>
      </w:r>
      <w:r>
        <w:rPr>
          <w:rFonts w:ascii="宋体" w:hAnsi="宋体" w:eastAsia="宋体" w:cs="宋体"/>
          <w:color w:val="auto"/>
          <w:spacing w:val="-23"/>
          <w:sz w:val="20"/>
          <w:szCs w:val="20"/>
          <w:highlight w:val="none"/>
        </w:rPr>
        <w:t xml:space="preserve"> </w:t>
      </w:r>
      <w:r>
        <w:rPr>
          <w:rFonts w:ascii="宋体" w:hAnsi="宋体" w:eastAsia="宋体" w:cs="宋体"/>
          <w:color w:val="auto"/>
          <w:spacing w:val="-7"/>
          <w:sz w:val="20"/>
          <w:szCs w:val="20"/>
          <w:highlight w:val="none"/>
        </w:rPr>
        <w:t>1：</w:t>
      </w:r>
    </w:p>
    <w:p w14:paraId="4766BBD4">
      <w:pPr>
        <w:spacing w:before="214" w:line="228" w:lineRule="auto"/>
        <w:ind w:left="0"/>
        <w:jc w:val="center"/>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承包人承揽工程项目一览表</w:t>
      </w:r>
    </w:p>
    <w:p w14:paraId="7D3C6CD7">
      <w:pPr>
        <w:spacing w:line="183" w:lineRule="exact"/>
        <w:jc w:val="center"/>
        <w:rPr>
          <w:color w:val="auto"/>
          <w:highlight w:val="none"/>
        </w:rPr>
      </w:pPr>
    </w:p>
    <w:tbl>
      <w:tblPr>
        <w:tblStyle w:val="14"/>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32"/>
        <w:gridCol w:w="1029"/>
        <w:gridCol w:w="1158"/>
        <w:gridCol w:w="1188"/>
        <w:gridCol w:w="608"/>
        <w:gridCol w:w="1114"/>
        <w:gridCol w:w="1520"/>
        <w:gridCol w:w="1013"/>
        <w:gridCol w:w="608"/>
        <w:gridCol w:w="612"/>
      </w:tblGrid>
      <w:tr w14:paraId="38D79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522" w:type="pct"/>
            <w:vAlign w:val="top"/>
          </w:tcPr>
          <w:p w14:paraId="224A2184">
            <w:pPr>
              <w:pStyle w:val="15"/>
              <w:spacing w:before="36" w:line="297" w:lineRule="auto"/>
              <w:ind w:left="96" w:right="91" w:firstLine="2"/>
              <w:rPr>
                <w:color w:val="auto"/>
                <w:highlight w:val="none"/>
              </w:rPr>
            </w:pPr>
            <w:r>
              <w:rPr>
                <w:color w:val="auto"/>
                <w:spacing w:val="-1"/>
                <w:highlight w:val="none"/>
              </w:rPr>
              <w:t>单</w:t>
            </w:r>
            <w:r>
              <w:rPr>
                <w:color w:val="auto"/>
                <w:spacing w:val="-37"/>
                <w:highlight w:val="none"/>
              </w:rPr>
              <w:t xml:space="preserve"> </w:t>
            </w:r>
            <w:r>
              <w:rPr>
                <w:color w:val="auto"/>
                <w:spacing w:val="-1"/>
                <w:highlight w:val="none"/>
              </w:rPr>
              <w:t>位</w:t>
            </w:r>
            <w:r>
              <w:rPr>
                <w:color w:val="auto"/>
                <w:spacing w:val="-37"/>
                <w:highlight w:val="none"/>
              </w:rPr>
              <w:t xml:space="preserve"> </w:t>
            </w:r>
            <w:r>
              <w:rPr>
                <w:color w:val="auto"/>
                <w:spacing w:val="-1"/>
                <w:highlight w:val="none"/>
              </w:rPr>
              <w:t>工</w:t>
            </w:r>
            <w:r>
              <w:rPr>
                <w:color w:val="auto"/>
                <w:spacing w:val="-40"/>
                <w:highlight w:val="none"/>
              </w:rPr>
              <w:t xml:space="preserve"> </w:t>
            </w:r>
            <w:r>
              <w:rPr>
                <w:color w:val="auto"/>
                <w:spacing w:val="-1"/>
                <w:highlight w:val="none"/>
              </w:rPr>
              <w:t>程</w:t>
            </w:r>
            <w:r>
              <w:rPr>
                <w:color w:val="auto"/>
                <w:spacing w:val="-35"/>
                <w:highlight w:val="none"/>
              </w:rPr>
              <w:t xml:space="preserve"> </w:t>
            </w:r>
            <w:r>
              <w:rPr>
                <w:color w:val="auto"/>
                <w:spacing w:val="-1"/>
                <w:highlight w:val="none"/>
              </w:rPr>
              <w:t>名</w:t>
            </w:r>
            <w:r>
              <w:rPr>
                <w:color w:val="auto"/>
                <w:highlight w:val="none"/>
              </w:rPr>
              <w:t xml:space="preserve"> </w:t>
            </w:r>
            <w:r>
              <w:rPr>
                <w:color w:val="auto"/>
                <w:spacing w:val="1"/>
                <w:highlight w:val="none"/>
              </w:rPr>
              <w:t>称</w:t>
            </w:r>
          </w:p>
        </w:tc>
        <w:tc>
          <w:tcPr>
            <w:tcW w:w="520" w:type="pct"/>
            <w:vAlign w:val="top"/>
          </w:tcPr>
          <w:p w14:paraId="608644CA">
            <w:pPr>
              <w:pStyle w:val="15"/>
              <w:spacing w:before="203" w:line="228" w:lineRule="auto"/>
              <w:ind w:left="96"/>
              <w:rPr>
                <w:color w:val="auto"/>
                <w:highlight w:val="none"/>
              </w:rPr>
            </w:pPr>
            <w:r>
              <w:rPr>
                <w:color w:val="auto"/>
                <w:spacing w:val="6"/>
                <w:highlight w:val="none"/>
              </w:rPr>
              <w:t>建设规模</w:t>
            </w:r>
          </w:p>
        </w:tc>
        <w:tc>
          <w:tcPr>
            <w:tcW w:w="585" w:type="pct"/>
            <w:vAlign w:val="top"/>
          </w:tcPr>
          <w:p w14:paraId="007F941E">
            <w:pPr>
              <w:pStyle w:val="15"/>
              <w:spacing w:before="36" w:line="297" w:lineRule="auto"/>
              <w:ind w:left="94" w:right="89" w:firstLine="2"/>
              <w:rPr>
                <w:color w:val="auto"/>
                <w:highlight w:val="none"/>
              </w:rPr>
            </w:pPr>
            <w:r>
              <w:rPr>
                <w:color w:val="auto"/>
                <w:spacing w:val="18"/>
                <w:highlight w:val="none"/>
              </w:rPr>
              <w:t>建筑面积(平方</w:t>
            </w:r>
            <w:r>
              <w:rPr>
                <w:color w:val="auto"/>
                <w:highlight w:val="none"/>
              </w:rPr>
              <w:t xml:space="preserve"> </w:t>
            </w:r>
            <w:r>
              <w:rPr>
                <w:color w:val="auto"/>
                <w:spacing w:val="3"/>
                <w:highlight w:val="none"/>
              </w:rPr>
              <w:t>米)</w:t>
            </w:r>
          </w:p>
        </w:tc>
        <w:tc>
          <w:tcPr>
            <w:tcW w:w="600" w:type="pct"/>
            <w:vAlign w:val="top"/>
          </w:tcPr>
          <w:p w14:paraId="19BEA258">
            <w:pPr>
              <w:pStyle w:val="15"/>
              <w:spacing w:before="203" w:line="228" w:lineRule="auto"/>
              <w:ind w:left="100"/>
              <w:rPr>
                <w:color w:val="auto"/>
                <w:highlight w:val="none"/>
              </w:rPr>
            </w:pPr>
            <w:r>
              <w:rPr>
                <w:color w:val="auto"/>
                <w:spacing w:val="6"/>
                <w:highlight w:val="none"/>
              </w:rPr>
              <w:t>结构形式</w:t>
            </w:r>
          </w:p>
        </w:tc>
        <w:tc>
          <w:tcPr>
            <w:tcW w:w="307" w:type="pct"/>
            <w:vAlign w:val="top"/>
          </w:tcPr>
          <w:p w14:paraId="3A901148">
            <w:pPr>
              <w:pStyle w:val="15"/>
              <w:spacing w:before="203" w:line="228" w:lineRule="auto"/>
              <w:ind w:left="98"/>
              <w:rPr>
                <w:color w:val="auto"/>
                <w:highlight w:val="none"/>
              </w:rPr>
            </w:pPr>
            <w:r>
              <w:rPr>
                <w:color w:val="auto"/>
                <w:spacing w:val="4"/>
                <w:highlight w:val="none"/>
              </w:rPr>
              <w:t>层数</w:t>
            </w:r>
          </w:p>
        </w:tc>
        <w:tc>
          <w:tcPr>
            <w:tcW w:w="563" w:type="pct"/>
            <w:vAlign w:val="top"/>
          </w:tcPr>
          <w:p w14:paraId="1C85BB3A">
            <w:pPr>
              <w:pStyle w:val="15"/>
              <w:spacing w:before="203" w:line="228" w:lineRule="auto"/>
              <w:ind w:left="100"/>
              <w:rPr>
                <w:color w:val="auto"/>
                <w:highlight w:val="none"/>
              </w:rPr>
            </w:pPr>
            <w:r>
              <w:rPr>
                <w:color w:val="auto"/>
                <w:spacing w:val="6"/>
                <w:highlight w:val="none"/>
              </w:rPr>
              <w:t>生产能力</w:t>
            </w:r>
          </w:p>
        </w:tc>
        <w:tc>
          <w:tcPr>
            <w:tcW w:w="768" w:type="pct"/>
            <w:vAlign w:val="top"/>
          </w:tcPr>
          <w:p w14:paraId="6017C22B">
            <w:pPr>
              <w:pStyle w:val="15"/>
              <w:spacing w:before="203" w:line="228" w:lineRule="auto"/>
              <w:ind w:left="102"/>
              <w:rPr>
                <w:color w:val="auto"/>
                <w:highlight w:val="none"/>
              </w:rPr>
            </w:pPr>
            <w:r>
              <w:rPr>
                <w:color w:val="auto"/>
                <w:spacing w:val="7"/>
                <w:highlight w:val="none"/>
              </w:rPr>
              <w:t>设备安装内容</w:t>
            </w:r>
          </w:p>
        </w:tc>
        <w:tc>
          <w:tcPr>
            <w:tcW w:w="512" w:type="pct"/>
            <w:vAlign w:val="top"/>
          </w:tcPr>
          <w:p w14:paraId="74A568E4">
            <w:pPr>
              <w:pStyle w:val="15"/>
              <w:spacing w:before="36" w:line="297" w:lineRule="auto"/>
              <w:ind w:left="110" w:right="85" w:hanging="9"/>
              <w:rPr>
                <w:color w:val="auto"/>
                <w:highlight w:val="none"/>
              </w:rPr>
            </w:pPr>
            <w:r>
              <w:rPr>
                <w:color w:val="auto"/>
                <w:spacing w:val="-5"/>
                <w:highlight w:val="none"/>
              </w:rPr>
              <w:t>合</w:t>
            </w:r>
            <w:r>
              <w:rPr>
                <w:color w:val="auto"/>
                <w:spacing w:val="60"/>
                <w:highlight w:val="none"/>
              </w:rPr>
              <w:t xml:space="preserve"> </w:t>
            </w:r>
            <w:r>
              <w:rPr>
                <w:color w:val="auto"/>
                <w:spacing w:val="-5"/>
                <w:highlight w:val="none"/>
              </w:rPr>
              <w:t>同</w:t>
            </w:r>
            <w:r>
              <w:rPr>
                <w:color w:val="auto"/>
                <w:spacing w:val="43"/>
                <w:highlight w:val="none"/>
              </w:rPr>
              <w:t xml:space="preserve"> </w:t>
            </w:r>
            <w:r>
              <w:rPr>
                <w:color w:val="auto"/>
                <w:spacing w:val="-5"/>
                <w:highlight w:val="none"/>
              </w:rPr>
              <w:t>价</w:t>
            </w:r>
            <w:r>
              <w:rPr>
                <w:color w:val="auto"/>
                <w:spacing w:val="40"/>
                <w:highlight w:val="none"/>
              </w:rPr>
              <w:t xml:space="preserve"> </w:t>
            </w:r>
            <w:r>
              <w:rPr>
                <w:color w:val="auto"/>
                <w:spacing w:val="-5"/>
                <w:highlight w:val="none"/>
              </w:rPr>
              <w:t>格</w:t>
            </w:r>
            <w:r>
              <w:rPr>
                <w:color w:val="auto"/>
                <w:highlight w:val="none"/>
              </w:rPr>
              <w:t xml:space="preserve"> </w:t>
            </w:r>
            <w:r>
              <w:rPr>
                <w:color w:val="auto"/>
                <w:spacing w:val="-1"/>
                <w:highlight w:val="none"/>
              </w:rPr>
              <w:t>（元）</w:t>
            </w:r>
          </w:p>
        </w:tc>
        <w:tc>
          <w:tcPr>
            <w:tcW w:w="307" w:type="pct"/>
            <w:vAlign w:val="top"/>
          </w:tcPr>
          <w:p w14:paraId="51827D44">
            <w:pPr>
              <w:pStyle w:val="15"/>
              <w:spacing w:before="36" w:line="297" w:lineRule="auto"/>
              <w:ind w:left="101" w:right="86" w:hanging="1"/>
              <w:rPr>
                <w:color w:val="auto"/>
                <w:highlight w:val="none"/>
              </w:rPr>
            </w:pPr>
            <w:r>
              <w:rPr>
                <w:color w:val="auto"/>
                <w:spacing w:val="-2"/>
                <w:highlight w:val="none"/>
              </w:rPr>
              <w:t>开工</w:t>
            </w:r>
            <w:r>
              <w:rPr>
                <w:color w:val="auto"/>
                <w:spacing w:val="-37"/>
                <w:highlight w:val="none"/>
              </w:rPr>
              <w:t xml:space="preserve"> </w:t>
            </w:r>
            <w:r>
              <w:rPr>
                <w:color w:val="auto"/>
                <w:spacing w:val="-2"/>
                <w:highlight w:val="none"/>
              </w:rPr>
              <w:t>日</w:t>
            </w:r>
            <w:r>
              <w:rPr>
                <w:color w:val="auto"/>
                <w:highlight w:val="none"/>
              </w:rPr>
              <w:t xml:space="preserve"> 期</w:t>
            </w:r>
          </w:p>
        </w:tc>
        <w:tc>
          <w:tcPr>
            <w:tcW w:w="309" w:type="pct"/>
            <w:vAlign w:val="top"/>
          </w:tcPr>
          <w:p w14:paraId="2BDFAB9D">
            <w:pPr>
              <w:pStyle w:val="15"/>
              <w:spacing w:before="36" w:line="297" w:lineRule="auto"/>
              <w:ind w:left="102" w:right="89" w:hanging="1"/>
              <w:rPr>
                <w:color w:val="auto"/>
                <w:highlight w:val="none"/>
              </w:rPr>
            </w:pPr>
            <w:r>
              <w:rPr>
                <w:color w:val="auto"/>
                <w:spacing w:val="-3"/>
                <w:highlight w:val="none"/>
              </w:rPr>
              <w:t>竣工</w:t>
            </w:r>
            <w:r>
              <w:rPr>
                <w:color w:val="auto"/>
                <w:spacing w:val="-34"/>
                <w:highlight w:val="none"/>
              </w:rPr>
              <w:t xml:space="preserve"> </w:t>
            </w:r>
            <w:r>
              <w:rPr>
                <w:color w:val="auto"/>
                <w:spacing w:val="-3"/>
                <w:highlight w:val="none"/>
              </w:rPr>
              <w:t>日</w:t>
            </w:r>
            <w:r>
              <w:rPr>
                <w:color w:val="auto"/>
                <w:highlight w:val="none"/>
              </w:rPr>
              <w:t xml:space="preserve"> 期</w:t>
            </w:r>
          </w:p>
        </w:tc>
      </w:tr>
      <w:tr w14:paraId="4911B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22" w:type="pct"/>
            <w:vAlign w:val="top"/>
          </w:tcPr>
          <w:p w14:paraId="0716A41E">
            <w:pPr>
              <w:rPr>
                <w:rFonts w:ascii="Arial"/>
                <w:color w:val="auto"/>
                <w:sz w:val="21"/>
                <w:highlight w:val="none"/>
              </w:rPr>
            </w:pPr>
          </w:p>
        </w:tc>
        <w:tc>
          <w:tcPr>
            <w:tcW w:w="520" w:type="pct"/>
            <w:vAlign w:val="top"/>
          </w:tcPr>
          <w:p w14:paraId="14A45EA7">
            <w:pPr>
              <w:rPr>
                <w:rFonts w:ascii="Arial"/>
                <w:color w:val="auto"/>
                <w:sz w:val="21"/>
                <w:highlight w:val="none"/>
              </w:rPr>
            </w:pPr>
          </w:p>
        </w:tc>
        <w:tc>
          <w:tcPr>
            <w:tcW w:w="585" w:type="pct"/>
            <w:vAlign w:val="top"/>
          </w:tcPr>
          <w:p w14:paraId="66CCEC63">
            <w:pPr>
              <w:rPr>
                <w:rFonts w:ascii="Arial"/>
                <w:color w:val="auto"/>
                <w:sz w:val="21"/>
                <w:highlight w:val="none"/>
              </w:rPr>
            </w:pPr>
          </w:p>
        </w:tc>
        <w:tc>
          <w:tcPr>
            <w:tcW w:w="600" w:type="pct"/>
            <w:vAlign w:val="top"/>
          </w:tcPr>
          <w:p w14:paraId="7B22197E">
            <w:pPr>
              <w:rPr>
                <w:rFonts w:ascii="Arial"/>
                <w:color w:val="auto"/>
                <w:sz w:val="21"/>
                <w:highlight w:val="none"/>
              </w:rPr>
            </w:pPr>
          </w:p>
        </w:tc>
        <w:tc>
          <w:tcPr>
            <w:tcW w:w="307" w:type="pct"/>
            <w:vAlign w:val="top"/>
          </w:tcPr>
          <w:p w14:paraId="5FC34403">
            <w:pPr>
              <w:rPr>
                <w:rFonts w:ascii="Arial"/>
                <w:color w:val="auto"/>
                <w:sz w:val="21"/>
                <w:highlight w:val="none"/>
              </w:rPr>
            </w:pPr>
          </w:p>
        </w:tc>
        <w:tc>
          <w:tcPr>
            <w:tcW w:w="563" w:type="pct"/>
            <w:vAlign w:val="top"/>
          </w:tcPr>
          <w:p w14:paraId="608C3943">
            <w:pPr>
              <w:rPr>
                <w:rFonts w:ascii="Arial"/>
                <w:color w:val="auto"/>
                <w:sz w:val="21"/>
                <w:highlight w:val="none"/>
              </w:rPr>
            </w:pPr>
          </w:p>
        </w:tc>
        <w:tc>
          <w:tcPr>
            <w:tcW w:w="768" w:type="pct"/>
            <w:vAlign w:val="top"/>
          </w:tcPr>
          <w:p w14:paraId="04EB0945">
            <w:pPr>
              <w:rPr>
                <w:rFonts w:ascii="Arial"/>
                <w:color w:val="auto"/>
                <w:sz w:val="21"/>
                <w:highlight w:val="none"/>
              </w:rPr>
            </w:pPr>
          </w:p>
        </w:tc>
        <w:tc>
          <w:tcPr>
            <w:tcW w:w="512" w:type="pct"/>
            <w:vAlign w:val="top"/>
          </w:tcPr>
          <w:p w14:paraId="5B2AC3DF">
            <w:pPr>
              <w:rPr>
                <w:rFonts w:ascii="Arial"/>
                <w:color w:val="auto"/>
                <w:sz w:val="21"/>
                <w:highlight w:val="none"/>
              </w:rPr>
            </w:pPr>
          </w:p>
        </w:tc>
        <w:tc>
          <w:tcPr>
            <w:tcW w:w="307" w:type="pct"/>
            <w:vAlign w:val="top"/>
          </w:tcPr>
          <w:p w14:paraId="7BD3D3D5">
            <w:pPr>
              <w:rPr>
                <w:rFonts w:ascii="Arial"/>
                <w:color w:val="auto"/>
                <w:sz w:val="21"/>
                <w:highlight w:val="none"/>
              </w:rPr>
            </w:pPr>
          </w:p>
        </w:tc>
        <w:tc>
          <w:tcPr>
            <w:tcW w:w="309" w:type="pct"/>
            <w:vAlign w:val="top"/>
          </w:tcPr>
          <w:p w14:paraId="4BCE0B79">
            <w:pPr>
              <w:rPr>
                <w:rFonts w:ascii="Arial"/>
                <w:color w:val="auto"/>
                <w:sz w:val="21"/>
                <w:highlight w:val="none"/>
              </w:rPr>
            </w:pPr>
          </w:p>
        </w:tc>
      </w:tr>
      <w:tr w14:paraId="729E7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22" w:type="pct"/>
            <w:vAlign w:val="top"/>
          </w:tcPr>
          <w:p w14:paraId="0E6EF509">
            <w:pPr>
              <w:rPr>
                <w:rFonts w:ascii="Arial"/>
                <w:color w:val="auto"/>
                <w:sz w:val="21"/>
                <w:highlight w:val="none"/>
              </w:rPr>
            </w:pPr>
          </w:p>
        </w:tc>
        <w:tc>
          <w:tcPr>
            <w:tcW w:w="520" w:type="pct"/>
            <w:vAlign w:val="top"/>
          </w:tcPr>
          <w:p w14:paraId="5D363B2D">
            <w:pPr>
              <w:rPr>
                <w:rFonts w:ascii="Arial"/>
                <w:color w:val="auto"/>
                <w:sz w:val="21"/>
                <w:highlight w:val="none"/>
              </w:rPr>
            </w:pPr>
          </w:p>
        </w:tc>
        <w:tc>
          <w:tcPr>
            <w:tcW w:w="585" w:type="pct"/>
            <w:vAlign w:val="top"/>
          </w:tcPr>
          <w:p w14:paraId="43BF7D58">
            <w:pPr>
              <w:rPr>
                <w:rFonts w:ascii="Arial"/>
                <w:color w:val="auto"/>
                <w:sz w:val="21"/>
                <w:highlight w:val="none"/>
              </w:rPr>
            </w:pPr>
          </w:p>
        </w:tc>
        <w:tc>
          <w:tcPr>
            <w:tcW w:w="600" w:type="pct"/>
            <w:vAlign w:val="top"/>
          </w:tcPr>
          <w:p w14:paraId="434CDDCF">
            <w:pPr>
              <w:rPr>
                <w:rFonts w:ascii="Arial"/>
                <w:color w:val="auto"/>
                <w:sz w:val="21"/>
                <w:highlight w:val="none"/>
              </w:rPr>
            </w:pPr>
          </w:p>
        </w:tc>
        <w:tc>
          <w:tcPr>
            <w:tcW w:w="307" w:type="pct"/>
            <w:vAlign w:val="top"/>
          </w:tcPr>
          <w:p w14:paraId="74EF3E36">
            <w:pPr>
              <w:rPr>
                <w:rFonts w:ascii="Arial"/>
                <w:color w:val="auto"/>
                <w:sz w:val="21"/>
                <w:highlight w:val="none"/>
              </w:rPr>
            </w:pPr>
          </w:p>
        </w:tc>
        <w:tc>
          <w:tcPr>
            <w:tcW w:w="563" w:type="pct"/>
            <w:vAlign w:val="top"/>
          </w:tcPr>
          <w:p w14:paraId="360D3B2E">
            <w:pPr>
              <w:rPr>
                <w:rFonts w:ascii="Arial"/>
                <w:color w:val="auto"/>
                <w:sz w:val="21"/>
                <w:highlight w:val="none"/>
              </w:rPr>
            </w:pPr>
          </w:p>
        </w:tc>
        <w:tc>
          <w:tcPr>
            <w:tcW w:w="768" w:type="pct"/>
            <w:vAlign w:val="top"/>
          </w:tcPr>
          <w:p w14:paraId="5910FC7A">
            <w:pPr>
              <w:rPr>
                <w:rFonts w:ascii="Arial"/>
                <w:color w:val="auto"/>
                <w:sz w:val="21"/>
                <w:highlight w:val="none"/>
              </w:rPr>
            </w:pPr>
          </w:p>
        </w:tc>
        <w:tc>
          <w:tcPr>
            <w:tcW w:w="512" w:type="pct"/>
            <w:vAlign w:val="top"/>
          </w:tcPr>
          <w:p w14:paraId="1DF9FA20">
            <w:pPr>
              <w:rPr>
                <w:rFonts w:ascii="Arial"/>
                <w:color w:val="auto"/>
                <w:sz w:val="21"/>
                <w:highlight w:val="none"/>
              </w:rPr>
            </w:pPr>
          </w:p>
        </w:tc>
        <w:tc>
          <w:tcPr>
            <w:tcW w:w="307" w:type="pct"/>
            <w:vAlign w:val="top"/>
          </w:tcPr>
          <w:p w14:paraId="04693F42">
            <w:pPr>
              <w:rPr>
                <w:rFonts w:ascii="Arial"/>
                <w:color w:val="auto"/>
                <w:sz w:val="21"/>
                <w:highlight w:val="none"/>
              </w:rPr>
            </w:pPr>
          </w:p>
        </w:tc>
        <w:tc>
          <w:tcPr>
            <w:tcW w:w="309" w:type="pct"/>
            <w:vAlign w:val="top"/>
          </w:tcPr>
          <w:p w14:paraId="23CCF956">
            <w:pPr>
              <w:rPr>
                <w:rFonts w:ascii="Arial"/>
                <w:color w:val="auto"/>
                <w:sz w:val="21"/>
                <w:highlight w:val="none"/>
              </w:rPr>
            </w:pPr>
          </w:p>
        </w:tc>
      </w:tr>
      <w:tr w14:paraId="21868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22" w:type="pct"/>
            <w:vAlign w:val="top"/>
          </w:tcPr>
          <w:p w14:paraId="4FEB2A7E">
            <w:pPr>
              <w:rPr>
                <w:rFonts w:ascii="Arial"/>
                <w:color w:val="auto"/>
                <w:sz w:val="21"/>
                <w:highlight w:val="none"/>
              </w:rPr>
            </w:pPr>
          </w:p>
        </w:tc>
        <w:tc>
          <w:tcPr>
            <w:tcW w:w="520" w:type="pct"/>
            <w:vAlign w:val="top"/>
          </w:tcPr>
          <w:p w14:paraId="1426D1A9">
            <w:pPr>
              <w:rPr>
                <w:rFonts w:ascii="Arial"/>
                <w:color w:val="auto"/>
                <w:sz w:val="21"/>
                <w:highlight w:val="none"/>
              </w:rPr>
            </w:pPr>
          </w:p>
        </w:tc>
        <w:tc>
          <w:tcPr>
            <w:tcW w:w="585" w:type="pct"/>
            <w:vAlign w:val="top"/>
          </w:tcPr>
          <w:p w14:paraId="5D39A43B">
            <w:pPr>
              <w:rPr>
                <w:rFonts w:ascii="Arial"/>
                <w:color w:val="auto"/>
                <w:sz w:val="21"/>
                <w:highlight w:val="none"/>
              </w:rPr>
            </w:pPr>
          </w:p>
        </w:tc>
        <w:tc>
          <w:tcPr>
            <w:tcW w:w="600" w:type="pct"/>
            <w:vAlign w:val="top"/>
          </w:tcPr>
          <w:p w14:paraId="4D9A1FEE">
            <w:pPr>
              <w:rPr>
                <w:rFonts w:ascii="Arial"/>
                <w:color w:val="auto"/>
                <w:sz w:val="21"/>
                <w:highlight w:val="none"/>
              </w:rPr>
            </w:pPr>
          </w:p>
        </w:tc>
        <w:tc>
          <w:tcPr>
            <w:tcW w:w="307" w:type="pct"/>
            <w:vAlign w:val="top"/>
          </w:tcPr>
          <w:p w14:paraId="6A98C490">
            <w:pPr>
              <w:rPr>
                <w:rFonts w:ascii="Arial"/>
                <w:color w:val="auto"/>
                <w:sz w:val="21"/>
                <w:highlight w:val="none"/>
              </w:rPr>
            </w:pPr>
          </w:p>
        </w:tc>
        <w:tc>
          <w:tcPr>
            <w:tcW w:w="563" w:type="pct"/>
            <w:vAlign w:val="top"/>
          </w:tcPr>
          <w:p w14:paraId="5432AF15">
            <w:pPr>
              <w:rPr>
                <w:rFonts w:ascii="Arial"/>
                <w:color w:val="auto"/>
                <w:sz w:val="21"/>
                <w:highlight w:val="none"/>
              </w:rPr>
            </w:pPr>
          </w:p>
        </w:tc>
        <w:tc>
          <w:tcPr>
            <w:tcW w:w="768" w:type="pct"/>
            <w:vAlign w:val="top"/>
          </w:tcPr>
          <w:p w14:paraId="0394984B">
            <w:pPr>
              <w:rPr>
                <w:rFonts w:ascii="Arial"/>
                <w:color w:val="auto"/>
                <w:sz w:val="21"/>
                <w:highlight w:val="none"/>
              </w:rPr>
            </w:pPr>
          </w:p>
        </w:tc>
        <w:tc>
          <w:tcPr>
            <w:tcW w:w="512" w:type="pct"/>
            <w:vAlign w:val="top"/>
          </w:tcPr>
          <w:p w14:paraId="71547A80">
            <w:pPr>
              <w:rPr>
                <w:rFonts w:ascii="Arial"/>
                <w:color w:val="auto"/>
                <w:sz w:val="21"/>
                <w:highlight w:val="none"/>
              </w:rPr>
            </w:pPr>
          </w:p>
        </w:tc>
        <w:tc>
          <w:tcPr>
            <w:tcW w:w="307" w:type="pct"/>
            <w:vAlign w:val="top"/>
          </w:tcPr>
          <w:p w14:paraId="0C66E3B0">
            <w:pPr>
              <w:rPr>
                <w:rFonts w:ascii="Arial"/>
                <w:color w:val="auto"/>
                <w:sz w:val="21"/>
                <w:highlight w:val="none"/>
              </w:rPr>
            </w:pPr>
          </w:p>
        </w:tc>
        <w:tc>
          <w:tcPr>
            <w:tcW w:w="309" w:type="pct"/>
            <w:vAlign w:val="top"/>
          </w:tcPr>
          <w:p w14:paraId="02D9CA23">
            <w:pPr>
              <w:rPr>
                <w:rFonts w:ascii="Arial"/>
                <w:color w:val="auto"/>
                <w:sz w:val="21"/>
                <w:highlight w:val="none"/>
              </w:rPr>
            </w:pPr>
          </w:p>
        </w:tc>
      </w:tr>
      <w:tr w14:paraId="00C65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22" w:type="pct"/>
            <w:vAlign w:val="top"/>
          </w:tcPr>
          <w:p w14:paraId="3A866D1A">
            <w:pPr>
              <w:rPr>
                <w:rFonts w:ascii="Arial"/>
                <w:color w:val="auto"/>
                <w:sz w:val="21"/>
                <w:highlight w:val="none"/>
              </w:rPr>
            </w:pPr>
          </w:p>
        </w:tc>
        <w:tc>
          <w:tcPr>
            <w:tcW w:w="520" w:type="pct"/>
            <w:vAlign w:val="top"/>
          </w:tcPr>
          <w:p w14:paraId="15F187E3">
            <w:pPr>
              <w:rPr>
                <w:rFonts w:ascii="Arial"/>
                <w:color w:val="auto"/>
                <w:sz w:val="21"/>
                <w:highlight w:val="none"/>
              </w:rPr>
            </w:pPr>
          </w:p>
        </w:tc>
        <w:tc>
          <w:tcPr>
            <w:tcW w:w="585" w:type="pct"/>
            <w:vAlign w:val="top"/>
          </w:tcPr>
          <w:p w14:paraId="10071700">
            <w:pPr>
              <w:rPr>
                <w:rFonts w:ascii="Arial"/>
                <w:color w:val="auto"/>
                <w:sz w:val="21"/>
                <w:highlight w:val="none"/>
              </w:rPr>
            </w:pPr>
          </w:p>
        </w:tc>
        <w:tc>
          <w:tcPr>
            <w:tcW w:w="600" w:type="pct"/>
            <w:vAlign w:val="top"/>
          </w:tcPr>
          <w:p w14:paraId="577842F5">
            <w:pPr>
              <w:rPr>
                <w:rFonts w:ascii="Arial"/>
                <w:color w:val="auto"/>
                <w:sz w:val="21"/>
                <w:highlight w:val="none"/>
              </w:rPr>
            </w:pPr>
          </w:p>
        </w:tc>
        <w:tc>
          <w:tcPr>
            <w:tcW w:w="307" w:type="pct"/>
            <w:vAlign w:val="top"/>
          </w:tcPr>
          <w:p w14:paraId="7AB769DB">
            <w:pPr>
              <w:rPr>
                <w:rFonts w:ascii="Arial"/>
                <w:color w:val="auto"/>
                <w:sz w:val="21"/>
                <w:highlight w:val="none"/>
              </w:rPr>
            </w:pPr>
          </w:p>
        </w:tc>
        <w:tc>
          <w:tcPr>
            <w:tcW w:w="563" w:type="pct"/>
            <w:vAlign w:val="top"/>
          </w:tcPr>
          <w:p w14:paraId="5C0D9448">
            <w:pPr>
              <w:rPr>
                <w:rFonts w:ascii="Arial"/>
                <w:color w:val="auto"/>
                <w:sz w:val="21"/>
                <w:highlight w:val="none"/>
              </w:rPr>
            </w:pPr>
          </w:p>
        </w:tc>
        <w:tc>
          <w:tcPr>
            <w:tcW w:w="768" w:type="pct"/>
            <w:vAlign w:val="top"/>
          </w:tcPr>
          <w:p w14:paraId="3E6F0AFB">
            <w:pPr>
              <w:rPr>
                <w:rFonts w:ascii="Arial"/>
                <w:color w:val="auto"/>
                <w:sz w:val="21"/>
                <w:highlight w:val="none"/>
              </w:rPr>
            </w:pPr>
          </w:p>
        </w:tc>
        <w:tc>
          <w:tcPr>
            <w:tcW w:w="512" w:type="pct"/>
            <w:vAlign w:val="top"/>
          </w:tcPr>
          <w:p w14:paraId="2B65A305">
            <w:pPr>
              <w:rPr>
                <w:rFonts w:ascii="Arial"/>
                <w:color w:val="auto"/>
                <w:sz w:val="21"/>
                <w:highlight w:val="none"/>
              </w:rPr>
            </w:pPr>
          </w:p>
        </w:tc>
        <w:tc>
          <w:tcPr>
            <w:tcW w:w="307" w:type="pct"/>
            <w:vAlign w:val="top"/>
          </w:tcPr>
          <w:p w14:paraId="6D22AFF8">
            <w:pPr>
              <w:rPr>
                <w:rFonts w:ascii="Arial"/>
                <w:color w:val="auto"/>
                <w:sz w:val="21"/>
                <w:highlight w:val="none"/>
              </w:rPr>
            </w:pPr>
          </w:p>
        </w:tc>
        <w:tc>
          <w:tcPr>
            <w:tcW w:w="309" w:type="pct"/>
            <w:vAlign w:val="top"/>
          </w:tcPr>
          <w:p w14:paraId="031DAA78">
            <w:pPr>
              <w:rPr>
                <w:rFonts w:ascii="Arial"/>
                <w:color w:val="auto"/>
                <w:sz w:val="21"/>
                <w:highlight w:val="none"/>
              </w:rPr>
            </w:pPr>
          </w:p>
        </w:tc>
      </w:tr>
      <w:tr w14:paraId="11501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22" w:type="pct"/>
            <w:vAlign w:val="top"/>
          </w:tcPr>
          <w:p w14:paraId="3850CC60">
            <w:pPr>
              <w:rPr>
                <w:rFonts w:ascii="Arial"/>
                <w:color w:val="auto"/>
                <w:sz w:val="21"/>
                <w:highlight w:val="none"/>
              </w:rPr>
            </w:pPr>
          </w:p>
        </w:tc>
        <w:tc>
          <w:tcPr>
            <w:tcW w:w="520" w:type="pct"/>
            <w:vAlign w:val="top"/>
          </w:tcPr>
          <w:p w14:paraId="6388CACF">
            <w:pPr>
              <w:rPr>
                <w:rFonts w:ascii="Arial"/>
                <w:color w:val="auto"/>
                <w:sz w:val="21"/>
                <w:highlight w:val="none"/>
              </w:rPr>
            </w:pPr>
          </w:p>
        </w:tc>
        <w:tc>
          <w:tcPr>
            <w:tcW w:w="585" w:type="pct"/>
            <w:vAlign w:val="top"/>
          </w:tcPr>
          <w:p w14:paraId="41B42B78">
            <w:pPr>
              <w:rPr>
                <w:rFonts w:ascii="Arial"/>
                <w:color w:val="auto"/>
                <w:sz w:val="21"/>
                <w:highlight w:val="none"/>
              </w:rPr>
            </w:pPr>
          </w:p>
        </w:tc>
        <w:tc>
          <w:tcPr>
            <w:tcW w:w="600" w:type="pct"/>
            <w:vAlign w:val="top"/>
          </w:tcPr>
          <w:p w14:paraId="12B5CB21">
            <w:pPr>
              <w:rPr>
                <w:rFonts w:ascii="Arial"/>
                <w:color w:val="auto"/>
                <w:sz w:val="21"/>
                <w:highlight w:val="none"/>
              </w:rPr>
            </w:pPr>
          </w:p>
        </w:tc>
        <w:tc>
          <w:tcPr>
            <w:tcW w:w="307" w:type="pct"/>
            <w:vAlign w:val="top"/>
          </w:tcPr>
          <w:p w14:paraId="615399CA">
            <w:pPr>
              <w:rPr>
                <w:rFonts w:ascii="Arial"/>
                <w:color w:val="auto"/>
                <w:sz w:val="21"/>
                <w:highlight w:val="none"/>
              </w:rPr>
            </w:pPr>
          </w:p>
        </w:tc>
        <w:tc>
          <w:tcPr>
            <w:tcW w:w="563" w:type="pct"/>
            <w:vAlign w:val="top"/>
          </w:tcPr>
          <w:p w14:paraId="5CA3AD55">
            <w:pPr>
              <w:rPr>
                <w:rFonts w:ascii="Arial"/>
                <w:color w:val="auto"/>
                <w:sz w:val="21"/>
                <w:highlight w:val="none"/>
              </w:rPr>
            </w:pPr>
          </w:p>
        </w:tc>
        <w:tc>
          <w:tcPr>
            <w:tcW w:w="768" w:type="pct"/>
            <w:vAlign w:val="top"/>
          </w:tcPr>
          <w:p w14:paraId="49DC492B">
            <w:pPr>
              <w:rPr>
                <w:rFonts w:ascii="Arial"/>
                <w:color w:val="auto"/>
                <w:sz w:val="21"/>
                <w:highlight w:val="none"/>
              </w:rPr>
            </w:pPr>
          </w:p>
        </w:tc>
        <w:tc>
          <w:tcPr>
            <w:tcW w:w="512" w:type="pct"/>
            <w:vAlign w:val="top"/>
          </w:tcPr>
          <w:p w14:paraId="0AA37F74">
            <w:pPr>
              <w:rPr>
                <w:rFonts w:ascii="Arial"/>
                <w:color w:val="auto"/>
                <w:sz w:val="21"/>
                <w:highlight w:val="none"/>
              </w:rPr>
            </w:pPr>
          </w:p>
        </w:tc>
        <w:tc>
          <w:tcPr>
            <w:tcW w:w="307" w:type="pct"/>
            <w:vAlign w:val="top"/>
          </w:tcPr>
          <w:p w14:paraId="4D253CCE">
            <w:pPr>
              <w:rPr>
                <w:rFonts w:ascii="Arial"/>
                <w:color w:val="auto"/>
                <w:sz w:val="21"/>
                <w:highlight w:val="none"/>
              </w:rPr>
            </w:pPr>
          </w:p>
        </w:tc>
        <w:tc>
          <w:tcPr>
            <w:tcW w:w="309" w:type="pct"/>
            <w:vAlign w:val="top"/>
          </w:tcPr>
          <w:p w14:paraId="1FD9D606">
            <w:pPr>
              <w:rPr>
                <w:rFonts w:ascii="Arial"/>
                <w:color w:val="auto"/>
                <w:sz w:val="21"/>
                <w:highlight w:val="none"/>
              </w:rPr>
            </w:pPr>
          </w:p>
        </w:tc>
      </w:tr>
      <w:tr w14:paraId="2EFDB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22" w:type="pct"/>
            <w:vAlign w:val="top"/>
          </w:tcPr>
          <w:p w14:paraId="126C70D0">
            <w:pPr>
              <w:rPr>
                <w:rFonts w:ascii="Arial"/>
                <w:color w:val="auto"/>
                <w:sz w:val="21"/>
                <w:highlight w:val="none"/>
              </w:rPr>
            </w:pPr>
          </w:p>
        </w:tc>
        <w:tc>
          <w:tcPr>
            <w:tcW w:w="520" w:type="pct"/>
            <w:vAlign w:val="top"/>
          </w:tcPr>
          <w:p w14:paraId="08D20811">
            <w:pPr>
              <w:rPr>
                <w:rFonts w:ascii="Arial"/>
                <w:color w:val="auto"/>
                <w:sz w:val="21"/>
                <w:highlight w:val="none"/>
              </w:rPr>
            </w:pPr>
          </w:p>
        </w:tc>
        <w:tc>
          <w:tcPr>
            <w:tcW w:w="585" w:type="pct"/>
            <w:vAlign w:val="top"/>
          </w:tcPr>
          <w:p w14:paraId="07F2EA52">
            <w:pPr>
              <w:rPr>
                <w:rFonts w:ascii="Arial"/>
                <w:color w:val="auto"/>
                <w:sz w:val="21"/>
                <w:highlight w:val="none"/>
              </w:rPr>
            </w:pPr>
          </w:p>
        </w:tc>
        <w:tc>
          <w:tcPr>
            <w:tcW w:w="600" w:type="pct"/>
            <w:vAlign w:val="top"/>
          </w:tcPr>
          <w:p w14:paraId="15FEE199">
            <w:pPr>
              <w:rPr>
                <w:rFonts w:ascii="Arial"/>
                <w:color w:val="auto"/>
                <w:sz w:val="21"/>
                <w:highlight w:val="none"/>
              </w:rPr>
            </w:pPr>
          </w:p>
        </w:tc>
        <w:tc>
          <w:tcPr>
            <w:tcW w:w="307" w:type="pct"/>
            <w:vAlign w:val="top"/>
          </w:tcPr>
          <w:p w14:paraId="23EFFB7D">
            <w:pPr>
              <w:rPr>
                <w:rFonts w:ascii="Arial"/>
                <w:color w:val="auto"/>
                <w:sz w:val="21"/>
                <w:highlight w:val="none"/>
              </w:rPr>
            </w:pPr>
          </w:p>
        </w:tc>
        <w:tc>
          <w:tcPr>
            <w:tcW w:w="563" w:type="pct"/>
            <w:vAlign w:val="top"/>
          </w:tcPr>
          <w:p w14:paraId="732E4A05">
            <w:pPr>
              <w:rPr>
                <w:rFonts w:ascii="Arial"/>
                <w:color w:val="auto"/>
                <w:sz w:val="21"/>
                <w:highlight w:val="none"/>
              </w:rPr>
            </w:pPr>
          </w:p>
        </w:tc>
        <w:tc>
          <w:tcPr>
            <w:tcW w:w="768" w:type="pct"/>
            <w:vAlign w:val="top"/>
          </w:tcPr>
          <w:p w14:paraId="1F56170E">
            <w:pPr>
              <w:rPr>
                <w:rFonts w:ascii="Arial"/>
                <w:color w:val="auto"/>
                <w:sz w:val="21"/>
                <w:highlight w:val="none"/>
              </w:rPr>
            </w:pPr>
          </w:p>
        </w:tc>
        <w:tc>
          <w:tcPr>
            <w:tcW w:w="512" w:type="pct"/>
            <w:vAlign w:val="top"/>
          </w:tcPr>
          <w:p w14:paraId="7C98C68E">
            <w:pPr>
              <w:rPr>
                <w:rFonts w:ascii="Arial"/>
                <w:color w:val="auto"/>
                <w:sz w:val="21"/>
                <w:highlight w:val="none"/>
              </w:rPr>
            </w:pPr>
          </w:p>
        </w:tc>
        <w:tc>
          <w:tcPr>
            <w:tcW w:w="307" w:type="pct"/>
            <w:vAlign w:val="top"/>
          </w:tcPr>
          <w:p w14:paraId="4B0E5E5D">
            <w:pPr>
              <w:rPr>
                <w:rFonts w:ascii="Arial"/>
                <w:color w:val="auto"/>
                <w:sz w:val="21"/>
                <w:highlight w:val="none"/>
              </w:rPr>
            </w:pPr>
          </w:p>
        </w:tc>
        <w:tc>
          <w:tcPr>
            <w:tcW w:w="309" w:type="pct"/>
            <w:vAlign w:val="top"/>
          </w:tcPr>
          <w:p w14:paraId="25B726ED">
            <w:pPr>
              <w:rPr>
                <w:rFonts w:ascii="Arial"/>
                <w:color w:val="auto"/>
                <w:sz w:val="21"/>
                <w:highlight w:val="none"/>
              </w:rPr>
            </w:pPr>
          </w:p>
        </w:tc>
      </w:tr>
      <w:tr w14:paraId="2B067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22" w:type="pct"/>
            <w:vAlign w:val="top"/>
          </w:tcPr>
          <w:p w14:paraId="328A2E5E">
            <w:pPr>
              <w:rPr>
                <w:rFonts w:ascii="Arial"/>
                <w:color w:val="auto"/>
                <w:sz w:val="21"/>
                <w:highlight w:val="none"/>
              </w:rPr>
            </w:pPr>
          </w:p>
        </w:tc>
        <w:tc>
          <w:tcPr>
            <w:tcW w:w="520" w:type="pct"/>
            <w:vAlign w:val="top"/>
          </w:tcPr>
          <w:p w14:paraId="412BCF84">
            <w:pPr>
              <w:rPr>
                <w:rFonts w:ascii="Arial"/>
                <w:color w:val="auto"/>
                <w:sz w:val="21"/>
                <w:highlight w:val="none"/>
              </w:rPr>
            </w:pPr>
          </w:p>
        </w:tc>
        <w:tc>
          <w:tcPr>
            <w:tcW w:w="585" w:type="pct"/>
            <w:vAlign w:val="top"/>
          </w:tcPr>
          <w:p w14:paraId="05FD00E4">
            <w:pPr>
              <w:rPr>
                <w:rFonts w:ascii="Arial"/>
                <w:color w:val="auto"/>
                <w:sz w:val="21"/>
                <w:highlight w:val="none"/>
              </w:rPr>
            </w:pPr>
          </w:p>
        </w:tc>
        <w:tc>
          <w:tcPr>
            <w:tcW w:w="600" w:type="pct"/>
            <w:vAlign w:val="top"/>
          </w:tcPr>
          <w:p w14:paraId="1DE49ED6">
            <w:pPr>
              <w:rPr>
                <w:rFonts w:ascii="Arial"/>
                <w:color w:val="auto"/>
                <w:sz w:val="21"/>
                <w:highlight w:val="none"/>
              </w:rPr>
            </w:pPr>
          </w:p>
        </w:tc>
        <w:tc>
          <w:tcPr>
            <w:tcW w:w="307" w:type="pct"/>
            <w:vAlign w:val="top"/>
          </w:tcPr>
          <w:p w14:paraId="62763D40">
            <w:pPr>
              <w:rPr>
                <w:rFonts w:ascii="Arial"/>
                <w:color w:val="auto"/>
                <w:sz w:val="21"/>
                <w:highlight w:val="none"/>
              </w:rPr>
            </w:pPr>
          </w:p>
        </w:tc>
        <w:tc>
          <w:tcPr>
            <w:tcW w:w="563" w:type="pct"/>
            <w:vAlign w:val="top"/>
          </w:tcPr>
          <w:p w14:paraId="51B6D8CF">
            <w:pPr>
              <w:rPr>
                <w:rFonts w:ascii="Arial"/>
                <w:color w:val="auto"/>
                <w:sz w:val="21"/>
                <w:highlight w:val="none"/>
              </w:rPr>
            </w:pPr>
          </w:p>
        </w:tc>
        <w:tc>
          <w:tcPr>
            <w:tcW w:w="768" w:type="pct"/>
            <w:vAlign w:val="top"/>
          </w:tcPr>
          <w:p w14:paraId="13145F16">
            <w:pPr>
              <w:rPr>
                <w:rFonts w:ascii="Arial"/>
                <w:color w:val="auto"/>
                <w:sz w:val="21"/>
                <w:highlight w:val="none"/>
              </w:rPr>
            </w:pPr>
          </w:p>
        </w:tc>
        <w:tc>
          <w:tcPr>
            <w:tcW w:w="512" w:type="pct"/>
            <w:vAlign w:val="top"/>
          </w:tcPr>
          <w:p w14:paraId="1E8CACF1">
            <w:pPr>
              <w:rPr>
                <w:rFonts w:ascii="Arial"/>
                <w:color w:val="auto"/>
                <w:sz w:val="21"/>
                <w:highlight w:val="none"/>
              </w:rPr>
            </w:pPr>
          </w:p>
        </w:tc>
        <w:tc>
          <w:tcPr>
            <w:tcW w:w="307" w:type="pct"/>
            <w:vAlign w:val="top"/>
          </w:tcPr>
          <w:p w14:paraId="121274E9">
            <w:pPr>
              <w:rPr>
                <w:rFonts w:ascii="Arial"/>
                <w:color w:val="auto"/>
                <w:sz w:val="21"/>
                <w:highlight w:val="none"/>
              </w:rPr>
            </w:pPr>
          </w:p>
        </w:tc>
        <w:tc>
          <w:tcPr>
            <w:tcW w:w="309" w:type="pct"/>
            <w:vAlign w:val="top"/>
          </w:tcPr>
          <w:p w14:paraId="01A702EA">
            <w:pPr>
              <w:rPr>
                <w:rFonts w:ascii="Arial"/>
                <w:color w:val="auto"/>
                <w:sz w:val="21"/>
                <w:highlight w:val="none"/>
              </w:rPr>
            </w:pPr>
          </w:p>
        </w:tc>
      </w:tr>
      <w:tr w14:paraId="3EE18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22" w:type="pct"/>
            <w:vAlign w:val="top"/>
          </w:tcPr>
          <w:p w14:paraId="306B0C71">
            <w:pPr>
              <w:rPr>
                <w:rFonts w:ascii="Arial"/>
                <w:color w:val="auto"/>
                <w:sz w:val="21"/>
                <w:highlight w:val="none"/>
              </w:rPr>
            </w:pPr>
          </w:p>
        </w:tc>
        <w:tc>
          <w:tcPr>
            <w:tcW w:w="520" w:type="pct"/>
            <w:vAlign w:val="top"/>
          </w:tcPr>
          <w:p w14:paraId="403775EE">
            <w:pPr>
              <w:rPr>
                <w:rFonts w:ascii="Arial"/>
                <w:color w:val="auto"/>
                <w:sz w:val="21"/>
                <w:highlight w:val="none"/>
              </w:rPr>
            </w:pPr>
          </w:p>
        </w:tc>
        <w:tc>
          <w:tcPr>
            <w:tcW w:w="585" w:type="pct"/>
            <w:vAlign w:val="top"/>
          </w:tcPr>
          <w:p w14:paraId="13811904">
            <w:pPr>
              <w:rPr>
                <w:rFonts w:ascii="Arial"/>
                <w:color w:val="auto"/>
                <w:sz w:val="21"/>
                <w:highlight w:val="none"/>
              </w:rPr>
            </w:pPr>
          </w:p>
        </w:tc>
        <w:tc>
          <w:tcPr>
            <w:tcW w:w="600" w:type="pct"/>
            <w:vAlign w:val="top"/>
          </w:tcPr>
          <w:p w14:paraId="21CE6B0D">
            <w:pPr>
              <w:rPr>
                <w:rFonts w:ascii="Arial"/>
                <w:color w:val="auto"/>
                <w:sz w:val="21"/>
                <w:highlight w:val="none"/>
              </w:rPr>
            </w:pPr>
          </w:p>
        </w:tc>
        <w:tc>
          <w:tcPr>
            <w:tcW w:w="307" w:type="pct"/>
            <w:vAlign w:val="top"/>
          </w:tcPr>
          <w:p w14:paraId="627767BA">
            <w:pPr>
              <w:rPr>
                <w:rFonts w:ascii="Arial"/>
                <w:color w:val="auto"/>
                <w:sz w:val="21"/>
                <w:highlight w:val="none"/>
              </w:rPr>
            </w:pPr>
          </w:p>
        </w:tc>
        <w:tc>
          <w:tcPr>
            <w:tcW w:w="563" w:type="pct"/>
            <w:vAlign w:val="top"/>
          </w:tcPr>
          <w:p w14:paraId="76E25E8D">
            <w:pPr>
              <w:rPr>
                <w:rFonts w:ascii="Arial"/>
                <w:color w:val="auto"/>
                <w:sz w:val="21"/>
                <w:highlight w:val="none"/>
              </w:rPr>
            </w:pPr>
          </w:p>
        </w:tc>
        <w:tc>
          <w:tcPr>
            <w:tcW w:w="768" w:type="pct"/>
            <w:vAlign w:val="top"/>
          </w:tcPr>
          <w:p w14:paraId="3CFA48E0">
            <w:pPr>
              <w:rPr>
                <w:rFonts w:ascii="Arial"/>
                <w:color w:val="auto"/>
                <w:sz w:val="21"/>
                <w:highlight w:val="none"/>
              </w:rPr>
            </w:pPr>
          </w:p>
        </w:tc>
        <w:tc>
          <w:tcPr>
            <w:tcW w:w="512" w:type="pct"/>
            <w:vAlign w:val="top"/>
          </w:tcPr>
          <w:p w14:paraId="17886BBB">
            <w:pPr>
              <w:rPr>
                <w:rFonts w:ascii="Arial"/>
                <w:color w:val="auto"/>
                <w:sz w:val="21"/>
                <w:highlight w:val="none"/>
              </w:rPr>
            </w:pPr>
          </w:p>
        </w:tc>
        <w:tc>
          <w:tcPr>
            <w:tcW w:w="307" w:type="pct"/>
            <w:vAlign w:val="top"/>
          </w:tcPr>
          <w:p w14:paraId="4DD58923">
            <w:pPr>
              <w:rPr>
                <w:rFonts w:ascii="Arial"/>
                <w:color w:val="auto"/>
                <w:sz w:val="21"/>
                <w:highlight w:val="none"/>
              </w:rPr>
            </w:pPr>
          </w:p>
        </w:tc>
        <w:tc>
          <w:tcPr>
            <w:tcW w:w="309" w:type="pct"/>
            <w:vAlign w:val="top"/>
          </w:tcPr>
          <w:p w14:paraId="33E9EDD2">
            <w:pPr>
              <w:rPr>
                <w:rFonts w:ascii="Arial"/>
                <w:color w:val="auto"/>
                <w:sz w:val="21"/>
                <w:highlight w:val="none"/>
              </w:rPr>
            </w:pPr>
          </w:p>
        </w:tc>
      </w:tr>
      <w:tr w14:paraId="5C986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22" w:type="pct"/>
            <w:vAlign w:val="top"/>
          </w:tcPr>
          <w:p w14:paraId="2B7FF50F">
            <w:pPr>
              <w:rPr>
                <w:rFonts w:ascii="Arial"/>
                <w:color w:val="auto"/>
                <w:sz w:val="21"/>
                <w:highlight w:val="none"/>
              </w:rPr>
            </w:pPr>
          </w:p>
        </w:tc>
        <w:tc>
          <w:tcPr>
            <w:tcW w:w="520" w:type="pct"/>
            <w:vAlign w:val="top"/>
          </w:tcPr>
          <w:p w14:paraId="216590F2">
            <w:pPr>
              <w:rPr>
                <w:rFonts w:ascii="Arial"/>
                <w:color w:val="auto"/>
                <w:sz w:val="21"/>
                <w:highlight w:val="none"/>
              </w:rPr>
            </w:pPr>
          </w:p>
        </w:tc>
        <w:tc>
          <w:tcPr>
            <w:tcW w:w="585" w:type="pct"/>
            <w:vAlign w:val="top"/>
          </w:tcPr>
          <w:p w14:paraId="336C7427">
            <w:pPr>
              <w:rPr>
                <w:rFonts w:ascii="Arial"/>
                <w:color w:val="auto"/>
                <w:sz w:val="21"/>
                <w:highlight w:val="none"/>
              </w:rPr>
            </w:pPr>
          </w:p>
        </w:tc>
        <w:tc>
          <w:tcPr>
            <w:tcW w:w="600" w:type="pct"/>
            <w:vAlign w:val="top"/>
          </w:tcPr>
          <w:p w14:paraId="4CAEB4C7">
            <w:pPr>
              <w:rPr>
                <w:rFonts w:ascii="Arial"/>
                <w:color w:val="auto"/>
                <w:sz w:val="21"/>
                <w:highlight w:val="none"/>
              </w:rPr>
            </w:pPr>
          </w:p>
        </w:tc>
        <w:tc>
          <w:tcPr>
            <w:tcW w:w="307" w:type="pct"/>
            <w:vAlign w:val="top"/>
          </w:tcPr>
          <w:p w14:paraId="7EA0B710">
            <w:pPr>
              <w:rPr>
                <w:rFonts w:ascii="Arial"/>
                <w:color w:val="auto"/>
                <w:sz w:val="21"/>
                <w:highlight w:val="none"/>
              </w:rPr>
            </w:pPr>
          </w:p>
        </w:tc>
        <w:tc>
          <w:tcPr>
            <w:tcW w:w="563" w:type="pct"/>
            <w:vAlign w:val="top"/>
          </w:tcPr>
          <w:p w14:paraId="761C146A">
            <w:pPr>
              <w:rPr>
                <w:rFonts w:ascii="Arial"/>
                <w:color w:val="auto"/>
                <w:sz w:val="21"/>
                <w:highlight w:val="none"/>
              </w:rPr>
            </w:pPr>
          </w:p>
        </w:tc>
        <w:tc>
          <w:tcPr>
            <w:tcW w:w="768" w:type="pct"/>
            <w:vAlign w:val="top"/>
          </w:tcPr>
          <w:p w14:paraId="0D3F3D6A">
            <w:pPr>
              <w:rPr>
                <w:rFonts w:ascii="Arial"/>
                <w:color w:val="auto"/>
                <w:sz w:val="21"/>
                <w:highlight w:val="none"/>
              </w:rPr>
            </w:pPr>
          </w:p>
        </w:tc>
        <w:tc>
          <w:tcPr>
            <w:tcW w:w="512" w:type="pct"/>
            <w:vAlign w:val="top"/>
          </w:tcPr>
          <w:p w14:paraId="3757DA9E">
            <w:pPr>
              <w:rPr>
                <w:rFonts w:ascii="Arial"/>
                <w:color w:val="auto"/>
                <w:sz w:val="21"/>
                <w:highlight w:val="none"/>
              </w:rPr>
            </w:pPr>
          </w:p>
        </w:tc>
        <w:tc>
          <w:tcPr>
            <w:tcW w:w="307" w:type="pct"/>
            <w:vAlign w:val="top"/>
          </w:tcPr>
          <w:p w14:paraId="65044E5A">
            <w:pPr>
              <w:rPr>
                <w:rFonts w:ascii="Arial"/>
                <w:color w:val="auto"/>
                <w:sz w:val="21"/>
                <w:highlight w:val="none"/>
              </w:rPr>
            </w:pPr>
          </w:p>
        </w:tc>
        <w:tc>
          <w:tcPr>
            <w:tcW w:w="309" w:type="pct"/>
            <w:vAlign w:val="top"/>
          </w:tcPr>
          <w:p w14:paraId="33303876">
            <w:pPr>
              <w:rPr>
                <w:rFonts w:ascii="Arial"/>
                <w:color w:val="auto"/>
                <w:sz w:val="21"/>
                <w:highlight w:val="none"/>
              </w:rPr>
            </w:pPr>
          </w:p>
        </w:tc>
      </w:tr>
      <w:tr w14:paraId="7E95E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522" w:type="pct"/>
            <w:vAlign w:val="top"/>
          </w:tcPr>
          <w:p w14:paraId="594A497C">
            <w:pPr>
              <w:rPr>
                <w:rFonts w:ascii="Arial"/>
                <w:color w:val="auto"/>
                <w:sz w:val="21"/>
                <w:highlight w:val="none"/>
              </w:rPr>
            </w:pPr>
          </w:p>
        </w:tc>
        <w:tc>
          <w:tcPr>
            <w:tcW w:w="520" w:type="pct"/>
            <w:vAlign w:val="top"/>
          </w:tcPr>
          <w:p w14:paraId="3F3C7ABB">
            <w:pPr>
              <w:rPr>
                <w:rFonts w:ascii="Arial"/>
                <w:color w:val="auto"/>
                <w:sz w:val="21"/>
                <w:highlight w:val="none"/>
              </w:rPr>
            </w:pPr>
          </w:p>
        </w:tc>
        <w:tc>
          <w:tcPr>
            <w:tcW w:w="585" w:type="pct"/>
            <w:vAlign w:val="top"/>
          </w:tcPr>
          <w:p w14:paraId="255A3137">
            <w:pPr>
              <w:rPr>
                <w:rFonts w:ascii="Arial"/>
                <w:color w:val="auto"/>
                <w:sz w:val="21"/>
                <w:highlight w:val="none"/>
              </w:rPr>
            </w:pPr>
          </w:p>
        </w:tc>
        <w:tc>
          <w:tcPr>
            <w:tcW w:w="600" w:type="pct"/>
            <w:vAlign w:val="top"/>
          </w:tcPr>
          <w:p w14:paraId="60F06414">
            <w:pPr>
              <w:rPr>
                <w:rFonts w:ascii="Arial"/>
                <w:color w:val="auto"/>
                <w:sz w:val="21"/>
                <w:highlight w:val="none"/>
              </w:rPr>
            </w:pPr>
          </w:p>
        </w:tc>
        <w:tc>
          <w:tcPr>
            <w:tcW w:w="307" w:type="pct"/>
            <w:vAlign w:val="top"/>
          </w:tcPr>
          <w:p w14:paraId="65BBEF52">
            <w:pPr>
              <w:rPr>
                <w:rFonts w:ascii="Arial"/>
                <w:color w:val="auto"/>
                <w:sz w:val="21"/>
                <w:highlight w:val="none"/>
              </w:rPr>
            </w:pPr>
          </w:p>
        </w:tc>
        <w:tc>
          <w:tcPr>
            <w:tcW w:w="563" w:type="pct"/>
            <w:vAlign w:val="top"/>
          </w:tcPr>
          <w:p w14:paraId="38BE26D7">
            <w:pPr>
              <w:rPr>
                <w:rFonts w:ascii="Arial"/>
                <w:color w:val="auto"/>
                <w:sz w:val="21"/>
                <w:highlight w:val="none"/>
              </w:rPr>
            </w:pPr>
          </w:p>
        </w:tc>
        <w:tc>
          <w:tcPr>
            <w:tcW w:w="768" w:type="pct"/>
            <w:vAlign w:val="top"/>
          </w:tcPr>
          <w:p w14:paraId="582DA7B3">
            <w:pPr>
              <w:rPr>
                <w:rFonts w:ascii="Arial"/>
                <w:color w:val="auto"/>
                <w:sz w:val="21"/>
                <w:highlight w:val="none"/>
              </w:rPr>
            </w:pPr>
          </w:p>
        </w:tc>
        <w:tc>
          <w:tcPr>
            <w:tcW w:w="512" w:type="pct"/>
            <w:vAlign w:val="top"/>
          </w:tcPr>
          <w:p w14:paraId="08E6FDB9">
            <w:pPr>
              <w:rPr>
                <w:rFonts w:ascii="Arial"/>
                <w:color w:val="auto"/>
                <w:sz w:val="21"/>
                <w:highlight w:val="none"/>
              </w:rPr>
            </w:pPr>
          </w:p>
        </w:tc>
        <w:tc>
          <w:tcPr>
            <w:tcW w:w="307" w:type="pct"/>
            <w:vAlign w:val="top"/>
          </w:tcPr>
          <w:p w14:paraId="502165B8">
            <w:pPr>
              <w:rPr>
                <w:rFonts w:ascii="Arial"/>
                <w:color w:val="auto"/>
                <w:sz w:val="21"/>
                <w:highlight w:val="none"/>
              </w:rPr>
            </w:pPr>
          </w:p>
        </w:tc>
        <w:tc>
          <w:tcPr>
            <w:tcW w:w="309" w:type="pct"/>
            <w:vAlign w:val="top"/>
          </w:tcPr>
          <w:p w14:paraId="66DFB40E">
            <w:pPr>
              <w:rPr>
                <w:rFonts w:ascii="Arial"/>
                <w:color w:val="auto"/>
                <w:sz w:val="21"/>
                <w:highlight w:val="none"/>
              </w:rPr>
            </w:pPr>
          </w:p>
        </w:tc>
      </w:tr>
    </w:tbl>
    <w:p w14:paraId="43FBE1A8">
      <w:pPr>
        <w:pStyle w:val="2"/>
        <w:rPr>
          <w:color w:val="auto"/>
          <w:highlight w:val="none"/>
        </w:rPr>
      </w:pPr>
    </w:p>
    <w:p w14:paraId="2AA32119">
      <w:pPr>
        <w:rPr>
          <w:color w:val="auto"/>
          <w:highlight w:val="none"/>
        </w:rPr>
        <w:sectPr>
          <w:footerReference r:id="rId53" w:type="default"/>
          <w:pgSz w:w="11907" w:h="16840"/>
          <w:pgMar w:top="1329" w:right="1013" w:bottom="1686" w:left="1012" w:header="0" w:footer="850" w:gutter="0"/>
          <w:pgNumType w:fmt="decimal"/>
          <w:cols w:space="720" w:num="1"/>
        </w:sectPr>
      </w:pPr>
    </w:p>
    <w:p w14:paraId="04415158">
      <w:pPr>
        <w:spacing w:before="120" w:beforeLines="50" w:after="120" w:afterLines="50" w:line="440" w:lineRule="exact"/>
        <w:rPr>
          <w:rFonts w:eastAsia="黑体"/>
          <w:color w:val="auto"/>
          <w:sz w:val="30"/>
          <w:szCs w:val="30"/>
          <w:highlight w:val="none"/>
        </w:rPr>
      </w:pPr>
      <w:r>
        <w:rPr>
          <w:rFonts w:ascii="宋体" w:hAnsi="宋体" w:eastAsia="宋体" w:cs="宋体"/>
          <w:color w:val="auto"/>
          <w:spacing w:val="-4"/>
          <w:sz w:val="20"/>
          <w:szCs w:val="20"/>
          <w:highlight w:val="none"/>
        </w:rPr>
        <w:t>附件</w:t>
      </w:r>
      <w:r>
        <w:rPr>
          <w:rFonts w:hint="eastAsia" w:ascii="宋体" w:hAnsi="宋体" w:eastAsia="宋体" w:cs="宋体"/>
          <w:color w:val="auto"/>
          <w:spacing w:val="-4"/>
          <w:sz w:val="20"/>
          <w:szCs w:val="20"/>
          <w:highlight w:val="none"/>
          <w:lang w:val="en-US" w:eastAsia="zh-CN"/>
        </w:rPr>
        <w:t xml:space="preserve"> </w:t>
      </w:r>
      <w:r>
        <w:rPr>
          <w:rFonts w:hint="eastAsia" w:ascii="宋体" w:hAnsi="宋体" w:eastAsia="宋体" w:cs="宋体"/>
          <w:color w:val="auto"/>
          <w:spacing w:val="-4"/>
          <w:sz w:val="20"/>
          <w:szCs w:val="20"/>
          <w:highlight w:val="none"/>
          <w:lang w:eastAsia="zh-CN"/>
        </w:rPr>
        <w:t>2</w:t>
      </w:r>
      <w:r>
        <w:rPr>
          <w:rFonts w:ascii="宋体" w:hAnsi="宋体" w:eastAsia="宋体" w:cs="宋体"/>
          <w:color w:val="auto"/>
          <w:spacing w:val="-4"/>
          <w:sz w:val="20"/>
          <w:szCs w:val="20"/>
          <w:highlight w:val="none"/>
        </w:rPr>
        <w:t>：</w:t>
      </w:r>
    </w:p>
    <w:p w14:paraId="0265A5C2">
      <w:pPr>
        <w:spacing w:before="120" w:beforeLines="50" w:after="120" w:afterLines="50" w:line="440" w:lineRule="exact"/>
        <w:jc w:val="center"/>
        <w:rPr>
          <w:rFonts w:eastAsia="黑体"/>
          <w:color w:val="auto"/>
          <w:sz w:val="30"/>
          <w:szCs w:val="30"/>
          <w:highlight w:val="none"/>
        </w:rPr>
      </w:pPr>
      <w:r>
        <w:rPr>
          <w:rFonts w:eastAsia="黑体"/>
          <w:color w:val="auto"/>
          <w:sz w:val="30"/>
          <w:szCs w:val="30"/>
          <w:highlight w:val="none"/>
        </w:rPr>
        <w:t>主要建设工程文件目录</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459B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14:paraId="46D79178">
            <w:pPr>
              <w:pStyle w:val="2"/>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文件名称</w:t>
            </w:r>
          </w:p>
        </w:tc>
        <w:tc>
          <w:tcPr>
            <w:tcW w:w="1276" w:type="dxa"/>
            <w:tcBorders>
              <w:top w:val="single" w:color="auto" w:sz="12" w:space="0"/>
              <w:bottom w:val="double" w:color="auto" w:sz="6" w:space="0"/>
            </w:tcBorders>
            <w:noWrap w:val="0"/>
            <w:vAlign w:val="center"/>
          </w:tcPr>
          <w:p w14:paraId="6B1145EB">
            <w:pPr>
              <w:pStyle w:val="2"/>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套数</w:t>
            </w:r>
          </w:p>
        </w:tc>
        <w:tc>
          <w:tcPr>
            <w:tcW w:w="1450" w:type="dxa"/>
            <w:tcBorders>
              <w:top w:val="single" w:color="auto" w:sz="12" w:space="0"/>
              <w:bottom w:val="double" w:color="auto" w:sz="6" w:space="0"/>
            </w:tcBorders>
            <w:noWrap w:val="0"/>
            <w:vAlign w:val="center"/>
          </w:tcPr>
          <w:p w14:paraId="0092EDFD">
            <w:pPr>
              <w:pStyle w:val="2"/>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费用</w:t>
            </w:r>
            <w:r>
              <w:rPr>
                <w:rFonts w:hint="eastAsia" w:eastAsia="仿宋_GB2312"/>
                <w:color w:val="auto"/>
                <w:sz w:val="28"/>
                <w:szCs w:val="30"/>
                <w:highlight w:val="none"/>
              </w:rPr>
              <w:t>（元）</w:t>
            </w:r>
          </w:p>
        </w:tc>
        <w:tc>
          <w:tcPr>
            <w:tcW w:w="1243" w:type="dxa"/>
            <w:tcBorders>
              <w:top w:val="single" w:color="auto" w:sz="12" w:space="0"/>
              <w:bottom w:val="double" w:color="auto" w:sz="6" w:space="0"/>
            </w:tcBorders>
            <w:noWrap w:val="0"/>
            <w:vAlign w:val="center"/>
          </w:tcPr>
          <w:p w14:paraId="34A7774A">
            <w:pPr>
              <w:pStyle w:val="2"/>
              <w:keepNext/>
              <w:spacing w:after="0" w:line="440" w:lineRule="exact"/>
              <w:ind w:left="63" w:right="63"/>
              <w:rPr>
                <w:rFonts w:eastAsia="仿宋_GB2312"/>
                <w:color w:val="auto"/>
                <w:sz w:val="28"/>
                <w:szCs w:val="30"/>
                <w:highlight w:val="none"/>
              </w:rPr>
            </w:pPr>
            <w:r>
              <w:rPr>
                <w:rFonts w:eastAsia="仿宋_GB2312"/>
                <w:color w:val="auto"/>
                <w:sz w:val="28"/>
                <w:szCs w:val="30"/>
                <w:highlight w:val="none"/>
              </w:rPr>
              <w:t>质量</w:t>
            </w:r>
          </w:p>
        </w:tc>
        <w:tc>
          <w:tcPr>
            <w:tcW w:w="1450" w:type="dxa"/>
            <w:tcBorders>
              <w:top w:val="single" w:color="auto" w:sz="12" w:space="0"/>
              <w:bottom w:val="double" w:color="auto" w:sz="6" w:space="0"/>
            </w:tcBorders>
            <w:noWrap w:val="0"/>
            <w:vAlign w:val="top"/>
          </w:tcPr>
          <w:p w14:paraId="23ACC981">
            <w:pPr>
              <w:spacing w:line="440" w:lineRule="exact"/>
              <w:jc w:val="center"/>
              <w:rPr>
                <w:rFonts w:eastAsia="仿宋_GB2312"/>
                <w:color w:val="auto"/>
                <w:sz w:val="28"/>
                <w:szCs w:val="30"/>
                <w:highlight w:val="none"/>
              </w:rPr>
            </w:pPr>
            <w:r>
              <w:rPr>
                <w:rFonts w:eastAsia="仿宋_GB2312"/>
                <w:color w:val="auto"/>
                <w:sz w:val="28"/>
                <w:szCs w:val="30"/>
                <w:highlight w:val="none"/>
              </w:rPr>
              <w:t>移交时间</w:t>
            </w:r>
          </w:p>
        </w:tc>
        <w:tc>
          <w:tcPr>
            <w:tcW w:w="1667" w:type="dxa"/>
            <w:tcBorders>
              <w:top w:val="single" w:color="auto" w:sz="12" w:space="0"/>
              <w:bottom w:val="double" w:color="auto" w:sz="6" w:space="0"/>
            </w:tcBorders>
            <w:noWrap w:val="0"/>
            <w:vAlign w:val="top"/>
          </w:tcPr>
          <w:p w14:paraId="23ACFA86">
            <w:pPr>
              <w:spacing w:line="440" w:lineRule="exact"/>
              <w:jc w:val="center"/>
              <w:rPr>
                <w:rFonts w:eastAsia="仿宋_GB2312"/>
                <w:color w:val="auto"/>
                <w:sz w:val="28"/>
                <w:szCs w:val="30"/>
                <w:highlight w:val="none"/>
              </w:rPr>
            </w:pPr>
            <w:r>
              <w:rPr>
                <w:rFonts w:eastAsia="仿宋_GB2312"/>
                <w:color w:val="auto"/>
                <w:sz w:val="28"/>
                <w:szCs w:val="30"/>
                <w:highlight w:val="none"/>
              </w:rPr>
              <w:t>责任人</w:t>
            </w:r>
          </w:p>
        </w:tc>
      </w:tr>
      <w:tr w14:paraId="77AA4F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14:paraId="75AB4996">
            <w:pPr>
              <w:pStyle w:val="2"/>
              <w:keepNext/>
              <w:spacing w:after="0" w:line="440" w:lineRule="exact"/>
              <w:ind w:left="63" w:right="63"/>
              <w:rPr>
                <w:rFonts w:eastAsia="仿宋_GB2312"/>
                <w:color w:val="auto"/>
                <w:sz w:val="30"/>
                <w:szCs w:val="30"/>
                <w:highlight w:val="none"/>
              </w:rPr>
            </w:pPr>
          </w:p>
        </w:tc>
        <w:tc>
          <w:tcPr>
            <w:tcW w:w="1276" w:type="dxa"/>
            <w:tcBorders>
              <w:top w:val="double" w:color="auto" w:sz="6" w:space="0"/>
              <w:bottom w:val="single" w:color="auto" w:sz="6" w:space="0"/>
            </w:tcBorders>
            <w:noWrap w:val="0"/>
            <w:vAlign w:val="center"/>
          </w:tcPr>
          <w:p w14:paraId="72299ED3">
            <w:pPr>
              <w:pStyle w:val="2"/>
              <w:keepNext/>
              <w:spacing w:after="0"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noWrap w:val="0"/>
            <w:vAlign w:val="center"/>
          </w:tcPr>
          <w:p w14:paraId="73721256">
            <w:pPr>
              <w:pStyle w:val="2"/>
              <w:keepNext/>
              <w:spacing w:after="0" w:line="440" w:lineRule="exact"/>
              <w:ind w:left="63" w:right="63"/>
              <w:rPr>
                <w:rFonts w:eastAsia="仿宋_GB2312"/>
                <w:color w:val="auto"/>
                <w:sz w:val="30"/>
                <w:szCs w:val="30"/>
                <w:highlight w:val="none"/>
              </w:rPr>
            </w:pPr>
          </w:p>
        </w:tc>
        <w:tc>
          <w:tcPr>
            <w:tcW w:w="1243" w:type="dxa"/>
            <w:tcBorders>
              <w:top w:val="double" w:color="auto" w:sz="6" w:space="0"/>
              <w:bottom w:val="single" w:color="auto" w:sz="6" w:space="0"/>
            </w:tcBorders>
            <w:noWrap w:val="0"/>
            <w:vAlign w:val="center"/>
          </w:tcPr>
          <w:p w14:paraId="48FE6E1A">
            <w:pPr>
              <w:pStyle w:val="2"/>
              <w:keepNext/>
              <w:spacing w:after="0" w:line="440" w:lineRule="exact"/>
              <w:ind w:left="63" w:right="63"/>
              <w:rPr>
                <w:rFonts w:eastAsia="仿宋_GB2312"/>
                <w:color w:val="auto"/>
                <w:sz w:val="30"/>
                <w:szCs w:val="30"/>
                <w:highlight w:val="none"/>
              </w:rPr>
            </w:pPr>
          </w:p>
        </w:tc>
        <w:tc>
          <w:tcPr>
            <w:tcW w:w="1450" w:type="dxa"/>
            <w:tcBorders>
              <w:top w:val="double" w:color="auto" w:sz="6" w:space="0"/>
              <w:bottom w:val="single" w:color="auto" w:sz="6" w:space="0"/>
            </w:tcBorders>
            <w:noWrap w:val="0"/>
            <w:vAlign w:val="center"/>
          </w:tcPr>
          <w:p w14:paraId="6ECEC082">
            <w:pPr>
              <w:pStyle w:val="2"/>
              <w:keepNext/>
              <w:spacing w:after="0" w:line="440" w:lineRule="exact"/>
              <w:ind w:left="63" w:right="63"/>
              <w:rPr>
                <w:rFonts w:eastAsia="仿宋_GB2312"/>
                <w:color w:val="auto"/>
                <w:sz w:val="30"/>
                <w:szCs w:val="30"/>
                <w:highlight w:val="none"/>
              </w:rPr>
            </w:pPr>
          </w:p>
        </w:tc>
        <w:tc>
          <w:tcPr>
            <w:tcW w:w="1667" w:type="dxa"/>
            <w:tcBorders>
              <w:top w:val="double" w:color="auto" w:sz="6" w:space="0"/>
              <w:bottom w:val="single" w:color="auto" w:sz="6" w:space="0"/>
            </w:tcBorders>
            <w:noWrap w:val="0"/>
            <w:vAlign w:val="center"/>
          </w:tcPr>
          <w:p w14:paraId="688CC9E7">
            <w:pPr>
              <w:pStyle w:val="2"/>
              <w:keepNext/>
              <w:spacing w:after="0" w:line="440" w:lineRule="exact"/>
              <w:ind w:left="63" w:right="63"/>
              <w:rPr>
                <w:rFonts w:eastAsia="仿宋_GB2312"/>
                <w:color w:val="auto"/>
                <w:sz w:val="30"/>
                <w:szCs w:val="30"/>
                <w:highlight w:val="none"/>
              </w:rPr>
            </w:pPr>
          </w:p>
        </w:tc>
      </w:tr>
      <w:tr w14:paraId="09824A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14:paraId="0FE36C8E">
            <w:pPr>
              <w:pStyle w:val="2"/>
              <w:keepNext/>
              <w:spacing w:after="0" w:line="440" w:lineRule="exact"/>
              <w:ind w:left="63" w:right="63"/>
              <w:rPr>
                <w:rFonts w:eastAsia="仿宋_GB2312"/>
                <w:color w:val="auto"/>
                <w:sz w:val="30"/>
                <w:szCs w:val="30"/>
                <w:highlight w:val="none"/>
              </w:rPr>
            </w:pPr>
          </w:p>
        </w:tc>
        <w:tc>
          <w:tcPr>
            <w:tcW w:w="1276" w:type="dxa"/>
            <w:tcBorders>
              <w:top w:val="nil"/>
            </w:tcBorders>
            <w:noWrap w:val="0"/>
            <w:vAlign w:val="center"/>
          </w:tcPr>
          <w:p w14:paraId="2AA9D7C5">
            <w:pPr>
              <w:pStyle w:val="2"/>
              <w:keepNext/>
              <w:spacing w:after="0" w:line="440" w:lineRule="exact"/>
              <w:ind w:left="63" w:right="63"/>
              <w:rPr>
                <w:rFonts w:eastAsia="仿宋_GB2312"/>
                <w:color w:val="auto"/>
                <w:sz w:val="30"/>
                <w:szCs w:val="30"/>
                <w:highlight w:val="none"/>
              </w:rPr>
            </w:pPr>
          </w:p>
        </w:tc>
        <w:tc>
          <w:tcPr>
            <w:tcW w:w="1450" w:type="dxa"/>
            <w:tcBorders>
              <w:top w:val="nil"/>
            </w:tcBorders>
            <w:noWrap w:val="0"/>
            <w:vAlign w:val="center"/>
          </w:tcPr>
          <w:p w14:paraId="066FD4A2">
            <w:pPr>
              <w:pStyle w:val="2"/>
              <w:keepNext/>
              <w:spacing w:after="0" w:line="440" w:lineRule="exact"/>
              <w:ind w:left="63" w:right="63"/>
              <w:rPr>
                <w:rFonts w:eastAsia="仿宋_GB2312"/>
                <w:color w:val="auto"/>
                <w:sz w:val="30"/>
                <w:szCs w:val="30"/>
                <w:highlight w:val="none"/>
              </w:rPr>
            </w:pPr>
          </w:p>
        </w:tc>
        <w:tc>
          <w:tcPr>
            <w:tcW w:w="1243" w:type="dxa"/>
            <w:tcBorders>
              <w:top w:val="nil"/>
            </w:tcBorders>
            <w:noWrap w:val="0"/>
            <w:vAlign w:val="center"/>
          </w:tcPr>
          <w:p w14:paraId="449F00F4">
            <w:pPr>
              <w:pStyle w:val="2"/>
              <w:keepNext/>
              <w:spacing w:after="0" w:line="440" w:lineRule="exact"/>
              <w:ind w:left="63" w:right="63"/>
              <w:rPr>
                <w:rFonts w:eastAsia="仿宋_GB2312"/>
                <w:color w:val="auto"/>
                <w:sz w:val="30"/>
                <w:szCs w:val="30"/>
                <w:highlight w:val="none"/>
              </w:rPr>
            </w:pPr>
          </w:p>
        </w:tc>
        <w:tc>
          <w:tcPr>
            <w:tcW w:w="1450" w:type="dxa"/>
            <w:tcBorders>
              <w:top w:val="nil"/>
            </w:tcBorders>
            <w:noWrap w:val="0"/>
            <w:vAlign w:val="center"/>
          </w:tcPr>
          <w:p w14:paraId="21186AA4">
            <w:pPr>
              <w:pStyle w:val="2"/>
              <w:keepNext/>
              <w:spacing w:after="0" w:line="440" w:lineRule="exact"/>
              <w:ind w:left="63" w:right="63"/>
              <w:rPr>
                <w:rFonts w:eastAsia="仿宋_GB2312"/>
                <w:color w:val="auto"/>
                <w:sz w:val="30"/>
                <w:szCs w:val="30"/>
                <w:highlight w:val="none"/>
              </w:rPr>
            </w:pPr>
          </w:p>
        </w:tc>
        <w:tc>
          <w:tcPr>
            <w:tcW w:w="1667" w:type="dxa"/>
            <w:tcBorders>
              <w:top w:val="nil"/>
            </w:tcBorders>
            <w:noWrap w:val="0"/>
            <w:vAlign w:val="center"/>
          </w:tcPr>
          <w:p w14:paraId="633D428A">
            <w:pPr>
              <w:pStyle w:val="2"/>
              <w:keepNext/>
              <w:spacing w:after="0" w:line="440" w:lineRule="exact"/>
              <w:ind w:left="63" w:right="63"/>
              <w:rPr>
                <w:rFonts w:eastAsia="仿宋_GB2312"/>
                <w:color w:val="auto"/>
                <w:sz w:val="30"/>
                <w:szCs w:val="30"/>
                <w:highlight w:val="none"/>
              </w:rPr>
            </w:pPr>
          </w:p>
        </w:tc>
      </w:tr>
      <w:tr w14:paraId="1B679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D6A6388">
            <w:pPr>
              <w:pStyle w:val="2"/>
              <w:keepNext/>
              <w:spacing w:after="0" w:line="440" w:lineRule="exact"/>
              <w:ind w:left="63" w:right="63"/>
              <w:rPr>
                <w:rFonts w:eastAsia="仿宋_GB2312"/>
                <w:color w:val="auto"/>
                <w:sz w:val="30"/>
                <w:szCs w:val="30"/>
                <w:highlight w:val="none"/>
              </w:rPr>
            </w:pPr>
          </w:p>
        </w:tc>
        <w:tc>
          <w:tcPr>
            <w:tcW w:w="1276" w:type="dxa"/>
            <w:noWrap w:val="0"/>
            <w:vAlign w:val="center"/>
          </w:tcPr>
          <w:p w14:paraId="5CD88797">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1E4F903F">
            <w:pPr>
              <w:pStyle w:val="2"/>
              <w:keepNext/>
              <w:spacing w:after="0" w:line="440" w:lineRule="exact"/>
              <w:ind w:left="63" w:right="63"/>
              <w:rPr>
                <w:rFonts w:eastAsia="仿宋_GB2312"/>
                <w:color w:val="auto"/>
                <w:sz w:val="30"/>
                <w:szCs w:val="30"/>
                <w:highlight w:val="none"/>
              </w:rPr>
            </w:pPr>
          </w:p>
        </w:tc>
        <w:tc>
          <w:tcPr>
            <w:tcW w:w="1243" w:type="dxa"/>
            <w:noWrap w:val="0"/>
            <w:vAlign w:val="center"/>
          </w:tcPr>
          <w:p w14:paraId="0B6FC445">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3C8E387D">
            <w:pPr>
              <w:pStyle w:val="2"/>
              <w:keepNext/>
              <w:spacing w:after="0" w:line="440" w:lineRule="exact"/>
              <w:ind w:left="63" w:right="63"/>
              <w:rPr>
                <w:rFonts w:eastAsia="仿宋_GB2312"/>
                <w:color w:val="auto"/>
                <w:sz w:val="30"/>
                <w:szCs w:val="30"/>
                <w:highlight w:val="none"/>
              </w:rPr>
            </w:pPr>
          </w:p>
        </w:tc>
        <w:tc>
          <w:tcPr>
            <w:tcW w:w="1667" w:type="dxa"/>
            <w:noWrap w:val="0"/>
            <w:vAlign w:val="center"/>
          </w:tcPr>
          <w:p w14:paraId="5E24C33A">
            <w:pPr>
              <w:pStyle w:val="2"/>
              <w:keepNext/>
              <w:spacing w:after="0" w:line="440" w:lineRule="exact"/>
              <w:ind w:left="63" w:right="63"/>
              <w:rPr>
                <w:rFonts w:eastAsia="仿宋_GB2312"/>
                <w:color w:val="auto"/>
                <w:sz w:val="30"/>
                <w:szCs w:val="30"/>
                <w:highlight w:val="none"/>
              </w:rPr>
            </w:pPr>
          </w:p>
        </w:tc>
      </w:tr>
      <w:tr w14:paraId="0F7E73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A145565">
            <w:pPr>
              <w:pStyle w:val="2"/>
              <w:keepNext/>
              <w:spacing w:after="0" w:line="440" w:lineRule="exact"/>
              <w:ind w:left="63" w:right="63"/>
              <w:rPr>
                <w:rFonts w:eastAsia="仿宋_GB2312"/>
                <w:color w:val="auto"/>
                <w:sz w:val="30"/>
                <w:szCs w:val="30"/>
                <w:highlight w:val="none"/>
              </w:rPr>
            </w:pPr>
          </w:p>
        </w:tc>
        <w:tc>
          <w:tcPr>
            <w:tcW w:w="1276" w:type="dxa"/>
            <w:noWrap w:val="0"/>
            <w:vAlign w:val="center"/>
          </w:tcPr>
          <w:p w14:paraId="23F8E220">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72EC1DF7">
            <w:pPr>
              <w:pStyle w:val="2"/>
              <w:keepNext/>
              <w:spacing w:after="0" w:line="440" w:lineRule="exact"/>
              <w:ind w:left="63" w:right="63"/>
              <w:rPr>
                <w:rFonts w:eastAsia="仿宋_GB2312"/>
                <w:color w:val="auto"/>
                <w:sz w:val="30"/>
                <w:szCs w:val="30"/>
                <w:highlight w:val="none"/>
              </w:rPr>
            </w:pPr>
          </w:p>
        </w:tc>
        <w:tc>
          <w:tcPr>
            <w:tcW w:w="1243" w:type="dxa"/>
            <w:noWrap w:val="0"/>
            <w:vAlign w:val="center"/>
          </w:tcPr>
          <w:p w14:paraId="31E42CA4">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0C38D989">
            <w:pPr>
              <w:pStyle w:val="2"/>
              <w:keepNext/>
              <w:spacing w:after="0" w:line="440" w:lineRule="exact"/>
              <w:ind w:left="63" w:right="63"/>
              <w:rPr>
                <w:rFonts w:eastAsia="仿宋_GB2312"/>
                <w:color w:val="auto"/>
                <w:sz w:val="30"/>
                <w:szCs w:val="30"/>
                <w:highlight w:val="none"/>
              </w:rPr>
            </w:pPr>
          </w:p>
        </w:tc>
        <w:tc>
          <w:tcPr>
            <w:tcW w:w="1667" w:type="dxa"/>
            <w:noWrap w:val="0"/>
            <w:vAlign w:val="center"/>
          </w:tcPr>
          <w:p w14:paraId="329C48A2">
            <w:pPr>
              <w:pStyle w:val="2"/>
              <w:keepNext/>
              <w:spacing w:after="0" w:line="440" w:lineRule="exact"/>
              <w:ind w:left="63" w:right="63"/>
              <w:rPr>
                <w:rFonts w:eastAsia="仿宋_GB2312"/>
                <w:color w:val="auto"/>
                <w:sz w:val="30"/>
                <w:szCs w:val="30"/>
                <w:highlight w:val="none"/>
              </w:rPr>
            </w:pPr>
          </w:p>
        </w:tc>
      </w:tr>
      <w:tr w14:paraId="75E29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C3BCAF6">
            <w:pPr>
              <w:pStyle w:val="2"/>
              <w:keepNext/>
              <w:spacing w:after="0" w:line="440" w:lineRule="exact"/>
              <w:ind w:left="63" w:right="63"/>
              <w:rPr>
                <w:rFonts w:eastAsia="仿宋_GB2312"/>
                <w:color w:val="auto"/>
                <w:sz w:val="30"/>
                <w:szCs w:val="30"/>
                <w:highlight w:val="none"/>
              </w:rPr>
            </w:pPr>
          </w:p>
        </w:tc>
        <w:tc>
          <w:tcPr>
            <w:tcW w:w="1276" w:type="dxa"/>
            <w:noWrap w:val="0"/>
            <w:vAlign w:val="center"/>
          </w:tcPr>
          <w:p w14:paraId="247A0A80">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6057BE25">
            <w:pPr>
              <w:pStyle w:val="2"/>
              <w:keepNext/>
              <w:spacing w:after="0" w:line="440" w:lineRule="exact"/>
              <w:ind w:left="63" w:right="63"/>
              <w:rPr>
                <w:rFonts w:eastAsia="仿宋_GB2312"/>
                <w:color w:val="auto"/>
                <w:sz w:val="30"/>
                <w:szCs w:val="30"/>
                <w:highlight w:val="none"/>
              </w:rPr>
            </w:pPr>
          </w:p>
        </w:tc>
        <w:tc>
          <w:tcPr>
            <w:tcW w:w="1243" w:type="dxa"/>
            <w:noWrap w:val="0"/>
            <w:vAlign w:val="center"/>
          </w:tcPr>
          <w:p w14:paraId="7476B80C">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470CD5C2">
            <w:pPr>
              <w:pStyle w:val="2"/>
              <w:keepNext/>
              <w:spacing w:after="0" w:line="440" w:lineRule="exact"/>
              <w:ind w:left="63" w:right="63"/>
              <w:rPr>
                <w:rFonts w:eastAsia="仿宋_GB2312"/>
                <w:color w:val="auto"/>
                <w:sz w:val="30"/>
                <w:szCs w:val="30"/>
                <w:highlight w:val="none"/>
              </w:rPr>
            </w:pPr>
          </w:p>
        </w:tc>
        <w:tc>
          <w:tcPr>
            <w:tcW w:w="1667" w:type="dxa"/>
            <w:noWrap w:val="0"/>
            <w:vAlign w:val="center"/>
          </w:tcPr>
          <w:p w14:paraId="05C51639">
            <w:pPr>
              <w:pStyle w:val="2"/>
              <w:keepNext/>
              <w:spacing w:after="0" w:line="440" w:lineRule="exact"/>
              <w:ind w:left="63" w:right="63"/>
              <w:rPr>
                <w:rFonts w:eastAsia="仿宋_GB2312"/>
                <w:color w:val="auto"/>
                <w:sz w:val="30"/>
                <w:szCs w:val="30"/>
                <w:highlight w:val="none"/>
              </w:rPr>
            </w:pPr>
          </w:p>
        </w:tc>
      </w:tr>
      <w:tr w14:paraId="5D246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0D880FED">
            <w:pPr>
              <w:pStyle w:val="2"/>
              <w:keepNext/>
              <w:spacing w:after="0" w:line="440" w:lineRule="exact"/>
              <w:ind w:left="63" w:right="63"/>
              <w:rPr>
                <w:rFonts w:eastAsia="仿宋_GB2312"/>
                <w:color w:val="auto"/>
                <w:sz w:val="30"/>
                <w:szCs w:val="30"/>
                <w:highlight w:val="none"/>
              </w:rPr>
            </w:pPr>
          </w:p>
        </w:tc>
        <w:tc>
          <w:tcPr>
            <w:tcW w:w="1276" w:type="dxa"/>
            <w:noWrap w:val="0"/>
            <w:vAlign w:val="center"/>
          </w:tcPr>
          <w:p w14:paraId="379EA528">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76F69B5C">
            <w:pPr>
              <w:pStyle w:val="2"/>
              <w:keepNext/>
              <w:spacing w:after="0" w:line="440" w:lineRule="exact"/>
              <w:ind w:left="63" w:right="63"/>
              <w:rPr>
                <w:rFonts w:eastAsia="仿宋_GB2312"/>
                <w:color w:val="auto"/>
                <w:sz w:val="30"/>
                <w:szCs w:val="30"/>
                <w:highlight w:val="none"/>
              </w:rPr>
            </w:pPr>
          </w:p>
        </w:tc>
        <w:tc>
          <w:tcPr>
            <w:tcW w:w="1243" w:type="dxa"/>
            <w:noWrap w:val="0"/>
            <w:vAlign w:val="center"/>
          </w:tcPr>
          <w:p w14:paraId="4B4E05D6">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73753D42">
            <w:pPr>
              <w:pStyle w:val="2"/>
              <w:keepNext/>
              <w:spacing w:after="0" w:line="440" w:lineRule="exact"/>
              <w:ind w:left="63" w:right="63"/>
              <w:rPr>
                <w:rFonts w:eastAsia="仿宋_GB2312"/>
                <w:color w:val="auto"/>
                <w:sz w:val="30"/>
                <w:szCs w:val="30"/>
                <w:highlight w:val="none"/>
              </w:rPr>
            </w:pPr>
          </w:p>
        </w:tc>
        <w:tc>
          <w:tcPr>
            <w:tcW w:w="1667" w:type="dxa"/>
            <w:noWrap w:val="0"/>
            <w:vAlign w:val="center"/>
          </w:tcPr>
          <w:p w14:paraId="4F8381E8">
            <w:pPr>
              <w:pStyle w:val="2"/>
              <w:keepNext/>
              <w:spacing w:after="0" w:line="440" w:lineRule="exact"/>
              <w:ind w:left="63" w:right="63"/>
              <w:rPr>
                <w:rFonts w:eastAsia="仿宋_GB2312"/>
                <w:color w:val="auto"/>
                <w:sz w:val="30"/>
                <w:szCs w:val="30"/>
                <w:highlight w:val="none"/>
              </w:rPr>
            </w:pPr>
          </w:p>
        </w:tc>
      </w:tr>
      <w:tr w14:paraId="518458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5A97DEE2">
            <w:pPr>
              <w:pStyle w:val="2"/>
              <w:keepNext/>
              <w:spacing w:after="0" w:line="440" w:lineRule="exact"/>
              <w:ind w:left="63" w:right="63"/>
              <w:rPr>
                <w:rFonts w:eastAsia="仿宋_GB2312"/>
                <w:color w:val="auto"/>
                <w:sz w:val="30"/>
                <w:szCs w:val="30"/>
                <w:highlight w:val="none"/>
              </w:rPr>
            </w:pPr>
          </w:p>
        </w:tc>
        <w:tc>
          <w:tcPr>
            <w:tcW w:w="1276" w:type="dxa"/>
            <w:noWrap w:val="0"/>
            <w:vAlign w:val="center"/>
          </w:tcPr>
          <w:p w14:paraId="4F3D7BEB">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44D8377C">
            <w:pPr>
              <w:pStyle w:val="2"/>
              <w:keepNext/>
              <w:spacing w:after="0" w:line="440" w:lineRule="exact"/>
              <w:ind w:left="63" w:right="63"/>
              <w:rPr>
                <w:rFonts w:eastAsia="仿宋_GB2312"/>
                <w:color w:val="auto"/>
                <w:sz w:val="30"/>
                <w:szCs w:val="30"/>
                <w:highlight w:val="none"/>
              </w:rPr>
            </w:pPr>
          </w:p>
        </w:tc>
        <w:tc>
          <w:tcPr>
            <w:tcW w:w="1243" w:type="dxa"/>
            <w:noWrap w:val="0"/>
            <w:vAlign w:val="center"/>
          </w:tcPr>
          <w:p w14:paraId="1AA8B2F9">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5E712336">
            <w:pPr>
              <w:pStyle w:val="2"/>
              <w:keepNext/>
              <w:spacing w:after="0" w:line="440" w:lineRule="exact"/>
              <w:ind w:left="63" w:right="63"/>
              <w:rPr>
                <w:rFonts w:eastAsia="仿宋_GB2312"/>
                <w:color w:val="auto"/>
                <w:sz w:val="30"/>
                <w:szCs w:val="30"/>
                <w:highlight w:val="none"/>
              </w:rPr>
            </w:pPr>
          </w:p>
        </w:tc>
        <w:tc>
          <w:tcPr>
            <w:tcW w:w="1667" w:type="dxa"/>
            <w:noWrap w:val="0"/>
            <w:vAlign w:val="center"/>
          </w:tcPr>
          <w:p w14:paraId="4B1B9F4C">
            <w:pPr>
              <w:pStyle w:val="2"/>
              <w:keepNext/>
              <w:spacing w:after="0" w:line="440" w:lineRule="exact"/>
              <w:ind w:left="63" w:right="63"/>
              <w:rPr>
                <w:rFonts w:eastAsia="仿宋_GB2312"/>
                <w:color w:val="auto"/>
                <w:sz w:val="30"/>
                <w:szCs w:val="30"/>
                <w:highlight w:val="none"/>
              </w:rPr>
            </w:pPr>
          </w:p>
        </w:tc>
      </w:tr>
      <w:tr w14:paraId="332969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17147BA7">
            <w:pPr>
              <w:pStyle w:val="2"/>
              <w:keepNext/>
              <w:spacing w:after="0" w:line="440" w:lineRule="exact"/>
              <w:ind w:left="63" w:right="63"/>
              <w:rPr>
                <w:rFonts w:eastAsia="仿宋_GB2312"/>
                <w:color w:val="auto"/>
                <w:sz w:val="30"/>
                <w:szCs w:val="30"/>
                <w:highlight w:val="none"/>
              </w:rPr>
            </w:pPr>
          </w:p>
        </w:tc>
        <w:tc>
          <w:tcPr>
            <w:tcW w:w="1276" w:type="dxa"/>
            <w:noWrap w:val="0"/>
            <w:vAlign w:val="center"/>
          </w:tcPr>
          <w:p w14:paraId="41CC5693">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7CEE8855">
            <w:pPr>
              <w:pStyle w:val="2"/>
              <w:keepNext/>
              <w:spacing w:after="0" w:line="440" w:lineRule="exact"/>
              <w:ind w:left="63" w:right="63"/>
              <w:rPr>
                <w:rFonts w:eastAsia="仿宋_GB2312"/>
                <w:color w:val="auto"/>
                <w:sz w:val="30"/>
                <w:szCs w:val="30"/>
                <w:highlight w:val="none"/>
              </w:rPr>
            </w:pPr>
          </w:p>
        </w:tc>
        <w:tc>
          <w:tcPr>
            <w:tcW w:w="1243" w:type="dxa"/>
            <w:noWrap w:val="0"/>
            <w:vAlign w:val="center"/>
          </w:tcPr>
          <w:p w14:paraId="66AF0891">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3EF0FDE3">
            <w:pPr>
              <w:pStyle w:val="2"/>
              <w:keepNext/>
              <w:spacing w:after="0" w:line="440" w:lineRule="exact"/>
              <w:ind w:left="63" w:right="63"/>
              <w:rPr>
                <w:rFonts w:eastAsia="仿宋_GB2312"/>
                <w:color w:val="auto"/>
                <w:sz w:val="30"/>
                <w:szCs w:val="30"/>
                <w:highlight w:val="none"/>
              </w:rPr>
            </w:pPr>
          </w:p>
        </w:tc>
        <w:tc>
          <w:tcPr>
            <w:tcW w:w="1667" w:type="dxa"/>
            <w:noWrap w:val="0"/>
            <w:vAlign w:val="center"/>
          </w:tcPr>
          <w:p w14:paraId="0840514A">
            <w:pPr>
              <w:pStyle w:val="2"/>
              <w:keepNext/>
              <w:spacing w:after="0" w:line="440" w:lineRule="exact"/>
              <w:ind w:left="63" w:right="63"/>
              <w:rPr>
                <w:rFonts w:eastAsia="仿宋_GB2312"/>
                <w:color w:val="auto"/>
                <w:sz w:val="30"/>
                <w:szCs w:val="30"/>
                <w:highlight w:val="none"/>
              </w:rPr>
            </w:pPr>
          </w:p>
        </w:tc>
      </w:tr>
      <w:tr w14:paraId="74700B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025AD7F">
            <w:pPr>
              <w:rPr>
                <w:rFonts w:eastAsia="仿宋_GB2312"/>
                <w:color w:val="auto"/>
                <w:sz w:val="30"/>
                <w:szCs w:val="30"/>
                <w:highlight w:val="none"/>
              </w:rPr>
            </w:pPr>
          </w:p>
        </w:tc>
        <w:tc>
          <w:tcPr>
            <w:tcW w:w="1276" w:type="dxa"/>
            <w:noWrap w:val="0"/>
            <w:vAlign w:val="top"/>
          </w:tcPr>
          <w:p w14:paraId="025E6025">
            <w:pPr>
              <w:rPr>
                <w:rFonts w:eastAsia="仿宋_GB2312"/>
                <w:color w:val="auto"/>
                <w:sz w:val="30"/>
                <w:szCs w:val="30"/>
                <w:highlight w:val="none"/>
              </w:rPr>
            </w:pPr>
          </w:p>
        </w:tc>
        <w:tc>
          <w:tcPr>
            <w:tcW w:w="1450" w:type="dxa"/>
            <w:noWrap w:val="0"/>
            <w:vAlign w:val="top"/>
          </w:tcPr>
          <w:p w14:paraId="12A0459E">
            <w:pPr>
              <w:rPr>
                <w:rFonts w:eastAsia="仿宋_GB2312"/>
                <w:color w:val="auto"/>
                <w:sz w:val="30"/>
                <w:szCs w:val="30"/>
                <w:highlight w:val="none"/>
              </w:rPr>
            </w:pPr>
          </w:p>
        </w:tc>
        <w:tc>
          <w:tcPr>
            <w:tcW w:w="1243" w:type="dxa"/>
            <w:noWrap w:val="0"/>
            <w:vAlign w:val="top"/>
          </w:tcPr>
          <w:p w14:paraId="5C8DCFE5">
            <w:pPr>
              <w:rPr>
                <w:rFonts w:eastAsia="仿宋_GB2312"/>
                <w:color w:val="auto"/>
                <w:sz w:val="30"/>
                <w:szCs w:val="30"/>
                <w:highlight w:val="none"/>
              </w:rPr>
            </w:pPr>
          </w:p>
        </w:tc>
        <w:tc>
          <w:tcPr>
            <w:tcW w:w="1450" w:type="dxa"/>
            <w:noWrap w:val="0"/>
            <w:vAlign w:val="top"/>
          </w:tcPr>
          <w:p w14:paraId="709193FB">
            <w:pPr>
              <w:rPr>
                <w:rFonts w:eastAsia="仿宋_GB2312"/>
                <w:color w:val="auto"/>
                <w:sz w:val="30"/>
                <w:szCs w:val="30"/>
                <w:highlight w:val="none"/>
              </w:rPr>
            </w:pPr>
          </w:p>
        </w:tc>
        <w:tc>
          <w:tcPr>
            <w:tcW w:w="1667" w:type="dxa"/>
            <w:noWrap w:val="0"/>
            <w:vAlign w:val="top"/>
          </w:tcPr>
          <w:p w14:paraId="27DF24B3">
            <w:pPr>
              <w:rPr>
                <w:rFonts w:eastAsia="仿宋_GB2312"/>
                <w:color w:val="auto"/>
                <w:sz w:val="30"/>
                <w:szCs w:val="30"/>
                <w:highlight w:val="none"/>
              </w:rPr>
            </w:pPr>
          </w:p>
        </w:tc>
      </w:tr>
      <w:tr w14:paraId="4A3D05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14:paraId="2529953A">
            <w:pPr>
              <w:pStyle w:val="2"/>
              <w:keepNext/>
              <w:spacing w:after="0" w:line="440" w:lineRule="exact"/>
              <w:ind w:left="63" w:right="63"/>
              <w:rPr>
                <w:rFonts w:eastAsia="仿宋_GB2312"/>
                <w:color w:val="auto"/>
                <w:sz w:val="30"/>
                <w:szCs w:val="30"/>
                <w:highlight w:val="none"/>
              </w:rPr>
            </w:pPr>
          </w:p>
        </w:tc>
        <w:tc>
          <w:tcPr>
            <w:tcW w:w="1276" w:type="dxa"/>
            <w:noWrap w:val="0"/>
            <w:vAlign w:val="center"/>
          </w:tcPr>
          <w:p w14:paraId="09B05404">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11F81323">
            <w:pPr>
              <w:pStyle w:val="2"/>
              <w:keepNext/>
              <w:spacing w:after="0" w:line="440" w:lineRule="exact"/>
              <w:ind w:left="63" w:right="63"/>
              <w:rPr>
                <w:rFonts w:eastAsia="仿宋_GB2312"/>
                <w:color w:val="auto"/>
                <w:sz w:val="30"/>
                <w:szCs w:val="30"/>
                <w:highlight w:val="none"/>
              </w:rPr>
            </w:pPr>
          </w:p>
        </w:tc>
        <w:tc>
          <w:tcPr>
            <w:tcW w:w="1243" w:type="dxa"/>
            <w:noWrap w:val="0"/>
            <w:vAlign w:val="center"/>
          </w:tcPr>
          <w:p w14:paraId="32495577">
            <w:pPr>
              <w:pStyle w:val="2"/>
              <w:keepNext/>
              <w:spacing w:after="0" w:line="440" w:lineRule="exact"/>
              <w:ind w:left="63" w:right="63"/>
              <w:rPr>
                <w:rFonts w:eastAsia="仿宋_GB2312"/>
                <w:color w:val="auto"/>
                <w:sz w:val="30"/>
                <w:szCs w:val="30"/>
                <w:highlight w:val="none"/>
              </w:rPr>
            </w:pPr>
          </w:p>
        </w:tc>
        <w:tc>
          <w:tcPr>
            <w:tcW w:w="1450" w:type="dxa"/>
            <w:noWrap w:val="0"/>
            <w:vAlign w:val="center"/>
          </w:tcPr>
          <w:p w14:paraId="36C2528C">
            <w:pPr>
              <w:pStyle w:val="2"/>
              <w:keepNext/>
              <w:spacing w:after="0" w:line="440" w:lineRule="exact"/>
              <w:ind w:left="63" w:right="63"/>
              <w:rPr>
                <w:rFonts w:eastAsia="仿宋_GB2312"/>
                <w:color w:val="auto"/>
                <w:sz w:val="30"/>
                <w:szCs w:val="30"/>
                <w:highlight w:val="none"/>
              </w:rPr>
            </w:pPr>
          </w:p>
        </w:tc>
        <w:tc>
          <w:tcPr>
            <w:tcW w:w="1667" w:type="dxa"/>
            <w:noWrap w:val="0"/>
            <w:vAlign w:val="center"/>
          </w:tcPr>
          <w:p w14:paraId="4C03F708">
            <w:pPr>
              <w:pStyle w:val="2"/>
              <w:keepNext/>
              <w:spacing w:after="0" w:line="440" w:lineRule="exact"/>
              <w:ind w:left="63" w:right="63"/>
              <w:rPr>
                <w:rFonts w:eastAsia="仿宋_GB2312"/>
                <w:color w:val="auto"/>
                <w:sz w:val="30"/>
                <w:szCs w:val="30"/>
                <w:highlight w:val="none"/>
              </w:rPr>
            </w:pPr>
          </w:p>
        </w:tc>
      </w:tr>
      <w:tr w14:paraId="7553F7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6758ED64">
            <w:pPr>
              <w:rPr>
                <w:rFonts w:eastAsia="仿宋_GB2312"/>
                <w:color w:val="auto"/>
                <w:sz w:val="30"/>
                <w:szCs w:val="30"/>
                <w:highlight w:val="none"/>
              </w:rPr>
            </w:pPr>
          </w:p>
        </w:tc>
        <w:tc>
          <w:tcPr>
            <w:tcW w:w="1276" w:type="dxa"/>
            <w:noWrap w:val="0"/>
            <w:vAlign w:val="top"/>
          </w:tcPr>
          <w:p w14:paraId="279D6347">
            <w:pPr>
              <w:rPr>
                <w:rFonts w:eastAsia="仿宋_GB2312"/>
                <w:color w:val="auto"/>
                <w:sz w:val="30"/>
                <w:szCs w:val="30"/>
                <w:highlight w:val="none"/>
              </w:rPr>
            </w:pPr>
          </w:p>
        </w:tc>
        <w:tc>
          <w:tcPr>
            <w:tcW w:w="1450" w:type="dxa"/>
            <w:noWrap w:val="0"/>
            <w:vAlign w:val="top"/>
          </w:tcPr>
          <w:p w14:paraId="76656F2F">
            <w:pPr>
              <w:rPr>
                <w:rFonts w:eastAsia="仿宋_GB2312"/>
                <w:color w:val="auto"/>
                <w:sz w:val="30"/>
                <w:szCs w:val="30"/>
                <w:highlight w:val="none"/>
              </w:rPr>
            </w:pPr>
          </w:p>
        </w:tc>
        <w:tc>
          <w:tcPr>
            <w:tcW w:w="1243" w:type="dxa"/>
            <w:noWrap w:val="0"/>
            <w:vAlign w:val="top"/>
          </w:tcPr>
          <w:p w14:paraId="58C3647B">
            <w:pPr>
              <w:rPr>
                <w:rFonts w:eastAsia="仿宋_GB2312"/>
                <w:color w:val="auto"/>
                <w:sz w:val="30"/>
                <w:szCs w:val="30"/>
                <w:highlight w:val="none"/>
              </w:rPr>
            </w:pPr>
          </w:p>
        </w:tc>
        <w:tc>
          <w:tcPr>
            <w:tcW w:w="1450" w:type="dxa"/>
            <w:noWrap w:val="0"/>
            <w:vAlign w:val="top"/>
          </w:tcPr>
          <w:p w14:paraId="6B1810E0">
            <w:pPr>
              <w:rPr>
                <w:rFonts w:eastAsia="仿宋_GB2312"/>
                <w:color w:val="auto"/>
                <w:sz w:val="30"/>
                <w:szCs w:val="30"/>
                <w:highlight w:val="none"/>
              </w:rPr>
            </w:pPr>
          </w:p>
        </w:tc>
        <w:tc>
          <w:tcPr>
            <w:tcW w:w="1667" w:type="dxa"/>
            <w:noWrap w:val="0"/>
            <w:vAlign w:val="top"/>
          </w:tcPr>
          <w:p w14:paraId="7FE69BD9">
            <w:pPr>
              <w:rPr>
                <w:rFonts w:eastAsia="仿宋_GB2312"/>
                <w:color w:val="auto"/>
                <w:sz w:val="30"/>
                <w:szCs w:val="30"/>
                <w:highlight w:val="none"/>
              </w:rPr>
            </w:pPr>
          </w:p>
        </w:tc>
      </w:tr>
      <w:tr w14:paraId="2F0EC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5D8FB9E">
            <w:pPr>
              <w:rPr>
                <w:rFonts w:eastAsia="仿宋_GB2312"/>
                <w:color w:val="auto"/>
                <w:sz w:val="30"/>
                <w:szCs w:val="30"/>
                <w:highlight w:val="none"/>
              </w:rPr>
            </w:pPr>
          </w:p>
        </w:tc>
        <w:tc>
          <w:tcPr>
            <w:tcW w:w="1276" w:type="dxa"/>
            <w:noWrap w:val="0"/>
            <w:vAlign w:val="top"/>
          </w:tcPr>
          <w:p w14:paraId="66B49D80">
            <w:pPr>
              <w:rPr>
                <w:rFonts w:eastAsia="仿宋_GB2312"/>
                <w:color w:val="auto"/>
                <w:sz w:val="30"/>
                <w:szCs w:val="30"/>
                <w:highlight w:val="none"/>
              </w:rPr>
            </w:pPr>
          </w:p>
        </w:tc>
        <w:tc>
          <w:tcPr>
            <w:tcW w:w="1450" w:type="dxa"/>
            <w:noWrap w:val="0"/>
            <w:vAlign w:val="top"/>
          </w:tcPr>
          <w:p w14:paraId="44838802">
            <w:pPr>
              <w:rPr>
                <w:rFonts w:eastAsia="仿宋_GB2312"/>
                <w:color w:val="auto"/>
                <w:sz w:val="30"/>
                <w:szCs w:val="30"/>
                <w:highlight w:val="none"/>
              </w:rPr>
            </w:pPr>
          </w:p>
        </w:tc>
        <w:tc>
          <w:tcPr>
            <w:tcW w:w="1243" w:type="dxa"/>
            <w:noWrap w:val="0"/>
            <w:vAlign w:val="top"/>
          </w:tcPr>
          <w:p w14:paraId="30EE4B8B">
            <w:pPr>
              <w:rPr>
                <w:rFonts w:eastAsia="仿宋_GB2312"/>
                <w:color w:val="auto"/>
                <w:sz w:val="30"/>
                <w:szCs w:val="30"/>
                <w:highlight w:val="none"/>
              </w:rPr>
            </w:pPr>
          </w:p>
        </w:tc>
        <w:tc>
          <w:tcPr>
            <w:tcW w:w="1450" w:type="dxa"/>
            <w:noWrap w:val="0"/>
            <w:vAlign w:val="top"/>
          </w:tcPr>
          <w:p w14:paraId="2CC0D6AA">
            <w:pPr>
              <w:rPr>
                <w:rFonts w:eastAsia="仿宋_GB2312"/>
                <w:color w:val="auto"/>
                <w:sz w:val="30"/>
                <w:szCs w:val="30"/>
                <w:highlight w:val="none"/>
              </w:rPr>
            </w:pPr>
          </w:p>
        </w:tc>
        <w:tc>
          <w:tcPr>
            <w:tcW w:w="1667" w:type="dxa"/>
            <w:noWrap w:val="0"/>
            <w:vAlign w:val="top"/>
          </w:tcPr>
          <w:p w14:paraId="1D1B5568">
            <w:pPr>
              <w:rPr>
                <w:rFonts w:eastAsia="仿宋_GB2312"/>
                <w:color w:val="auto"/>
                <w:sz w:val="30"/>
                <w:szCs w:val="30"/>
                <w:highlight w:val="none"/>
              </w:rPr>
            </w:pPr>
          </w:p>
        </w:tc>
      </w:tr>
      <w:tr w14:paraId="66E9C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D414AF5">
            <w:pPr>
              <w:rPr>
                <w:rFonts w:eastAsia="仿宋_GB2312"/>
                <w:color w:val="auto"/>
                <w:sz w:val="30"/>
                <w:szCs w:val="30"/>
                <w:highlight w:val="none"/>
              </w:rPr>
            </w:pPr>
          </w:p>
        </w:tc>
        <w:tc>
          <w:tcPr>
            <w:tcW w:w="1276" w:type="dxa"/>
            <w:noWrap w:val="0"/>
            <w:vAlign w:val="top"/>
          </w:tcPr>
          <w:p w14:paraId="44FF086A">
            <w:pPr>
              <w:rPr>
                <w:rFonts w:eastAsia="仿宋_GB2312"/>
                <w:color w:val="auto"/>
                <w:sz w:val="30"/>
                <w:szCs w:val="30"/>
                <w:highlight w:val="none"/>
              </w:rPr>
            </w:pPr>
          </w:p>
        </w:tc>
        <w:tc>
          <w:tcPr>
            <w:tcW w:w="1450" w:type="dxa"/>
            <w:noWrap w:val="0"/>
            <w:vAlign w:val="top"/>
          </w:tcPr>
          <w:p w14:paraId="2246EDF0">
            <w:pPr>
              <w:rPr>
                <w:rFonts w:eastAsia="仿宋_GB2312"/>
                <w:color w:val="auto"/>
                <w:sz w:val="30"/>
                <w:szCs w:val="30"/>
                <w:highlight w:val="none"/>
              </w:rPr>
            </w:pPr>
          </w:p>
        </w:tc>
        <w:tc>
          <w:tcPr>
            <w:tcW w:w="1243" w:type="dxa"/>
            <w:noWrap w:val="0"/>
            <w:vAlign w:val="top"/>
          </w:tcPr>
          <w:p w14:paraId="635C46F1">
            <w:pPr>
              <w:rPr>
                <w:rFonts w:eastAsia="仿宋_GB2312"/>
                <w:color w:val="auto"/>
                <w:sz w:val="30"/>
                <w:szCs w:val="30"/>
                <w:highlight w:val="none"/>
              </w:rPr>
            </w:pPr>
          </w:p>
        </w:tc>
        <w:tc>
          <w:tcPr>
            <w:tcW w:w="1450" w:type="dxa"/>
            <w:noWrap w:val="0"/>
            <w:vAlign w:val="top"/>
          </w:tcPr>
          <w:p w14:paraId="32A583CA">
            <w:pPr>
              <w:rPr>
                <w:rFonts w:eastAsia="仿宋_GB2312"/>
                <w:color w:val="auto"/>
                <w:sz w:val="30"/>
                <w:szCs w:val="30"/>
                <w:highlight w:val="none"/>
              </w:rPr>
            </w:pPr>
          </w:p>
        </w:tc>
        <w:tc>
          <w:tcPr>
            <w:tcW w:w="1667" w:type="dxa"/>
            <w:noWrap w:val="0"/>
            <w:vAlign w:val="top"/>
          </w:tcPr>
          <w:p w14:paraId="2834CC6C">
            <w:pPr>
              <w:rPr>
                <w:rFonts w:eastAsia="仿宋_GB2312"/>
                <w:color w:val="auto"/>
                <w:sz w:val="30"/>
                <w:szCs w:val="30"/>
                <w:highlight w:val="none"/>
              </w:rPr>
            </w:pPr>
          </w:p>
        </w:tc>
      </w:tr>
      <w:tr w14:paraId="7B8EB8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B2D1D57">
            <w:pPr>
              <w:rPr>
                <w:rFonts w:eastAsia="仿宋_GB2312"/>
                <w:color w:val="auto"/>
                <w:sz w:val="30"/>
                <w:szCs w:val="30"/>
                <w:highlight w:val="none"/>
              </w:rPr>
            </w:pPr>
          </w:p>
        </w:tc>
        <w:tc>
          <w:tcPr>
            <w:tcW w:w="1276" w:type="dxa"/>
            <w:noWrap w:val="0"/>
            <w:vAlign w:val="top"/>
          </w:tcPr>
          <w:p w14:paraId="1C989249">
            <w:pPr>
              <w:rPr>
                <w:rFonts w:eastAsia="仿宋_GB2312"/>
                <w:color w:val="auto"/>
                <w:sz w:val="30"/>
                <w:szCs w:val="30"/>
                <w:highlight w:val="none"/>
              </w:rPr>
            </w:pPr>
          </w:p>
        </w:tc>
        <w:tc>
          <w:tcPr>
            <w:tcW w:w="1450" w:type="dxa"/>
            <w:noWrap w:val="0"/>
            <w:vAlign w:val="top"/>
          </w:tcPr>
          <w:p w14:paraId="35033DEE">
            <w:pPr>
              <w:rPr>
                <w:rFonts w:eastAsia="仿宋_GB2312"/>
                <w:color w:val="auto"/>
                <w:sz w:val="30"/>
                <w:szCs w:val="30"/>
                <w:highlight w:val="none"/>
              </w:rPr>
            </w:pPr>
          </w:p>
        </w:tc>
        <w:tc>
          <w:tcPr>
            <w:tcW w:w="1243" w:type="dxa"/>
            <w:noWrap w:val="0"/>
            <w:vAlign w:val="top"/>
          </w:tcPr>
          <w:p w14:paraId="03F3A687">
            <w:pPr>
              <w:rPr>
                <w:rFonts w:eastAsia="仿宋_GB2312"/>
                <w:color w:val="auto"/>
                <w:sz w:val="30"/>
                <w:szCs w:val="30"/>
                <w:highlight w:val="none"/>
              </w:rPr>
            </w:pPr>
          </w:p>
        </w:tc>
        <w:tc>
          <w:tcPr>
            <w:tcW w:w="1450" w:type="dxa"/>
            <w:noWrap w:val="0"/>
            <w:vAlign w:val="top"/>
          </w:tcPr>
          <w:p w14:paraId="1948C8B5">
            <w:pPr>
              <w:rPr>
                <w:rFonts w:eastAsia="仿宋_GB2312"/>
                <w:color w:val="auto"/>
                <w:sz w:val="30"/>
                <w:szCs w:val="30"/>
                <w:highlight w:val="none"/>
              </w:rPr>
            </w:pPr>
          </w:p>
        </w:tc>
        <w:tc>
          <w:tcPr>
            <w:tcW w:w="1667" w:type="dxa"/>
            <w:noWrap w:val="0"/>
            <w:vAlign w:val="top"/>
          </w:tcPr>
          <w:p w14:paraId="69FABF7F">
            <w:pPr>
              <w:rPr>
                <w:rFonts w:eastAsia="仿宋_GB2312"/>
                <w:color w:val="auto"/>
                <w:sz w:val="30"/>
                <w:szCs w:val="30"/>
                <w:highlight w:val="none"/>
              </w:rPr>
            </w:pPr>
          </w:p>
        </w:tc>
      </w:tr>
      <w:tr w14:paraId="008D4C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320F82CC">
            <w:pPr>
              <w:rPr>
                <w:rFonts w:eastAsia="仿宋_GB2312"/>
                <w:color w:val="auto"/>
                <w:sz w:val="30"/>
                <w:szCs w:val="30"/>
                <w:highlight w:val="none"/>
              </w:rPr>
            </w:pPr>
          </w:p>
        </w:tc>
        <w:tc>
          <w:tcPr>
            <w:tcW w:w="1276" w:type="dxa"/>
            <w:noWrap w:val="0"/>
            <w:vAlign w:val="top"/>
          </w:tcPr>
          <w:p w14:paraId="49838A77">
            <w:pPr>
              <w:rPr>
                <w:rFonts w:eastAsia="仿宋_GB2312"/>
                <w:color w:val="auto"/>
                <w:sz w:val="30"/>
                <w:szCs w:val="30"/>
                <w:highlight w:val="none"/>
              </w:rPr>
            </w:pPr>
          </w:p>
        </w:tc>
        <w:tc>
          <w:tcPr>
            <w:tcW w:w="1450" w:type="dxa"/>
            <w:noWrap w:val="0"/>
            <w:vAlign w:val="top"/>
          </w:tcPr>
          <w:p w14:paraId="408CD56D">
            <w:pPr>
              <w:rPr>
                <w:rFonts w:eastAsia="仿宋_GB2312"/>
                <w:color w:val="auto"/>
                <w:sz w:val="30"/>
                <w:szCs w:val="30"/>
                <w:highlight w:val="none"/>
              </w:rPr>
            </w:pPr>
          </w:p>
        </w:tc>
        <w:tc>
          <w:tcPr>
            <w:tcW w:w="1243" w:type="dxa"/>
            <w:noWrap w:val="0"/>
            <w:vAlign w:val="top"/>
          </w:tcPr>
          <w:p w14:paraId="00A085D1">
            <w:pPr>
              <w:rPr>
                <w:rFonts w:eastAsia="仿宋_GB2312"/>
                <w:color w:val="auto"/>
                <w:sz w:val="30"/>
                <w:szCs w:val="30"/>
                <w:highlight w:val="none"/>
              </w:rPr>
            </w:pPr>
          </w:p>
        </w:tc>
        <w:tc>
          <w:tcPr>
            <w:tcW w:w="1450" w:type="dxa"/>
            <w:noWrap w:val="0"/>
            <w:vAlign w:val="top"/>
          </w:tcPr>
          <w:p w14:paraId="37A28E83">
            <w:pPr>
              <w:rPr>
                <w:rFonts w:eastAsia="仿宋_GB2312"/>
                <w:color w:val="auto"/>
                <w:sz w:val="30"/>
                <w:szCs w:val="30"/>
                <w:highlight w:val="none"/>
              </w:rPr>
            </w:pPr>
          </w:p>
        </w:tc>
        <w:tc>
          <w:tcPr>
            <w:tcW w:w="1667" w:type="dxa"/>
            <w:noWrap w:val="0"/>
            <w:vAlign w:val="top"/>
          </w:tcPr>
          <w:p w14:paraId="4C8BBA83">
            <w:pPr>
              <w:rPr>
                <w:rFonts w:eastAsia="仿宋_GB2312"/>
                <w:color w:val="auto"/>
                <w:sz w:val="30"/>
                <w:szCs w:val="30"/>
                <w:highlight w:val="none"/>
              </w:rPr>
            </w:pPr>
          </w:p>
        </w:tc>
      </w:tr>
      <w:tr w14:paraId="0148B6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EE0BACB">
            <w:pPr>
              <w:rPr>
                <w:rFonts w:eastAsia="仿宋_GB2312"/>
                <w:color w:val="auto"/>
                <w:sz w:val="30"/>
                <w:szCs w:val="30"/>
                <w:highlight w:val="none"/>
              </w:rPr>
            </w:pPr>
          </w:p>
        </w:tc>
        <w:tc>
          <w:tcPr>
            <w:tcW w:w="1276" w:type="dxa"/>
            <w:noWrap w:val="0"/>
            <w:vAlign w:val="top"/>
          </w:tcPr>
          <w:p w14:paraId="56202F6C">
            <w:pPr>
              <w:rPr>
                <w:rFonts w:eastAsia="仿宋_GB2312"/>
                <w:color w:val="auto"/>
                <w:sz w:val="30"/>
                <w:szCs w:val="30"/>
                <w:highlight w:val="none"/>
              </w:rPr>
            </w:pPr>
          </w:p>
        </w:tc>
        <w:tc>
          <w:tcPr>
            <w:tcW w:w="1450" w:type="dxa"/>
            <w:noWrap w:val="0"/>
            <w:vAlign w:val="top"/>
          </w:tcPr>
          <w:p w14:paraId="554D57E5">
            <w:pPr>
              <w:rPr>
                <w:rFonts w:eastAsia="仿宋_GB2312"/>
                <w:color w:val="auto"/>
                <w:sz w:val="30"/>
                <w:szCs w:val="30"/>
                <w:highlight w:val="none"/>
              </w:rPr>
            </w:pPr>
          </w:p>
        </w:tc>
        <w:tc>
          <w:tcPr>
            <w:tcW w:w="1243" w:type="dxa"/>
            <w:noWrap w:val="0"/>
            <w:vAlign w:val="top"/>
          </w:tcPr>
          <w:p w14:paraId="366D2ED9">
            <w:pPr>
              <w:rPr>
                <w:rFonts w:eastAsia="仿宋_GB2312"/>
                <w:color w:val="auto"/>
                <w:sz w:val="30"/>
                <w:szCs w:val="30"/>
                <w:highlight w:val="none"/>
              </w:rPr>
            </w:pPr>
          </w:p>
        </w:tc>
        <w:tc>
          <w:tcPr>
            <w:tcW w:w="1450" w:type="dxa"/>
            <w:noWrap w:val="0"/>
            <w:vAlign w:val="top"/>
          </w:tcPr>
          <w:p w14:paraId="2DFD8D2D">
            <w:pPr>
              <w:rPr>
                <w:rFonts w:eastAsia="仿宋_GB2312"/>
                <w:color w:val="auto"/>
                <w:sz w:val="30"/>
                <w:szCs w:val="30"/>
                <w:highlight w:val="none"/>
              </w:rPr>
            </w:pPr>
          </w:p>
        </w:tc>
        <w:tc>
          <w:tcPr>
            <w:tcW w:w="1667" w:type="dxa"/>
            <w:noWrap w:val="0"/>
            <w:vAlign w:val="top"/>
          </w:tcPr>
          <w:p w14:paraId="413AC618">
            <w:pPr>
              <w:rPr>
                <w:rFonts w:eastAsia="仿宋_GB2312"/>
                <w:color w:val="auto"/>
                <w:sz w:val="30"/>
                <w:szCs w:val="30"/>
                <w:highlight w:val="none"/>
              </w:rPr>
            </w:pPr>
          </w:p>
        </w:tc>
      </w:tr>
      <w:tr w14:paraId="359E55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0C0F16A6">
            <w:pPr>
              <w:rPr>
                <w:rFonts w:eastAsia="仿宋_GB2312"/>
                <w:color w:val="auto"/>
                <w:sz w:val="30"/>
                <w:szCs w:val="30"/>
                <w:highlight w:val="none"/>
              </w:rPr>
            </w:pPr>
          </w:p>
        </w:tc>
        <w:tc>
          <w:tcPr>
            <w:tcW w:w="1276" w:type="dxa"/>
            <w:noWrap w:val="0"/>
            <w:vAlign w:val="top"/>
          </w:tcPr>
          <w:p w14:paraId="6BB64244">
            <w:pPr>
              <w:rPr>
                <w:rFonts w:eastAsia="仿宋_GB2312"/>
                <w:color w:val="auto"/>
                <w:sz w:val="30"/>
                <w:szCs w:val="30"/>
                <w:highlight w:val="none"/>
              </w:rPr>
            </w:pPr>
          </w:p>
        </w:tc>
        <w:tc>
          <w:tcPr>
            <w:tcW w:w="1450" w:type="dxa"/>
            <w:noWrap w:val="0"/>
            <w:vAlign w:val="top"/>
          </w:tcPr>
          <w:p w14:paraId="5DD12DF9">
            <w:pPr>
              <w:rPr>
                <w:rFonts w:eastAsia="仿宋_GB2312"/>
                <w:color w:val="auto"/>
                <w:sz w:val="30"/>
                <w:szCs w:val="30"/>
                <w:highlight w:val="none"/>
              </w:rPr>
            </w:pPr>
          </w:p>
        </w:tc>
        <w:tc>
          <w:tcPr>
            <w:tcW w:w="1243" w:type="dxa"/>
            <w:noWrap w:val="0"/>
            <w:vAlign w:val="top"/>
          </w:tcPr>
          <w:p w14:paraId="788B5CF1">
            <w:pPr>
              <w:rPr>
                <w:rFonts w:eastAsia="仿宋_GB2312"/>
                <w:color w:val="auto"/>
                <w:sz w:val="30"/>
                <w:szCs w:val="30"/>
                <w:highlight w:val="none"/>
              </w:rPr>
            </w:pPr>
          </w:p>
        </w:tc>
        <w:tc>
          <w:tcPr>
            <w:tcW w:w="1450" w:type="dxa"/>
            <w:noWrap w:val="0"/>
            <w:vAlign w:val="top"/>
          </w:tcPr>
          <w:p w14:paraId="661D3E37">
            <w:pPr>
              <w:rPr>
                <w:rFonts w:eastAsia="仿宋_GB2312"/>
                <w:color w:val="auto"/>
                <w:sz w:val="30"/>
                <w:szCs w:val="30"/>
                <w:highlight w:val="none"/>
              </w:rPr>
            </w:pPr>
          </w:p>
        </w:tc>
        <w:tc>
          <w:tcPr>
            <w:tcW w:w="1667" w:type="dxa"/>
            <w:noWrap w:val="0"/>
            <w:vAlign w:val="top"/>
          </w:tcPr>
          <w:p w14:paraId="1DACDA80">
            <w:pPr>
              <w:rPr>
                <w:rFonts w:eastAsia="仿宋_GB2312"/>
                <w:color w:val="auto"/>
                <w:sz w:val="30"/>
                <w:szCs w:val="30"/>
                <w:highlight w:val="none"/>
              </w:rPr>
            </w:pPr>
          </w:p>
        </w:tc>
      </w:tr>
      <w:tr w14:paraId="7EC361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2CD7626">
            <w:pPr>
              <w:rPr>
                <w:rFonts w:eastAsia="仿宋_GB2312"/>
                <w:color w:val="auto"/>
                <w:sz w:val="30"/>
                <w:szCs w:val="30"/>
                <w:highlight w:val="none"/>
              </w:rPr>
            </w:pPr>
          </w:p>
        </w:tc>
        <w:tc>
          <w:tcPr>
            <w:tcW w:w="1276" w:type="dxa"/>
            <w:noWrap w:val="0"/>
            <w:vAlign w:val="top"/>
          </w:tcPr>
          <w:p w14:paraId="7656CDF8">
            <w:pPr>
              <w:rPr>
                <w:rFonts w:eastAsia="仿宋_GB2312"/>
                <w:color w:val="auto"/>
                <w:sz w:val="30"/>
                <w:szCs w:val="30"/>
                <w:highlight w:val="none"/>
              </w:rPr>
            </w:pPr>
          </w:p>
        </w:tc>
        <w:tc>
          <w:tcPr>
            <w:tcW w:w="1450" w:type="dxa"/>
            <w:noWrap w:val="0"/>
            <w:vAlign w:val="top"/>
          </w:tcPr>
          <w:p w14:paraId="315EB925">
            <w:pPr>
              <w:rPr>
                <w:rFonts w:eastAsia="仿宋_GB2312"/>
                <w:color w:val="auto"/>
                <w:sz w:val="30"/>
                <w:szCs w:val="30"/>
                <w:highlight w:val="none"/>
              </w:rPr>
            </w:pPr>
          </w:p>
        </w:tc>
        <w:tc>
          <w:tcPr>
            <w:tcW w:w="1243" w:type="dxa"/>
            <w:noWrap w:val="0"/>
            <w:vAlign w:val="top"/>
          </w:tcPr>
          <w:p w14:paraId="4428A4D0">
            <w:pPr>
              <w:rPr>
                <w:rFonts w:eastAsia="仿宋_GB2312"/>
                <w:color w:val="auto"/>
                <w:sz w:val="30"/>
                <w:szCs w:val="30"/>
                <w:highlight w:val="none"/>
              </w:rPr>
            </w:pPr>
          </w:p>
        </w:tc>
        <w:tc>
          <w:tcPr>
            <w:tcW w:w="1450" w:type="dxa"/>
            <w:noWrap w:val="0"/>
            <w:vAlign w:val="top"/>
          </w:tcPr>
          <w:p w14:paraId="701D360B">
            <w:pPr>
              <w:rPr>
                <w:rFonts w:eastAsia="仿宋_GB2312"/>
                <w:color w:val="auto"/>
                <w:sz w:val="30"/>
                <w:szCs w:val="30"/>
                <w:highlight w:val="none"/>
              </w:rPr>
            </w:pPr>
          </w:p>
        </w:tc>
        <w:tc>
          <w:tcPr>
            <w:tcW w:w="1667" w:type="dxa"/>
            <w:noWrap w:val="0"/>
            <w:vAlign w:val="top"/>
          </w:tcPr>
          <w:p w14:paraId="67EA2171">
            <w:pPr>
              <w:rPr>
                <w:rFonts w:eastAsia="仿宋_GB2312"/>
                <w:color w:val="auto"/>
                <w:sz w:val="30"/>
                <w:szCs w:val="30"/>
                <w:highlight w:val="none"/>
              </w:rPr>
            </w:pPr>
          </w:p>
        </w:tc>
      </w:tr>
      <w:tr w14:paraId="60388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14:paraId="71F9A25F">
            <w:pPr>
              <w:rPr>
                <w:rFonts w:eastAsia="仿宋_GB2312"/>
                <w:color w:val="auto"/>
                <w:sz w:val="30"/>
                <w:szCs w:val="30"/>
                <w:highlight w:val="none"/>
              </w:rPr>
            </w:pPr>
          </w:p>
        </w:tc>
        <w:tc>
          <w:tcPr>
            <w:tcW w:w="1276" w:type="dxa"/>
            <w:noWrap w:val="0"/>
            <w:vAlign w:val="top"/>
          </w:tcPr>
          <w:p w14:paraId="69B34A39">
            <w:pPr>
              <w:rPr>
                <w:rFonts w:eastAsia="仿宋_GB2312"/>
                <w:color w:val="auto"/>
                <w:sz w:val="30"/>
                <w:szCs w:val="30"/>
                <w:highlight w:val="none"/>
              </w:rPr>
            </w:pPr>
          </w:p>
        </w:tc>
        <w:tc>
          <w:tcPr>
            <w:tcW w:w="1450" w:type="dxa"/>
            <w:noWrap w:val="0"/>
            <w:vAlign w:val="top"/>
          </w:tcPr>
          <w:p w14:paraId="7CDCF8B6">
            <w:pPr>
              <w:rPr>
                <w:rFonts w:eastAsia="仿宋_GB2312"/>
                <w:color w:val="auto"/>
                <w:sz w:val="30"/>
                <w:szCs w:val="30"/>
                <w:highlight w:val="none"/>
              </w:rPr>
            </w:pPr>
          </w:p>
        </w:tc>
        <w:tc>
          <w:tcPr>
            <w:tcW w:w="1243" w:type="dxa"/>
            <w:noWrap w:val="0"/>
            <w:vAlign w:val="top"/>
          </w:tcPr>
          <w:p w14:paraId="6E6D63C0">
            <w:pPr>
              <w:rPr>
                <w:rFonts w:eastAsia="仿宋_GB2312"/>
                <w:color w:val="auto"/>
                <w:sz w:val="30"/>
                <w:szCs w:val="30"/>
                <w:highlight w:val="none"/>
              </w:rPr>
            </w:pPr>
          </w:p>
        </w:tc>
        <w:tc>
          <w:tcPr>
            <w:tcW w:w="1450" w:type="dxa"/>
            <w:noWrap w:val="0"/>
            <w:vAlign w:val="top"/>
          </w:tcPr>
          <w:p w14:paraId="307EBFF7">
            <w:pPr>
              <w:rPr>
                <w:rFonts w:eastAsia="仿宋_GB2312"/>
                <w:color w:val="auto"/>
                <w:sz w:val="30"/>
                <w:szCs w:val="30"/>
                <w:highlight w:val="none"/>
              </w:rPr>
            </w:pPr>
          </w:p>
        </w:tc>
        <w:tc>
          <w:tcPr>
            <w:tcW w:w="1667" w:type="dxa"/>
            <w:noWrap w:val="0"/>
            <w:vAlign w:val="top"/>
          </w:tcPr>
          <w:p w14:paraId="05EA8938">
            <w:pPr>
              <w:rPr>
                <w:rFonts w:eastAsia="仿宋_GB2312"/>
                <w:color w:val="auto"/>
                <w:sz w:val="30"/>
                <w:szCs w:val="30"/>
                <w:highlight w:val="none"/>
              </w:rPr>
            </w:pPr>
          </w:p>
        </w:tc>
      </w:tr>
    </w:tbl>
    <w:p w14:paraId="0DDF3C6B">
      <w:pPr>
        <w:spacing w:line="440" w:lineRule="exact"/>
        <w:rPr>
          <w:rFonts w:hint="eastAsia" w:eastAsia="仿宋_GB2312"/>
          <w:color w:val="auto"/>
          <w:sz w:val="30"/>
          <w:szCs w:val="30"/>
          <w:highlight w:val="none"/>
        </w:rPr>
      </w:pPr>
    </w:p>
    <w:p w14:paraId="32232B34">
      <w:pPr>
        <w:spacing w:before="41" w:line="227" w:lineRule="auto"/>
        <w:ind w:left="36"/>
        <w:rPr>
          <w:rFonts w:ascii="宋体" w:hAnsi="宋体" w:eastAsia="宋体" w:cs="宋体"/>
          <w:color w:val="auto"/>
          <w:sz w:val="20"/>
          <w:szCs w:val="20"/>
          <w:highlight w:val="none"/>
        </w:rPr>
      </w:pPr>
      <w:r>
        <w:rPr>
          <w:rFonts w:eastAsia="仿宋_GB2312"/>
          <w:color w:val="auto"/>
          <w:sz w:val="30"/>
          <w:szCs w:val="30"/>
          <w:highlight w:val="none"/>
        </w:rPr>
        <w:br w:type="page"/>
      </w:r>
      <w:r>
        <w:rPr>
          <w:rFonts w:ascii="宋体" w:hAnsi="宋体" w:eastAsia="宋体" w:cs="宋体"/>
          <w:color w:val="auto"/>
          <w:spacing w:val="-4"/>
          <w:sz w:val="20"/>
          <w:szCs w:val="20"/>
          <w:highlight w:val="none"/>
        </w:rPr>
        <w:t>附件</w:t>
      </w:r>
      <w:r>
        <w:rPr>
          <w:rFonts w:ascii="宋体" w:hAnsi="宋体" w:eastAsia="宋体" w:cs="宋体"/>
          <w:color w:val="auto"/>
          <w:spacing w:val="-35"/>
          <w:sz w:val="20"/>
          <w:szCs w:val="20"/>
          <w:highlight w:val="none"/>
        </w:rPr>
        <w:t xml:space="preserve"> </w:t>
      </w:r>
      <w:r>
        <w:rPr>
          <w:rFonts w:hint="eastAsia" w:ascii="宋体" w:hAnsi="宋体" w:eastAsia="宋体" w:cs="宋体"/>
          <w:color w:val="auto"/>
          <w:spacing w:val="-4"/>
          <w:sz w:val="20"/>
          <w:szCs w:val="20"/>
          <w:highlight w:val="none"/>
          <w:lang w:val="en-US" w:eastAsia="zh-CN"/>
        </w:rPr>
        <w:t>3</w:t>
      </w:r>
      <w:r>
        <w:rPr>
          <w:rFonts w:ascii="宋体" w:hAnsi="宋体" w:eastAsia="宋体" w:cs="宋体"/>
          <w:color w:val="auto"/>
          <w:spacing w:val="-4"/>
          <w:sz w:val="20"/>
          <w:szCs w:val="20"/>
          <w:highlight w:val="none"/>
        </w:rPr>
        <w:t>：</w:t>
      </w:r>
    </w:p>
    <w:p w14:paraId="62591264">
      <w:pPr>
        <w:spacing w:before="214" w:line="228" w:lineRule="auto"/>
        <w:ind w:left="393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支付担保</w:t>
      </w:r>
    </w:p>
    <w:p w14:paraId="382349C3">
      <w:pPr>
        <w:tabs>
          <w:tab w:val="left" w:pos="2213"/>
        </w:tabs>
        <w:spacing w:before="213" w:line="228" w:lineRule="auto"/>
        <w:ind w:left="10"/>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9"/>
          <w:sz w:val="20"/>
          <w:szCs w:val="20"/>
          <w:highlight w:val="none"/>
        </w:rPr>
        <w:t>（承包人</w:t>
      </w:r>
      <w:r>
        <w:rPr>
          <w:rFonts w:ascii="宋体" w:hAnsi="宋体" w:eastAsia="宋体" w:cs="宋体"/>
          <w:color w:val="auto"/>
          <w:spacing w:val="1"/>
          <w:sz w:val="20"/>
          <w:szCs w:val="20"/>
          <w:highlight w:val="none"/>
        </w:rPr>
        <w:t>）：</w:t>
      </w:r>
    </w:p>
    <w:p w14:paraId="62474BA4">
      <w:pPr>
        <w:pStyle w:val="2"/>
        <w:spacing w:line="369" w:lineRule="auto"/>
        <w:rPr>
          <w:color w:val="auto"/>
          <w:highlight w:val="none"/>
        </w:rPr>
      </w:pPr>
    </w:p>
    <w:p w14:paraId="787ACFBD">
      <w:pPr>
        <w:spacing w:before="65" w:line="306" w:lineRule="auto"/>
        <w:ind w:left="20" w:right="8" w:firstLine="421"/>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鉴于你方作为承包人已经与</w:t>
      </w:r>
      <w:r>
        <w:rPr>
          <w:rFonts w:ascii="宋体" w:hAnsi="宋体" w:eastAsia="宋体" w:cs="宋体"/>
          <w:color w:val="auto"/>
          <w:spacing w:val="-99"/>
          <w:sz w:val="20"/>
          <w:szCs w:val="20"/>
          <w:highlight w:val="none"/>
        </w:rPr>
        <w:t xml:space="preserve"> </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7"/>
          <w:sz w:val="20"/>
          <w:szCs w:val="20"/>
          <w:highlight w:val="none"/>
        </w:rPr>
        <w:t>（发包人名称</w:t>
      </w:r>
      <w:r>
        <w:rPr>
          <w:rFonts w:ascii="宋体" w:hAnsi="宋体" w:eastAsia="宋体" w:cs="宋体"/>
          <w:color w:val="auto"/>
          <w:spacing w:val="-12"/>
          <w:sz w:val="20"/>
          <w:szCs w:val="20"/>
          <w:highlight w:val="none"/>
        </w:rPr>
        <w:t>）（</w:t>
      </w:r>
      <w:r>
        <w:rPr>
          <w:rFonts w:ascii="宋体" w:hAnsi="宋体" w:eastAsia="宋体" w:cs="宋体"/>
          <w:color w:val="auto"/>
          <w:spacing w:val="7"/>
          <w:sz w:val="20"/>
          <w:szCs w:val="20"/>
          <w:highlight w:val="none"/>
        </w:rPr>
        <w:t>以下称“发包人</w:t>
      </w:r>
      <w:r>
        <w:rPr>
          <w:rFonts w:ascii="宋体" w:hAnsi="宋体" w:eastAsia="宋体" w:cs="宋体"/>
          <w:color w:val="auto"/>
          <w:spacing w:val="-70"/>
          <w:sz w:val="20"/>
          <w:szCs w:val="20"/>
          <w:highlight w:val="none"/>
        </w:rPr>
        <w:t xml:space="preserve"> </w:t>
      </w:r>
      <w:r>
        <w:rPr>
          <w:rFonts w:ascii="宋体" w:hAnsi="宋体" w:eastAsia="宋体" w:cs="宋体"/>
          <w:color w:val="auto"/>
          <w:spacing w:val="7"/>
          <w:sz w:val="20"/>
          <w:szCs w:val="20"/>
          <w:highlight w:val="none"/>
        </w:rPr>
        <w:t>”）于</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2"/>
          <w:sz w:val="20"/>
          <w:szCs w:val="20"/>
          <w:highlight w:val="none"/>
        </w:rPr>
        <w:t>月</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2"/>
          <w:sz w:val="20"/>
          <w:szCs w:val="20"/>
          <w:highlight w:val="none"/>
        </w:rPr>
        <w:t>日签订了</w:t>
      </w:r>
      <w:r>
        <w:rPr>
          <w:rFonts w:ascii="宋体" w:hAnsi="宋体" w:eastAsia="宋体" w:cs="宋体"/>
          <w:color w:val="auto"/>
          <w:spacing w:val="-98"/>
          <w:sz w:val="20"/>
          <w:szCs w:val="20"/>
          <w:highlight w:val="none"/>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2"/>
          <w:sz w:val="20"/>
          <w:szCs w:val="20"/>
          <w:highlight w:val="none"/>
        </w:rPr>
        <w:t>（工程名称）《建设工程施工合同》（以</w:t>
      </w:r>
      <w:r>
        <w:rPr>
          <w:rFonts w:ascii="宋体" w:hAnsi="宋体" w:eastAsia="宋体" w:cs="宋体"/>
          <w:color w:val="auto"/>
          <w:spacing w:val="1"/>
          <w:sz w:val="20"/>
          <w:szCs w:val="20"/>
          <w:highlight w:val="none"/>
        </w:rPr>
        <w:t>下称“主</w:t>
      </w:r>
      <w:r>
        <w:rPr>
          <w:rFonts w:ascii="宋体" w:hAnsi="宋体" w:eastAsia="宋体" w:cs="宋体"/>
          <w:color w:val="auto"/>
          <w:spacing w:val="9"/>
          <w:sz w:val="20"/>
          <w:szCs w:val="20"/>
          <w:highlight w:val="none"/>
        </w:rPr>
        <w:t>合同</w:t>
      </w:r>
      <w:r>
        <w:rPr>
          <w:rFonts w:ascii="宋体" w:hAnsi="宋体" w:eastAsia="宋体" w:cs="宋体"/>
          <w:color w:val="auto"/>
          <w:spacing w:val="-69"/>
          <w:sz w:val="20"/>
          <w:szCs w:val="20"/>
          <w:highlight w:val="none"/>
        </w:rPr>
        <w:t xml:space="preserve"> </w:t>
      </w:r>
      <w:r>
        <w:rPr>
          <w:rFonts w:ascii="宋体" w:hAnsi="宋体" w:eastAsia="宋体" w:cs="宋体"/>
          <w:color w:val="auto"/>
          <w:spacing w:val="9"/>
          <w:sz w:val="20"/>
          <w:szCs w:val="20"/>
          <w:highlight w:val="none"/>
        </w:rPr>
        <w:t>”</w:t>
      </w:r>
      <w:r>
        <w:rPr>
          <w:rFonts w:ascii="宋体" w:hAnsi="宋体" w:eastAsia="宋体" w:cs="宋体"/>
          <w:color w:val="auto"/>
          <w:spacing w:val="7"/>
          <w:sz w:val="20"/>
          <w:szCs w:val="20"/>
          <w:highlight w:val="none"/>
        </w:rPr>
        <w:t>），</w:t>
      </w:r>
      <w:r>
        <w:rPr>
          <w:rFonts w:ascii="宋体" w:hAnsi="宋体" w:eastAsia="宋体" w:cs="宋体"/>
          <w:color w:val="auto"/>
          <w:spacing w:val="9"/>
          <w:sz w:val="20"/>
          <w:szCs w:val="20"/>
          <w:highlight w:val="none"/>
        </w:rPr>
        <w:t>应发包人的申请，我方愿就发包人履行主合同约定的工程款支付义务以保证的方式</w:t>
      </w:r>
      <w:r>
        <w:rPr>
          <w:rFonts w:ascii="宋体" w:hAnsi="宋体" w:eastAsia="宋体" w:cs="宋体"/>
          <w:color w:val="auto"/>
          <w:spacing w:val="7"/>
          <w:sz w:val="20"/>
          <w:szCs w:val="20"/>
          <w:highlight w:val="none"/>
        </w:rPr>
        <w:t>向你方提供如下担保：</w:t>
      </w:r>
    </w:p>
    <w:p w14:paraId="23E932CB">
      <w:pPr>
        <w:spacing w:before="33" w:line="228" w:lineRule="auto"/>
        <w:ind w:left="44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一、保证的范围及保证金额</w:t>
      </w:r>
    </w:p>
    <w:p w14:paraId="14D21C4C">
      <w:pPr>
        <w:spacing w:before="94" w:line="228" w:lineRule="auto"/>
        <w:ind w:left="45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 我方的保证范围是主合同约定的工程款。</w:t>
      </w:r>
    </w:p>
    <w:p w14:paraId="64CE7A86">
      <w:pPr>
        <w:spacing w:before="94" w:line="226" w:lineRule="auto"/>
        <w:jc w:val="right"/>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 本保函所称主合同约定的工程款是指主合同约定的除工程质量保证金以外的合同价款。</w:t>
      </w:r>
    </w:p>
    <w:p w14:paraId="3E8081F8">
      <w:pPr>
        <w:spacing w:before="94" w:line="273" w:lineRule="auto"/>
        <w:ind w:left="25" w:right="490" w:firstLine="41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3. 我方保证的金额是主合同约定的工程款的</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92"/>
          <w:sz w:val="20"/>
          <w:szCs w:val="20"/>
          <w:highlight w:val="none"/>
        </w:rPr>
        <w:t xml:space="preserve"> </w:t>
      </w:r>
      <w:r>
        <w:rPr>
          <w:rFonts w:ascii="宋体" w:hAnsi="宋体" w:eastAsia="宋体" w:cs="宋体"/>
          <w:color w:val="auto"/>
          <w:spacing w:val="9"/>
          <w:sz w:val="20"/>
          <w:szCs w:val="20"/>
          <w:highlight w:val="none"/>
        </w:rPr>
        <w:t>%，数额最高不超过人</w:t>
      </w:r>
      <w:r>
        <w:rPr>
          <w:rFonts w:ascii="宋体" w:hAnsi="宋体" w:eastAsia="宋体" w:cs="宋体"/>
          <w:color w:val="auto"/>
          <w:spacing w:val="8"/>
          <w:sz w:val="20"/>
          <w:szCs w:val="20"/>
          <w:highlight w:val="none"/>
        </w:rPr>
        <w:t>民币元（大</w:t>
      </w:r>
      <w:r>
        <w:rPr>
          <w:rFonts w:ascii="宋体" w:hAnsi="宋体" w:eastAsia="宋体" w:cs="宋体"/>
          <w:color w:val="auto"/>
          <w:spacing w:val="10"/>
          <w:sz w:val="20"/>
          <w:szCs w:val="20"/>
          <w:highlight w:val="none"/>
        </w:rPr>
        <w:t>写</w:t>
      </w:r>
      <w:r>
        <w:rPr>
          <w:rFonts w:ascii="宋体" w:hAnsi="宋体" w:eastAsia="宋体" w:cs="宋体"/>
          <w:color w:val="auto"/>
          <w:spacing w:val="-21"/>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69"/>
          <w:sz w:val="20"/>
          <w:szCs w:val="20"/>
          <w:highlight w:val="none"/>
        </w:rPr>
        <w:t xml:space="preserve"> </w:t>
      </w:r>
      <w:r>
        <w:rPr>
          <w:rFonts w:ascii="宋体" w:hAnsi="宋体" w:eastAsia="宋体" w:cs="宋体"/>
          <w:color w:val="auto"/>
          <w:spacing w:val="-21"/>
          <w:sz w:val="20"/>
          <w:szCs w:val="20"/>
          <w:highlight w:val="none"/>
        </w:rPr>
        <w:t>）</w:t>
      </w:r>
      <w:r>
        <w:rPr>
          <w:rFonts w:ascii="宋体" w:hAnsi="宋体" w:eastAsia="宋体" w:cs="宋体"/>
          <w:color w:val="auto"/>
          <w:spacing w:val="10"/>
          <w:sz w:val="20"/>
          <w:szCs w:val="20"/>
          <w:highlight w:val="none"/>
        </w:rPr>
        <w:t>。</w:t>
      </w:r>
    </w:p>
    <w:p w14:paraId="50B0DCFF">
      <w:pPr>
        <w:spacing w:before="90" w:line="228" w:lineRule="auto"/>
        <w:ind w:left="44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二、保证的方式及保证期间</w:t>
      </w:r>
    </w:p>
    <w:p w14:paraId="6FBCCAF0">
      <w:pPr>
        <w:spacing w:before="93" w:line="228" w:lineRule="auto"/>
        <w:ind w:left="45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1. 我方保证的方式为：连带责任保证。</w:t>
      </w:r>
    </w:p>
    <w:p w14:paraId="6349F9EE">
      <w:pPr>
        <w:spacing w:before="94" w:line="271" w:lineRule="auto"/>
        <w:ind w:left="44" w:right="8" w:firstLine="397"/>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2. 我方保证的期间为：自本合同生效之日起至主合同约定的工程款支付完毕之</w:t>
      </w:r>
      <w:r>
        <w:rPr>
          <w:rFonts w:ascii="宋体" w:hAnsi="宋体" w:eastAsia="宋体" w:cs="宋体"/>
          <w:color w:val="auto"/>
          <w:spacing w:val="6"/>
          <w:sz w:val="20"/>
          <w:szCs w:val="20"/>
          <w:highlight w:val="none"/>
        </w:rPr>
        <w:t>日后</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6"/>
          <w:sz w:val="20"/>
          <w:szCs w:val="20"/>
          <w:highlight w:val="none"/>
        </w:rPr>
        <w:t>日</w:t>
      </w:r>
      <w:r>
        <w:rPr>
          <w:rFonts w:ascii="宋体" w:hAnsi="宋体" w:eastAsia="宋体" w:cs="宋体"/>
          <w:color w:val="auto"/>
          <w:spacing w:val="-13"/>
          <w:sz w:val="20"/>
          <w:szCs w:val="20"/>
          <w:highlight w:val="none"/>
        </w:rPr>
        <w:t>内。</w:t>
      </w:r>
    </w:p>
    <w:p w14:paraId="4A49D146">
      <w:pPr>
        <w:spacing w:before="94" w:line="270" w:lineRule="auto"/>
        <w:ind w:left="20" w:right="10"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 你方与发包人协议变更工程款支付日期的，经我方书面同意后，保证期间按照变更后的</w:t>
      </w:r>
      <w:r>
        <w:rPr>
          <w:rFonts w:ascii="宋体" w:hAnsi="宋体" w:eastAsia="宋体" w:cs="宋体"/>
          <w:color w:val="auto"/>
          <w:spacing w:val="7"/>
          <w:sz w:val="20"/>
          <w:szCs w:val="20"/>
          <w:highlight w:val="none"/>
        </w:rPr>
        <w:t>支付日期做相应调整。</w:t>
      </w:r>
    </w:p>
    <w:p w14:paraId="11CD3E12">
      <w:pPr>
        <w:spacing w:before="94" w:line="228" w:lineRule="auto"/>
        <w:ind w:left="43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三、承担保证责任的形式</w:t>
      </w:r>
    </w:p>
    <w:p w14:paraId="5493465D">
      <w:pPr>
        <w:spacing w:before="94" w:line="300" w:lineRule="auto"/>
        <w:ind w:left="20" w:right="68" w:firstLine="420"/>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我方承担保证责任的形式是代为支付。发包人未按主合同约</w:t>
      </w:r>
      <w:r>
        <w:rPr>
          <w:rFonts w:ascii="宋体" w:hAnsi="宋体" w:eastAsia="宋体" w:cs="宋体"/>
          <w:color w:val="auto"/>
          <w:spacing w:val="9"/>
          <w:sz w:val="20"/>
          <w:szCs w:val="20"/>
          <w:highlight w:val="none"/>
        </w:rPr>
        <w:t>定向你方支付工程款的，由我</w:t>
      </w:r>
      <w:r>
        <w:rPr>
          <w:rFonts w:ascii="宋体" w:hAnsi="宋体" w:eastAsia="宋体" w:cs="宋体"/>
          <w:color w:val="auto"/>
          <w:spacing w:val="8"/>
          <w:sz w:val="20"/>
          <w:szCs w:val="20"/>
          <w:highlight w:val="none"/>
        </w:rPr>
        <w:t>方在保证金额内代为支付。</w:t>
      </w:r>
    </w:p>
    <w:p w14:paraId="57E0E1A5">
      <w:pPr>
        <w:spacing w:before="32" w:line="228" w:lineRule="auto"/>
        <w:ind w:left="459"/>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四、代偿的安排</w:t>
      </w:r>
    </w:p>
    <w:p w14:paraId="643743A9">
      <w:pPr>
        <w:spacing w:before="93" w:line="271" w:lineRule="auto"/>
        <w:ind w:left="22" w:right="10" w:firstLine="43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 你方要求我方承担保证责任的，应向我方发出书面索赔通知及发包人未</w:t>
      </w:r>
      <w:r>
        <w:rPr>
          <w:rFonts w:ascii="宋体" w:hAnsi="宋体" w:eastAsia="宋体" w:cs="宋体"/>
          <w:color w:val="auto"/>
          <w:spacing w:val="7"/>
          <w:sz w:val="20"/>
          <w:szCs w:val="20"/>
          <w:highlight w:val="none"/>
        </w:rPr>
        <w:t>支付主合同约定</w:t>
      </w:r>
      <w:r>
        <w:rPr>
          <w:rFonts w:ascii="宋体" w:hAnsi="宋体" w:eastAsia="宋体" w:cs="宋体"/>
          <w:color w:val="auto"/>
          <w:spacing w:val="9"/>
          <w:sz w:val="20"/>
          <w:szCs w:val="20"/>
          <w:highlight w:val="none"/>
        </w:rPr>
        <w:t>工程款的证明材料。索赔通知应写明要求索赔的金额，支付款项应到达的账号。</w:t>
      </w:r>
    </w:p>
    <w:p w14:paraId="2928003E">
      <w:pPr>
        <w:spacing w:before="94" w:line="285" w:lineRule="auto"/>
        <w:ind w:left="19" w:right="8"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 在出现你方与发包人因工程质量发生争议，发包人拒绝向你方支付工程款的情形时，你</w:t>
      </w:r>
      <w:r>
        <w:rPr>
          <w:rFonts w:ascii="宋体" w:hAnsi="宋体" w:eastAsia="宋体" w:cs="宋体"/>
          <w:color w:val="auto"/>
          <w:spacing w:val="10"/>
          <w:sz w:val="20"/>
          <w:szCs w:val="20"/>
          <w:highlight w:val="none"/>
        </w:rPr>
        <w:t>方要求我方履行保证责任代为支付的，需提供符合相应条件要求的工</w:t>
      </w:r>
      <w:r>
        <w:rPr>
          <w:rFonts w:ascii="宋体" w:hAnsi="宋体" w:eastAsia="宋体" w:cs="宋体"/>
          <w:color w:val="auto"/>
          <w:spacing w:val="9"/>
          <w:sz w:val="20"/>
          <w:szCs w:val="20"/>
          <w:highlight w:val="none"/>
        </w:rPr>
        <w:t>程质量检测机构出具的质</w:t>
      </w:r>
      <w:r>
        <w:rPr>
          <w:rFonts w:ascii="宋体" w:hAnsi="宋体" w:eastAsia="宋体" w:cs="宋体"/>
          <w:color w:val="auto"/>
          <w:spacing w:val="6"/>
          <w:sz w:val="20"/>
          <w:szCs w:val="20"/>
          <w:highlight w:val="none"/>
        </w:rPr>
        <w:t>量说明材料。</w:t>
      </w:r>
    </w:p>
    <w:p w14:paraId="2C4AB344">
      <w:pPr>
        <w:spacing w:before="95" w:line="227" w:lineRule="auto"/>
        <w:ind w:left="443"/>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3. 我方收到你方的书面索赔通知及相应的证明材料</w:t>
      </w:r>
      <w:r>
        <w:rPr>
          <w:rFonts w:ascii="宋体" w:hAnsi="宋体" w:eastAsia="宋体" w:cs="宋体"/>
          <w:color w:val="auto"/>
          <w:spacing w:val="11"/>
          <w:sz w:val="20"/>
          <w:szCs w:val="20"/>
          <w:highlight w:val="none"/>
        </w:rPr>
        <w:t>后7天内无条件支付。</w:t>
      </w:r>
    </w:p>
    <w:p w14:paraId="7EEE8E43">
      <w:pPr>
        <w:spacing w:before="94" w:line="228" w:lineRule="auto"/>
        <w:ind w:left="44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五、保证责任的解除</w:t>
      </w:r>
    </w:p>
    <w:p w14:paraId="3C62F81E">
      <w:pPr>
        <w:spacing w:before="93" w:line="272" w:lineRule="auto"/>
        <w:ind w:left="20" w:right="8" w:firstLine="43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 在本保函承诺的保证期间内，你方未书面向我方主张保证责任的，自保证期间</w:t>
      </w:r>
      <w:r>
        <w:rPr>
          <w:rFonts w:ascii="宋体" w:hAnsi="宋体" w:eastAsia="宋体" w:cs="宋体"/>
          <w:color w:val="auto"/>
          <w:spacing w:val="7"/>
          <w:sz w:val="20"/>
          <w:szCs w:val="20"/>
          <w:highlight w:val="none"/>
        </w:rPr>
        <w:t>届满次日</w:t>
      </w:r>
      <w:r>
        <w:rPr>
          <w:rFonts w:ascii="宋体" w:hAnsi="宋体" w:eastAsia="宋体" w:cs="宋体"/>
          <w:color w:val="auto"/>
          <w:spacing w:val="8"/>
          <w:sz w:val="20"/>
          <w:szCs w:val="20"/>
          <w:highlight w:val="none"/>
        </w:rPr>
        <w:t>起，我方保证责任解除。</w:t>
      </w:r>
    </w:p>
    <w:p w14:paraId="0C9A0807">
      <w:pPr>
        <w:spacing w:before="92" w:line="271" w:lineRule="auto"/>
        <w:ind w:left="55" w:right="10" w:firstLine="386"/>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 发包人按主合同约定履行了工程款的全部支付义务的，自本保函承诺的保证期间届满次</w:t>
      </w:r>
      <w:r>
        <w:rPr>
          <w:rFonts w:ascii="宋体" w:hAnsi="宋体" w:eastAsia="宋体" w:cs="宋体"/>
          <w:color w:val="auto"/>
          <w:spacing w:val="5"/>
          <w:sz w:val="20"/>
          <w:szCs w:val="20"/>
          <w:highlight w:val="none"/>
        </w:rPr>
        <w:t>日起，我方保证责任解除。</w:t>
      </w:r>
    </w:p>
    <w:p w14:paraId="30580571">
      <w:pPr>
        <w:spacing w:before="94" w:line="271" w:lineRule="auto"/>
        <w:ind w:left="20" w:right="10"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 我方按照本保函向你方履行保证责任所支付金额达到本保函保证金额时，自我方向你方</w:t>
      </w:r>
      <w:r>
        <w:rPr>
          <w:rFonts w:ascii="宋体" w:hAnsi="宋体" w:eastAsia="宋体" w:cs="宋体"/>
          <w:color w:val="auto"/>
          <w:spacing w:val="9"/>
          <w:sz w:val="20"/>
          <w:szCs w:val="20"/>
          <w:highlight w:val="none"/>
        </w:rPr>
        <w:t>支付（支付款项从我方账户划出）之日起，保证责任即解除。</w:t>
      </w:r>
    </w:p>
    <w:p w14:paraId="641D0F2A">
      <w:pPr>
        <w:spacing w:before="94" w:line="270" w:lineRule="auto"/>
        <w:ind w:left="19" w:right="10" w:firstLine="41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 按照法律法规的规定或出现应解除我方保证责任的其他情形的，我方在本保函项下的保</w:t>
      </w:r>
      <w:r>
        <w:rPr>
          <w:rFonts w:ascii="宋体" w:hAnsi="宋体" w:eastAsia="宋体" w:cs="宋体"/>
          <w:color w:val="auto"/>
          <w:spacing w:val="7"/>
          <w:sz w:val="20"/>
          <w:szCs w:val="20"/>
          <w:highlight w:val="none"/>
        </w:rPr>
        <w:t>证责任亦解除。</w:t>
      </w:r>
    </w:p>
    <w:p w14:paraId="624951B4">
      <w:pPr>
        <w:spacing w:before="94" w:line="272" w:lineRule="auto"/>
        <w:ind w:left="20" w:right="10"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 我方解除保证责任后，你方应自我方保证责任解除之日起</w:t>
      </w:r>
      <w:r>
        <w:rPr>
          <w:rFonts w:ascii="宋体" w:hAnsi="宋体" w:eastAsia="宋体" w:cs="宋体"/>
          <w:color w:val="auto"/>
          <w:spacing w:val="-97"/>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8"/>
          <w:sz w:val="20"/>
          <w:szCs w:val="20"/>
          <w:highlight w:val="none"/>
        </w:rPr>
        <w:t>个工作日内</w:t>
      </w:r>
      <w:r>
        <w:rPr>
          <w:rFonts w:ascii="宋体" w:hAnsi="宋体" w:eastAsia="宋体" w:cs="宋体"/>
          <w:color w:val="auto"/>
          <w:spacing w:val="7"/>
          <w:sz w:val="20"/>
          <w:szCs w:val="20"/>
          <w:highlight w:val="none"/>
        </w:rPr>
        <w:t>，将本保函原件</w:t>
      </w:r>
      <w:r>
        <w:rPr>
          <w:rFonts w:ascii="宋体" w:hAnsi="宋体" w:eastAsia="宋体" w:cs="宋体"/>
          <w:color w:val="auto"/>
          <w:spacing w:val="5"/>
          <w:sz w:val="20"/>
          <w:szCs w:val="20"/>
          <w:highlight w:val="none"/>
        </w:rPr>
        <w:t>返还我方。</w:t>
      </w:r>
    </w:p>
    <w:p w14:paraId="1FCAB902">
      <w:pPr>
        <w:spacing w:line="272" w:lineRule="auto"/>
        <w:rPr>
          <w:rFonts w:ascii="宋体" w:hAnsi="宋体" w:eastAsia="宋体" w:cs="宋体"/>
          <w:color w:val="auto"/>
          <w:sz w:val="20"/>
          <w:szCs w:val="20"/>
          <w:highlight w:val="none"/>
        </w:rPr>
        <w:sectPr>
          <w:footerReference r:id="rId54" w:type="default"/>
          <w:pgSz w:w="11907" w:h="16840"/>
          <w:pgMar w:top="1428" w:right="1432" w:bottom="1014" w:left="1786" w:header="0" w:footer="852" w:gutter="0"/>
          <w:pgNumType w:fmt="decimal"/>
          <w:cols w:space="720" w:num="1"/>
        </w:sectPr>
      </w:pPr>
    </w:p>
    <w:p w14:paraId="76757959">
      <w:pPr>
        <w:spacing w:before="41" w:line="228" w:lineRule="auto"/>
        <w:ind w:left="44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六、免责条款</w:t>
      </w:r>
    </w:p>
    <w:p w14:paraId="16792F7B">
      <w:pPr>
        <w:spacing w:before="93" w:line="228" w:lineRule="auto"/>
        <w:ind w:left="45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 因你方违约致使发包人不能履行义务的，我方不承担保证责任。</w:t>
      </w:r>
    </w:p>
    <w:p w14:paraId="39F6B5FD">
      <w:pPr>
        <w:spacing w:before="94" w:line="271" w:lineRule="auto"/>
        <w:ind w:left="24" w:right="2" w:firstLine="417"/>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 依照法律法规的规定或你方与发包人的另行约定，免除发包人部分或全部义务的，我方</w:t>
      </w:r>
      <w:r>
        <w:rPr>
          <w:rFonts w:ascii="宋体" w:hAnsi="宋体" w:eastAsia="宋体" w:cs="宋体"/>
          <w:color w:val="auto"/>
          <w:spacing w:val="7"/>
          <w:sz w:val="20"/>
          <w:szCs w:val="20"/>
          <w:highlight w:val="none"/>
        </w:rPr>
        <w:t>亦免除其相应的保证责任。</w:t>
      </w:r>
    </w:p>
    <w:p w14:paraId="28185F06">
      <w:pPr>
        <w:spacing w:before="92" w:line="285" w:lineRule="auto"/>
        <w:ind w:left="21"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 你方与发包人协议变更主合同的，如加重发包人责任致使我方保证责任加重的，需征得我方书面同意，否则我方不再承担因此而加重部</w:t>
      </w:r>
      <w:r>
        <w:rPr>
          <w:rFonts w:ascii="宋体" w:hAnsi="宋体" w:eastAsia="宋体" w:cs="宋体"/>
          <w:color w:val="auto"/>
          <w:spacing w:val="7"/>
          <w:sz w:val="20"/>
          <w:szCs w:val="20"/>
          <w:highlight w:val="none"/>
        </w:rPr>
        <w:t>分的保证责任，但主合同第</w:t>
      </w:r>
      <w:r>
        <w:rPr>
          <w:rFonts w:ascii="宋体" w:hAnsi="宋体" w:eastAsia="宋体" w:cs="宋体"/>
          <w:color w:val="auto"/>
          <w:spacing w:val="-21"/>
          <w:sz w:val="20"/>
          <w:szCs w:val="20"/>
          <w:highlight w:val="none"/>
        </w:rPr>
        <w:t xml:space="preserve"> </w:t>
      </w:r>
      <w:r>
        <w:rPr>
          <w:rFonts w:ascii="宋体" w:hAnsi="宋体" w:eastAsia="宋体" w:cs="宋体"/>
          <w:color w:val="auto"/>
          <w:spacing w:val="7"/>
          <w:sz w:val="20"/>
          <w:szCs w:val="20"/>
          <w:highlight w:val="none"/>
        </w:rPr>
        <w:t>10</w:t>
      </w:r>
      <w:r>
        <w:rPr>
          <w:rFonts w:ascii="宋体" w:hAnsi="宋体" w:eastAsia="宋体" w:cs="宋体"/>
          <w:color w:val="auto"/>
          <w:spacing w:val="-39"/>
          <w:sz w:val="20"/>
          <w:szCs w:val="20"/>
          <w:highlight w:val="none"/>
        </w:rPr>
        <w:t xml:space="preserve"> </w:t>
      </w:r>
      <w:r>
        <w:rPr>
          <w:rFonts w:ascii="宋体" w:hAnsi="宋体" w:eastAsia="宋体" w:cs="宋体"/>
          <w:color w:val="auto"/>
          <w:spacing w:val="7"/>
          <w:sz w:val="20"/>
          <w:szCs w:val="20"/>
          <w:highlight w:val="none"/>
        </w:rPr>
        <w:t>条〔变更〕约定的变更不受本款限制。</w:t>
      </w:r>
    </w:p>
    <w:p w14:paraId="7EF48707">
      <w:pPr>
        <w:spacing w:before="95" w:line="228" w:lineRule="auto"/>
        <w:ind w:left="43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 因不可抗力造成发包人不能履行义务的，我方不承担</w:t>
      </w:r>
      <w:r>
        <w:rPr>
          <w:rFonts w:ascii="宋体" w:hAnsi="宋体" w:eastAsia="宋体" w:cs="宋体"/>
          <w:color w:val="auto"/>
          <w:spacing w:val="8"/>
          <w:sz w:val="20"/>
          <w:szCs w:val="20"/>
          <w:highlight w:val="none"/>
        </w:rPr>
        <w:t>保证责任。</w:t>
      </w:r>
    </w:p>
    <w:p w14:paraId="4E4F0251">
      <w:pPr>
        <w:spacing w:before="93" w:line="228" w:lineRule="auto"/>
        <w:ind w:left="43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七、争议解决</w:t>
      </w:r>
    </w:p>
    <w:p w14:paraId="12084EB7">
      <w:pPr>
        <w:spacing w:before="94" w:line="300" w:lineRule="auto"/>
        <w:ind w:left="20" w:firstLine="43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因本保函或本保函相关事项发生的纠纷，可由双方协商解决，协商不成的，按下列第</w:t>
      </w:r>
      <w:r>
        <w:rPr>
          <w:rFonts w:ascii="宋体" w:hAnsi="宋体" w:eastAsia="宋体" w:cs="宋体"/>
          <w:color w:val="auto"/>
          <w:spacing w:val="-87"/>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2"/>
          <w:sz w:val="20"/>
          <w:szCs w:val="20"/>
          <w:highlight w:val="none"/>
        </w:rPr>
        <w:t>种</w:t>
      </w:r>
      <w:r>
        <w:rPr>
          <w:rFonts w:ascii="宋体" w:hAnsi="宋体" w:eastAsia="宋体" w:cs="宋体"/>
          <w:color w:val="auto"/>
          <w:spacing w:val="5"/>
          <w:sz w:val="20"/>
          <w:szCs w:val="20"/>
          <w:highlight w:val="none"/>
        </w:rPr>
        <w:t>方式解决：</w:t>
      </w:r>
    </w:p>
    <w:p w14:paraId="11DC1B01">
      <w:pPr>
        <w:spacing w:before="30" w:line="227" w:lineRule="auto"/>
        <w:ind w:left="449"/>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（1）向</w:t>
      </w:r>
      <w:r>
        <w:rPr>
          <w:rFonts w:ascii="宋体" w:hAnsi="宋体" w:eastAsia="宋体" w:cs="宋体"/>
          <w:color w:val="auto"/>
          <w:spacing w:val="-88"/>
          <w:sz w:val="20"/>
          <w:szCs w:val="20"/>
          <w:highlight w:val="none"/>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6"/>
          <w:sz w:val="20"/>
          <w:szCs w:val="20"/>
          <w:highlight w:val="none"/>
        </w:rPr>
        <w:t>仲裁委员会申请仲裁；</w:t>
      </w:r>
    </w:p>
    <w:p w14:paraId="15A6CFD8">
      <w:pPr>
        <w:spacing w:before="98" w:line="270" w:lineRule="auto"/>
        <w:ind w:left="443" w:right="3874" w:firstLine="6"/>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（2）向</w:t>
      </w:r>
      <w:r>
        <w:rPr>
          <w:rFonts w:ascii="宋体" w:hAnsi="宋体" w:eastAsia="宋体" w:cs="宋体"/>
          <w:color w:val="auto"/>
          <w:spacing w:val="-94"/>
          <w:sz w:val="20"/>
          <w:szCs w:val="20"/>
          <w:highlight w:val="none"/>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85"/>
          <w:sz w:val="20"/>
          <w:szCs w:val="20"/>
          <w:highlight w:val="none"/>
        </w:rPr>
        <w:t xml:space="preserve"> </w:t>
      </w:r>
      <w:r>
        <w:rPr>
          <w:rFonts w:ascii="宋体" w:hAnsi="宋体" w:eastAsia="宋体" w:cs="宋体"/>
          <w:color w:val="auto"/>
          <w:spacing w:val="3"/>
          <w:sz w:val="20"/>
          <w:szCs w:val="20"/>
          <w:highlight w:val="none"/>
        </w:rPr>
        <w:t>人民法院起诉。</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八、保函的生效</w:t>
      </w:r>
    </w:p>
    <w:p w14:paraId="66648B94">
      <w:pPr>
        <w:spacing w:before="93" w:line="227" w:lineRule="auto"/>
        <w:ind w:left="440"/>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本保函自我方法定代表人（或其授权代理人）签字并加盖公章之日起生效。</w:t>
      </w:r>
    </w:p>
    <w:p w14:paraId="6C86660F">
      <w:pPr>
        <w:pStyle w:val="2"/>
        <w:spacing w:line="353" w:lineRule="auto"/>
        <w:rPr>
          <w:color w:val="auto"/>
          <w:highlight w:val="none"/>
        </w:rPr>
      </w:pPr>
    </w:p>
    <w:p w14:paraId="0E3F33BD">
      <w:pPr>
        <w:pStyle w:val="2"/>
        <w:spacing w:line="354" w:lineRule="auto"/>
        <w:rPr>
          <w:color w:val="auto"/>
          <w:highlight w:val="none"/>
        </w:rPr>
      </w:pPr>
    </w:p>
    <w:p w14:paraId="547CA4F5">
      <w:pPr>
        <w:tabs>
          <w:tab w:val="left" w:pos="5259"/>
        </w:tabs>
        <w:spacing w:before="66" w:line="308" w:lineRule="auto"/>
        <w:ind w:left="18" w:right="3335" w:firstLine="2"/>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担保人</w:t>
      </w:r>
      <w:r>
        <w:rPr>
          <w:rFonts w:ascii="宋体" w:hAnsi="宋体" w:eastAsia="宋体" w:cs="宋体"/>
          <w:color w:val="auto"/>
          <w:spacing w:val="-6"/>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10"/>
          <w:sz w:val="20"/>
          <w:szCs w:val="20"/>
          <w:highlight w:val="none"/>
        </w:rPr>
        <w:t>盖章）法定代表人或委托代理人</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10"/>
          <w:sz w:val="20"/>
          <w:szCs w:val="20"/>
          <w:highlight w:val="none"/>
        </w:rPr>
        <w:t>签字）</w:t>
      </w:r>
      <w:r>
        <w:rPr>
          <w:rFonts w:ascii="宋体" w:hAnsi="宋体" w:eastAsia="宋体" w:cs="宋体"/>
          <w:color w:val="auto"/>
          <w:spacing w:val="-5"/>
          <w:sz w:val="20"/>
          <w:szCs w:val="20"/>
          <w:highlight w:val="none"/>
        </w:rPr>
        <w:t>地</w:t>
      </w:r>
      <w:r>
        <w:rPr>
          <w:rFonts w:ascii="宋体" w:hAnsi="宋体" w:eastAsia="宋体" w:cs="宋体"/>
          <w:color w:val="auto"/>
          <w:spacing w:val="7"/>
          <w:sz w:val="20"/>
          <w:szCs w:val="20"/>
          <w:highlight w:val="none"/>
        </w:rPr>
        <w:t xml:space="preserve">    </w:t>
      </w:r>
      <w:r>
        <w:rPr>
          <w:rFonts w:ascii="宋体" w:hAnsi="宋体" w:eastAsia="宋体" w:cs="宋体"/>
          <w:color w:val="auto"/>
          <w:spacing w:val="-5"/>
          <w:sz w:val="20"/>
          <w:szCs w:val="20"/>
          <w:highlight w:val="none"/>
        </w:rPr>
        <w:t>址</w:t>
      </w:r>
      <w:r>
        <w:rPr>
          <w:rFonts w:ascii="宋体" w:hAnsi="宋体" w:eastAsia="宋体" w:cs="宋体"/>
          <w:color w:val="auto"/>
          <w:spacing w:val="-73"/>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邮政编码：</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传</w:t>
      </w:r>
      <w:r>
        <w:rPr>
          <w:rFonts w:ascii="宋体" w:hAnsi="宋体" w:eastAsia="宋体" w:cs="宋体"/>
          <w:color w:val="auto"/>
          <w:spacing w:val="7"/>
          <w:sz w:val="20"/>
          <w:szCs w:val="20"/>
          <w:highlight w:val="none"/>
        </w:rPr>
        <w:t xml:space="preserve">    </w:t>
      </w:r>
      <w:r>
        <w:rPr>
          <w:rFonts w:ascii="宋体" w:hAnsi="宋体" w:eastAsia="宋体" w:cs="宋体"/>
          <w:color w:val="auto"/>
          <w:spacing w:val="-5"/>
          <w:sz w:val="20"/>
          <w:szCs w:val="20"/>
          <w:highlight w:val="none"/>
        </w:rPr>
        <w:t>真</w:t>
      </w:r>
      <w:r>
        <w:rPr>
          <w:rFonts w:ascii="宋体" w:hAnsi="宋体" w:eastAsia="宋体" w:cs="宋体"/>
          <w:color w:val="auto"/>
          <w:spacing w:val="-73"/>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color="auto"/>
        </w:rPr>
        <w:t xml:space="preserve">                                          </w:t>
      </w:r>
    </w:p>
    <w:p w14:paraId="52C910F9">
      <w:pPr>
        <w:pStyle w:val="2"/>
        <w:spacing w:line="306" w:lineRule="auto"/>
        <w:rPr>
          <w:color w:val="auto"/>
          <w:highlight w:val="none"/>
        </w:rPr>
      </w:pPr>
    </w:p>
    <w:p w14:paraId="2BB3630A">
      <w:pPr>
        <w:tabs>
          <w:tab w:val="left" w:pos="3370"/>
        </w:tabs>
        <w:spacing w:before="65" w:line="228" w:lineRule="auto"/>
        <w:ind w:left="1793"/>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89"/>
          <w:sz w:val="20"/>
          <w:szCs w:val="20"/>
          <w:highlight w:val="none"/>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2"/>
          <w:sz w:val="20"/>
          <w:szCs w:val="20"/>
          <w:highlight w:val="none"/>
        </w:rPr>
        <w:t>日</w:t>
      </w:r>
    </w:p>
    <w:p w14:paraId="7705C8AA">
      <w:pPr>
        <w:spacing w:line="228" w:lineRule="auto"/>
        <w:rPr>
          <w:rFonts w:ascii="宋体" w:hAnsi="宋体" w:eastAsia="宋体" w:cs="宋体"/>
          <w:color w:val="auto"/>
          <w:sz w:val="20"/>
          <w:szCs w:val="20"/>
          <w:highlight w:val="none"/>
        </w:rPr>
        <w:sectPr>
          <w:footerReference r:id="rId55" w:type="default"/>
          <w:pgSz w:w="11907" w:h="16840"/>
          <w:pgMar w:top="1428" w:right="1440" w:bottom="1014" w:left="1786" w:header="0" w:footer="852" w:gutter="0"/>
          <w:pgNumType w:fmt="decimal"/>
          <w:cols w:space="720" w:num="1"/>
        </w:sectPr>
      </w:pPr>
    </w:p>
    <w:p w14:paraId="0C207558">
      <w:pPr>
        <w:spacing w:before="41" w:line="227" w:lineRule="auto"/>
        <w:ind w:left="599"/>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附件</w:t>
      </w:r>
      <w:r>
        <w:rPr>
          <w:rFonts w:ascii="宋体" w:hAnsi="宋体" w:eastAsia="宋体" w:cs="宋体"/>
          <w:color w:val="auto"/>
          <w:spacing w:val="-35"/>
          <w:sz w:val="20"/>
          <w:szCs w:val="20"/>
          <w:highlight w:val="none"/>
        </w:rPr>
        <w:t xml:space="preserve"> </w:t>
      </w:r>
      <w:r>
        <w:rPr>
          <w:rFonts w:hint="eastAsia" w:ascii="宋体" w:hAnsi="宋体" w:eastAsia="宋体" w:cs="宋体"/>
          <w:color w:val="auto"/>
          <w:spacing w:val="-4"/>
          <w:sz w:val="20"/>
          <w:szCs w:val="20"/>
          <w:highlight w:val="none"/>
          <w:lang w:val="en-US" w:eastAsia="zh-CN"/>
        </w:rPr>
        <w:t>4</w:t>
      </w:r>
      <w:r>
        <w:rPr>
          <w:rFonts w:ascii="宋体" w:hAnsi="宋体" w:eastAsia="宋体" w:cs="宋体"/>
          <w:color w:val="auto"/>
          <w:spacing w:val="-4"/>
          <w:sz w:val="20"/>
          <w:szCs w:val="20"/>
          <w:highlight w:val="none"/>
        </w:rPr>
        <w:t>：</w:t>
      </w:r>
    </w:p>
    <w:p w14:paraId="67B0B243">
      <w:pPr>
        <w:spacing w:before="214" w:line="228" w:lineRule="auto"/>
        <w:ind w:left="365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承包人主要施工管理人员表</w:t>
      </w:r>
    </w:p>
    <w:p w14:paraId="3779E3CB">
      <w:pPr>
        <w:spacing w:line="183" w:lineRule="exact"/>
        <w:rPr>
          <w:color w:val="auto"/>
          <w:highlight w:val="none"/>
        </w:rPr>
      </w:pPr>
    </w:p>
    <w:tbl>
      <w:tblPr>
        <w:tblStyle w:val="14"/>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14:paraId="24E3E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875" w:type="dxa"/>
            <w:vAlign w:val="top"/>
          </w:tcPr>
          <w:p w14:paraId="3A47782B">
            <w:pPr>
              <w:pStyle w:val="15"/>
              <w:spacing w:before="35" w:line="230" w:lineRule="auto"/>
              <w:ind w:left="101"/>
              <w:rPr>
                <w:color w:val="auto"/>
                <w:highlight w:val="none"/>
              </w:rPr>
            </w:pPr>
            <w:r>
              <w:rPr>
                <w:color w:val="auto"/>
                <w:highlight w:val="none"/>
              </w:rPr>
              <w:t>名</w:t>
            </w:r>
            <w:r>
              <w:rPr>
                <w:color w:val="auto"/>
                <w:spacing w:val="7"/>
                <w:highlight w:val="none"/>
              </w:rPr>
              <w:t xml:space="preserve">    </w:t>
            </w:r>
            <w:r>
              <w:rPr>
                <w:color w:val="auto"/>
                <w:highlight w:val="none"/>
              </w:rPr>
              <w:t>称</w:t>
            </w:r>
          </w:p>
        </w:tc>
        <w:tc>
          <w:tcPr>
            <w:tcW w:w="1417" w:type="dxa"/>
            <w:vAlign w:val="top"/>
          </w:tcPr>
          <w:p w14:paraId="2F8BEC66">
            <w:pPr>
              <w:pStyle w:val="15"/>
              <w:spacing w:before="35" w:line="228" w:lineRule="auto"/>
              <w:ind w:left="95"/>
              <w:rPr>
                <w:color w:val="auto"/>
                <w:highlight w:val="none"/>
              </w:rPr>
            </w:pPr>
            <w:r>
              <w:rPr>
                <w:color w:val="auto"/>
                <w:spacing w:val="4"/>
                <w:highlight w:val="none"/>
              </w:rPr>
              <w:t>姓名</w:t>
            </w:r>
          </w:p>
        </w:tc>
        <w:tc>
          <w:tcPr>
            <w:tcW w:w="1133" w:type="dxa"/>
            <w:vAlign w:val="top"/>
          </w:tcPr>
          <w:p w14:paraId="42759492">
            <w:pPr>
              <w:pStyle w:val="15"/>
              <w:spacing w:before="35" w:line="228" w:lineRule="auto"/>
              <w:ind w:left="97"/>
              <w:rPr>
                <w:color w:val="auto"/>
                <w:highlight w:val="none"/>
              </w:rPr>
            </w:pPr>
            <w:r>
              <w:rPr>
                <w:color w:val="auto"/>
                <w:spacing w:val="4"/>
                <w:highlight w:val="none"/>
              </w:rPr>
              <w:t>职务</w:t>
            </w:r>
          </w:p>
        </w:tc>
        <w:tc>
          <w:tcPr>
            <w:tcW w:w="1133" w:type="dxa"/>
            <w:vAlign w:val="top"/>
          </w:tcPr>
          <w:p w14:paraId="5E274C4F">
            <w:pPr>
              <w:pStyle w:val="15"/>
              <w:spacing w:before="35" w:line="230" w:lineRule="auto"/>
              <w:ind w:left="97"/>
              <w:rPr>
                <w:color w:val="auto"/>
                <w:highlight w:val="none"/>
              </w:rPr>
            </w:pPr>
            <w:r>
              <w:rPr>
                <w:color w:val="auto"/>
                <w:spacing w:val="4"/>
                <w:highlight w:val="none"/>
              </w:rPr>
              <w:t>职称</w:t>
            </w:r>
          </w:p>
        </w:tc>
        <w:tc>
          <w:tcPr>
            <w:tcW w:w="4255" w:type="dxa"/>
            <w:vAlign w:val="top"/>
          </w:tcPr>
          <w:p w14:paraId="457070C2">
            <w:pPr>
              <w:pStyle w:val="15"/>
              <w:spacing w:before="35" w:line="228" w:lineRule="auto"/>
              <w:ind w:left="34"/>
              <w:rPr>
                <w:color w:val="auto"/>
                <w:highlight w:val="none"/>
              </w:rPr>
            </w:pPr>
            <w:r>
              <w:rPr>
                <w:color w:val="auto"/>
                <w:spacing w:val="8"/>
                <w:highlight w:val="none"/>
              </w:rPr>
              <w:t>计划进场时间</w:t>
            </w:r>
          </w:p>
        </w:tc>
      </w:tr>
      <w:tr w14:paraId="213A4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13" w:type="dxa"/>
            <w:gridSpan w:val="5"/>
            <w:vAlign w:val="top"/>
          </w:tcPr>
          <w:p w14:paraId="38B94C29">
            <w:pPr>
              <w:pStyle w:val="15"/>
              <w:spacing w:before="31" w:line="228" w:lineRule="auto"/>
              <w:ind w:left="101"/>
              <w:rPr>
                <w:color w:val="auto"/>
                <w:highlight w:val="none"/>
              </w:rPr>
            </w:pPr>
            <w:r>
              <w:rPr>
                <w:color w:val="auto"/>
                <w:spacing w:val="7"/>
                <w:highlight w:val="none"/>
              </w:rPr>
              <w:t>一、总部人员</w:t>
            </w:r>
          </w:p>
        </w:tc>
      </w:tr>
      <w:tr w14:paraId="5555DE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Align w:val="top"/>
          </w:tcPr>
          <w:p w14:paraId="0A6D3877">
            <w:pPr>
              <w:pStyle w:val="15"/>
              <w:spacing w:before="31" w:line="228" w:lineRule="auto"/>
              <w:ind w:left="101"/>
              <w:rPr>
                <w:color w:val="auto"/>
                <w:highlight w:val="none"/>
              </w:rPr>
            </w:pPr>
            <w:r>
              <w:rPr>
                <w:color w:val="auto"/>
                <w:spacing w:val="6"/>
                <w:highlight w:val="none"/>
              </w:rPr>
              <w:t>项目主管</w:t>
            </w:r>
          </w:p>
        </w:tc>
        <w:tc>
          <w:tcPr>
            <w:tcW w:w="1417" w:type="dxa"/>
            <w:vAlign w:val="top"/>
          </w:tcPr>
          <w:p w14:paraId="40B9E92D">
            <w:pPr>
              <w:rPr>
                <w:rFonts w:ascii="Arial"/>
                <w:color w:val="auto"/>
                <w:sz w:val="21"/>
                <w:highlight w:val="none"/>
              </w:rPr>
            </w:pPr>
          </w:p>
        </w:tc>
        <w:tc>
          <w:tcPr>
            <w:tcW w:w="1133" w:type="dxa"/>
            <w:vAlign w:val="top"/>
          </w:tcPr>
          <w:p w14:paraId="5CD47C42">
            <w:pPr>
              <w:rPr>
                <w:rFonts w:ascii="Arial"/>
                <w:color w:val="auto"/>
                <w:sz w:val="21"/>
                <w:highlight w:val="none"/>
              </w:rPr>
            </w:pPr>
          </w:p>
        </w:tc>
        <w:tc>
          <w:tcPr>
            <w:tcW w:w="1133" w:type="dxa"/>
            <w:vAlign w:val="top"/>
          </w:tcPr>
          <w:p w14:paraId="412FED8B">
            <w:pPr>
              <w:rPr>
                <w:rFonts w:ascii="Arial"/>
                <w:color w:val="auto"/>
                <w:sz w:val="21"/>
                <w:highlight w:val="none"/>
              </w:rPr>
            </w:pPr>
          </w:p>
        </w:tc>
        <w:tc>
          <w:tcPr>
            <w:tcW w:w="4255" w:type="dxa"/>
            <w:vAlign w:val="top"/>
          </w:tcPr>
          <w:p w14:paraId="4C31F4DA">
            <w:pPr>
              <w:rPr>
                <w:rFonts w:ascii="Arial"/>
                <w:color w:val="auto"/>
                <w:sz w:val="21"/>
                <w:highlight w:val="none"/>
              </w:rPr>
            </w:pPr>
          </w:p>
        </w:tc>
      </w:tr>
      <w:tr w14:paraId="7F8AF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75" w:type="dxa"/>
            <w:vMerge w:val="restart"/>
            <w:tcBorders>
              <w:bottom w:val="nil"/>
            </w:tcBorders>
            <w:vAlign w:val="top"/>
          </w:tcPr>
          <w:p w14:paraId="4A9755E2">
            <w:pPr>
              <w:spacing w:line="256" w:lineRule="auto"/>
              <w:rPr>
                <w:rFonts w:ascii="Arial"/>
                <w:color w:val="auto"/>
                <w:sz w:val="21"/>
                <w:highlight w:val="none"/>
              </w:rPr>
            </w:pPr>
          </w:p>
          <w:p w14:paraId="3650A632">
            <w:pPr>
              <w:pStyle w:val="15"/>
              <w:spacing w:before="65" w:line="228" w:lineRule="auto"/>
              <w:ind w:left="99"/>
              <w:rPr>
                <w:color w:val="auto"/>
                <w:highlight w:val="none"/>
              </w:rPr>
            </w:pPr>
            <w:r>
              <w:rPr>
                <w:color w:val="auto"/>
                <w:spacing w:val="7"/>
                <w:highlight w:val="none"/>
              </w:rPr>
              <w:t>其他人员</w:t>
            </w:r>
          </w:p>
        </w:tc>
        <w:tc>
          <w:tcPr>
            <w:tcW w:w="1417" w:type="dxa"/>
            <w:vAlign w:val="top"/>
          </w:tcPr>
          <w:p w14:paraId="6839FAB2">
            <w:pPr>
              <w:rPr>
                <w:rFonts w:ascii="Arial"/>
                <w:color w:val="auto"/>
                <w:sz w:val="21"/>
                <w:highlight w:val="none"/>
              </w:rPr>
            </w:pPr>
          </w:p>
        </w:tc>
        <w:tc>
          <w:tcPr>
            <w:tcW w:w="1133" w:type="dxa"/>
            <w:vAlign w:val="top"/>
          </w:tcPr>
          <w:p w14:paraId="7B5AAC8F">
            <w:pPr>
              <w:rPr>
                <w:rFonts w:ascii="Arial"/>
                <w:color w:val="auto"/>
                <w:sz w:val="21"/>
                <w:highlight w:val="none"/>
              </w:rPr>
            </w:pPr>
          </w:p>
        </w:tc>
        <w:tc>
          <w:tcPr>
            <w:tcW w:w="1133" w:type="dxa"/>
            <w:vAlign w:val="top"/>
          </w:tcPr>
          <w:p w14:paraId="20AB3EF8">
            <w:pPr>
              <w:rPr>
                <w:rFonts w:ascii="Arial"/>
                <w:color w:val="auto"/>
                <w:sz w:val="21"/>
                <w:highlight w:val="none"/>
              </w:rPr>
            </w:pPr>
          </w:p>
        </w:tc>
        <w:tc>
          <w:tcPr>
            <w:tcW w:w="4255" w:type="dxa"/>
            <w:vAlign w:val="top"/>
          </w:tcPr>
          <w:p w14:paraId="178740BE">
            <w:pPr>
              <w:rPr>
                <w:rFonts w:ascii="Arial"/>
                <w:color w:val="auto"/>
                <w:sz w:val="21"/>
                <w:highlight w:val="none"/>
              </w:rPr>
            </w:pPr>
          </w:p>
        </w:tc>
      </w:tr>
      <w:tr w14:paraId="395E3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continue"/>
            <w:tcBorders>
              <w:top w:val="nil"/>
              <w:bottom w:val="nil"/>
            </w:tcBorders>
            <w:vAlign w:val="top"/>
          </w:tcPr>
          <w:p w14:paraId="062222FD">
            <w:pPr>
              <w:rPr>
                <w:rFonts w:ascii="Arial"/>
                <w:color w:val="auto"/>
                <w:sz w:val="21"/>
                <w:highlight w:val="none"/>
              </w:rPr>
            </w:pPr>
          </w:p>
        </w:tc>
        <w:tc>
          <w:tcPr>
            <w:tcW w:w="1417" w:type="dxa"/>
            <w:vAlign w:val="top"/>
          </w:tcPr>
          <w:p w14:paraId="204C0D21">
            <w:pPr>
              <w:rPr>
                <w:rFonts w:ascii="Arial"/>
                <w:color w:val="auto"/>
                <w:sz w:val="21"/>
                <w:highlight w:val="none"/>
              </w:rPr>
            </w:pPr>
          </w:p>
        </w:tc>
        <w:tc>
          <w:tcPr>
            <w:tcW w:w="1133" w:type="dxa"/>
            <w:vAlign w:val="top"/>
          </w:tcPr>
          <w:p w14:paraId="7110B81E">
            <w:pPr>
              <w:rPr>
                <w:rFonts w:ascii="Arial"/>
                <w:color w:val="auto"/>
                <w:sz w:val="21"/>
                <w:highlight w:val="none"/>
              </w:rPr>
            </w:pPr>
          </w:p>
        </w:tc>
        <w:tc>
          <w:tcPr>
            <w:tcW w:w="1133" w:type="dxa"/>
            <w:vAlign w:val="top"/>
          </w:tcPr>
          <w:p w14:paraId="2F6E9C81">
            <w:pPr>
              <w:rPr>
                <w:rFonts w:ascii="Arial"/>
                <w:color w:val="auto"/>
                <w:sz w:val="21"/>
                <w:highlight w:val="none"/>
              </w:rPr>
            </w:pPr>
          </w:p>
        </w:tc>
        <w:tc>
          <w:tcPr>
            <w:tcW w:w="4255" w:type="dxa"/>
            <w:vAlign w:val="top"/>
          </w:tcPr>
          <w:p w14:paraId="609C3CC7">
            <w:pPr>
              <w:rPr>
                <w:rFonts w:ascii="Arial"/>
                <w:color w:val="auto"/>
                <w:sz w:val="21"/>
                <w:highlight w:val="none"/>
              </w:rPr>
            </w:pPr>
          </w:p>
        </w:tc>
      </w:tr>
      <w:tr w14:paraId="3CFE9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continue"/>
            <w:tcBorders>
              <w:top w:val="nil"/>
            </w:tcBorders>
            <w:vAlign w:val="top"/>
          </w:tcPr>
          <w:p w14:paraId="63C8C1F0">
            <w:pPr>
              <w:rPr>
                <w:rFonts w:ascii="Arial"/>
                <w:color w:val="auto"/>
                <w:sz w:val="21"/>
                <w:highlight w:val="none"/>
              </w:rPr>
            </w:pPr>
          </w:p>
        </w:tc>
        <w:tc>
          <w:tcPr>
            <w:tcW w:w="1417" w:type="dxa"/>
            <w:vAlign w:val="top"/>
          </w:tcPr>
          <w:p w14:paraId="06A72447">
            <w:pPr>
              <w:rPr>
                <w:rFonts w:ascii="Arial"/>
                <w:color w:val="auto"/>
                <w:sz w:val="21"/>
                <w:highlight w:val="none"/>
              </w:rPr>
            </w:pPr>
          </w:p>
        </w:tc>
        <w:tc>
          <w:tcPr>
            <w:tcW w:w="1133" w:type="dxa"/>
            <w:vAlign w:val="top"/>
          </w:tcPr>
          <w:p w14:paraId="58A44956">
            <w:pPr>
              <w:rPr>
                <w:rFonts w:ascii="Arial"/>
                <w:color w:val="auto"/>
                <w:sz w:val="21"/>
                <w:highlight w:val="none"/>
              </w:rPr>
            </w:pPr>
          </w:p>
        </w:tc>
        <w:tc>
          <w:tcPr>
            <w:tcW w:w="1133" w:type="dxa"/>
            <w:vAlign w:val="top"/>
          </w:tcPr>
          <w:p w14:paraId="70316085">
            <w:pPr>
              <w:rPr>
                <w:rFonts w:ascii="Arial"/>
                <w:color w:val="auto"/>
                <w:sz w:val="21"/>
                <w:highlight w:val="none"/>
              </w:rPr>
            </w:pPr>
          </w:p>
        </w:tc>
        <w:tc>
          <w:tcPr>
            <w:tcW w:w="4255" w:type="dxa"/>
            <w:vAlign w:val="top"/>
          </w:tcPr>
          <w:p w14:paraId="1D3E5AEE">
            <w:pPr>
              <w:rPr>
                <w:rFonts w:ascii="Arial"/>
                <w:color w:val="auto"/>
                <w:sz w:val="21"/>
                <w:highlight w:val="none"/>
              </w:rPr>
            </w:pPr>
          </w:p>
        </w:tc>
      </w:tr>
      <w:tr w14:paraId="09BB6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13" w:type="dxa"/>
            <w:gridSpan w:val="5"/>
            <w:vAlign w:val="top"/>
          </w:tcPr>
          <w:p w14:paraId="69224E60">
            <w:pPr>
              <w:pStyle w:val="15"/>
              <w:spacing w:before="33" w:line="228" w:lineRule="auto"/>
              <w:ind w:left="101"/>
              <w:rPr>
                <w:color w:val="auto"/>
                <w:highlight w:val="none"/>
              </w:rPr>
            </w:pPr>
            <w:r>
              <w:rPr>
                <w:color w:val="auto"/>
                <w:spacing w:val="7"/>
                <w:highlight w:val="none"/>
              </w:rPr>
              <w:t>二、现场人员</w:t>
            </w:r>
          </w:p>
        </w:tc>
      </w:tr>
      <w:tr w14:paraId="31763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Align w:val="top"/>
          </w:tcPr>
          <w:p w14:paraId="35328E47">
            <w:pPr>
              <w:pStyle w:val="15"/>
              <w:spacing w:before="33" w:line="228" w:lineRule="auto"/>
              <w:ind w:left="101"/>
              <w:rPr>
                <w:color w:val="auto"/>
                <w:highlight w:val="none"/>
              </w:rPr>
            </w:pPr>
            <w:r>
              <w:rPr>
                <w:color w:val="auto"/>
                <w:spacing w:val="6"/>
                <w:highlight w:val="none"/>
              </w:rPr>
              <w:t>项目经理</w:t>
            </w:r>
          </w:p>
        </w:tc>
        <w:tc>
          <w:tcPr>
            <w:tcW w:w="1417" w:type="dxa"/>
            <w:vAlign w:val="top"/>
          </w:tcPr>
          <w:p w14:paraId="2BD2364D">
            <w:pPr>
              <w:rPr>
                <w:rFonts w:ascii="Arial"/>
                <w:color w:val="auto"/>
                <w:sz w:val="21"/>
                <w:highlight w:val="none"/>
              </w:rPr>
            </w:pPr>
          </w:p>
        </w:tc>
        <w:tc>
          <w:tcPr>
            <w:tcW w:w="1133" w:type="dxa"/>
            <w:vAlign w:val="top"/>
          </w:tcPr>
          <w:p w14:paraId="21CB71FA">
            <w:pPr>
              <w:rPr>
                <w:rFonts w:ascii="Arial"/>
                <w:color w:val="auto"/>
                <w:sz w:val="21"/>
                <w:highlight w:val="none"/>
              </w:rPr>
            </w:pPr>
          </w:p>
        </w:tc>
        <w:tc>
          <w:tcPr>
            <w:tcW w:w="1133" w:type="dxa"/>
            <w:vAlign w:val="top"/>
          </w:tcPr>
          <w:p w14:paraId="527D2665">
            <w:pPr>
              <w:rPr>
                <w:rFonts w:ascii="Arial"/>
                <w:color w:val="auto"/>
                <w:sz w:val="21"/>
                <w:highlight w:val="none"/>
              </w:rPr>
            </w:pPr>
          </w:p>
        </w:tc>
        <w:tc>
          <w:tcPr>
            <w:tcW w:w="4255" w:type="dxa"/>
            <w:vAlign w:val="top"/>
          </w:tcPr>
          <w:p w14:paraId="5A5B7EE5">
            <w:pPr>
              <w:rPr>
                <w:rFonts w:ascii="Arial"/>
                <w:color w:val="auto"/>
                <w:sz w:val="21"/>
                <w:highlight w:val="none"/>
              </w:rPr>
            </w:pPr>
          </w:p>
        </w:tc>
      </w:tr>
      <w:tr w14:paraId="3BE97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Align w:val="top"/>
          </w:tcPr>
          <w:p w14:paraId="1CC8F3E6">
            <w:pPr>
              <w:pStyle w:val="15"/>
              <w:spacing w:before="33" w:line="228" w:lineRule="auto"/>
              <w:ind w:left="101"/>
              <w:rPr>
                <w:color w:val="auto"/>
                <w:highlight w:val="none"/>
              </w:rPr>
            </w:pPr>
            <w:r>
              <w:rPr>
                <w:color w:val="auto"/>
                <w:spacing w:val="7"/>
                <w:highlight w:val="none"/>
              </w:rPr>
              <w:t>项目副经理</w:t>
            </w:r>
          </w:p>
        </w:tc>
        <w:tc>
          <w:tcPr>
            <w:tcW w:w="1417" w:type="dxa"/>
            <w:vAlign w:val="top"/>
          </w:tcPr>
          <w:p w14:paraId="100F3D66">
            <w:pPr>
              <w:rPr>
                <w:rFonts w:ascii="Arial"/>
                <w:color w:val="auto"/>
                <w:sz w:val="21"/>
                <w:highlight w:val="none"/>
              </w:rPr>
            </w:pPr>
          </w:p>
        </w:tc>
        <w:tc>
          <w:tcPr>
            <w:tcW w:w="1133" w:type="dxa"/>
            <w:vAlign w:val="top"/>
          </w:tcPr>
          <w:p w14:paraId="1DE30927">
            <w:pPr>
              <w:rPr>
                <w:rFonts w:ascii="Arial"/>
                <w:color w:val="auto"/>
                <w:sz w:val="21"/>
                <w:highlight w:val="none"/>
              </w:rPr>
            </w:pPr>
          </w:p>
        </w:tc>
        <w:tc>
          <w:tcPr>
            <w:tcW w:w="1133" w:type="dxa"/>
            <w:vAlign w:val="top"/>
          </w:tcPr>
          <w:p w14:paraId="1D6A42D2">
            <w:pPr>
              <w:rPr>
                <w:rFonts w:ascii="Arial"/>
                <w:color w:val="auto"/>
                <w:sz w:val="21"/>
                <w:highlight w:val="none"/>
              </w:rPr>
            </w:pPr>
          </w:p>
        </w:tc>
        <w:tc>
          <w:tcPr>
            <w:tcW w:w="4255" w:type="dxa"/>
            <w:vAlign w:val="top"/>
          </w:tcPr>
          <w:p w14:paraId="765AE522">
            <w:pPr>
              <w:rPr>
                <w:rFonts w:ascii="Arial"/>
                <w:color w:val="auto"/>
                <w:sz w:val="21"/>
                <w:highlight w:val="none"/>
              </w:rPr>
            </w:pPr>
          </w:p>
        </w:tc>
      </w:tr>
      <w:tr w14:paraId="4AA2D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Align w:val="top"/>
          </w:tcPr>
          <w:p w14:paraId="33C34B3E">
            <w:pPr>
              <w:pStyle w:val="15"/>
              <w:spacing w:before="33" w:line="228" w:lineRule="auto"/>
              <w:ind w:left="99"/>
              <w:rPr>
                <w:color w:val="auto"/>
                <w:highlight w:val="none"/>
              </w:rPr>
            </w:pPr>
            <w:r>
              <w:rPr>
                <w:color w:val="auto"/>
                <w:spacing w:val="7"/>
                <w:highlight w:val="none"/>
              </w:rPr>
              <w:t>技术负责人</w:t>
            </w:r>
          </w:p>
        </w:tc>
        <w:tc>
          <w:tcPr>
            <w:tcW w:w="1417" w:type="dxa"/>
            <w:vAlign w:val="top"/>
          </w:tcPr>
          <w:p w14:paraId="5B6768D9">
            <w:pPr>
              <w:rPr>
                <w:rFonts w:ascii="Arial"/>
                <w:color w:val="auto"/>
                <w:sz w:val="21"/>
                <w:highlight w:val="none"/>
              </w:rPr>
            </w:pPr>
          </w:p>
        </w:tc>
        <w:tc>
          <w:tcPr>
            <w:tcW w:w="1133" w:type="dxa"/>
            <w:vAlign w:val="top"/>
          </w:tcPr>
          <w:p w14:paraId="0E48EDE6">
            <w:pPr>
              <w:rPr>
                <w:rFonts w:ascii="Arial"/>
                <w:color w:val="auto"/>
                <w:sz w:val="21"/>
                <w:highlight w:val="none"/>
              </w:rPr>
            </w:pPr>
          </w:p>
        </w:tc>
        <w:tc>
          <w:tcPr>
            <w:tcW w:w="1133" w:type="dxa"/>
            <w:vAlign w:val="top"/>
          </w:tcPr>
          <w:p w14:paraId="0C5F14E0">
            <w:pPr>
              <w:rPr>
                <w:rFonts w:ascii="Arial"/>
                <w:color w:val="auto"/>
                <w:sz w:val="21"/>
                <w:highlight w:val="none"/>
              </w:rPr>
            </w:pPr>
          </w:p>
        </w:tc>
        <w:tc>
          <w:tcPr>
            <w:tcW w:w="4255" w:type="dxa"/>
            <w:vAlign w:val="top"/>
          </w:tcPr>
          <w:p w14:paraId="1A153F1A">
            <w:pPr>
              <w:rPr>
                <w:rFonts w:ascii="Arial"/>
                <w:color w:val="auto"/>
                <w:sz w:val="21"/>
                <w:highlight w:val="none"/>
              </w:rPr>
            </w:pPr>
          </w:p>
        </w:tc>
      </w:tr>
      <w:tr w14:paraId="34851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75" w:type="dxa"/>
            <w:vAlign w:val="top"/>
          </w:tcPr>
          <w:p w14:paraId="6B346148">
            <w:pPr>
              <w:pStyle w:val="15"/>
              <w:spacing w:before="34" w:line="226" w:lineRule="auto"/>
              <w:ind w:left="97"/>
              <w:rPr>
                <w:color w:val="auto"/>
                <w:highlight w:val="none"/>
              </w:rPr>
            </w:pPr>
            <w:r>
              <w:rPr>
                <w:color w:val="auto"/>
                <w:spacing w:val="7"/>
                <w:highlight w:val="none"/>
              </w:rPr>
              <w:t>造价管理</w:t>
            </w:r>
          </w:p>
        </w:tc>
        <w:tc>
          <w:tcPr>
            <w:tcW w:w="1417" w:type="dxa"/>
            <w:vAlign w:val="top"/>
          </w:tcPr>
          <w:p w14:paraId="71C74A00">
            <w:pPr>
              <w:rPr>
                <w:rFonts w:ascii="Arial"/>
                <w:color w:val="auto"/>
                <w:sz w:val="21"/>
                <w:highlight w:val="none"/>
              </w:rPr>
            </w:pPr>
          </w:p>
        </w:tc>
        <w:tc>
          <w:tcPr>
            <w:tcW w:w="1133" w:type="dxa"/>
            <w:vAlign w:val="top"/>
          </w:tcPr>
          <w:p w14:paraId="0EF3A80E">
            <w:pPr>
              <w:rPr>
                <w:rFonts w:ascii="Arial"/>
                <w:color w:val="auto"/>
                <w:sz w:val="21"/>
                <w:highlight w:val="none"/>
              </w:rPr>
            </w:pPr>
          </w:p>
        </w:tc>
        <w:tc>
          <w:tcPr>
            <w:tcW w:w="1133" w:type="dxa"/>
            <w:vAlign w:val="top"/>
          </w:tcPr>
          <w:p w14:paraId="73C6C4A7">
            <w:pPr>
              <w:rPr>
                <w:rFonts w:ascii="Arial"/>
                <w:color w:val="auto"/>
                <w:sz w:val="21"/>
                <w:highlight w:val="none"/>
              </w:rPr>
            </w:pPr>
          </w:p>
        </w:tc>
        <w:tc>
          <w:tcPr>
            <w:tcW w:w="4255" w:type="dxa"/>
            <w:vAlign w:val="top"/>
          </w:tcPr>
          <w:p w14:paraId="2879C00A">
            <w:pPr>
              <w:rPr>
                <w:rFonts w:ascii="Arial"/>
                <w:color w:val="auto"/>
                <w:sz w:val="21"/>
                <w:highlight w:val="none"/>
              </w:rPr>
            </w:pPr>
          </w:p>
        </w:tc>
      </w:tr>
      <w:tr w14:paraId="748E2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restart"/>
            <w:tcBorders>
              <w:bottom w:val="nil"/>
            </w:tcBorders>
            <w:vAlign w:val="top"/>
          </w:tcPr>
          <w:p w14:paraId="06B90479">
            <w:pPr>
              <w:spacing w:line="257" w:lineRule="auto"/>
              <w:rPr>
                <w:rFonts w:ascii="Arial"/>
                <w:color w:val="auto"/>
                <w:sz w:val="21"/>
                <w:highlight w:val="none"/>
              </w:rPr>
            </w:pPr>
          </w:p>
          <w:p w14:paraId="5EEFE243">
            <w:pPr>
              <w:pStyle w:val="15"/>
              <w:spacing w:before="65" w:line="228" w:lineRule="auto"/>
              <w:ind w:left="99"/>
              <w:rPr>
                <w:color w:val="auto"/>
                <w:highlight w:val="none"/>
              </w:rPr>
            </w:pPr>
            <w:r>
              <w:rPr>
                <w:color w:val="auto"/>
                <w:spacing w:val="7"/>
                <w:highlight w:val="none"/>
              </w:rPr>
              <w:t>质量管理</w:t>
            </w:r>
          </w:p>
        </w:tc>
        <w:tc>
          <w:tcPr>
            <w:tcW w:w="1417" w:type="dxa"/>
            <w:vAlign w:val="top"/>
          </w:tcPr>
          <w:p w14:paraId="0A8C0331">
            <w:pPr>
              <w:rPr>
                <w:rFonts w:ascii="Arial"/>
                <w:color w:val="auto"/>
                <w:sz w:val="21"/>
                <w:highlight w:val="none"/>
              </w:rPr>
            </w:pPr>
          </w:p>
        </w:tc>
        <w:tc>
          <w:tcPr>
            <w:tcW w:w="1133" w:type="dxa"/>
            <w:vAlign w:val="top"/>
          </w:tcPr>
          <w:p w14:paraId="450AFE41">
            <w:pPr>
              <w:rPr>
                <w:rFonts w:ascii="Arial"/>
                <w:color w:val="auto"/>
                <w:sz w:val="21"/>
                <w:highlight w:val="none"/>
              </w:rPr>
            </w:pPr>
          </w:p>
        </w:tc>
        <w:tc>
          <w:tcPr>
            <w:tcW w:w="1133" w:type="dxa"/>
            <w:vAlign w:val="top"/>
          </w:tcPr>
          <w:p w14:paraId="172BA744">
            <w:pPr>
              <w:rPr>
                <w:rFonts w:ascii="Arial"/>
                <w:color w:val="auto"/>
                <w:sz w:val="21"/>
                <w:highlight w:val="none"/>
              </w:rPr>
            </w:pPr>
          </w:p>
        </w:tc>
        <w:tc>
          <w:tcPr>
            <w:tcW w:w="4255" w:type="dxa"/>
            <w:vAlign w:val="top"/>
          </w:tcPr>
          <w:p w14:paraId="10E0501D">
            <w:pPr>
              <w:rPr>
                <w:rFonts w:ascii="Arial"/>
                <w:color w:val="auto"/>
                <w:sz w:val="21"/>
                <w:highlight w:val="none"/>
              </w:rPr>
            </w:pPr>
          </w:p>
        </w:tc>
      </w:tr>
      <w:tr w14:paraId="36033F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continue"/>
            <w:tcBorders>
              <w:top w:val="nil"/>
              <w:bottom w:val="nil"/>
            </w:tcBorders>
            <w:vAlign w:val="top"/>
          </w:tcPr>
          <w:p w14:paraId="48D6D481">
            <w:pPr>
              <w:rPr>
                <w:rFonts w:ascii="Arial"/>
                <w:color w:val="auto"/>
                <w:sz w:val="21"/>
                <w:highlight w:val="none"/>
              </w:rPr>
            </w:pPr>
          </w:p>
        </w:tc>
        <w:tc>
          <w:tcPr>
            <w:tcW w:w="1417" w:type="dxa"/>
            <w:vAlign w:val="top"/>
          </w:tcPr>
          <w:p w14:paraId="5CC0C9D9">
            <w:pPr>
              <w:rPr>
                <w:rFonts w:ascii="Arial"/>
                <w:color w:val="auto"/>
                <w:sz w:val="21"/>
                <w:highlight w:val="none"/>
              </w:rPr>
            </w:pPr>
          </w:p>
        </w:tc>
        <w:tc>
          <w:tcPr>
            <w:tcW w:w="1133" w:type="dxa"/>
            <w:vAlign w:val="top"/>
          </w:tcPr>
          <w:p w14:paraId="0EA2DCBE">
            <w:pPr>
              <w:rPr>
                <w:rFonts w:ascii="Arial"/>
                <w:color w:val="auto"/>
                <w:sz w:val="21"/>
                <w:highlight w:val="none"/>
              </w:rPr>
            </w:pPr>
          </w:p>
        </w:tc>
        <w:tc>
          <w:tcPr>
            <w:tcW w:w="1133" w:type="dxa"/>
            <w:vAlign w:val="top"/>
          </w:tcPr>
          <w:p w14:paraId="7F34B4EE">
            <w:pPr>
              <w:rPr>
                <w:rFonts w:ascii="Arial"/>
                <w:color w:val="auto"/>
                <w:sz w:val="21"/>
                <w:highlight w:val="none"/>
              </w:rPr>
            </w:pPr>
          </w:p>
        </w:tc>
        <w:tc>
          <w:tcPr>
            <w:tcW w:w="4255" w:type="dxa"/>
            <w:vAlign w:val="top"/>
          </w:tcPr>
          <w:p w14:paraId="63FD44C4">
            <w:pPr>
              <w:rPr>
                <w:rFonts w:ascii="Arial"/>
                <w:color w:val="auto"/>
                <w:sz w:val="21"/>
                <w:highlight w:val="none"/>
              </w:rPr>
            </w:pPr>
          </w:p>
        </w:tc>
      </w:tr>
      <w:tr w14:paraId="3FBB5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continue"/>
            <w:tcBorders>
              <w:top w:val="nil"/>
            </w:tcBorders>
            <w:vAlign w:val="top"/>
          </w:tcPr>
          <w:p w14:paraId="5CCC734D">
            <w:pPr>
              <w:rPr>
                <w:rFonts w:ascii="Arial"/>
                <w:color w:val="auto"/>
                <w:sz w:val="21"/>
                <w:highlight w:val="none"/>
              </w:rPr>
            </w:pPr>
          </w:p>
        </w:tc>
        <w:tc>
          <w:tcPr>
            <w:tcW w:w="1417" w:type="dxa"/>
            <w:vAlign w:val="top"/>
          </w:tcPr>
          <w:p w14:paraId="726A89DE">
            <w:pPr>
              <w:rPr>
                <w:rFonts w:ascii="Arial"/>
                <w:color w:val="auto"/>
                <w:sz w:val="21"/>
                <w:highlight w:val="none"/>
              </w:rPr>
            </w:pPr>
          </w:p>
        </w:tc>
        <w:tc>
          <w:tcPr>
            <w:tcW w:w="1133" w:type="dxa"/>
            <w:vAlign w:val="top"/>
          </w:tcPr>
          <w:p w14:paraId="054D697F">
            <w:pPr>
              <w:rPr>
                <w:rFonts w:ascii="Arial"/>
                <w:color w:val="auto"/>
                <w:sz w:val="21"/>
                <w:highlight w:val="none"/>
              </w:rPr>
            </w:pPr>
          </w:p>
        </w:tc>
        <w:tc>
          <w:tcPr>
            <w:tcW w:w="1133" w:type="dxa"/>
            <w:vAlign w:val="top"/>
          </w:tcPr>
          <w:p w14:paraId="4CDDDFDB">
            <w:pPr>
              <w:rPr>
                <w:rFonts w:ascii="Arial"/>
                <w:color w:val="auto"/>
                <w:sz w:val="21"/>
                <w:highlight w:val="none"/>
              </w:rPr>
            </w:pPr>
          </w:p>
        </w:tc>
        <w:tc>
          <w:tcPr>
            <w:tcW w:w="4255" w:type="dxa"/>
            <w:vAlign w:val="top"/>
          </w:tcPr>
          <w:p w14:paraId="4FFFC543">
            <w:pPr>
              <w:rPr>
                <w:rFonts w:ascii="Arial"/>
                <w:color w:val="auto"/>
                <w:sz w:val="21"/>
                <w:highlight w:val="none"/>
              </w:rPr>
            </w:pPr>
          </w:p>
        </w:tc>
      </w:tr>
      <w:tr w14:paraId="4E76D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Align w:val="top"/>
          </w:tcPr>
          <w:p w14:paraId="7ADCF1A4">
            <w:pPr>
              <w:pStyle w:val="15"/>
              <w:spacing w:before="34" w:line="227" w:lineRule="auto"/>
              <w:ind w:left="98"/>
              <w:rPr>
                <w:color w:val="auto"/>
                <w:highlight w:val="none"/>
              </w:rPr>
            </w:pPr>
            <w:r>
              <w:rPr>
                <w:color w:val="auto"/>
                <w:spacing w:val="7"/>
                <w:highlight w:val="none"/>
              </w:rPr>
              <w:t>材料管理</w:t>
            </w:r>
          </w:p>
        </w:tc>
        <w:tc>
          <w:tcPr>
            <w:tcW w:w="1417" w:type="dxa"/>
            <w:vAlign w:val="top"/>
          </w:tcPr>
          <w:p w14:paraId="07C706E0">
            <w:pPr>
              <w:rPr>
                <w:rFonts w:ascii="Arial"/>
                <w:color w:val="auto"/>
                <w:sz w:val="21"/>
                <w:highlight w:val="none"/>
              </w:rPr>
            </w:pPr>
          </w:p>
        </w:tc>
        <w:tc>
          <w:tcPr>
            <w:tcW w:w="1133" w:type="dxa"/>
            <w:vAlign w:val="top"/>
          </w:tcPr>
          <w:p w14:paraId="469BD5E6">
            <w:pPr>
              <w:rPr>
                <w:rFonts w:ascii="Arial"/>
                <w:color w:val="auto"/>
                <w:sz w:val="21"/>
                <w:highlight w:val="none"/>
              </w:rPr>
            </w:pPr>
          </w:p>
        </w:tc>
        <w:tc>
          <w:tcPr>
            <w:tcW w:w="1133" w:type="dxa"/>
            <w:vAlign w:val="top"/>
          </w:tcPr>
          <w:p w14:paraId="1328D3C6">
            <w:pPr>
              <w:rPr>
                <w:rFonts w:ascii="Arial"/>
                <w:color w:val="auto"/>
                <w:sz w:val="21"/>
                <w:highlight w:val="none"/>
              </w:rPr>
            </w:pPr>
          </w:p>
        </w:tc>
        <w:tc>
          <w:tcPr>
            <w:tcW w:w="4255" w:type="dxa"/>
            <w:vAlign w:val="top"/>
          </w:tcPr>
          <w:p w14:paraId="1CA2BBB7">
            <w:pPr>
              <w:rPr>
                <w:rFonts w:ascii="Arial"/>
                <w:color w:val="auto"/>
                <w:sz w:val="21"/>
                <w:highlight w:val="none"/>
              </w:rPr>
            </w:pPr>
          </w:p>
        </w:tc>
      </w:tr>
      <w:tr w14:paraId="777DC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75" w:type="dxa"/>
            <w:vAlign w:val="top"/>
          </w:tcPr>
          <w:p w14:paraId="37050EE8">
            <w:pPr>
              <w:pStyle w:val="15"/>
              <w:spacing w:before="35" w:line="228" w:lineRule="auto"/>
              <w:ind w:left="98"/>
              <w:rPr>
                <w:color w:val="auto"/>
                <w:highlight w:val="none"/>
              </w:rPr>
            </w:pPr>
            <w:r>
              <w:rPr>
                <w:color w:val="auto"/>
                <w:spacing w:val="7"/>
                <w:highlight w:val="none"/>
              </w:rPr>
              <w:t>计划管理</w:t>
            </w:r>
          </w:p>
        </w:tc>
        <w:tc>
          <w:tcPr>
            <w:tcW w:w="1417" w:type="dxa"/>
            <w:vAlign w:val="top"/>
          </w:tcPr>
          <w:p w14:paraId="39D3BE4F">
            <w:pPr>
              <w:rPr>
                <w:rFonts w:ascii="Arial"/>
                <w:color w:val="auto"/>
                <w:sz w:val="21"/>
                <w:highlight w:val="none"/>
              </w:rPr>
            </w:pPr>
          </w:p>
        </w:tc>
        <w:tc>
          <w:tcPr>
            <w:tcW w:w="1133" w:type="dxa"/>
            <w:vAlign w:val="top"/>
          </w:tcPr>
          <w:p w14:paraId="7AC86C35">
            <w:pPr>
              <w:rPr>
                <w:rFonts w:ascii="Arial"/>
                <w:color w:val="auto"/>
                <w:sz w:val="21"/>
                <w:highlight w:val="none"/>
              </w:rPr>
            </w:pPr>
          </w:p>
        </w:tc>
        <w:tc>
          <w:tcPr>
            <w:tcW w:w="1133" w:type="dxa"/>
            <w:vAlign w:val="top"/>
          </w:tcPr>
          <w:p w14:paraId="4102A14A">
            <w:pPr>
              <w:rPr>
                <w:rFonts w:ascii="Arial"/>
                <w:color w:val="auto"/>
                <w:sz w:val="21"/>
                <w:highlight w:val="none"/>
              </w:rPr>
            </w:pPr>
          </w:p>
        </w:tc>
        <w:tc>
          <w:tcPr>
            <w:tcW w:w="4255" w:type="dxa"/>
            <w:vAlign w:val="top"/>
          </w:tcPr>
          <w:p w14:paraId="5153EE18">
            <w:pPr>
              <w:rPr>
                <w:rFonts w:ascii="Arial"/>
                <w:color w:val="auto"/>
                <w:sz w:val="21"/>
                <w:highlight w:val="none"/>
              </w:rPr>
            </w:pPr>
          </w:p>
        </w:tc>
      </w:tr>
      <w:tr w14:paraId="50429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restart"/>
            <w:tcBorders>
              <w:bottom w:val="nil"/>
            </w:tcBorders>
            <w:vAlign w:val="top"/>
          </w:tcPr>
          <w:p w14:paraId="3ACB739D">
            <w:pPr>
              <w:spacing w:line="258" w:lineRule="auto"/>
              <w:rPr>
                <w:rFonts w:ascii="Arial"/>
                <w:color w:val="auto"/>
                <w:sz w:val="21"/>
                <w:highlight w:val="none"/>
              </w:rPr>
            </w:pPr>
          </w:p>
          <w:p w14:paraId="1528C8E7">
            <w:pPr>
              <w:pStyle w:val="15"/>
              <w:spacing w:before="65" w:line="228" w:lineRule="auto"/>
              <w:ind w:left="102"/>
              <w:rPr>
                <w:color w:val="auto"/>
                <w:highlight w:val="none"/>
              </w:rPr>
            </w:pPr>
            <w:r>
              <w:rPr>
                <w:color w:val="auto"/>
                <w:spacing w:val="6"/>
                <w:highlight w:val="none"/>
              </w:rPr>
              <w:t>安全管理</w:t>
            </w:r>
          </w:p>
        </w:tc>
        <w:tc>
          <w:tcPr>
            <w:tcW w:w="1417" w:type="dxa"/>
            <w:vAlign w:val="top"/>
          </w:tcPr>
          <w:p w14:paraId="667C7B20">
            <w:pPr>
              <w:rPr>
                <w:rFonts w:ascii="Arial"/>
                <w:color w:val="auto"/>
                <w:sz w:val="21"/>
                <w:highlight w:val="none"/>
              </w:rPr>
            </w:pPr>
          </w:p>
        </w:tc>
        <w:tc>
          <w:tcPr>
            <w:tcW w:w="1133" w:type="dxa"/>
            <w:vAlign w:val="top"/>
          </w:tcPr>
          <w:p w14:paraId="70BD1E71">
            <w:pPr>
              <w:rPr>
                <w:rFonts w:ascii="Arial"/>
                <w:color w:val="auto"/>
                <w:sz w:val="21"/>
                <w:highlight w:val="none"/>
              </w:rPr>
            </w:pPr>
          </w:p>
        </w:tc>
        <w:tc>
          <w:tcPr>
            <w:tcW w:w="1133" w:type="dxa"/>
            <w:vAlign w:val="top"/>
          </w:tcPr>
          <w:p w14:paraId="2CA4C8BC">
            <w:pPr>
              <w:rPr>
                <w:rFonts w:ascii="Arial"/>
                <w:color w:val="auto"/>
                <w:sz w:val="21"/>
                <w:highlight w:val="none"/>
              </w:rPr>
            </w:pPr>
          </w:p>
        </w:tc>
        <w:tc>
          <w:tcPr>
            <w:tcW w:w="4255" w:type="dxa"/>
            <w:vAlign w:val="top"/>
          </w:tcPr>
          <w:p w14:paraId="7AD64303">
            <w:pPr>
              <w:rPr>
                <w:rFonts w:ascii="Arial"/>
                <w:color w:val="auto"/>
                <w:sz w:val="21"/>
                <w:highlight w:val="none"/>
              </w:rPr>
            </w:pPr>
          </w:p>
        </w:tc>
      </w:tr>
      <w:tr w14:paraId="5495F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75" w:type="dxa"/>
            <w:vMerge w:val="continue"/>
            <w:tcBorders>
              <w:top w:val="nil"/>
              <w:bottom w:val="nil"/>
            </w:tcBorders>
            <w:vAlign w:val="top"/>
          </w:tcPr>
          <w:p w14:paraId="46D6B28B">
            <w:pPr>
              <w:rPr>
                <w:rFonts w:ascii="Arial"/>
                <w:color w:val="auto"/>
                <w:sz w:val="21"/>
                <w:highlight w:val="none"/>
              </w:rPr>
            </w:pPr>
          </w:p>
        </w:tc>
        <w:tc>
          <w:tcPr>
            <w:tcW w:w="1417" w:type="dxa"/>
            <w:vAlign w:val="top"/>
          </w:tcPr>
          <w:p w14:paraId="516C11B5">
            <w:pPr>
              <w:rPr>
                <w:rFonts w:ascii="Arial"/>
                <w:color w:val="auto"/>
                <w:sz w:val="21"/>
                <w:highlight w:val="none"/>
              </w:rPr>
            </w:pPr>
          </w:p>
        </w:tc>
        <w:tc>
          <w:tcPr>
            <w:tcW w:w="1133" w:type="dxa"/>
            <w:vAlign w:val="top"/>
          </w:tcPr>
          <w:p w14:paraId="6759272A">
            <w:pPr>
              <w:rPr>
                <w:rFonts w:ascii="Arial"/>
                <w:color w:val="auto"/>
                <w:sz w:val="21"/>
                <w:highlight w:val="none"/>
              </w:rPr>
            </w:pPr>
          </w:p>
        </w:tc>
        <w:tc>
          <w:tcPr>
            <w:tcW w:w="1133" w:type="dxa"/>
            <w:vAlign w:val="top"/>
          </w:tcPr>
          <w:p w14:paraId="71F7404B">
            <w:pPr>
              <w:rPr>
                <w:rFonts w:ascii="Arial"/>
                <w:color w:val="auto"/>
                <w:sz w:val="21"/>
                <w:highlight w:val="none"/>
              </w:rPr>
            </w:pPr>
          </w:p>
        </w:tc>
        <w:tc>
          <w:tcPr>
            <w:tcW w:w="4255" w:type="dxa"/>
            <w:vAlign w:val="top"/>
          </w:tcPr>
          <w:p w14:paraId="0A5ED738">
            <w:pPr>
              <w:rPr>
                <w:rFonts w:ascii="Arial"/>
                <w:color w:val="auto"/>
                <w:sz w:val="21"/>
                <w:highlight w:val="none"/>
              </w:rPr>
            </w:pPr>
          </w:p>
        </w:tc>
      </w:tr>
      <w:tr w14:paraId="2005C3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continue"/>
            <w:tcBorders>
              <w:top w:val="nil"/>
            </w:tcBorders>
            <w:vAlign w:val="top"/>
          </w:tcPr>
          <w:p w14:paraId="364F7C8A">
            <w:pPr>
              <w:rPr>
                <w:rFonts w:ascii="Arial"/>
                <w:color w:val="auto"/>
                <w:sz w:val="21"/>
                <w:highlight w:val="none"/>
              </w:rPr>
            </w:pPr>
          </w:p>
        </w:tc>
        <w:tc>
          <w:tcPr>
            <w:tcW w:w="1417" w:type="dxa"/>
            <w:vAlign w:val="top"/>
          </w:tcPr>
          <w:p w14:paraId="6DEB6044">
            <w:pPr>
              <w:rPr>
                <w:rFonts w:ascii="Arial"/>
                <w:color w:val="auto"/>
                <w:sz w:val="21"/>
                <w:highlight w:val="none"/>
              </w:rPr>
            </w:pPr>
          </w:p>
        </w:tc>
        <w:tc>
          <w:tcPr>
            <w:tcW w:w="1133" w:type="dxa"/>
            <w:vAlign w:val="top"/>
          </w:tcPr>
          <w:p w14:paraId="393835FD">
            <w:pPr>
              <w:rPr>
                <w:rFonts w:ascii="Arial"/>
                <w:color w:val="auto"/>
                <w:sz w:val="21"/>
                <w:highlight w:val="none"/>
              </w:rPr>
            </w:pPr>
          </w:p>
        </w:tc>
        <w:tc>
          <w:tcPr>
            <w:tcW w:w="1133" w:type="dxa"/>
            <w:vAlign w:val="top"/>
          </w:tcPr>
          <w:p w14:paraId="133099D2">
            <w:pPr>
              <w:rPr>
                <w:rFonts w:ascii="Arial"/>
                <w:color w:val="auto"/>
                <w:sz w:val="21"/>
                <w:highlight w:val="none"/>
              </w:rPr>
            </w:pPr>
          </w:p>
        </w:tc>
        <w:tc>
          <w:tcPr>
            <w:tcW w:w="4255" w:type="dxa"/>
            <w:vAlign w:val="top"/>
          </w:tcPr>
          <w:p w14:paraId="207E3878">
            <w:pPr>
              <w:rPr>
                <w:rFonts w:ascii="Arial"/>
                <w:color w:val="auto"/>
                <w:sz w:val="21"/>
                <w:highlight w:val="none"/>
              </w:rPr>
            </w:pPr>
          </w:p>
        </w:tc>
      </w:tr>
      <w:tr w14:paraId="214F1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restart"/>
            <w:tcBorders>
              <w:bottom w:val="nil"/>
            </w:tcBorders>
            <w:vAlign w:val="top"/>
          </w:tcPr>
          <w:p w14:paraId="223A0E94">
            <w:pPr>
              <w:spacing w:line="280" w:lineRule="auto"/>
              <w:rPr>
                <w:rFonts w:ascii="Arial"/>
                <w:color w:val="auto"/>
                <w:sz w:val="21"/>
                <w:highlight w:val="none"/>
              </w:rPr>
            </w:pPr>
          </w:p>
          <w:p w14:paraId="02CD30BA">
            <w:pPr>
              <w:spacing w:line="280" w:lineRule="auto"/>
              <w:rPr>
                <w:rFonts w:ascii="Arial"/>
                <w:color w:val="auto"/>
                <w:sz w:val="21"/>
                <w:highlight w:val="none"/>
              </w:rPr>
            </w:pPr>
          </w:p>
          <w:p w14:paraId="7DC8E4CA">
            <w:pPr>
              <w:spacing w:line="281" w:lineRule="auto"/>
              <w:rPr>
                <w:rFonts w:ascii="Arial"/>
                <w:color w:val="auto"/>
                <w:sz w:val="21"/>
                <w:highlight w:val="none"/>
              </w:rPr>
            </w:pPr>
          </w:p>
          <w:p w14:paraId="0DB1D478">
            <w:pPr>
              <w:pStyle w:val="15"/>
              <w:spacing w:before="65" w:line="228" w:lineRule="auto"/>
              <w:ind w:left="99"/>
              <w:rPr>
                <w:color w:val="auto"/>
                <w:highlight w:val="none"/>
              </w:rPr>
            </w:pPr>
            <w:r>
              <w:rPr>
                <w:color w:val="auto"/>
                <w:spacing w:val="7"/>
                <w:highlight w:val="none"/>
              </w:rPr>
              <w:t>其他人员</w:t>
            </w:r>
          </w:p>
        </w:tc>
        <w:tc>
          <w:tcPr>
            <w:tcW w:w="1417" w:type="dxa"/>
            <w:vAlign w:val="top"/>
          </w:tcPr>
          <w:p w14:paraId="4817C869">
            <w:pPr>
              <w:rPr>
                <w:rFonts w:ascii="Arial"/>
                <w:color w:val="auto"/>
                <w:sz w:val="21"/>
                <w:highlight w:val="none"/>
              </w:rPr>
            </w:pPr>
          </w:p>
        </w:tc>
        <w:tc>
          <w:tcPr>
            <w:tcW w:w="1133" w:type="dxa"/>
            <w:vAlign w:val="top"/>
          </w:tcPr>
          <w:p w14:paraId="036F4B8E">
            <w:pPr>
              <w:rPr>
                <w:rFonts w:ascii="Arial"/>
                <w:color w:val="auto"/>
                <w:sz w:val="21"/>
                <w:highlight w:val="none"/>
              </w:rPr>
            </w:pPr>
          </w:p>
        </w:tc>
        <w:tc>
          <w:tcPr>
            <w:tcW w:w="1133" w:type="dxa"/>
            <w:vAlign w:val="top"/>
          </w:tcPr>
          <w:p w14:paraId="550FCFA4">
            <w:pPr>
              <w:rPr>
                <w:rFonts w:ascii="Arial"/>
                <w:color w:val="auto"/>
                <w:sz w:val="21"/>
                <w:highlight w:val="none"/>
              </w:rPr>
            </w:pPr>
          </w:p>
        </w:tc>
        <w:tc>
          <w:tcPr>
            <w:tcW w:w="4255" w:type="dxa"/>
            <w:vAlign w:val="top"/>
          </w:tcPr>
          <w:p w14:paraId="4B726B80">
            <w:pPr>
              <w:rPr>
                <w:rFonts w:ascii="Arial"/>
                <w:color w:val="auto"/>
                <w:sz w:val="21"/>
                <w:highlight w:val="none"/>
              </w:rPr>
            </w:pPr>
          </w:p>
        </w:tc>
      </w:tr>
      <w:tr w14:paraId="277AB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75" w:type="dxa"/>
            <w:vMerge w:val="continue"/>
            <w:tcBorders>
              <w:top w:val="nil"/>
              <w:bottom w:val="nil"/>
            </w:tcBorders>
            <w:vAlign w:val="top"/>
          </w:tcPr>
          <w:p w14:paraId="17D1B85C">
            <w:pPr>
              <w:rPr>
                <w:rFonts w:ascii="Arial"/>
                <w:color w:val="auto"/>
                <w:sz w:val="21"/>
                <w:highlight w:val="none"/>
              </w:rPr>
            </w:pPr>
          </w:p>
        </w:tc>
        <w:tc>
          <w:tcPr>
            <w:tcW w:w="1417" w:type="dxa"/>
            <w:vAlign w:val="top"/>
          </w:tcPr>
          <w:p w14:paraId="13BFA07B">
            <w:pPr>
              <w:rPr>
                <w:rFonts w:ascii="Arial"/>
                <w:color w:val="auto"/>
                <w:sz w:val="21"/>
                <w:highlight w:val="none"/>
              </w:rPr>
            </w:pPr>
          </w:p>
        </w:tc>
        <w:tc>
          <w:tcPr>
            <w:tcW w:w="1133" w:type="dxa"/>
            <w:vAlign w:val="top"/>
          </w:tcPr>
          <w:p w14:paraId="6DE9F129">
            <w:pPr>
              <w:rPr>
                <w:rFonts w:ascii="Arial"/>
                <w:color w:val="auto"/>
                <w:sz w:val="21"/>
                <w:highlight w:val="none"/>
              </w:rPr>
            </w:pPr>
          </w:p>
        </w:tc>
        <w:tc>
          <w:tcPr>
            <w:tcW w:w="1133" w:type="dxa"/>
            <w:vAlign w:val="top"/>
          </w:tcPr>
          <w:p w14:paraId="715881CB">
            <w:pPr>
              <w:rPr>
                <w:rFonts w:ascii="Arial"/>
                <w:color w:val="auto"/>
                <w:sz w:val="21"/>
                <w:highlight w:val="none"/>
              </w:rPr>
            </w:pPr>
          </w:p>
        </w:tc>
        <w:tc>
          <w:tcPr>
            <w:tcW w:w="4255" w:type="dxa"/>
            <w:vAlign w:val="top"/>
          </w:tcPr>
          <w:p w14:paraId="09839434">
            <w:pPr>
              <w:rPr>
                <w:rFonts w:ascii="Arial"/>
                <w:color w:val="auto"/>
                <w:sz w:val="21"/>
                <w:highlight w:val="none"/>
              </w:rPr>
            </w:pPr>
          </w:p>
        </w:tc>
      </w:tr>
      <w:tr w14:paraId="48D3C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continue"/>
            <w:tcBorders>
              <w:top w:val="nil"/>
              <w:bottom w:val="nil"/>
            </w:tcBorders>
            <w:vAlign w:val="top"/>
          </w:tcPr>
          <w:p w14:paraId="5A3529CA">
            <w:pPr>
              <w:rPr>
                <w:rFonts w:ascii="Arial"/>
                <w:color w:val="auto"/>
                <w:sz w:val="21"/>
                <w:highlight w:val="none"/>
              </w:rPr>
            </w:pPr>
          </w:p>
        </w:tc>
        <w:tc>
          <w:tcPr>
            <w:tcW w:w="1417" w:type="dxa"/>
            <w:vAlign w:val="top"/>
          </w:tcPr>
          <w:p w14:paraId="33675127">
            <w:pPr>
              <w:rPr>
                <w:rFonts w:ascii="Arial"/>
                <w:color w:val="auto"/>
                <w:sz w:val="21"/>
                <w:highlight w:val="none"/>
              </w:rPr>
            </w:pPr>
          </w:p>
        </w:tc>
        <w:tc>
          <w:tcPr>
            <w:tcW w:w="1133" w:type="dxa"/>
            <w:vAlign w:val="top"/>
          </w:tcPr>
          <w:p w14:paraId="4185D084">
            <w:pPr>
              <w:rPr>
                <w:rFonts w:ascii="Arial"/>
                <w:color w:val="auto"/>
                <w:sz w:val="21"/>
                <w:highlight w:val="none"/>
              </w:rPr>
            </w:pPr>
          </w:p>
        </w:tc>
        <w:tc>
          <w:tcPr>
            <w:tcW w:w="1133" w:type="dxa"/>
            <w:vAlign w:val="top"/>
          </w:tcPr>
          <w:p w14:paraId="741D3687">
            <w:pPr>
              <w:rPr>
                <w:rFonts w:ascii="Arial"/>
                <w:color w:val="auto"/>
                <w:sz w:val="21"/>
                <w:highlight w:val="none"/>
              </w:rPr>
            </w:pPr>
          </w:p>
        </w:tc>
        <w:tc>
          <w:tcPr>
            <w:tcW w:w="4255" w:type="dxa"/>
            <w:vAlign w:val="top"/>
          </w:tcPr>
          <w:p w14:paraId="19C892AC">
            <w:pPr>
              <w:rPr>
                <w:rFonts w:ascii="Arial"/>
                <w:color w:val="auto"/>
                <w:sz w:val="21"/>
                <w:highlight w:val="none"/>
              </w:rPr>
            </w:pPr>
          </w:p>
        </w:tc>
      </w:tr>
      <w:tr w14:paraId="17962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75" w:type="dxa"/>
            <w:vMerge w:val="continue"/>
            <w:tcBorders>
              <w:top w:val="nil"/>
              <w:bottom w:val="nil"/>
            </w:tcBorders>
            <w:vAlign w:val="top"/>
          </w:tcPr>
          <w:p w14:paraId="045102FD">
            <w:pPr>
              <w:rPr>
                <w:rFonts w:ascii="Arial"/>
                <w:color w:val="auto"/>
                <w:sz w:val="21"/>
                <w:highlight w:val="none"/>
              </w:rPr>
            </w:pPr>
          </w:p>
        </w:tc>
        <w:tc>
          <w:tcPr>
            <w:tcW w:w="1417" w:type="dxa"/>
            <w:vAlign w:val="top"/>
          </w:tcPr>
          <w:p w14:paraId="2EDC07C3">
            <w:pPr>
              <w:rPr>
                <w:rFonts w:ascii="Arial"/>
                <w:color w:val="auto"/>
                <w:sz w:val="21"/>
                <w:highlight w:val="none"/>
              </w:rPr>
            </w:pPr>
          </w:p>
        </w:tc>
        <w:tc>
          <w:tcPr>
            <w:tcW w:w="1133" w:type="dxa"/>
            <w:vAlign w:val="top"/>
          </w:tcPr>
          <w:p w14:paraId="588CDDDF">
            <w:pPr>
              <w:rPr>
                <w:rFonts w:ascii="Arial"/>
                <w:color w:val="auto"/>
                <w:sz w:val="21"/>
                <w:highlight w:val="none"/>
              </w:rPr>
            </w:pPr>
          </w:p>
        </w:tc>
        <w:tc>
          <w:tcPr>
            <w:tcW w:w="1133" w:type="dxa"/>
            <w:vAlign w:val="top"/>
          </w:tcPr>
          <w:p w14:paraId="4408A145">
            <w:pPr>
              <w:rPr>
                <w:rFonts w:ascii="Arial"/>
                <w:color w:val="auto"/>
                <w:sz w:val="21"/>
                <w:highlight w:val="none"/>
              </w:rPr>
            </w:pPr>
          </w:p>
        </w:tc>
        <w:tc>
          <w:tcPr>
            <w:tcW w:w="4255" w:type="dxa"/>
            <w:vAlign w:val="top"/>
          </w:tcPr>
          <w:p w14:paraId="1976480C">
            <w:pPr>
              <w:rPr>
                <w:rFonts w:ascii="Arial"/>
                <w:color w:val="auto"/>
                <w:sz w:val="21"/>
                <w:highlight w:val="none"/>
              </w:rPr>
            </w:pPr>
          </w:p>
        </w:tc>
      </w:tr>
      <w:tr w14:paraId="07C02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continue"/>
            <w:tcBorders>
              <w:top w:val="nil"/>
              <w:bottom w:val="nil"/>
            </w:tcBorders>
            <w:vAlign w:val="top"/>
          </w:tcPr>
          <w:p w14:paraId="10047206">
            <w:pPr>
              <w:rPr>
                <w:rFonts w:ascii="Arial"/>
                <w:color w:val="auto"/>
                <w:sz w:val="21"/>
                <w:highlight w:val="none"/>
              </w:rPr>
            </w:pPr>
          </w:p>
        </w:tc>
        <w:tc>
          <w:tcPr>
            <w:tcW w:w="1417" w:type="dxa"/>
            <w:vAlign w:val="top"/>
          </w:tcPr>
          <w:p w14:paraId="354793CB">
            <w:pPr>
              <w:rPr>
                <w:rFonts w:ascii="Arial"/>
                <w:color w:val="auto"/>
                <w:sz w:val="21"/>
                <w:highlight w:val="none"/>
              </w:rPr>
            </w:pPr>
          </w:p>
        </w:tc>
        <w:tc>
          <w:tcPr>
            <w:tcW w:w="1133" w:type="dxa"/>
            <w:vAlign w:val="top"/>
          </w:tcPr>
          <w:p w14:paraId="423F2747">
            <w:pPr>
              <w:rPr>
                <w:rFonts w:ascii="Arial"/>
                <w:color w:val="auto"/>
                <w:sz w:val="21"/>
                <w:highlight w:val="none"/>
              </w:rPr>
            </w:pPr>
          </w:p>
        </w:tc>
        <w:tc>
          <w:tcPr>
            <w:tcW w:w="1133" w:type="dxa"/>
            <w:vAlign w:val="top"/>
          </w:tcPr>
          <w:p w14:paraId="514A81FF">
            <w:pPr>
              <w:rPr>
                <w:rFonts w:ascii="Arial"/>
                <w:color w:val="auto"/>
                <w:sz w:val="21"/>
                <w:highlight w:val="none"/>
              </w:rPr>
            </w:pPr>
          </w:p>
        </w:tc>
        <w:tc>
          <w:tcPr>
            <w:tcW w:w="4255" w:type="dxa"/>
            <w:vAlign w:val="top"/>
          </w:tcPr>
          <w:p w14:paraId="1CE98E02">
            <w:pPr>
              <w:rPr>
                <w:rFonts w:ascii="Arial"/>
                <w:color w:val="auto"/>
                <w:sz w:val="21"/>
                <w:highlight w:val="none"/>
              </w:rPr>
            </w:pPr>
          </w:p>
        </w:tc>
      </w:tr>
      <w:tr w14:paraId="5C98EE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875" w:type="dxa"/>
            <w:vMerge w:val="continue"/>
            <w:tcBorders>
              <w:top w:val="nil"/>
            </w:tcBorders>
            <w:vAlign w:val="top"/>
          </w:tcPr>
          <w:p w14:paraId="07C5D66A">
            <w:pPr>
              <w:rPr>
                <w:rFonts w:ascii="Arial"/>
                <w:color w:val="auto"/>
                <w:sz w:val="21"/>
                <w:highlight w:val="none"/>
              </w:rPr>
            </w:pPr>
          </w:p>
        </w:tc>
        <w:tc>
          <w:tcPr>
            <w:tcW w:w="1417" w:type="dxa"/>
            <w:vAlign w:val="top"/>
          </w:tcPr>
          <w:p w14:paraId="4ABAF358">
            <w:pPr>
              <w:rPr>
                <w:rFonts w:ascii="Arial"/>
                <w:color w:val="auto"/>
                <w:sz w:val="21"/>
                <w:highlight w:val="none"/>
              </w:rPr>
            </w:pPr>
          </w:p>
        </w:tc>
        <w:tc>
          <w:tcPr>
            <w:tcW w:w="1133" w:type="dxa"/>
            <w:vAlign w:val="top"/>
          </w:tcPr>
          <w:p w14:paraId="45EB8BCF">
            <w:pPr>
              <w:rPr>
                <w:rFonts w:ascii="Arial"/>
                <w:color w:val="auto"/>
                <w:sz w:val="21"/>
                <w:highlight w:val="none"/>
              </w:rPr>
            </w:pPr>
          </w:p>
        </w:tc>
        <w:tc>
          <w:tcPr>
            <w:tcW w:w="1133" w:type="dxa"/>
            <w:vAlign w:val="top"/>
          </w:tcPr>
          <w:p w14:paraId="7D3DEDD5">
            <w:pPr>
              <w:rPr>
                <w:rFonts w:ascii="Arial"/>
                <w:color w:val="auto"/>
                <w:sz w:val="21"/>
                <w:highlight w:val="none"/>
              </w:rPr>
            </w:pPr>
          </w:p>
        </w:tc>
        <w:tc>
          <w:tcPr>
            <w:tcW w:w="4255" w:type="dxa"/>
            <w:vAlign w:val="top"/>
          </w:tcPr>
          <w:p w14:paraId="7182EAF1">
            <w:pPr>
              <w:rPr>
                <w:rFonts w:ascii="Arial"/>
                <w:color w:val="auto"/>
                <w:sz w:val="21"/>
                <w:highlight w:val="none"/>
              </w:rPr>
            </w:pPr>
          </w:p>
        </w:tc>
      </w:tr>
    </w:tbl>
    <w:p w14:paraId="2D62A26B">
      <w:pPr>
        <w:pStyle w:val="2"/>
        <w:rPr>
          <w:color w:val="auto"/>
          <w:highlight w:val="none"/>
        </w:rPr>
      </w:pPr>
    </w:p>
    <w:p w14:paraId="2E86B441">
      <w:pPr>
        <w:rPr>
          <w:color w:val="auto"/>
          <w:highlight w:val="none"/>
        </w:rPr>
        <w:sectPr>
          <w:footerReference r:id="rId56" w:type="default"/>
          <w:pgSz w:w="11907" w:h="16840"/>
          <w:pgMar w:top="1428" w:right="866" w:bottom="1014" w:left="1222" w:header="0" w:footer="852" w:gutter="0"/>
          <w:pgNumType w:fmt="decimal"/>
          <w:cols w:space="720" w:num="1"/>
        </w:sectPr>
      </w:pPr>
    </w:p>
    <w:p w14:paraId="31B0B285">
      <w:pPr>
        <w:spacing w:before="41" w:line="227" w:lineRule="auto"/>
        <w:ind w:left="599"/>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附件</w:t>
      </w:r>
      <w:r>
        <w:rPr>
          <w:rFonts w:ascii="宋体" w:hAnsi="宋体" w:eastAsia="宋体" w:cs="宋体"/>
          <w:color w:val="auto"/>
          <w:spacing w:val="-39"/>
          <w:sz w:val="20"/>
          <w:szCs w:val="20"/>
          <w:highlight w:val="none"/>
        </w:rPr>
        <w:t xml:space="preserve"> </w:t>
      </w:r>
      <w:r>
        <w:rPr>
          <w:rFonts w:hint="eastAsia" w:ascii="宋体" w:hAnsi="宋体" w:eastAsia="宋体" w:cs="宋体"/>
          <w:color w:val="auto"/>
          <w:spacing w:val="-3"/>
          <w:sz w:val="20"/>
          <w:szCs w:val="20"/>
          <w:highlight w:val="none"/>
          <w:lang w:val="en-US" w:eastAsia="zh-CN"/>
        </w:rPr>
        <w:t>5</w:t>
      </w:r>
      <w:r>
        <w:rPr>
          <w:rFonts w:ascii="宋体" w:hAnsi="宋体" w:eastAsia="宋体" w:cs="宋体"/>
          <w:color w:val="auto"/>
          <w:spacing w:val="-3"/>
          <w:sz w:val="20"/>
          <w:szCs w:val="20"/>
          <w:highlight w:val="none"/>
        </w:rPr>
        <w:t>：</w:t>
      </w:r>
    </w:p>
    <w:p w14:paraId="7C5AF985">
      <w:pPr>
        <w:spacing w:before="214" w:line="228" w:lineRule="auto"/>
        <w:ind w:left="366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分包人主要施工管理人员表</w:t>
      </w:r>
    </w:p>
    <w:p w14:paraId="0AD61CFB">
      <w:pPr>
        <w:spacing w:line="183" w:lineRule="exact"/>
        <w:rPr>
          <w:color w:val="auto"/>
          <w:highlight w:val="none"/>
        </w:rPr>
      </w:pPr>
    </w:p>
    <w:tbl>
      <w:tblPr>
        <w:tblStyle w:val="14"/>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14:paraId="6F8E1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875" w:type="dxa"/>
            <w:vAlign w:val="top"/>
          </w:tcPr>
          <w:p w14:paraId="1F4491B7">
            <w:pPr>
              <w:pStyle w:val="15"/>
              <w:spacing w:before="35" w:line="230" w:lineRule="auto"/>
              <w:ind w:left="101"/>
              <w:rPr>
                <w:color w:val="auto"/>
                <w:highlight w:val="none"/>
              </w:rPr>
            </w:pPr>
            <w:r>
              <w:rPr>
                <w:color w:val="auto"/>
                <w:highlight w:val="none"/>
              </w:rPr>
              <w:t>名</w:t>
            </w:r>
            <w:r>
              <w:rPr>
                <w:color w:val="auto"/>
                <w:spacing w:val="7"/>
                <w:highlight w:val="none"/>
              </w:rPr>
              <w:t xml:space="preserve">    </w:t>
            </w:r>
            <w:r>
              <w:rPr>
                <w:color w:val="auto"/>
                <w:highlight w:val="none"/>
              </w:rPr>
              <w:t>称</w:t>
            </w:r>
          </w:p>
        </w:tc>
        <w:tc>
          <w:tcPr>
            <w:tcW w:w="1417" w:type="dxa"/>
            <w:vAlign w:val="top"/>
          </w:tcPr>
          <w:p w14:paraId="112B49C0">
            <w:pPr>
              <w:pStyle w:val="15"/>
              <w:spacing w:before="35" w:line="228" w:lineRule="auto"/>
              <w:ind w:left="95"/>
              <w:rPr>
                <w:color w:val="auto"/>
                <w:highlight w:val="none"/>
              </w:rPr>
            </w:pPr>
            <w:r>
              <w:rPr>
                <w:color w:val="auto"/>
                <w:spacing w:val="4"/>
                <w:highlight w:val="none"/>
              </w:rPr>
              <w:t>姓名</w:t>
            </w:r>
          </w:p>
        </w:tc>
        <w:tc>
          <w:tcPr>
            <w:tcW w:w="1133" w:type="dxa"/>
            <w:vAlign w:val="top"/>
          </w:tcPr>
          <w:p w14:paraId="448B7A1A">
            <w:pPr>
              <w:pStyle w:val="15"/>
              <w:spacing w:before="35" w:line="228" w:lineRule="auto"/>
              <w:ind w:left="97"/>
              <w:rPr>
                <w:color w:val="auto"/>
                <w:highlight w:val="none"/>
              </w:rPr>
            </w:pPr>
            <w:r>
              <w:rPr>
                <w:color w:val="auto"/>
                <w:spacing w:val="4"/>
                <w:highlight w:val="none"/>
              </w:rPr>
              <w:t>职务</w:t>
            </w:r>
          </w:p>
        </w:tc>
        <w:tc>
          <w:tcPr>
            <w:tcW w:w="1133" w:type="dxa"/>
            <w:vAlign w:val="top"/>
          </w:tcPr>
          <w:p w14:paraId="6C4CF587">
            <w:pPr>
              <w:pStyle w:val="15"/>
              <w:spacing w:before="35" w:line="230" w:lineRule="auto"/>
              <w:ind w:left="97"/>
              <w:rPr>
                <w:color w:val="auto"/>
                <w:highlight w:val="none"/>
              </w:rPr>
            </w:pPr>
            <w:r>
              <w:rPr>
                <w:color w:val="auto"/>
                <w:spacing w:val="4"/>
                <w:highlight w:val="none"/>
              </w:rPr>
              <w:t>职称</w:t>
            </w:r>
          </w:p>
        </w:tc>
        <w:tc>
          <w:tcPr>
            <w:tcW w:w="4255" w:type="dxa"/>
            <w:vAlign w:val="top"/>
          </w:tcPr>
          <w:p w14:paraId="3190BB34">
            <w:pPr>
              <w:pStyle w:val="15"/>
              <w:spacing w:before="35" w:line="228" w:lineRule="auto"/>
              <w:ind w:left="100"/>
              <w:rPr>
                <w:color w:val="auto"/>
                <w:highlight w:val="none"/>
              </w:rPr>
            </w:pPr>
            <w:r>
              <w:rPr>
                <w:color w:val="auto"/>
                <w:spacing w:val="9"/>
                <w:highlight w:val="none"/>
              </w:rPr>
              <w:t>主要资历、经验及承担过的项目</w:t>
            </w:r>
          </w:p>
        </w:tc>
      </w:tr>
      <w:tr w14:paraId="07A35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13" w:type="dxa"/>
            <w:gridSpan w:val="5"/>
            <w:vAlign w:val="top"/>
          </w:tcPr>
          <w:p w14:paraId="3219D865">
            <w:pPr>
              <w:pStyle w:val="15"/>
              <w:spacing w:before="31" w:line="228" w:lineRule="auto"/>
              <w:ind w:left="101"/>
              <w:rPr>
                <w:color w:val="auto"/>
                <w:highlight w:val="none"/>
              </w:rPr>
            </w:pPr>
            <w:r>
              <w:rPr>
                <w:color w:val="auto"/>
                <w:spacing w:val="7"/>
                <w:highlight w:val="none"/>
              </w:rPr>
              <w:t>一、总部人员</w:t>
            </w:r>
          </w:p>
        </w:tc>
      </w:tr>
      <w:tr w14:paraId="603FA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Align w:val="top"/>
          </w:tcPr>
          <w:p w14:paraId="122AF6A5">
            <w:pPr>
              <w:pStyle w:val="15"/>
              <w:spacing w:before="31" w:line="228" w:lineRule="auto"/>
              <w:ind w:left="101"/>
              <w:rPr>
                <w:color w:val="auto"/>
                <w:highlight w:val="none"/>
              </w:rPr>
            </w:pPr>
            <w:r>
              <w:rPr>
                <w:color w:val="auto"/>
                <w:spacing w:val="6"/>
                <w:highlight w:val="none"/>
              </w:rPr>
              <w:t>项目主管</w:t>
            </w:r>
          </w:p>
        </w:tc>
        <w:tc>
          <w:tcPr>
            <w:tcW w:w="1417" w:type="dxa"/>
            <w:vAlign w:val="top"/>
          </w:tcPr>
          <w:p w14:paraId="4ABA8EB7">
            <w:pPr>
              <w:rPr>
                <w:rFonts w:ascii="Arial"/>
                <w:color w:val="auto"/>
                <w:sz w:val="21"/>
                <w:highlight w:val="none"/>
              </w:rPr>
            </w:pPr>
          </w:p>
        </w:tc>
        <w:tc>
          <w:tcPr>
            <w:tcW w:w="1133" w:type="dxa"/>
            <w:vAlign w:val="top"/>
          </w:tcPr>
          <w:p w14:paraId="7D3354C4">
            <w:pPr>
              <w:rPr>
                <w:rFonts w:ascii="Arial"/>
                <w:color w:val="auto"/>
                <w:sz w:val="21"/>
                <w:highlight w:val="none"/>
              </w:rPr>
            </w:pPr>
          </w:p>
        </w:tc>
        <w:tc>
          <w:tcPr>
            <w:tcW w:w="1133" w:type="dxa"/>
            <w:vAlign w:val="top"/>
          </w:tcPr>
          <w:p w14:paraId="078085FC">
            <w:pPr>
              <w:rPr>
                <w:rFonts w:ascii="Arial"/>
                <w:color w:val="auto"/>
                <w:sz w:val="21"/>
                <w:highlight w:val="none"/>
              </w:rPr>
            </w:pPr>
          </w:p>
        </w:tc>
        <w:tc>
          <w:tcPr>
            <w:tcW w:w="4255" w:type="dxa"/>
            <w:vAlign w:val="top"/>
          </w:tcPr>
          <w:p w14:paraId="393882A7">
            <w:pPr>
              <w:rPr>
                <w:rFonts w:ascii="Arial"/>
                <w:color w:val="auto"/>
                <w:sz w:val="21"/>
                <w:highlight w:val="none"/>
              </w:rPr>
            </w:pPr>
          </w:p>
        </w:tc>
      </w:tr>
      <w:tr w14:paraId="630EC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75" w:type="dxa"/>
            <w:vMerge w:val="restart"/>
            <w:tcBorders>
              <w:bottom w:val="nil"/>
            </w:tcBorders>
            <w:vAlign w:val="top"/>
          </w:tcPr>
          <w:p w14:paraId="153F7D8F">
            <w:pPr>
              <w:spacing w:line="256" w:lineRule="auto"/>
              <w:rPr>
                <w:rFonts w:ascii="Arial"/>
                <w:color w:val="auto"/>
                <w:sz w:val="21"/>
                <w:highlight w:val="none"/>
              </w:rPr>
            </w:pPr>
          </w:p>
          <w:p w14:paraId="12DCAD34">
            <w:pPr>
              <w:pStyle w:val="15"/>
              <w:spacing w:before="65" w:line="228" w:lineRule="auto"/>
              <w:ind w:left="99"/>
              <w:rPr>
                <w:color w:val="auto"/>
                <w:highlight w:val="none"/>
              </w:rPr>
            </w:pPr>
            <w:r>
              <w:rPr>
                <w:color w:val="auto"/>
                <w:spacing w:val="7"/>
                <w:highlight w:val="none"/>
              </w:rPr>
              <w:t>其他人员</w:t>
            </w:r>
          </w:p>
        </w:tc>
        <w:tc>
          <w:tcPr>
            <w:tcW w:w="1417" w:type="dxa"/>
            <w:vAlign w:val="top"/>
          </w:tcPr>
          <w:p w14:paraId="0B6966EF">
            <w:pPr>
              <w:rPr>
                <w:rFonts w:ascii="Arial"/>
                <w:color w:val="auto"/>
                <w:sz w:val="21"/>
                <w:highlight w:val="none"/>
              </w:rPr>
            </w:pPr>
          </w:p>
        </w:tc>
        <w:tc>
          <w:tcPr>
            <w:tcW w:w="1133" w:type="dxa"/>
            <w:vAlign w:val="top"/>
          </w:tcPr>
          <w:p w14:paraId="1084515F">
            <w:pPr>
              <w:rPr>
                <w:rFonts w:ascii="Arial"/>
                <w:color w:val="auto"/>
                <w:sz w:val="21"/>
                <w:highlight w:val="none"/>
              </w:rPr>
            </w:pPr>
          </w:p>
        </w:tc>
        <w:tc>
          <w:tcPr>
            <w:tcW w:w="1133" w:type="dxa"/>
            <w:vAlign w:val="top"/>
          </w:tcPr>
          <w:p w14:paraId="7E767C87">
            <w:pPr>
              <w:rPr>
                <w:rFonts w:ascii="Arial"/>
                <w:color w:val="auto"/>
                <w:sz w:val="21"/>
                <w:highlight w:val="none"/>
              </w:rPr>
            </w:pPr>
          </w:p>
        </w:tc>
        <w:tc>
          <w:tcPr>
            <w:tcW w:w="4255" w:type="dxa"/>
            <w:vAlign w:val="top"/>
          </w:tcPr>
          <w:p w14:paraId="1488337C">
            <w:pPr>
              <w:rPr>
                <w:rFonts w:ascii="Arial"/>
                <w:color w:val="auto"/>
                <w:sz w:val="21"/>
                <w:highlight w:val="none"/>
              </w:rPr>
            </w:pPr>
          </w:p>
        </w:tc>
      </w:tr>
      <w:tr w14:paraId="1B505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continue"/>
            <w:tcBorders>
              <w:top w:val="nil"/>
              <w:bottom w:val="nil"/>
            </w:tcBorders>
            <w:vAlign w:val="top"/>
          </w:tcPr>
          <w:p w14:paraId="4A6ADD87">
            <w:pPr>
              <w:rPr>
                <w:rFonts w:ascii="Arial"/>
                <w:color w:val="auto"/>
                <w:sz w:val="21"/>
                <w:highlight w:val="none"/>
              </w:rPr>
            </w:pPr>
          </w:p>
        </w:tc>
        <w:tc>
          <w:tcPr>
            <w:tcW w:w="1417" w:type="dxa"/>
            <w:vAlign w:val="top"/>
          </w:tcPr>
          <w:p w14:paraId="7D12033D">
            <w:pPr>
              <w:rPr>
                <w:rFonts w:ascii="Arial"/>
                <w:color w:val="auto"/>
                <w:sz w:val="21"/>
                <w:highlight w:val="none"/>
              </w:rPr>
            </w:pPr>
          </w:p>
        </w:tc>
        <w:tc>
          <w:tcPr>
            <w:tcW w:w="1133" w:type="dxa"/>
            <w:vAlign w:val="top"/>
          </w:tcPr>
          <w:p w14:paraId="0364DFAF">
            <w:pPr>
              <w:rPr>
                <w:rFonts w:ascii="Arial"/>
                <w:color w:val="auto"/>
                <w:sz w:val="21"/>
                <w:highlight w:val="none"/>
              </w:rPr>
            </w:pPr>
          </w:p>
        </w:tc>
        <w:tc>
          <w:tcPr>
            <w:tcW w:w="1133" w:type="dxa"/>
            <w:vAlign w:val="top"/>
          </w:tcPr>
          <w:p w14:paraId="023AA4FE">
            <w:pPr>
              <w:rPr>
                <w:rFonts w:ascii="Arial"/>
                <w:color w:val="auto"/>
                <w:sz w:val="21"/>
                <w:highlight w:val="none"/>
              </w:rPr>
            </w:pPr>
          </w:p>
        </w:tc>
        <w:tc>
          <w:tcPr>
            <w:tcW w:w="4255" w:type="dxa"/>
            <w:vAlign w:val="top"/>
          </w:tcPr>
          <w:p w14:paraId="5FC09E9B">
            <w:pPr>
              <w:rPr>
                <w:rFonts w:ascii="Arial"/>
                <w:color w:val="auto"/>
                <w:sz w:val="21"/>
                <w:highlight w:val="none"/>
              </w:rPr>
            </w:pPr>
          </w:p>
        </w:tc>
      </w:tr>
      <w:tr w14:paraId="7A867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continue"/>
            <w:tcBorders>
              <w:top w:val="nil"/>
            </w:tcBorders>
            <w:vAlign w:val="top"/>
          </w:tcPr>
          <w:p w14:paraId="340CBFA3">
            <w:pPr>
              <w:rPr>
                <w:rFonts w:ascii="Arial"/>
                <w:color w:val="auto"/>
                <w:sz w:val="21"/>
                <w:highlight w:val="none"/>
              </w:rPr>
            </w:pPr>
          </w:p>
        </w:tc>
        <w:tc>
          <w:tcPr>
            <w:tcW w:w="1417" w:type="dxa"/>
            <w:vAlign w:val="top"/>
          </w:tcPr>
          <w:p w14:paraId="6C4FDBEB">
            <w:pPr>
              <w:rPr>
                <w:rFonts w:ascii="Arial"/>
                <w:color w:val="auto"/>
                <w:sz w:val="21"/>
                <w:highlight w:val="none"/>
              </w:rPr>
            </w:pPr>
          </w:p>
        </w:tc>
        <w:tc>
          <w:tcPr>
            <w:tcW w:w="1133" w:type="dxa"/>
            <w:vAlign w:val="top"/>
          </w:tcPr>
          <w:p w14:paraId="12DBC7D2">
            <w:pPr>
              <w:rPr>
                <w:rFonts w:ascii="Arial"/>
                <w:color w:val="auto"/>
                <w:sz w:val="21"/>
                <w:highlight w:val="none"/>
              </w:rPr>
            </w:pPr>
          </w:p>
        </w:tc>
        <w:tc>
          <w:tcPr>
            <w:tcW w:w="1133" w:type="dxa"/>
            <w:vAlign w:val="top"/>
          </w:tcPr>
          <w:p w14:paraId="6861BA98">
            <w:pPr>
              <w:rPr>
                <w:rFonts w:ascii="Arial"/>
                <w:color w:val="auto"/>
                <w:sz w:val="21"/>
                <w:highlight w:val="none"/>
              </w:rPr>
            </w:pPr>
          </w:p>
        </w:tc>
        <w:tc>
          <w:tcPr>
            <w:tcW w:w="4255" w:type="dxa"/>
            <w:vAlign w:val="top"/>
          </w:tcPr>
          <w:p w14:paraId="1592183E">
            <w:pPr>
              <w:rPr>
                <w:rFonts w:ascii="Arial"/>
                <w:color w:val="auto"/>
                <w:sz w:val="21"/>
                <w:highlight w:val="none"/>
              </w:rPr>
            </w:pPr>
          </w:p>
        </w:tc>
      </w:tr>
      <w:tr w14:paraId="1C694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813" w:type="dxa"/>
            <w:gridSpan w:val="5"/>
            <w:vAlign w:val="top"/>
          </w:tcPr>
          <w:p w14:paraId="7A539E5C">
            <w:pPr>
              <w:pStyle w:val="15"/>
              <w:spacing w:before="33" w:line="228" w:lineRule="auto"/>
              <w:ind w:left="101"/>
              <w:rPr>
                <w:color w:val="auto"/>
                <w:highlight w:val="none"/>
              </w:rPr>
            </w:pPr>
            <w:r>
              <w:rPr>
                <w:color w:val="auto"/>
                <w:spacing w:val="7"/>
                <w:highlight w:val="none"/>
              </w:rPr>
              <w:t>二、现场人员</w:t>
            </w:r>
          </w:p>
        </w:tc>
      </w:tr>
      <w:tr w14:paraId="0176C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Align w:val="top"/>
          </w:tcPr>
          <w:p w14:paraId="3E8709CB">
            <w:pPr>
              <w:pStyle w:val="15"/>
              <w:spacing w:before="33" w:line="228" w:lineRule="auto"/>
              <w:ind w:left="101"/>
              <w:rPr>
                <w:color w:val="auto"/>
                <w:highlight w:val="none"/>
              </w:rPr>
            </w:pPr>
            <w:r>
              <w:rPr>
                <w:color w:val="auto"/>
                <w:spacing w:val="6"/>
                <w:highlight w:val="none"/>
              </w:rPr>
              <w:t>项目经理</w:t>
            </w:r>
          </w:p>
        </w:tc>
        <w:tc>
          <w:tcPr>
            <w:tcW w:w="1417" w:type="dxa"/>
            <w:vAlign w:val="top"/>
          </w:tcPr>
          <w:p w14:paraId="36B9FAB7">
            <w:pPr>
              <w:rPr>
                <w:rFonts w:ascii="Arial"/>
                <w:color w:val="auto"/>
                <w:sz w:val="21"/>
                <w:highlight w:val="none"/>
              </w:rPr>
            </w:pPr>
          </w:p>
        </w:tc>
        <w:tc>
          <w:tcPr>
            <w:tcW w:w="1133" w:type="dxa"/>
            <w:vAlign w:val="top"/>
          </w:tcPr>
          <w:p w14:paraId="57A2585E">
            <w:pPr>
              <w:rPr>
                <w:rFonts w:ascii="Arial"/>
                <w:color w:val="auto"/>
                <w:sz w:val="21"/>
                <w:highlight w:val="none"/>
              </w:rPr>
            </w:pPr>
          </w:p>
        </w:tc>
        <w:tc>
          <w:tcPr>
            <w:tcW w:w="1133" w:type="dxa"/>
            <w:vAlign w:val="top"/>
          </w:tcPr>
          <w:p w14:paraId="261036EC">
            <w:pPr>
              <w:rPr>
                <w:rFonts w:ascii="Arial"/>
                <w:color w:val="auto"/>
                <w:sz w:val="21"/>
                <w:highlight w:val="none"/>
              </w:rPr>
            </w:pPr>
          </w:p>
        </w:tc>
        <w:tc>
          <w:tcPr>
            <w:tcW w:w="4255" w:type="dxa"/>
            <w:vAlign w:val="top"/>
          </w:tcPr>
          <w:p w14:paraId="78040DDA">
            <w:pPr>
              <w:rPr>
                <w:rFonts w:ascii="Arial"/>
                <w:color w:val="auto"/>
                <w:sz w:val="21"/>
                <w:highlight w:val="none"/>
              </w:rPr>
            </w:pPr>
          </w:p>
        </w:tc>
      </w:tr>
      <w:tr w14:paraId="5C8DF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Align w:val="top"/>
          </w:tcPr>
          <w:p w14:paraId="38E5DDE5">
            <w:pPr>
              <w:pStyle w:val="15"/>
              <w:spacing w:before="33" w:line="228" w:lineRule="auto"/>
              <w:ind w:left="101"/>
              <w:rPr>
                <w:color w:val="auto"/>
                <w:highlight w:val="none"/>
              </w:rPr>
            </w:pPr>
            <w:r>
              <w:rPr>
                <w:color w:val="auto"/>
                <w:spacing w:val="7"/>
                <w:highlight w:val="none"/>
              </w:rPr>
              <w:t>项目副经理</w:t>
            </w:r>
          </w:p>
        </w:tc>
        <w:tc>
          <w:tcPr>
            <w:tcW w:w="1417" w:type="dxa"/>
            <w:vAlign w:val="top"/>
          </w:tcPr>
          <w:p w14:paraId="48BD3923">
            <w:pPr>
              <w:rPr>
                <w:rFonts w:ascii="Arial"/>
                <w:color w:val="auto"/>
                <w:sz w:val="21"/>
                <w:highlight w:val="none"/>
              </w:rPr>
            </w:pPr>
          </w:p>
        </w:tc>
        <w:tc>
          <w:tcPr>
            <w:tcW w:w="1133" w:type="dxa"/>
            <w:vAlign w:val="top"/>
          </w:tcPr>
          <w:p w14:paraId="1F859362">
            <w:pPr>
              <w:rPr>
                <w:rFonts w:ascii="Arial"/>
                <w:color w:val="auto"/>
                <w:sz w:val="21"/>
                <w:highlight w:val="none"/>
              </w:rPr>
            </w:pPr>
          </w:p>
        </w:tc>
        <w:tc>
          <w:tcPr>
            <w:tcW w:w="1133" w:type="dxa"/>
            <w:vAlign w:val="top"/>
          </w:tcPr>
          <w:p w14:paraId="62CDB439">
            <w:pPr>
              <w:rPr>
                <w:rFonts w:ascii="Arial"/>
                <w:color w:val="auto"/>
                <w:sz w:val="21"/>
                <w:highlight w:val="none"/>
              </w:rPr>
            </w:pPr>
          </w:p>
        </w:tc>
        <w:tc>
          <w:tcPr>
            <w:tcW w:w="4255" w:type="dxa"/>
            <w:vAlign w:val="top"/>
          </w:tcPr>
          <w:p w14:paraId="590A4A86">
            <w:pPr>
              <w:rPr>
                <w:rFonts w:ascii="Arial"/>
                <w:color w:val="auto"/>
                <w:sz w:val="21"/>
                <w:highlight w:val="none"/>
              </w:rPr>
            </w:pPr>
          </w:p>
        </w:tc>
      </w:tr>
      <w:tr w14:paraId="7972C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Align w:val="top"/>
          </w:tcPr>
          <w:p w14:paraId="575E382B">
            <w:pPr>
              <w:pStyle w:val="15"/>
              <w:spacing w:before="33" w:line="228" w:lineRule="auto"/>
              <w:ind w:left="99"/>
              <w:rPr>
                <w:color w:val="auto"/>
                <w:highlight w:val="none"/>
              </w:rPr>
            </w:pPr>
            <w:r>
              <w:rPr>
                <w:color w:val="auto"/>
                <w:spacing w:val="7"/>
                <w:highlight w:val="none"/>
              </w:rPr>
              <w:t>技术负责人</w:t>
            </w:r>
          </w:p>
        </w:tc>
        <w:tc>
          <w:tcPr>
            <w:tcW w:w="1417" w:type="dxa"/>
            <w:vAlign w:val="top"/>
          </w:tcPr>
          <w:p w14:paraId="0B0B9B28">
            <w:pPr>
              <w:rPr>
                <w:rFonts w:ascii="Arial"/>
                <w:color w:val="auto"/>
                <w:sz w:val="21"/>
                <w:highlight w:val="none"/>
              </w:rPr>
            </w:pPr>
          </w:p>
        </w:tc>
        <w:tc>
          <w:tcPr>
            <w:tcW w:w="1133" w:type="dxa"/>
            <w:vAlign w:val="top"/>
          </w:tcPr>
          <w:p w14:paraId="71B4CFFF">
            <w:pPr>
              <w:rPr>
                <w:rFonts w:ascii="Arial"/>
                <w:color w:val="auto"/>
                <w:sz w:val="21"/>
                <w:highlight w:val="none"/>
              </w:rPr>
            </w:pPr>
          </w:p>
        </w:tc>
        <w:tc>
          <w:tcPr>
            <w:tcW w:w="1133" w:type="dxa"/>
            <w:vAlign w:val="top"/>
          </w:tcPr>
          <w:p w14:paraId="38EEE517">
            <w:pPr>
              <w:rPr>
                <w:rFonts w:ascii="Arial"/>
                <w:color w:val="auto"/>
                <w:sz w:val="21"/>
                <w:highlight w:val="none"/>
              </w:rPr>
            </w:pPr>
          </w:p>
        </w:tc>
        <w:tc>
          <w:tcPr>
            <w:tcW w:w="4255" w:type="dxa"/>
            <w:vAlign w:val="top"/>
          </w:tcPr>
          <w:p w14:paraId="7C9CD3F9">
            <w:pPr>
              <w:rPr>
                <w:rFonts w:ascii="Arial"/>
                <w:color w:val="auto"/>
                <w:sz w:val="21"/>
                <w:highlight w:val="none"/>
              </w:rPr>
            </w:pPr>
          </w:p>
        </w:tc>
      </w:tr>
      <w:tr w14:paraId="0C547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75" w:type="dxa"/>
            <w:vAlign w:val="top"/>
          </w:tcPr>
          <w:p w14:paraId="2B64B118">
            <w:pPr>
              <w:pStyle w:val="15"/>
              <w:spacing w:before="34" w:line="226" w:lineRule="auto"/>
              <w:ind w:left="97"/>
              <w:rPr>
                <w:color w:val="auto"/>
                <w:highlight w:val="none"/>
              </w:rPr>
            </w:pPr>
            <w:r>
              <w:rPr>
                <w:color w:val="auto"/>
                <w:spacing w:val="7"/>
                <w:highlight w:val="none"/>
              </w:rPr>
              <w:t>造价管理</w:t>
            </w:r>
          </w:p>
        </w:tc>
        <w:tc>
          <w:tcPr>
            <w:tcW w:w="1417" w:type="dxa"/>
            <w:vAlign w:val="top"/>
          </w:tcPr>
          <w:p w14:paraId="45ECB75E">
            <w:pPr>
              <w:rPr>
                <w:rFonts w:ascii="Arial"/>
                <w:color w:val="auto"/>
                <w:sz w:val="21"/>
                <w:highlight w:val="none"/>
              </w:rPr>
            </w:pPr>
          </w:p>
        </w:tc>
        <w:tc>
          <w:tcPr>
            <w:tcW w:w="1133" w:type="dxa"/>
            <w:vAlign w:val="top"/>
          </w:tcPr>
          <w:p w14:paraId="2067D3C7">
            <w:pPr>
              <w:rPr>
                <w:rFonts w:ascii="Arial"/>
                <w:color w:val="auto"/>
                <w:sz w:val="21"/>
                <w:highlight w:val="none"/>
              </w:rPr>
            </w:pPr>
          </w:p>
        </w:tc>
        <w:tc>
          <w:tcPr>
            <w:tcW w:w="1133" w:type="dxa"/>
            <w:vAlign w:val="top"/>
          </w:tcPr>
          <w:p w14:paraId="30EE0EE6">
            <w:pPr>
              <w:rPr>
                <w:rFonts w:ascii="Arial"/>
                <w:color w:val="auto"/>
                <w:sz w:val="21"/>
                <w:highlight w:val="none"/>
              </w:rPr>
            </w:pPr>
          </w:p>
        </w:tc>
        <w:tc>
          <w:tcPr>
            <w:tcW w:w="4255" w:type="dxa"/>
            <w:vAlign w:val="top"/>
          </w:tcPr>
          <w:p w14:paraId="37BF88F6">
            <w:pPr>
              <w:rPr>
                <w:rFonts w:ascii="Arial"/>
                <w:color w:val="auto"/>
                <w:sz w:val="21"/>
                <w:highlight w:val="none"/>
              </w:rPr>
            </w:pPr>
          </w:p>
        </w:tc>
      </w:tr>
      <w:tr w14:paraId="7BA0F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Align w:val="top"/>
          </w:tcPr>
          <w:p w14:paraId="0B73C350">
            <w:pPr>
              <w:pStyle w:val="15"/>
              <w:spacing w:before="33" w:line="228" w:lineRule="auto"/>
              <w:ind w:left="99"/>
              <w:rPr>
                <w:color w:val="auto"/>
                <w:highlight w:val="none"/>
              </w:rPr>
            </w:pPr>
            <w:r>
              <w:rPr>
                <w:color w:val="auto"/>
                <w:spacing w:val="7"/>
                <w:highlight w:val="none"/>
              </w:rPr>
              <w:t>质量管理</w:t>
            </w:r>
          </w:p>
        </w:tc>
        <w:tc>
          <w:tcPr>
            <w:tcW w:w="1417" w:type="dxa"/>
            <w:vAlign w:val="top"/>
          </w:tcPr>
          <w:p w14:paraId="188EB5CB">
            <w:pPr>
              <w:rPr>
                <w:rFonts w:ascii="Arial"/>
                <w:color w:val="auto"/>
                <w:sz w:val="21"/>
                <w:highlight w:val="none"/>
              </w:rPr>
            </w:pPr>
          </w:p>
        </w:tc>
        <w:tc>
          <w:tcPr>
            <w:tcW w:w="1133" w:type="dxa"/>
            <w:vAlign w:val="top"/>
          </w:tcPr>
          <w:p w14:paraId="5DD20DE1">
            <w:pPr>
              <w:rPr>
                <w:rFonts w:ascii="Arial"/>
                <w:color w:val="auto"/>
                <w:sz w:val="21"/>
                <w:highlight w:val="none"/>
              </w:rPr>
            </w:pPr>
          </w:p>
        </w:tc>
        <w:tc>
          <w:tcPr>
            <w:tcW w:w="1133" w:type="dxa"/>
            <w:vAlign w:val="top"/>
          </w:tcPr>
          <w:p w14:paraId="366D7D02">
            <w:pPr>
              <w:rPr>
                <w:rFonts w:ascii="Arial"/>
                <w:color w:val="auto"/>
                <w:sz w:val="21"/>
                <w:highlight w:val="none"/>
              </w:rPr>
            </w:pPr>
          </w:p>
        </w:tc>
        <w:tc>
          <w:tcPr>
            <w:tcW w:w="4255" w:type="dxa"/>
            <w:vAlign w:val="top"/>
          </w:tcPr>
          <w:p w14:paraId="4DE71A9D">
            <w:pPr>
              <w:rPr>
                <w:rFonts w:ascii="Arial"/>
                <w:color w:val="auto"/>
                <w:sz w:val="21"/>
                <w:highlight w:val="none"/>
              </w:rPr>
            </w:pPr>
          </w:p>
        </w:tc>
      </w:tr>
      <w:tr w14:paraId="02E7D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Align w:val="top"/>
          </w:tcPr>
          <w:p w14:paraId="0AAB5330">
            <w:pPr>
              <w:pStyle w:val="15"/>
              <w:spacing w:before="34" w:line="227" w:lineRule="auto"/>
              <w:ind w:left="98"/>
              <w:rPr>
                <w:color w:val="auto"/>
                <w:highlight w:val="none"/>
              </w:rPr>
            </w:pPr>
            <w:r>
              <w:rPr>
                <w:color w:val="auto"/>
                <w:spacing w:val="7"/>
                <w:highlight w:val="none"/>
              </w:rPr>
              <w:t>材料管理</w:t>
            </w:r>
          </w:p>
        </w:tc>
        <w:tc>
          <w:tcPr>
            <w:tcW w:w="1417" w:type="dxa"/>
            <w:vAlign w:val="top"/>
          </w:tcPr>
          <w:p w14:paraId="2D43807D">
            <w:pPr>
              <w:rPr>
                <w:rFonts w:ascii="Arial"/>
                <w:color w:val="auto"/>
                <w:sz w:val="21"/>
                <w:highlight w:val="none"/>
              </w:rPr>
            </w:pPr>
          </w:p>
        </w:tc>
        <w:tc>
          <w:tcPr>
            <w:tcW w:w="1133" w:type="dxa"/>
            <w:vAlign w:val="top"/>
          </w:tcPr>
          <w:p w14:paraId="4F157F80">
            <w:pPr>
              <w:rPr>
                <w:rFonts w:ascii="Arial"/>
                <w:color w:val="auto"/>
                <w:sz w:val="21"/>
                <w:highlight w:val="none"/>
              </w:rPr>
            </w:pPr>
          </w:p>
        </w:tc>
        <w:tc>
          <w:tcPr>
            <w:tcW w:w="1133" w:type="dxa"/>
            <w:vAlign w:val="top"/>
          </w:tcPr>
          <w:p w14:paraId="62DAC9D2">
            <w:pPr>
              <w:rPr>
                <w:rFonts w:ascii="Arial"/>
                <w:color w:val="auto"/>
                <w:sz w:val="21"/>
                <w:highlight w:val="none"/>
              </w:rPr>
            </w:pPr>
          </w:p>
        </w:tc>
        <w:tc>
          <w:tcPr>
            <w:tcW w:w="4255" w:type="dxa"/>
            <w:vAlign w:val="top"/>
          </w:tcPr>
          <w:p w14:paraId="58E471E1">
            <w:pPr>
              <w:rPr>
                <w:rFonts w:ascii="Arial"/>
                <w:color w:val="auto"/>
                <w:sz w:val="21"/>
                <w:highlight w:val="none"/>
              </w:rPr>
            </w:pPr>
          </w:p>
        </w:tc>
      </w:tr>
      <w:tr w14:paraId="503D5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Align w:val="top"/>
          </w:tcPr>
          <w:p w14:paraId="41C87DCD">
            <w:pPr>
              <w:pStyle w:val="15"/>
              <w:spacing w:before="34" w:line="228" w:lineRule="auto"/>
              <w:ind w:left="98"/>
              <w:rPr>
                <w:color w:val="auto"/>
                <w:highlight w:val="none"/>
              </w:rPr>
            </w:pPr>
            <w:r>
              <w:rPr>
                <w:color w:val="auto"/>
                <w:spacing w:val="7"/>
                <w:highlight w:val="none"/>
              </w:rPr>
              <w:t>计划管理</w:t>
            </w:r>
          </w:p>
        </w:tc>
        <w:tc>
          <w:tcPr>
            <w:tcW w:w="1417" w:type="dxa"/>
            <w:vAlign w:val="top"/>
          </w:tcPr>
          <w:p w14:paraId="0E1F9ED8">
            <w:pPr>
              <w:rPr>
                <w:rFonts w:ascii="Arial"/>
                <w:color w:val="auto"/>
                <w:sz w:val="21"/>
                <w:highlight w:val="none"/>
              </w:rPr>
            </w:pPr>
          </w:p>
        </w:tc>
        <w:tc>
          <w:tcPr>
            <w:tcW w:w="1133" w:type="dxa"/>
            <w:vAlign w:val="top"/>
          </w:tcPr>
          <w:p w14:paraId="59EDD4DA">
            <w:pPr>
              <w:rPr>
                <w:rFonts w:ascii="Arial"/>
                <w:color w:val="auto"/>
                <w:sz w:val="21"/>
                <w:highlight w:val="none"/>
              </w:rPr>
            </w:pPr>
          </w:p>
        </w:tc>
        <w:tc>
          <w:tcPr>
            <w:tcW w:w="1133" w:type="dxa"/>
            <w:vAlign w:val="top"/>
          </w:tcPr>
          <w:p w14:paraId="114DB8BE">
            <w:pPr>
              <w:rPr>
                <w:rFonts w:ascii="Arial"/>
                <w:color w:val="auto"/>
                <w:sz w:val="21"/>
                <w:highlight w:val="none"/>
              </w:rPr>
            </w:pPr>
          </w:p>
        </w:tc>
        <w:tc>
          <w:tcPr>
            <w:tcW w:w="4255" w:type="dxa"/>
            <w:vAlign w:val="top"/>
          </w:tcPr>
          <w:p w14:paraId="45E1C5D7">
            <w:pPr>
              <w:rPr>
                <w:rFonts w:ascii="Arial"/>
                <w:color w:val="auto"/>
                <w:sz w:val="21"/>
                <w:highlight w:val="none"/>
              </w:rPr>
            </w:pPr>
          </w:p>
        </w:tc>
      </w:tr>
      <w:tr w14:paraId="267BE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Align w:val="top"/>
          </w:tcPr>
          <w:p w14:paraId="4A0BDB11">
            <w:pPr>
              <w:pStyle w:val="15"/>
              <w:spacing w:before="34" w:line="228" w:lineRule="auto"/>
              <w:ind w:left="102"/>
              <w:rPr>
                <w:color w:val="auto"/>
                <w:highlight w:val="none"/>
              </w:rPr>
            </w:pPr>
            <w:r>
              <w:rPr>
                <w:color w:val="auto"/>
                <w:spacing w:val="6"/>
                <w:highlight w:val="none"/>
              </w:rPr>
              <w:t>安全管理</w:t>
            </w:r>
          </w:p>
        </w:tc>
        <w:tc>
          <w:tcPr>
            <w:tcW w:w="1417" w:type="dxa"/>
            <w:vAlign w:val="top"/>
          </w:tcPr>
          <w:p w14:paraId="6C7FB7AB">
            <w:pPr>
              <w:rPr>
                <w:rFonts w:ascii="Arial"/>
                <w:color w:val="auto"/>
                <w:sz w:val="21"/>
                <w:highlight w:val="none"/>
              </w:rPr>
            </w:pPr>
          </w:p>
        </w:tc>
        <w:tc>
          <w:tcPr>
            <w:tcW w:w="1133" w:type="dxa"/>
            <w:vAlign w:val="top"/>
          </w:tcPr>
          <w:p w14:paraId="7E333D83">
            <w:pPr>
              <w:rPr>
                <w:rFonts w:ascii="Arial"/>
                <w:color w:val="auto"/>
                <w:sz w:val="21"/>
                <w:highlight w:val="none"/>
              </w:rPr>
            </w:pPr>
          </w:p>
        </w:tc>
        <w:tc>
          <w:tcPr>
            <w:tcW w:w="1133" w:type="dxa"/>
            <w:vAlign w:val="top"/>
          </w:tcPr>
          <w:p w14:paraId="6712E434">
            <w:pPr>
              <w:rPr>
                <w:rFonts w:ascii="Arial"/>
                <w:color w:val="auto"/>
                <w:sz w:val="21"/>
                <w:highlight w:val="none"/>
              </w:rPr>
            </w:pPr>
          </w:p>
        </w:tc>
        <w:tc>
          <w:tcPr>
            <w:tcW w:w="4255" w:type="dxa"/>
            <w:vAlign w:val="top"/>
          </w:tcPr>
          <w:p w14:paraId="632E5985">
            <w:pPr>
              <w:rPr>
                <w:rFonts w:ascii="Arial"/>
                <w:color w:val="auto"/>
                <w:sz w:val="21"/>
                <w:highlight w:val="none"/>
              </w:rPr>
            </w:pPr>
          </w:p>
        </w:tc>
      </w:tr>
      <w:tr w14:paraId="47F9D9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75" w:type="dxa"/>
            <w:vMerge w:val="restart"/>
            <w:tcBorders>
              <w:bottom w:val="nil"/>
            </w:tcBorders>
            <w:vAlign w:val="top"/>
          </w:tcPr>
          <w:p w14:paraId="23152E3C">
            <w:pPr>
              <w:spacing w:line="280" w:lineRule="auto"/>
              <w:rPr>
                <w:rFonts w:ascii="Arial"/>
                <w:color w:val="auto"/>
                <w:sz w:val="21"/>
                <w:highlight w:val="none"/>
              </w:rPr>
            </w:pPr>
          </w:p>
          <w:p w14:paraId="4E345040">
            <w:pPr>
              <w:spacing w:line="280" w:lineRule="auto"/>
              <w:rPr>
                <w:rFonts w:ascii="Arial"/>
                <w:color w:val="auto"/>
                <w:sz w:val="21"/>
                <w:highlight w:val="none"/>
              </w:rPr>
            </w:pPr>
          </w:p>
          <w:p w14:paraId="2618FE3F">
            <w:pPr>
              <w:spacing w:line="281" w:lineRule="auto"/>
              <w:rPr>
                <w:rFonts w:ascii="Arial"/>
                <w:color w:val="auto"/>
                <w:sz w:val="21"/>
                <w:highlight w:val="none"/>
              </w:rPr>
            </w:pPr>
          </w:p>
          <w:p w14:paraId="2ED6C630">
            <w:pPr>
              <w:pStyle w:val="15"/>
              <w:spacing w:before="65" w:line="228" w:lineRule="auto"/>
              <w:ind w:left="99"/>
              <w:rPr>
                <w:color w:val="auto"/>
                <w:highlight w:val="none"/>
              </w:rPr>
            </w:pPr>
            <w:r>
              <w:rPr>
                <w:color w:val="auto"/>
                <w:spacing w:val="7"/>
                <w:highlight w:val="none"/>
              </w:rPr>
              <w:t>其他人员</w:t>
            </w:r>
          </w:p>
        </w:tc>
        <w:tc>
          <w:tcPr>
            <w:tcW w:w="1417" w:type="dxa"/>
            <w:vAlign w:val="top"/>
          </w:tcPr>
          <w:p w14:paraId="284C546F">
            <w:pPr>
              <w:rPr>
                <w:rFonts w:ascii="Arial"/>
                <w:color w:val="auto"/>
                <w:sz w:val="21"/>
                <w:highlight w:val="none"/>
              </w:rPr>
            </w:pPr>
          </w:p>
        </w:tc>
        <w:tc>
          <w:tcPr>
            <w:tcW w:w="1133" w:type="dxa"/>
            <w:vAlign w:val="top"/>
          </w:tcPr>
          <w:p w14:paraId="2B9ABC16">
            <w:pPr>
              <w:rPr>
                <w:rFonts w:ascii="Arial"/>
                <w:color w:val="auto"/>
                <w:sz w:val="21"/>
                <w:highlight w:val="none"/>
              </w:rPr>
            </w:pPr>
          </w:p>
        </w:tc>
        <w:tc>
          <w:tcPr>
            <w:tcW w:w="1133" w:type="dxa"/>
            <w:vAlign w:val="top"/>
          </w:tcPr>
          <w:p w14:paraId="1D4FA0F5">
            <w:pPr>
              <w:rPr>
                <w:rFonts w:ascii="Arial"/>
                <w:color w:val="auto"/>
                <w:sz w:val="21"/>
                <w:highlight w:val="none"/>
              </w:rPr>
            </w:pPr>
          </w:p>
        </w:tc>
        <w:tc>
          <w:tcPr>
            <w:tcW w:w="4255" w:type="dxa"/>
            <w:vAlign w:val="top"/>
          </w:tcPr>
          <w:p w14:paraId="6BBE1313">
            <w:pPr>
              <w:rPr>
                <w:rFonts w:ascii="Arial"/>
                <w:color w:val="auto"/>
                <w:sz w:val="21"/>
                <w:highlight w:val="none"/>
              </w:rPr>
            </w:pPr>
          </w:p>
        </w:tc>
      </w:tr>
      <w:tr w14:paraId="5307F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continue"/>
            <w:tcBorders>
              <w:top w:val="nil"/>
              <w:bottom w:val="nil"/>
            </w:tcBorders>
            <w:vAlign w:val="top"/>
          </w:tcPr>
          <w:p w14:paraId="18BCC334">
            <w:pPr>
              <w:rPr>
                <w:rFonts w:ascii="Arial"/>
                <w:color w:val="auto"/>
                <w:sz w:val="21"/>
                <w:highlight w:val="none"/>
              </w:rPr>
            </w:pPr>
          </w:p>
        </w:tc>
        <w:tc>
          <w:tcPr>
            <w:tcW w:w="1417" w:type="dxa"/>
            <w:vAlign w:val="top"/>
          </w:tcPr>
          <w:p w14:paraId="36E8BCB9">
            <w:pPr>
              <w:rPr>
                <w:rFonts w:ascii="Arial"/>
                <w:color w:val="auto"/>
                <w:sz w:val="21"/>
                <w:highlight w:val="none"/>
              </w:rPr>
            </w:pPr>
          </w:p>
        </w:tc>
        <w:tc>
          <w:tcPr>
            <w:tcW w:w="1133" w:type="dxa"/>
            <w:vAlign w:val="top"/>
          </w:tcPr>
          <w:p w14:paraId="55AA35BE">
            <w:pPr>
              <w:rPr>
                <w:rFonts w:ascii="Arial"/>
                <w:color w:val="auto"/>
                <w:sz w:val="21"/>
                <w:highlight w:val="none"/>
              </w:rPr>
            </w:pPr>
          </w:p>
        </w:tc>
        <w:tc>
          <w:tcPr>
            <w:tcW w:w="1133" w:type="dxa"/>
            <w:vAlign w:val="top"/>
          </w:tcPr>
          <w:p w14:paraId="641A4EDA">
            <w:pPr>
              <w:rPr>
                <w:rFonts w:ascii="Arial"/>
                <w:color w:val="auto"/>
                <w:sz w:val="21"/>
                <w:highlight w:val="none"/>
              </w:rPr>
            </w:pPr>
          </w:p>
        </w:tc>
        <w:tc>
          <w:tcPr>
            <w:tcW w:w="4255" w:type="dxa"/>
            <w:vAlign w:val="top"/>
          </w:tcPr>
          <w:p w14:paraId="4978E7AB">
            <w:pPr>
              <w:rPr>
                <w:rFonts w:ascii="Arial"/>
                <w:color w:val="auto"/>
                <w:sz w:val="21"/>
                <w:highlight w:val="none"/>
              </w:rPr>
            </w:pPr>
          </w:p>
        </w:tc>
      </w:tr>
      <w:tr w14:paraId="3E81D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875" w:type="dxa"/>
            <w:vMerge w:val="continue"/>
            <w:tcBorders>
              <w:top w:val="nil"/>
              <w:bottom w:val="nil"/>
            </w:tcBorders>
            <w:vAlign w:val="top"/>
          </w:tcPr>
          <w:p w14:paraId="40C4F402">
            <w:pPr>
              <w:rPr>
                <w:rFonts w:ascii="Arial"/>
                <w:color w:val="auto"/>
                <w:sz w:val="21"/>
                <w:highlight w:val="none"/>
              </w:rPr>
            </w:pPr>
          </w:p>
        </w:tc>
        <w:tc>
          <w:tcPr>
            <w:tcW w:w="1417" w:type="dxa"/>
            <w:vAlign w:val="top"/>
          </w:tcPr>
          <w:p w14:paraId="242F1088">
            <w:pPr>
              <w:rPr>
                <w:rFonts w:ascii="Arial"/>
                <w:color w:val="auto"/>
                <w:sz w:val="21"/>
                <w:highlight w:val="none"/>
              </w:rPr>
            </w:pPr>
          </w:p>
        </w:tc>
        <w:tc>
          <w:tcPr>
            <w:tcW w:w="1133" w:type="dxa"/>
            <w:vAlign w:val="top"/>
          </w:tcPr>
          <w:p w14:paraId="3FF5460B">
            <w:pPr>
              <w:rPr>
                <w:rFonts w:ascii="Arial"/>
                <w:color w:val="auto"/>
                <w:sz w:val="21"/>
                <w:highlight w:val="none"/>
              </w:rPr>
            </w:pPr>
          </w:p>
        </w:tc>
        <w:tc>
          <w:tcPr>
            <w:tcW w:w="1133" w:type="dxa"/>
            <w:vAlign w:val="top"/>
          </w:tcPr>
          <w:p w14:paraId="408132DD">
            <w:pPr>
              <w:rPr>
                <w:rFonts w:ascii="Arial"/>
                <w:color w:val="auto"/>
                <w:sz w:val="21"/>
                <w:highlight w:val="none"/>
              </w:rPr>
            </w:pPr>
          </w:p>
        </w:tc>
        <w:tc>
          <w:tcPr>
            <w:tcW w:w="4255" w:type="dxa"/>
            <w:vAlign w:val="top"/>
          </w:tcPr>
          <w:p w14:paraId="03655388">
            <w:pPr>
              <w:rPr>
                <w:rFonts w:ascii="Arial"/>
                <w:color w:val="auto"/>
                <w:sz w:val="21"/>
                <w:highlight w:val="none"/>
              </w:rPr>
            </w:pPr>
          </w:p>
        </w:tc>
      </w:tr>
      <w:tr w14:paraId="2CD7D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continue"/>
            <w:tcBorders>
              <w:top w:val="nil"/>
              <w:bottom w:val="nil"/>
            </w:tcBorders>
            <w:vAlign w:val="top"/>
          </w:tcPr>
          <w:p w14:paraId="4564DFFA">
            <w:pPr>
              <w:rPr>
                <w:rFonts w:ascii="Arial"/>
                <w:color w:val="auto"/>
                <w:sz w:val="21"/>
                <w:highlight w:val="none"/>
              </w:rPr>
            </w:pPr>
          </w:p>
        </w:tc>
        <w:tc>
          <w:tcPr>
            <w:tcW w:w="1417" w:type="dxa"/>
            <w:vAlign w:val="top"/>
          </w:tcPr>
          <w:p w14:paraId="76AD4706">
            <w:pPr>
              <w:rPr>
                <w:rFonts w:ascii="Arial"/>
                <w:color w:val="auto"/>
                <w:sz w:val="21"/>
                <w:highlight w:val="none"/>
              </w:rPr>
            </w:pPr>
          </w:p>
        </w:tc>
        <w:tc>
          <w:tcPr>
            <w:tcW w:w="1133" w:type="dxa"/>
            <w:vAlign w:val="top"/>
          </w:tcPr>
          <w:p w14:paraId="4C290117">
            <w:pPr>
              <w:rPr>
                <w:rFonts w:ascii="Arial"/>
                <w:color w:val="auto"/>
                <w:sz w:val="21"/>
                <w:highlight w:val="none"/>
              </w:rPr>
            </w:pPr>
          </w:p>
        </w:tc>
        <w:tc>
          <w:tcPr>
            <w:tcW w:w="1133" w:type="dxa"/>
            <w:vAlign w:val="top"/>
          </w:tcPr>
          <w:p w14:paraId="0B1CFE71">
            <w:pPr>
              <w:rPr>
                <w:rFonts w:ascii="Arial"/>
                <w:color w:val="auto"/>
                <w:sz w:val="21"/>
                <w:highlight w:val="none"/>
              </w:rPr>
            </w:pPr>
          </w:p>
        </w:tc>
        <w:tc>
          <w:tcPr>
            <w:tcW w:w="4255" w:type="dxa"/>
            <w:vAlign w:val="top"/>
          </w:tcPr>
          <w:p w14:paraId="0C3CA503">
            <w:pPr>
              <w:rPr>
                <w:rFonts w:ascii="Arial"/>
                <w:color w:val="auto"/>
                <w:sz w:val="21"/>
                <w:highlight w:val="none"/>
              </w:rPr>
            </w:pPr>
          </w:p>
        </w:tc>
      </w:tr>
      <w:tr w14:paraId="3BF9CB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875" w:type="dxa"/>
            <w:vMerge w:val="continue"/>
            <w:tcBorders>
              <w:top w:val="nil"/>
              <w:bottom w:val="nil"/>
            </w:tcBorders>
            <w:vAlign w:val="top"/>
          </w:tcPr>
          <w:p w14:paraId="3ACDB005">
            <w:pPr>
              <w:rPr>
                <w:rFonts w:ascii="Arial"/>
                <w:color w:val="auto"/>
                <w:sz w:val="21"/>
                <w:highlight w:val="none"/>
              </w:rPr>
            </w:pPr>
          </w:p>
        </w:tc>
        <w:tc>
          <w:tcPr>
            <w:tcW w:w="1417" w:type="dxa"/>
            <w:vAlign w:val="top"/>
          </w:tcPr>
          <w:p w14:paraId="09E550E0">
            <w:pPr>
              <w:rPr>
                <w:rFonts w:ascii="Arial"/>
                <w:color w:val="auto"/>
                <w:sz w:val="21"/>
                <w:highlight w:val="none"/>
              </w:rPr>
            </w:pPr>
          </w:p>
        </w:tc>
        <w:tc>
          <w:tcPr>
            <w:tcW w:w="1133" w:type="dxa"/>
            <w:vAlign w:val="top"/>
          </w:tcPr>
          <w:p w14:paraId="7A1001EB">
            <w:pPr>
              <w:rPr>
                <w:rFonts w:ascii="Arial"/>
                <w:color w:val="auto"/>
                <w:sz w:val="21"/>
                <w:highlight w:val="none"/>
              </w:rPr>
            </w:pPr>
          </w:p>
        </w:tc>
        <w:tc>
          <w:tcPr>
            <w:tcW w:w="1133" w:type="dxa"/>
            <w:vAlign w:val="top"/>
          </w:tcPr>
          <w:p w14:paraId="0191356C">
            <w:pPr>
              <w:rPr>
                <w:rFonts w:ascii="Arial"/>
                <w:color w:val="auto"/>
                <w:sz w:val="21"/>
                <w:highlight w:val="none"/>
              </w:rPr>
            </w:pPr>
          </w:p>
        </w:tc>
        <w:tc>
          <w:tcPr>
            <w:tcW w:w="4255" w:type="dxa"/>
            <w:vAlign w:val="top"/>
          </w:tcPr>
          <w:p w14:paraId="6160D4B2">
            <w:pPr>
              <w:rPr>
                <w:rFonts w:ascii="Arial"/>
                <w:color w:val="auto"/>
                <w:sz w:val="21"/>
                <w:highlight w:val="none"/>
              </w:rPr>
            </w:pPr>
          </w:p>
        </w:tc>
      </w:tr>
      <w:tr w14:paraId="1F35AA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875" w:type="dxa"/>
            <w:vMerge w:val="continue"/>
            <w:tcBorders>
              <w:top w:val="nil"/>
            </w:tcBorders>
            <w:vAlign w:val="top"/>
          </w:tcPr>
          <w:p w14:paraId="4D88DF66">
            <w:pPr>
              <w:rPr>
                <w:rFonts w:ascii="Arial"/>
                <w:color w:val="auto"/>
                <w:sz w:val="21"/>
                <w:highlight w:val="none"/>
              </w:rPr>
            </w:pPr>
          </w:p>
        </w:tc>
        <w:tc>
          <w:tcPr>
            <w:tcW w:w="1417" w:type="dxa"/>
            <w:vAlign w:val="top"/>
          </w:tcPr>
          <w:p w14:paraId="3FB6FDF3">
            <w:pPr>
              <w:rPr>
                <w:rFonts w:ascii="Arial"/>
                <w:color w:val="auto"/>
                <w:sz w:val="21"/>
                <w:highlight w:val="none"/>
              </w:rPr>
            </w:pPr>
          </w:p>
        </w:tc>
        <w:tc>
          <w:tcPr>
            <w:tcW w:w="1133" w:type="dxa"/>
            <w:vAlign w:val="top"/>
          </w:tcPr>
          <w:p w14:paraId="22DF1282">
            <w:pPr>
              <w:rPr>
                <w:rFonts w:ascii="Arial"/>
                <w:color w:val="auto"/>
                <w:sz w:val="21"/>
                <w:highlight w:val="none"/>
              </w:rPr>
            </w:pPr>
          </w:p>
        </w:tc>
        <w:tc>
          <w:tcPr>
            <w:tcW w:w="1133" w:type="dxa"/>
            <w:vAlign w:val="top"/>
          </w:tcPr>
          <w:p w14:paraId="5AD08919">
            <w:pPr>
              <w:rPr>
                <w:rFonts w:ascii="Arial"/>
                <w:color w:val="auto"/>
                <w:sz w:val="21"/>
                <w:highlight w:val="none"/>
              </w:rPr>
            </w:pPr>
          </w:p>
        </w:tc>
        <w:tc>
          <w:tcPr>
            <w:tcW w:w="4255" w:type="dxa"/>
            <w:vAlign w:val="top"/>
          </w:tcPr>
          <w:p w14:paraId="478CE091">
            <w:pPr>
              <w:rPr>
                <w:rFonts w:ascii="Arial"/>
                <w:color w:val="auto"/>
                <w:sz w:val="21"/>
                <w:highlight w:val="none"/>
              </w:rPr>
            </w:pPr>
          </w:p>
        </w:tc>
      </w:tr>
    </w:tbl>
    <w:p w14:paraId="2EC69418">
      <w:pPr>
        <w:pStyle w:val="2"/>
        <w:rPr>
          <w:color w:val="auto"/>
          <w:highlight w:val="none"/>
        </w:rPr>
      </w:pPr>
    </w:p>
    <w:p w14:paraId="3D70642C">
      <w:pPr>
        <w:rPr>
          <w:color w:val="auto"/>
          <w:highlight w:val="none"/>
        </w:rPr>
        <w:sectPr>
          <w:footerReference r:id="rId57" w:type="default"/>
          <w:pgSz w:w="11907" w:h="16840"/>
          <w:pgMar w:top="1428" w:right="866" w:bottom="1014" w:left="1222" w:header="0" w:footer="852" w:gutter="0"/>
          <w:pgNumType w:fmt="decimal"/>
          <w:cols w:space="720" w:num="1"/>
        </w:sectPr>
      </w:pPr>
    </w:p>
    <w:p w14:paraId="15BE61D9">
      <w:pPr>
        <w:spacing w:before="41" w:line="227" w:lineRule="auto"/>
        <w:ind w:left="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附件</w:t>
      </w:r>
      <w:r>
        <w:rPr>
          <w:rFonts w:ascii="宋体" w:hAnsi="宋体" w:eastAsia="宋体" w:cs="宋体"/>
          <w:color w:val="auto"/>
          <w:spacing w:val="-35"/>
          <w:sz w:val="20"/>
          <w:szCs w:val="20"/>
          <w:highlight w:val="none"/>
        </w:rPr>
        <w:t xml:space="preserve"> </w:t>
      </w:r>
      <w:r>
        <w:rPr>
          <w:rFonts w:hint="eastAsia" w:ascii="宋体" w:hAnsi="宋体" w:eastAsia="宋体" w:cs="宋体"/>
          <w:color w:val="auto"/>
          <w:spacing w:val="-4"/>
          <w:sz w:val="20"/>
          <w:szCs w:val="20"/>
          <w:highlight w:val="none"/>
          <w:lang w:val="en-US" w:eastAsia="zh-CN"/>
        </w:rPr>
        <w:t>6</w:t>
      </w:r>
      <w:r>
        <w:rPr>
          <w:rFonts w:ascii="宋体" w:hAnsi="宋体" w:eastAsia="宋体" w:cs="宋体"/>
          <w:color w:val="auto"/>
          <w:spacing w:val="-4"/>
          <w:sz w:val="20"/>
          <w:szCs w:val="20"/>
          <w:highlight w:val="none"/>
        </w:rPr>
        <w:t>：</w:t>
      </w:r>
    </w:p>
    <w:p w14:paraId="1D04A177">
      <w:pPr>
        <w:spacing w:before="215" w:line="228" w:lineRule="auto"/>
        <w:ind w:left="393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履约担保</w:t>
      </w:r>
    </w:p>
    <w:p w14:paraId="6DB7A792">
      <w:pPr>
        <w:pStyle w:val="2"/>
        <w:spacing w:line="243" w:lineRule="auto"/>
        <w:rPr>
          <w:color w:val="auto"/>
          <w:highlight w:val="none"/>
        </w:rPr>
      </w:pPr>
    </w:p>
    <w:p w14:paraId="7BDB3295">
      <w:pPr>
        <w:pStyle w:val="2"/>
        <w:spacing w:line="243" w:lineRule="auto"/>
        <w:rPr>
          <w:color w:val="auto"/>
          <w:highlight w:val="none"/>
        </w:rPr>
      </w:pPr>
    </w:p>
    <w:p w14:paraId="6D8236E5">
      <w:pPr>
        <w:tabs>
          <w:tab w:val="left" w:pos="2738"/>
        </w:tabs>
        <w:spacing w:before="65" w:line="228" w:lineRule="auto"/>
        <w:ind w:left="10"/>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9"/>
          <w:sz w:val="20"/>
          <w:szCs w:val="20"/>
          <w:highlight w:val="none"/>
        </w:rPr>
        <w:t>（发包人名称</w:t>
      </w:r>
      <w:r>
        <w:rPr>
          <w:rFonts w:ascii="宋体" w:hAnsi="宋体" w:eastAsia="宋体" w:cs="宋体"/>
          <w:color w:val="auto"/>
          <w:spacing w:val="2"/>
          <w:sz w:val="20"/>
          <w:szCs w:val="20"/>
          <w:highlight w:val="none"/>
        </w:rPr>
        <w:t>）：</w:t>
      </w:r>
    </w:p>
    <w:p w14:paraId="6C7BB754">
      <w:pPr>
        <w:spacing w:before="94" w:line="308" w:lineRule="auto"/>
        <w:ind w:left="20" w:firstLine="1"/>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鉴于</w:t>
      </w:r>
      <w:r>
        <w:rPr>
          <w:rFonts w:ascii="宋体" w:hAnsi="宋体" w:eastAsia="宋体" w:cs="宋体"/>
          <w:color w:val="auto"/>
          <w:spacing w:val="-93"/>
          <w:sz w:val="20"/>
          <w:szCs w:val="20"/>
          <w:highlight w:val="none"/>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3"/>
          <w:sz w:val="20"/>
          <w:szCs w:val="20"/>
          <w:highlight w:val="none"/>
        </w:rPr>
        <w:t>（发包人名称，以下简称“发包人</w:t>
      </w:r>
      <w:r>
        <w:rPr>
          <w:rFonts w:ascii="宋体" w:hAnsi="宋体" w:eastAsia="宋体" w:cs="宋体"/>
          <w:color w:val="auto"/>
          <w:spacing w:val="-70"/>
          <w:sz w:val="20"/>
          <w:szCs w:val="2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pacing w:val="31"/>
          <w:sz w:val="20"/>
          <w:szCs w:val="20"/>
          <w:highlight w:val="none"/>
        </w:rPr>
        <w:t xml:space="preserve"> </w:t>
      </w:r>
      <w:r>
        <w:rPr>
          <w:rFonts w:ascii="宋体" w:hAnsi="宋体" w:eastAsia="宋体" w:cs="宋体"/>
          <w:color w:val="auto"/>
          <w:spacing w:val="3"/>
          <w:sz w:val="20"/>
          <w:szCs w:val="20"/>
          <w:highlight w:val="none"/>
        </w:rPr>
        <w:t>已于</w:t>
      </w:r>
      <w:r>
        <w:rPr>
          <w:rFonts w:ascii="宋体" w:hAnsi="宋体" w:eastAsia="宋体" w:cs="宋体"/>
          <w:color w:val="auto"/>
          <w:spacing w:val="6"/>
          <w:sz w:val="20"/>
          <w:szCs w:val="20"/>
          <w:highlight w:val="none"/>
        </w:rPr>
        <w:t>年</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6"/>
          <w:sz w:val="20"/>
          <w:szCs w:val="20"/>
          <w:highlight w:val="none"/>
        </w:rPr>
        <w:t>日发放中标通知书，明确</w:t>
      </w:r>
      <w:r>
        <w:rPr>
          <w:rFonts w:ascii="宋体" w:hAnsi="宋体" w:eastAsia="宋体" w:cs="宋体"/>
          <w:color w:val="auto"/>
          <w:spacing w:val="-98"/>
          <w:sz w:val="20"/>
          <w:szCs w:val="20"/>
          <w:highlight w:val="none"/>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（承包人名称</w:t>
      </w:r>
      <w:r>
        <w:rPr>
          <w:rFonts w:ascii="宋体" w:hAnsi="宋体" w:eastAsia="宋体" w:cs="宋体"/>
          <w:color w:val="auto"/>
          <w:spacing w:val="-16"/>
          <w:sz w:val="20"/>
          <w:szCs w:val="20"/>
          <w:highlight w:val="none"/>
        </w:rPr>
        <w:t>）（</w:t>
      </w:r>
      <w:r>
        <w:rPr>
          <w:rFonts w:ascii="宋体" w:hAnsi="宋体" w:eastAsia="宋体" w:cs="宋体"/>
          <w:color w:val="auto"/>
          <w:spacing w:val="5"/>
          <w:sz w:val="20"/>
          <w:szCs w:val="20"/>
          <w:highlight w:val="none"/>
        </w:rPr>
        <w:t>以</w:t>
      </w:r>
      <w:r>
        <w:rPr>
          <w:rFonts w:ascii="宋体" w:hAnsi="宋体" w:eastAsia="宋体" w:cs="宋体"/>
          <w:color w:val="auto"/>
          <w:spacing w:val="1"/>
          <w:sz w:val="20"/>
          <w:szCs w:val="20"/>
          <w:highlight w:val="none"/>
        </w:rPr>
        <w:t>下称“承包人</w:t>
      </w:r>
      <w:r>
        <w:rPr>
          <w:rFonts w:ascii="宋体" w:hAnsi="宋体" w:eastAsia="宋体" w:cs="宋体"/>
          <w:color w:val="auto"/>
          <w:spacing w:val="-70"/>
          <w:sz w:val="20"/>
          <w:szCs w:val="20"/>
          <w:highlight w:val="none"/>
        </w:rPr>
        <w:t xml:space="preserve"> </w:t>
      </w:r>
      <w:r>
        <w:rPr>
          <w:rFonts w:ascii="宋体" w:hAnsi="宋体" w:eastAsia="宋体" w:cs="宋体"/>
          <w:color w:val="auto"/>
          <w:spacing w:val="1"/>
          <w:sz w:val="20"/>
          <w:szCs w:val="20"/>
          <w:highlight w:val="none"/>
        </w:rPr>
        <w:t>”）于</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1"/>
          <w:sz w:val="20"/>
          <w:szCs w:val="20"/>
          <w:highlight w:val="none"/>
        </w:rPr>
        <w:t xml:space="preserve"> </w:t>
      </w:r>
      <w:r>
        <w:rPr>
          <w:rFonts w:ascii="宋体" w:hAnsi="宋体" w:eastAsia="宋体" w:cs="宋体"/>
          <w:color w:val="auto"/>
          <w:spacing w:val="1"/>
          <w:sz w:val="20"/>
          <w:szCs w:val="20"/>
          <w:highlight w:val="none"/>
        </w:rPr>
        <w:t>年</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2"/>
          <w:sz w:val="20"/>
          <w:szCs w:val="20"/>
          <w:highlight w:val="none"/>
        </w:rPr>
        <w:t xml:space="preserve"> </w:t>
      </w:r>
      <w:r>
        <w:rPr>
          <w:rFonts w:ascii="宋体" w:hAnsi="宋体" w:eastAsia="宋体" w:cs="宋体"/>
          <w:color w:val="auto"/>
          <w:spacing w:val="1"/>
          <w:sz w:val="20"/>
          <w:szCs w:val="20"/>
          <w:highlight w:val="none"/>
        </w:rPr>
        <w:t>月</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51"/>
          <w:sz w:val="20"/>
          <w:szCs w:val="20"/>
          <w:highlight w:val="none"/>
        </w:rPr>
        <w:t xml:space="preserve"> </w:t>
      </w:r>
      <w:r>
        <w:rPr>
          <w:rFonts w:ascii="宋体" w:hAnsi="宋体" w:eastAsia="宋体" w:cs="宋体"/>
          <w:color w:val="auto"/>
          <w:spacing w:val="1"/>
          <w:sz w:val="20"/>
          <w:szCs w:val="20"/>
          <w:highlight w:val="none"/>
        </w:rPr>
        <w:t>日为</w:t>
      </w:r>
      <w:r>
        <w:rPr>
          <w:rFonts w:ascii="宋体" w:hAnsi="宋体" w:eastAsia="宋体" w:cs="宋体"/>
          <w:color w:val="auto"/>
          <w:spacing w:val="-98"/>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u w:val="single" w:color="auto"/>
        </w:rPr>
        <w:t xml:space="preserve">        </w:t>
      </w:r>
      <w:r>
        <w:rPr>
          <w:rFonts w:ascii="宋体" w:hAnsi="宋体" w:eastAsia="宋体" w:cs="宋体"/>
          <w:color w:val="auto"/>
          <w:sz w:val="20"/>
          <w:szCs w:val="20"/>
          <w:highlight w:val="none"/>
        </w:rPr>
        <w:t>（工程名称）</w:t>
      </w:r>
      <w:r>
        <w:rPr>
          <w:rFonts w:ascii="宋体" w:hAnsi="宋体" w:eastAsia="宋体" w:cs="宋体"/>
          <w:color w:val="auto"/>
          <w:spacing w:val="11"/>
          <w:sz w:val="20"/>
          <w:szCs w:val="20"/>
          <w:highlight w:val="none"/>
        </w:rPr>
        <w:t>的中标人。我方愿意无条件地、不可撤销地就承包人履行与你方签订的合同，向你方提供连带</w:t>
      </w:r>
      <w:r>
        <w:rPr>
          <w:rFonts w:ascii="宋体" w:hAnsi="宋体" w:eastAsia="宋体" w:cs="宋体"/>
          <w:color w:val="auto"/>
          <w:spacing w:val="5"/>
          <w:sz w:val="20"/>
          <w:szCs w:val="20"/>
          <w:highlight w:val="none"/>
        </w:rPr>
        <w:t>责任担保。</w:t>
      </w:r>
    </w:p>
    <w:p w14:paraId="5ADC869B">
      <w:pPr>
        <w:spacing w:before="32" w:line="227" w:lineRule="auto"/>
        <w:ind w:left="45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 担保金额人民币（大写）</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6"/>
          <w:sz w:val="20"/>
          <w:szCs w:val="20"/>
          <w:highlight w:val="none"/>
        </w:rPr>
        <w:t xml:space="preserve"> </w:t>
      </w:r>
      <w:r>
        <w:rPr>
          <w:rFonts w:ascii="宋体" w:hAnsi="宋体" w:eastAsia="宋体" w:cs="宋体"/>
          <w:color w:val="auto"/>
          <w:spacing w:val="3"/>
          <w:sz w:val="20"/>
          <w:szCs w:val="20"/>
          <w:highlight w:val="none"/>
        </w:rPr>
        <w:t>元 (¥</w:t>
      </w:r>
      <w:r>
        <w:rPr>
          <w:rFonts w:ascii="宋体" w:hAnsi="宋体" w:eastAsia="宋体" w:cs="宋体"/>
          <w:color w:val="auto"/>
          <w:spacing w:val="-99"/>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69"/>
          <w:sz w:val="20"/>
          <w:szCs w:val="2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pacing w:val="19"/>
          <w:sz w:val="20"/>
          <w:szCs w:val="20"/>
          <w:highlight w:val="none"/>
        </w:rPr>
        <w:t xml:space="preserve"> </w:t>
      </w:r>
      <w:r>
        <w:rPr>
          <w:rFonts w:ascii="宋体" w:hAnsi="宋体" w:eastAsia="宋体" w:cs="宋体"/>
          <w:color w:val="auto"/>
          <w:spacing w:val="3"/>
          <w:sz w:val="20"/>
          <w:szCs w:val="20"/>
          <w:highlight w:val="none"/>
        </w:rPr>
        <w:t>。</w:t>
      </w:r>
    </w:p>
    <w:p w14:paraId="3CDAA08D">
      <w:pPr>
        <w:spacing w:before="94" w:line="273" w:lineRule="auto"/>
        <w:ind w:left="21" w:right="85" w:firstLine="420"/>
        <w:rPr>
          <w:rFonts w:ascii="宋体" w:hAnsi="宋体" w:eastAsia="宋体" w:cs="宋体"/>
          <w:color w:val="auto"/>
          <w:sz w:val="20"/>
          <w:szCs w:val="20"/>
          <w:highlight w:val="none"/>
        </w:rPr>
      </w:pPr>
      <w:r>
        <w:rPr>
          <w:rFonts w:ascii="宋体" w:hAnsi="宋体" w:eastAsia="宋体" w:cs="宋体"/>
          <w:color w:val="auto"/>
          <w:spacing w:val="13"/>
          <w:sz w:val="20"/>
          <w:szCs w:val="20"/>
          <w:highlight w:val="none"/>
        </w:rPr>
        <w:t>2. 担保有效期自你方与承包人签订的合同生效之日起至你方签发或应签发工程接收证书</w:t>
      </w:r>
      <w:r>
        <w:rPr>
          <w:rFonts w:ascii="宋体" w:hAnsi="宋体" w:eastAsia="宋体" w:cs="宋体"/>
          <w:color w:val="auto"/>
          <w:spacing w:val="4"/>
          <w:sz w:val="20"/>
          <w:szCs w:val="20"/>
          <w:highlight w:val="none"/>
        </w:rPr>
        <w:t>之日止。</w:t>
      </w:r>
    </w:p>
    <w:p w14:paraId="317C2F91">
      <w:pPr>
        <w:spacing w:before="90" w:line="270" w:lineRule="auto"/>
        <w:ind w:left="20" w:right="84" w:firstLine="423"/>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 在本担保有效期内，因承包人违反合同约定的义务给你方造成经济损失时，我方在收到你方以书面形式提出的在担保金额内的赔偿要求后，在</w:t>
      </w:r>
      <w:r>
        <w:rPr>
          <w:rFonts w:ascii="宋体" w:hAnsi="宋体" w:eastAsia="宋体" w:cs="宋体"/>
          <w:color w:val="auto"/>
          <w:spacing w:val="-23"/>
          <w:sz w:val="20"/>
          <w:szCs w:val="20"/>
          <w:highlight w:val="none"/>
        </w:rPr>
        <w:t xml:space="preserve"> </w:t>
      </w:r>
      <w:r>
        <w:rPr>
          <w:rFonts w:ascii="宋体" w:hAnsi="宋体" w:eastAsia="宋体" w:cs="宋体"/>
          <w:color w:val="auto"/>
          <w:spacing w:val="8"/>
          <w:sz w:val="20"/>
          <w:szCs w:val="20"/>
          <w:highlight w:val="none"/>
        </w:rPr>
        <w:t>7</w:t>
      </w:r>
      <w:r>
        <w:rPr>
          <w:rFonts w:ascii="宋体" w:hAnsi="宋体" w:eastAsia="宋体" w:cs="宋体"/>
          <w:color w:val="auto"/>
          <w:spacing w:val="-34"/>
          <w:sz w:val="20"/>
          <w:szCs w:val="20"/>
          <w:highlight w:val="none"/>
        </w:rPr>
        <w:t xml:space="preserve"> </w:t>
      </w:r>
      <w:r>
        <w:rPr>
          <w:rFonts w:ascii="宋体" w:hAnsi="宋体" w:eastAsia="宋体" w:cs="宋体"/>
          <w:color w:val="auto"/>
          <w:spacing w:val="8"/>
          <w:sz w:val="20"/>
          <w:szCs w:val="20"/>
          <w:highlight w:val="none"/>
        </w:rPr>
        <w:t>天内无条件支付。</w:t>
      </w:r>
    </w:p>
    <w:p w14:paraId="1E291728">
      <w:pPr>
        <w:spacing w:before="95" w:line="227" w:lineRule="auto"/>
        <w:ind w:left="43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 你方和承包人按合同约定变更合同时，我方承担本担保规定的义务不变。</w:t>
      </w:r>
    </w:p>
    <w:p w14:paraId="0A482CA1">
      <w:pPr>
        <w:spacing w:before="94" w:line="271" w:lineRule="auto"/>
        <w:ind w:left="18" w:right="87" w:firstLine="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 因本保函发生的纠纷，可由双方协商解决，协商不成的，</w:t>
      </w:r>
      <w:r>
        <w:rPr>
          <w:rFonts w:ascii="宋体" w:hAnsi="宋体" w:eastAsia="宋体" w:cs="宋体"/>
          <w:color w:val="auto"/>
          <w:spacing w:val="7"/>
          <w:sz w:val="20"/>
          <w:szCs w:val="20"/>
          <w:highlight w:val="none"/>
        </w:rPr>
        <w:t>任何一方均可提请</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7"/>
          <w:sz w:val="20"/>
          <w:szCs w:val="20"/>
          <w:highlight w:val="none"/>
        </w:rPr>
        <w:t>仲裁</w:t>
      </w:r>
      <w:r>
        <w:rPr>
          <w:rFonts w:ascii="宋体" w:hAnsi="宋体" w:eastAsia="宋体" w:cs="宋体"/>
          <w:color w:val="auto"/>
          <w:spacing w:val="6"/>
          <w:sz w:val="20"/>
          <w:szCs w:val="20"/>
          <w:highlight w:val="none"/>
        </w:rPr>
        <w:t>委员会仲裁。</w:t>
      </w:r>
    </w:p>
    <w:p w14:paraId="5B6C3B94">
      <w:pPr>
        <w:spacing w:before="95" w:line="227" w:lineRule="auto"/>
        <w:ind w:left="44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 本保函自我方法定代表人（或其授权代理人）签字并加盖公章之日起</w:t>
      </w:r>
      <w:r>
        <w:rPr>
          <w:rFonts w:ascii="宋体" w:hAnsi="宋体" w:eastAsia="宋体" w:cs="宋体"/>
          <w:color w:val="auto"/>
          <w:spacing w:val="8"/>
          <w:sz w:val="20"/>
          <w:szCs w:val="20"/>
          <w:highlight w:val="none"/>
        </w:rPr>
        <w:t>生效。</w:t>
      </w:r>
    </w:p>
    <w:p w14:paraId="49B99301">
      <w:pPr>
        <w:pStyle w:val="2"/>
        <w:spacing w:line="363" w:lineRule="auto"/>
        <w:rPr>
          <w:color w:val="auto"/>
          <w:highlight w:val="none"/>
        </w:rPr>
      </w:pPr>
    </w:p>
    <w:p w14:paraId="4A1DAB32">
      <w:pPr>
        <w:tabs>
          <w:tab w:val="left" w:pos="5050"/>
        </w:tabs>
        <w:spacing w:before="66" w:line="310" w:lineRule="auto"/>
        <w:ind w:left="18" w:right="3631" w:firstLine="2"/>
        <w:jc w:val="both"/>
        <w:rPr>
          <w:rFonts w:ascii="宋体" w:hAnsi="宋体" w:eastAsia="宋体" w:cs="宋体"/>
          <w:color w:val="auto"/>
          <w:sz w:val="20"/>
          <w:szCs w:val="20"/>
          <w:highlight w:val="none"/>
        </w:rPr>
      </w:pPr>
      <w:r>
        <w:rPr>
          <w:rFonts w:ascii="宋体" w:hAnsi="宋体" w:eastAsia="宋体" w:cs="宋体"/>
          <w:color w:val="auto"/>
          <w:spacing w:val="11"/>
          <w:sz w:val="20"/>
          <w:szCs w:val="20"/>
          <w:highlight w:val="none"/>
        </w:rPr>
        <w:t>担 保</w:t>
      </w:r>
      <w:r>
        <w:rPr>
          <w:rFonts w:ascii="宋体" w:hAnsi="宋体" w:eastAsia="宋体" w:cs="宋体"/>
          <w:color w:val="auto"/>
          <w:spacing w:val="15"/>
          <w:sz w:val="20"/>
          <w:szCs w:val="20"/>
          <w:highlight w:val="none"/>
        </w:rPr>
        <w:t xml:space="preserve"> </w:t>
      </w:r>
      <w:r>
        <w:rPr>
          <w:rFonts w:ascii="宋体" w:hAnsi="宋体" w:eastAsia="宋体" w:cs="宋体"/>
          <w:color w:val="auto"/>
          <w:spacing w:val="11"/>
          <w:sz w:val="20"/>
          <w:szCs w:val="20"/>
          <w:highlight w:val="none"/>
        </w:rPr>
        <w:t>人</w:t>
      </w:r>
      <w:r>
        <w:rPr>
          <w:rFonts w:ascii="宋体" w:hAnsi="宋体" w:eastAsia="宋体" w:cs="宋体"/>
          <w:color w:val="auto"/>
          <w:spacing w:val="-18"/>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18"/>
          <w:sz w:val="20"/>
          <w:szCs w:val="20"/>
          <w:highlight w:val="none"/>
        </w:rPr>
        <w:t>（</w:t>
      </w:r>
      <w:r>
        <w:rPr>
          <w:rFonts w:ascii="宋体" w:hAnsi="宋体" w:eastAsia="宋体" w:cs="宋体"/>
          <w:color w:val="auto"/>
          <w:spacing w:val="11"/>
          <w:sz w:val="20"/>
          <w:szCs w:val="20"/>
          <w:highlight w:val="none"/>
        </w:rPr>
        <w:t>盖单位章）</w:t>
      </w:r>
      <w:r>
        <w:rPr>
          <w:rFonts w:ascii="宋体" w:hAnsi="宋体" w:eastAsia="宋体" w:cs="宋体"/>
          <w:color w:val="auto"/>
          <w:spacing w:val="6"/>
          <w:sz w:val="20"/>
          <w:szCs w:val="20"/>
          <w:highlight w:val="none"/>
        </w:rPr>
        <w:t xml:space="preserve"> </w:t>
      </w:r>
      <w:r>
        <w:rPr>
          <w:rFonts w:ascii="宋体" w:hAnsi="宋体" w:eastAsia="宋体" w:cs="宋体"/>
          <w:color w:val="auto"/>
          <w:spacing w:val="10"/>
          <w:sz w:val="20"/>
          <w:szCs w:val="20"/>
          <w:highlight w:val="none"/>
        </w:rPr>
        <w:t>法定代表人或其委托代理人</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10"/>
          <w:sz w:val="20"/>
          <w:szCs w:val="20"/>
          <w:highlight w:val="none"/>
        </w:rPr>
        <w:t>签字）</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地</w:t>
      </w:r>
      <w:r>
        <w:rPr>
          <w:rFonts w:ascii="宋体" w:hAnsi="宋体" w:eastAsia="宋体" w:cs="宋体"/>
          <w:color w:val="auto"/>
          <w:spacing w:val="7"/>
          <w:sz w:val="20"/>
          <w:szCs w:val="20"/>
          <w:highlight w:val="none"/>
        </w:rPr>
        <w:t xml:space="preserve">    </w:t>
      </w:r>
      <w:r>
        <w:rPr>
          <w:rFonts w:ascii="宋体" w:hAnsi="宋体" w:eastAsia="宋体" w:cs="宋体"/>
          <w:color w:val="auto"/>
          <w:spacing w:val="-5"/>
          <w:sz w:val="20"/>
          <w:szCs w:val="20"/>
          <w:highlight w:val="none"/>
        </w:rPr>
        <w:t>址</w:t>
      </w:r>
      <w:r>
        <w:rPr>
          <w:rFonts w:ascii="宋体" w:hAnsi="宋体" w:eastAsia="宋体" w:cs="宋体"/>
          <w:color w:val="auto"/>
          <w:spacing w:val="-73"/>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邮政编码：</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电</w:t>
      </w:r>
      <w:r>
        <w:rPr>
          <w:rFonts w:ascii="宋体" w:hAnsi="宋体" w:eastAsia="宋体" w:cs="宋体"/>
          <w:color w:val="auto"/>
          <w:spacing w:val="6"/>
          <w:sz w:val="20"/>
          <w:szCs w:val="20"/>
          <w:highlight w:val="none"/>
        </w:rPr>
        <w:t xml:space="preserve">    </w:t>
      </w:r>
      <w:r>
        <w:rPr>
          <w:rFonts w:ascii="宋体" w:hAnsi="宋体" w:eastAsia="宋体" w:cs="宋体"/>
          <w:color w:val="auto"/>
          <w:spacing w:val="-4"/>
          <w:sz w:val="20"/>
          <w:szCs w:val="20"/>
          <w:highlight w:val="none"/>
        </w:rPr>
        <w:t>话</w:t>
      </w:r>
      <w:r>
        <w:rPr>
          <w:rFonts w:ascii="宋体" w:hAnsi="宋体" w:eastAsia="宋体" w:cs="宋体"/>
          <w:color w:val="auto"/>
          <w:spacing w:val="-72"/>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传</w:t>
      </w:r>
      <w:r>
        <w:rPr>
          <w:rFonts w:ascii="宋体" w:hAnsi="宋体" w:eastAsia="宋体" w:cs="宋体"/>
          <w:color w:val="auto"/>
          <w:spacing w:val="9"/>
          <w:sz w:val="20"/>
          <w:szCs w:val="20"/>
          <w:highlight w:val="none"/>
        </w:rPr>
        <w:t xml:space="preserve">    </w:t>
      </w:r>
      <w:r>
        <w:rPr>
          <w:rFonts w:ascii="宋体" w:hAnsi="宋体" w:eastAsia="宋体" w:cs="宋体"/>
          <w:color w:val="auto"/>
          <w:spacing w:val="-3"/>
          <w:sz w:val="20"/>
          <w:szCs w:val="20"/>
          <w:highlight w:val="none"/>
        </w:rPr>
        <w:t>真</w:t>
      </w:r>
      <w:r>
        <w:rPr>
          <w:rFonts w:ascii="宋体" w:hAnsi="宋体" w:eastAsia="宋体" w:cs="宋体"/>
          <w:color w:val="auto"/>
          <w:spacing w:val="-73"/>
          <w:sz w:val="20"/>
          <w:szCs w:val="2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pacing w:val="-3"/>
          <w:sz w:val="20"/>
          <w:szCs w:val="20"/>
          <w:highlight w:val="none"/>
          <w:u w:val="single" w:color="auto"/>
        </w:rPr>
        <w:t xml:space="preserve">                                         </w:t>
      </w:r>
    </w:p>
    <w:p w14:paraId="53F629C3">
      <w:pPr>
        <w:pStyle w:val="2"/>
        <w:spacing w:line="303" w:lineRule="auto"/>
        <w:rPr>
          <w:color w:val="auto"/>
          <w:highlight w:val="none"/>
        </w:rPr>
      </w:pPr>
    </w:p>
    <w:p w14:paraId="75539BA5">
      <w:pPr>
        <w:tabs>
          <w:tab w:val="left" w:pos="2738"/>
        </w:tabs>
        <w:spacing w:before="65" w:line="228" w:lineRule="auto"/>
        <w:ind w:left="1585"/>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89"/>
          <w:sz w:val="20"/>
          <w:szCs w:val="20"/>
          <w:highlight w:val="none"/>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99"/>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8"/>
          <w:sz w:val="20"/>
          <w:szCs w:val="20"/>
          <w:highlight w:val="none"/>
        </w:rPr>
        <w:t xml:space="preserve"> </w:t>
      </w:r>
      <w:r>
        <w:rPr>
          <w:rFonts w:ascii="宋体" w:hAnsi="宋体" w:eastAsia="宋体" w:cs="宋体"/>
          <w:color w:val="auto"/>
          <w:spacing w:val="-2"/>
          <w:sz w:val="20"/>
          <w:szCs w:val="20"/>
          <w:highlight w:val="none"/>
        </w:rPr>
        <w:t>日</w:t>
      </w:r>
    </w:p>
    <w:p w14:paraId="75A735E8">
      <w:pPr>
        <w:spacing w:line="228" w:lineRule="auto"/>
        <w:rPr>
          <w:rFonts w:ascii="宋体" w:hAnsi="宋体" w:eastAsia="宋体" w:cs="宋体"/>
          <w:color w:val="auto"/>
          <w:sz w:val="20"/>
          <w:szCs w:val="20"/>
          <w:highlight w:val="none"/>
        </w:rPr>
        <w:sectPr>
          <w:footerReference r:id="rId58" w:type="default"/>
          <w:pgSz w:w="11907" w:h="16840"/>
          <w:pgMar w:top="1428" w:right="1355" w:bottom="1014" w:left="1786" w:header="0" w:footer="852" w:gutter="0"/>
          <w:pgNumType w:fmt="decimal"/>
          <w:cols w:space="720" w:num="1"/>
        </w:sectPr>
      </w:pPr>
    </w:p>
    <w:p w14:paraId="5833B04E">
      <w:pPr>
        <w:spacing w:before="41" w:line="227" w:lineRule="auto"/>
        <w:ind w:left="599"/>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附件</w:t>
      </w:r>
      <w:r>
        <w:rPr>
          <w:rFonts w:ascii="宋体" w:hAnsi="宋体" w:eastAsia="宋体" w:cs="宋体"/>
          <w:color w:val="auto"/>
          <w:spacing w:val="-38"/>
          <w:sz w:val="20"/>
          <w:szCs w:val="20"/>
          <w:highlight w:val="none"/>
        </w:rPr>
        <w:t xml:space="preserve"> </w:t>
      </w:r>
      <w:r>
        <w:rPr>
          <w:rFonts w:hint="eastAsia" w:ascii="宋体" w:hAnsi="宋体" w:eastAsia="宋体" w:cs="宋体"/>
          <w:color w:val="auto"/>
          <w:spacing w:val="-3"/>
          <w:sz w:val="20"/>
          <w:szCs w:val="20"/>
          <w:highlight w:val="none"/>
          <w:lang w:val="en-US" w:eastAsia="zh-CN"/>
        </w:rPr>
        <w:t>7</w:t>
      </w:r>
      <w:r>
        <w:rPr>
          <w:rFonts w:ascii="宋体" w:hAnsi="宋体" w:eastAsia="宋体" w:cs="宋体"/>
          <w:color w:val="auto"/>
          <w:spacing w:val="-3"/>
          <w:sz w:val="20"/>
          <w:szCs w:val="20"/>
          <w:highlight w:val="none"/>
        </w:rPr>
        <w:t>：</w:t>
      </w:r>
    </w:p>
    <w:p w14:paraId="62A7B065">
      <w:pPr>
        <w:spacing w:before="214" w:line="227" w:lineRule="auto"/>
        <w:ind w:left="3237"/>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承包人用于本工程施工的机械设备表</w:t>
      </w:r>
    </w:p>
    <w:p w14:paraId="6E16DDEA">
      <w:pPr>
        <w:spacing w:line="184" w:lineRule="exact"/>
        <w:rPr>
          <w:color w:val="auto"/>
          <w:highlight w:val="none"/>
        </w:rPr>
      </w:pPr>
    </w:p>
    <w:tbl>
      <w:tblPr>
        <w:tblStyle w:val="14"/>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417"/>
        <w:gridCol w:w="850"/>
        <w:gridCol w:w="1057"/>
        <w:gridCol w:w="880"/>
        <w:gridCol w:w="1019"/>
        <w:gridCol w:w="1479"/>
        <w:gridCol w:w="1020"/>
        <w:gridCol w:w="925"/>
      </w:tblGrid>
      <w:tr w14:paraId="5AAFE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1166" w:type="dxa"/>
            <w:vAlign w:val="top"/>
          </w:tcPr>
          <w:p w14:paraId="2DF1802E">
            <w:pPr>
              <w:pStyle w:val="15"/>
              <w:spacing w:before="203" w:line="229" w:lineRule="auto"/>
              <w:ind w:left="97"/>
              <w:rPr>
                <w:color w:val="auto"/>
                <w:highlight w:val="none"/>
              </w:rPr>
            </w:pPr>
            <w:r>
              <w:rPr>
                <w:color w:val="auto"/>
                <w:spacing w:val="5"/>
                <w:highlight w:val="none"/>
              </w:rPr>
              <w:t>序号</w:t>
            </w:r>
          </w:p>
        </w:tc>
        <w:tc>
          <w:tcPr>
            <w:tcW w:w="1417" w:type="dxa"/>
            <w:vAlign w:val="top"/>
          </w:tcPr>
          <w:p w14:paraId="4330D440">
            <w:pPr>
              <w:pStyle w:val="15"/>
              <w:spacing w:before="36" w:line="297" w:lineRule="auto"/>
              <w:ind w:left="96" w:right="92" w:hanging="3"/>
              <w:rPr>
                <w:color w:val="auto"/>
                <w:highlight w:val="none"/>
              </w:rPr>
            </w:pPr>
            <w:r>
              <w:rPr>
                <w:color w:val="auto"/>
                <w:spacing w:val="45"/>
                <w:highlight w:val="none"/>
              </w:rPr>
              <w:t>机械或设备</w:t>
            </w:r>
            <w:r>
              <w:rPr>
                <w:color w:val="auto"/>
                <w:highlight w:val="none"/>
              </w:rPr>
              <w:t xml:space="preserve"> </w:t>
            </w:r>
            <w:r>
              <w:rPr>
                <w:color w:val="auto"/>
                <w:spacing w:val="3"/>
                <w:highlight w:val="none"/>
              </w:rPr>
              <w:t>名称</w:t>
            </w:r>
          </w:p>
        </w:tc>
        <w:tc>
          <w:tcPr>
            <w:tcW w:w="850" w:type="dxa"/>
            <w:vAlign w:val="top"/>
          </w:tcPr>
          <w:p w14:paraId="45C47550">
            <w:pPr>
              <w:pStyle w:val="15"/>
              <w:spacing w:before="36" w:line="297" w:lineRule="auto"/>
              <w:ind w:left="100" w:right="90" w:hanging="4"/>
              <w:rPr>
                <w:color w:val="auto"/>
                <w:highlight w:val="none"/>
              </w:rPr>
            </w:pPr>
            <w:r>
              <w:rPr>
                <w:color w:val="auto"/>
                <w:spacing w:val="19"/>
                <w:highlight w:val="none"/>
              </w:rPr>
              <w:t>规格型</w:t>
            </w:r>
            <w:r>
              <w:rPr>
                <w:color w:val="auto"/>
                <w:highlight w:val="none"/>
              </w:rPr>
              <w:t xml:space="preserve"> 号</w:t>
            </w:r>
          </w:p>
        </w:tc>
        <w:tc>
          <w:tcPr>
            <w:tcW w:w="1057" w:type="dxa"/>
            <w:vAlign w:val="top"/>
          </w:tcPr>
          <w:p w14:paraId="30B31EB1">
            <w:pPr>
              <w:pStyle w:val="15"/>
              <w:spacing w:before="203" w:line="228" w:lineRule="auto"/>
              <w:ind w:left="96"/>
              <w:rPr>
                <w:color w:val="auto"/>
                <w:highlight w:val="none"/>
              </w:rPr>
            </w:pPr>
            <w:r>
              <w:rPr>
                <w:color w:val="auto"/>
                <w:spacing w:val="3"/>
                <w:highlight w:val="none"/>
              </w:rPr>
              <w:t>数量</w:t>
            </w:r>
          </w:p>
        </w:tc>
        <w:tc>
          <w:tcPr>
            <w:tcW w:w="880" w:type="dxa"/>
            <w:vAlign w:val="top"/>
          </w:tcPr>
          <w:p w14:paraId="3EACC4A7">
            <w:pPr>
              <w:pStyle w:val="15"/>
              <w:spacing w:before="203" w:line="228" w:lineRule="auto"/>
              <w:ind w:left="96"/>
              <w:rPr>
                <w:color w:val="auto"/>
                <w:highlight w:val="none"/>
              </w:rPr>
            </w:pPr>
            <w:r>
              <w:rPr>
                <w:color w:val="auto"/>
                <w:spacing w:val="4"/>
                <w:highlight w:val="none"/>
              </w:rPr>
              <w:t>产地</w:t>
            </w:r>
          </w:p>
        </w:tc>
        <w:tc>
          <w:tcPr>
            <w:tcW w:w="1019" w:type="dxa"/>
            <w:vAlign w:val="top"/>
          </w:tcPr>
          <w:p w14:paraId="237839C7">
            <w:pPr>
              <w:pStyle w:val="15"/>
              <w:spacing w:before="36" w:line="297" w:lineRule="auto"/>
              <w:ind w:left="97" w:right="87"/>
              <w:rPr>
                <w:color w:val="auto"/>
                <w:highlight w:val="none"/>
              </w:rPr>
            </w:pPr>
            <w:r>
              <w:rPr>
                <w:color w:val="auto"/>
                <w:highlight w:val="none"/>
              </w:rPr>
              <w:t>制</w:t>
            </w:r>
            <w:r>
              <w:rPr>
                <w:color w:val="auto"/>
                <w:spacing w:val="13"/>
                <w:highlight w:val="none"/>
              </w:rPr>
              <w:t xml:space="preserve"> </w:t>
            </w:r>
            <w:r>
              <w:rPr>
                <w:color w:val="auto"/>
                <w:highlight w:val="none"/>
              </w:rPr>
              <w:t>造</w:t>
            </w:r>
            <w:r>
              <w:rPr>
                <w:color w:val="auto"/>
                <w:spacing w:val="14"/>
                <w:highlight w:val="none"/>
              </w:rPr>
              <w:t xml:space="preserve"> </w:t>
            </w:r>
            <w:r>
              <w:rPr>
                <w:color w:val="auto"/>
                <w:highlight w:val="none"/>
              </w:rPr>
              <w:t>年 份</w:t>
            </w:r>
          </w:p>
        </w:tc>
        <w:tc>
          <w:tcPr>
            <w:tcW w:w="1479" w:type="dxa"/>
            <w:vAlign w:val="top"/>
          </w:tcPr>
          <w:p w14:paraId="2879B75F">
            <w:pPr>
              <w:pStyle w:val="15"/>
              <w:spacing w:before="203" w:line="228" w:lineRule="auto"/>
              <w:jc w:val="right"/>
              <w:rPr>
                <w:color w:val="auto"/>
                <w:highlight w:val="none"/>
              </w:rPr>
            </w:pPr>
            <w:r>
              <w:rPr>
                <w:color w:val="auto"/>
                <w:spacing w:val="-4"/>
                <w:highlight w:val="none"/>
              </w:rPr>
              <w:t>额定功率（kW）</w:t>
            </w:r>
          </w:p>
        </w:tc>
        <w:tc>
          <w:tcPr>
            <w:tcW w:w="1020" w:type="dxa"/>
            <w:vAlign w:val="top"/>
          </w:tcPr>
          <w:p w14:paraId="79D2EC7B">
            <w:pPr>
              <w:pStyle w:val="15"/>
              <w:spacing w:before="36" w:line="297" w:lineRule="auto"/>
              <w:ind w:left="100" w:right="87" w:hanging="1"/>
              <w:rPr>
                <w:color w:val="auto"/>
                <w:highlight w:val="none"/>
              </w:rPr>
            </w:pPr>
            <w:r>
              <w:rPr>
                <w:color w:val="auto"/>
                <w:spacing w:val="-3"/>
                <w:highlight w:val="none"/>
              </w:rPr>
              <w:t>生</w:t>
            </w:r>
            <w:r>
              <w:rPr>
                <w:color w:val="auto"/>
                <w:spacing w:val="14"/>
                <w:highlight w:val="none"/>
              </w:rPr>
              <w:t xml:space="preserve"> </w:t>
            </w:r>
            <w:r>
              <w:rPr>
                <w:color w:val="auto"/>
                <w:spacing w:val="-3"/>
                <w:highlight w:val="none"/>
              </w:rPr>
              <w:t>产</w:t>
            </w:r>
            <w:r>
              <w:rPr>
                <w:color w:val="auto"/>
                <w:spacing w:val="21"/>
                <w:highlight w:val="none"/>
              </w:rPr>
              <w:t xml:space="preserve"> </w:t>
            </w:r>
            <w:r>
              <w:rPr>
                <w:color w:val="auto"/>
                <w:spacing w:val="-3"/>
                <w:highlight w:val="none"/>
              </w:rPr>
              <w:t>能</w:t>
            </w:r>
            <w:r>
              <w:rPr>
                <w:color w:val="auto"/>
                <w:highlight w:val="none"/>
              </w:rPr>
              <w:t xml:space="preserve"> 力</w:t>
            </w:r>
          </w:p>
        </w:tc>
        <w:tc>
          <w:tcPr>
            <w:tcW w:w="925" w:type="dxa"/>
            <w:vAlign w:val="top"/>
          </w:tcPr>
          <w:p w14:paraId="63C161E8">
            <w:pPr>
              <w:pStyle w:val="15"/>
              <w:spacing w:before="203" w:line="229" w:lineRule="auto"/>
              <w:ind w:left="100"/>
              <w:rPr>
                <w:color w:val="auto"/>
                <w:highlight w:val="none"/>
              </w:rPr>
            </w:pPr>
            <w:r>
              <w:rPr>
                <w:color w:val="auto"/>
                <w:spacing w:val="3"/>
                <w:highlight w:val="none"/>
              </w:rPr>
              <w:t>备注</w:t>
            </w:r>
          </w:p>
        </w:tc>
      </w:tr>
      <w:tr w14:paraId="3B681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4DF835E6">
            <w:pPr>
              <w:rPr>
                <w:rFonts w:ascii="Arial"/>
                <w:color w:val="auto"/>
                <w:sz w:val="21"/>
                <w:highlight w:val="none"/>
              </w:rPr>
            </w:pPr>
          </w:p>
        </w:tc>
        <w:tc>
          <w:tcPr>
            <w:tcW w:w="1417" w:type="dxa"/>
            <w:vAlign w:val="top"/>
          </w:tcPr>
          <w:p w14:paraId="323518EC">
            <w:pPr>
              <w:rPr>
                <w:rFonts w:ascii="Arial"/>
                <w:color w:val="auto"/>
                <w:sz w:val="21"/>
                <w:highlight w:val="none"/>
              </w:rPr>
            </w:pPr>
          </w:p>
        </w:tc>
        <w:tc>
          <w:tcPr>
            <w:tcW w:w="850" w:type="dxa"/>
            <w:vAlign w:val="top"/>
          </w:tcPr>
          <w:p w14:paraId="0290A929">
            <w:pPr>
              <w:rPr>
                <w:rFonts w:ascii="Arial"/>
                <w:color w:val="auto"/>
                <w:sz w:val="21"/>
                <w:highlight w:val="none"/>
              </w:rPr>
            </w:pPr>
          </w:p>
        </w:tc>
        <w:tc>
          <w:tcPr>
            <w:tcW w:w="1057" w:type="dxa"/>
            <w:vAlign w:val="top"/>
          </w:tcPr>
          <w:p w14:paraId="07C0A61E">
            <w:pPr>
              <w:rPr>
                <w:rFonts w:ascii="Arial"/>
                <w:color w:val="auto"/>
                <w:sz w:val="21"/>
                <w:highlight w:val="none"/>
              </w:rPr>
            </w:pPr>
          </w:p>
        </w:tc>
        <w:tc>
          <w:tcPr>
            <w:tcW w:w="880" w:type="dxa"/>
            <w:vAlign w:val="top"/>
          </w:tcPr>
          <w:p w14:paraId="2425AD01">
            <w:pPr>
              <w:rPr>
                <w:rFonts w:ascii="Arial"/>
                <w:color w:val="auto"/>
                <w:sz w:val="21"/>
                <w:highlight w:val="none"/>
              </w:rPr>
            </w:pPr>
          </w:p>
        </w:tc>
        <w:tc>
          <w:tcPr>
            <w:tcW w:w="1019" w:type="dxa"/>
            <w:vAlign w:val="top"/>
          </w:tcPr>
          <w:p w14:paraId="6D96ADAD">
            <w:pPr>
              <w:rPr>
                <w:rFonts w:ascii="Arial"/>
                <w:color w:val="auto"/>
                <w:sz w:val="21"/>
                <w:highlight w:val="none"/>
              </w:rPr>
            </w:pPr>
          </w:p>
        </w:tc>
        <w:tc>
          <w:tcPr>
            <w:tcW w:w="1479" w:type="dxa"/>
            <w:vAlign w:val="top"/>
          </w:tcPr>
          <w:p w14:paraId="49FACAFE">
            <w:pPr>
              <w:rPr>
                <w:rFonts w:ascii="Arial"/>
                <w:color w:val="auto"/>
                <w:sz w:val="21"/>
                <w:highlight w:val="none"/>
              </w:rPr>
            </w:pPr>
          </w:p>
        </w:tc>
        <w:tc>
          <w:tcPr>
            <w:tcW w:w="1020" w:type="dxa"/>
            <w:vAlign w:val="top"/>
          </w:tcPr>
          <w:p w14:paraId="4EA9DCF5">
            <w:pPr>
              <w:rPr>
                <w:rFonts w:ascii="Arial"/>
                <w:color w:val="auto"/>
                <w:sz w:val="21"/>
                <w:highlight w:val="none"/>
              </w:rPr>
            </w:pPr>
          </w:p>
        </w:tc>
        <w:tc>
          <w:tcPr>
            <w:tcW w:w="925" w:type="dxa"/>
            <w:vAlign w:val="top"/>
          </w:tcPr>
          <w:p w14:paraId="70E605C4">
            <w:pPr>
              <w:rPr>
                <w:rFonts w:ascii="Arial"/>
                <w:color w:val="auto"/>
                <w:sz w:val="21"/>
                <w:highlight w:val="none"/>
              </w:rPr>
            </w:pPr>
          </w:p>
        </w:tc>
      </w:tr>
      <w:tr w14:paraId="0ABB1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230BEED2">
            <w:pPr>
              <w:rPr>
                <w:rFonts w:ascii="Arial"/>
                <w:color w:val="auto"/>
                <w:sz w:val="21"/>
                <w:highlight w:val="none"/>
              </w:rPr>
            </w:pPr>
          </w:p>
        </w:tc>
        <w:tc>
          <w:tcPr>
            <w:tcW w:w="1417" w:type="dxa"/>
            <w:vAlign w:val="top"/>
          </w:tcPr>
          <w:p w14:paraId="7060BE3B">
            <w:pPr>
              <w:rPr>
                <w:rFonts w:ascii="Arial"/>
                <w:color w:val="auto"/>
                <w:sz w:val="21"/>
                <w:highlight w:val="none"/>
              </w:rPr>
            </w:pPr>
          </w:p>
        </w:tc>
        <w:tc>
          <w:tcPr>
            <w:tcW w:w="850" w:type="dxa"/>
            <w:vAlign w:val="top"/>
          </w:tcPr>
          <w:p w14:paraId="72C5ADD0">
            <w:pPr>
              <w:rPr>
                <w:rFonts w:ascii="Arial"/>
                <w:color w:val="auto"/>
                <w:sz w:val="21"/>
                <w:highlight w:val="none"/>
              </w:rPr>
            </w:pPr>
          </w:p>
        </w:tc>
        <w:tc>
          <w:tcPr>
            <w:tcW w:w="1057" w:type="dxa"/>
            <w:vAlign w:val="top"/>
          </w:tcPr>
          <w:p w14:paraId="792FE20B">
            <w:pPr>
              <w:rPr>
                <w:rFonts w:ascii="Arial"/>
                <w:color w:val="auto"/>
                <w:sz w:val="21"/>
                <w:highlight w:val="none"/>
              </w:rPr>
            </w:pPr>
          </w:p>
        </w:tc>
        <w:tc>
          <w:tcPr>
            <w:tcW w:w="880" w:type="dxa"/>
            <w:vAlign w:val="top"/>
          </w:tcPr>
          <w:p w14:paraId="417E10C0">
            <w:pPr>
              <w:rPr>
                <w:rFonts w:ascii="Arial"/>
                <w:color w:val="auto"/>
                <w:sz w:val="21"/>
                <w:highlight w:val="none"/>
              </w:rPr>
            </w:pPr>
          </w:p>
        </w:tc>
        <w:tc>
          <w:tcPr>
            <w:tcW w:w="1019" w:type="dxa"/>
            <w:vAlign w:val="top"/>
          </w:tcPr>
          <w:p w14:paraId="2298C2DB">
            <w:pPr>
              <w:rPr>
                <w:rFonts w:ascii="Arial"/>
                <w:color w:val="auto"/>
                <w:sz w:val="21"/>
                <w:highlight w:val="none"/>
              </w:rPr>
            </w:pPr>
          </w:p>
        </w:tc>
        <w:tc>
          <w:tcPr>
            <w:tcW w:w="1479" w:type="dxa"/>
            <w:vAlign w:val="top"/>
          </w:tcPr>
          <w:p w14:paraId="24CE0ADE">
            <w:pPr>
              <w:rPr>
                <w:rFonts w:ascii="Arial"/>
                <w:color w:val="auto"/>
                <w:sz w:val="21"/>
                <w:highlight w:val="none"/>
              </w:rPr>
            </w:pPr>
          </w:p>
        </w:tc>
        <w:tc>
          <w:tcPr>
            <w:tcW w:w="1020" w:type="dxa"/>
            <w:vAlign w:val="top"/>
          </w:tcPr>
          <w:p w14:paraId="78F6DC01">
            <w:pPr>
              <w:rPr>
                <w:rFonts w:ascii="Arial"/>
                <w:color w:val="auto"/>
                <w:sz w:val="21"/>
                <w:highlight w:val="none"/>
              </w:rPr>
            </w:pPr>
          </w:p>
        </w:tc>
        <w:tc>
          <w:tcPr>
            <w:tcW w:w="925" w:type="dxa"/>
            <w:vAlign w:val="top"/>
          </w:tcPr>
          <w:p w14:paraId="21B0860A">
            <w:pPr>
              <w:rPr>
                <w:rFonts w:ascii="Arial"/>
                <w:color w:val="auto"/>
                <w:sz w:val="21"/>
                <w:highlight w:val="none"/>
              </w:rPr>
            </w:pPr>
          </w:p>
        </w:tc>
      </w:tr>
      <w:tr w14:paraId="0B9AC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14:paraId="40499B46">
            <w:pPr>
              <w:rPr>
                <w:rFonts w:ascii="Arial"/>
                <w:color w:val="auto"/>
                <w:sz w:val="21"/>
                <w:highlight w:val="none"/>
              </w:rPr>
            </w:pPr>
          </w:p>
        </w:tc>
        <w:tc>
          <w:tcPr>
            <w:tcW w:w="1417" w:type="dxa"/>
            <w:vAlign w:val="top"/>
          </w:tcPr>
          <w:p w14:paraId="5B9C3C5A">
            <w:pPr>
              <w:rPr>
                <w:rFonts w:ascii="Arial"/>
                <w:color w:val="auto"/>
                <w:sz w:val="21"/>
                <w:highlight w:val="none"/>
              </w:rPr>
            </w:pPr>
          </w:p>
        </w:tc>
        <w:tc>
          <w:tcPr>
            <w:tcW w:w="850" w:type="dxa"/>
            <w:vAlign w:val="top"/>
          </w:tcPr>
          <w:p w14:paraId="019C92E0">
            <w:pPr>
              <w:rPr>
                <w:rFonts w:ascii="Arial"/>
                <w:color w:val="auto"/>
                <w:sz w:val="21"/>
                <w:highlight w:val="none"/>
              </w:rPr>
            </w:pPr>
          </w:p>
        </w:tc>
        <w:tc>
          <w:tcPr>
            <w:tcW w:w="1057" w:type="dxa"/>
            <w:vAlign w:val="top"/>
          </w:tcPr>
          <w:p w14:paraId="2BB354B9">
            <w:pPr>
              <w:rPr>
                <w:rFonts w:ascii="Arial"/>
                <w:color w:val="auto"/>
                <w:sz w:val="21"/>
                <w:highlight w:val="none"/>
              </w:rPr>
            </w:pPr>
          </w:p>
        </w:tc>
        <w:tc>
          <w:tcPr>
            <w:tcW w:w="880" w:type="dxa"/>
            <w:vAlign w:val="top"/>
          </w:tcPr>
          <w:p w14:paraId="7475A772">
            <w:pPr>
              <w:rPr>
                <w:rFonts w:ascii="Arial"/>
                <w:color w:val="auto"/>
                <w:sz w:val="21"/>
                <w:highlight w:val="none"/>
              </w:rPr>
            </w:pPr>
          </w:p>
        </w:tc>
        <w:tc>
          <w:tcPr>
            <w:tcW w:w="1019" w:type="dxa"/>
            <w:vAlign w:val="top"/>
          </w:tcPr>
          <w:p w14:paraId="62D468CC">
            <w:pPr>
              <w:rPr>
                <w:rFonts w:ascii="Arial"/>
                <w:color w:val="auto"/>
                <w:sz w:val="21"/>
                <w:highlight w:val="none"/>
              </w:rPr>
            </w:pPr>
          </w:p>
        </w:tc>
        <w:tc>
          <w:tcPr>
            <w:tcW w:w="1479" w:type="dxa"/>
            <w:vAlign w:val="top"/>
          </w:tcPr>
          <w:p w14:paraId="3BB621B3">
            <w:pPr>
              <w:rPr>
                <w:rFonts w:ascii="Arial"/>
                <w:color w:val="auto"/>
                <w:sz w:val="21"/>
                <w:highlight w:val="none"/>
              </w:rPr>
            </w:pPr>
          </w:p>
        </w:tc>
        <w:tc>
          <w:tcPr>
            <w:tcW w:w="1020" w:type="dxa"/>
            <w:vAlign w:val="top"/>
          </w:tcPr>
          <w:p w14:paraId="587AB4A0">
            <w:pPr>
              <w:rPr>
                <w:rFonts w:ascii="Arial"/>
                <w:color w:val="auto"/>
                <w:sz w:val="21"/>
                <w:highlight w:val="none"/>
              </w:rPr>
            </w:pPr>
          </w:p>
        </w:tc>
        <w:tc>
          <w:tcPr>
            <w:tcW w:w="925" w:type="dxa"/>
            <w:vAlign w:val="top"/>
          </w:tcPr>
          <w:p w14:paraId="1F582417">
            <w:pPr>
              <w:rPr>
                <w:rFonts w:ascii="Arial"/>
                <w:color w:val="auto"/>
                <w:sz w:val="21"/>
                <w:highlight w:val="none"/>
              </w:rPr>
            </w:pPr>
          </w:p>
        </w:tc>
      </w:tr>
      <w:tr w14:paraId="6E025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14:paraId="5E358002">
            <w:pPr>
              <w:rPr>
                <w:rFonts w:ascii="Arial"/>
                <w:color w:val="auto"/>
                <w:sz w:val="21"/>
                <w:highlight w:val="none"/>
              </w:rPr>
            </w:pPr>
          </w:p>
        </w:tc>
        <w:tc>
          <w:tcPr>
            <w:tcW w:w="1417" w:type="dxa"/>
            <w:vAlign w:val="top"/>
          </w:tcPr>
          <w:p w14:paraId="4151856B">
            <w:pPr>
              <w:rPr>
                <w:rFonts w:ascii="Arial"/>
                <w:color w:val="auto"/>
                <w:sz w:val="21"/>
                <w:highlight w:val="none"/>
              </w:rPr>
            </w:pPr>
          </w:p>
        </w:tc>
        <w:tc>
          <w:tcPr>
            <w:tcW w:w="850" w:type="dxa"/>
            <w:vAlign w:val="top"/>
          </w:tcPr>
          <w:p w14:paraId="2FBB17EE">
            <w:pPr>
              <w:rPr>
                <w:rFonts w:ascii="Arial"/>
                <w:color w:val="auto"/>
                <w:sz w:val="21"/>
                <w:highlight w:val="none"/>
              </w:rPr>
            </w:pPr>
          </w:p>
        </w:tc>
        <w:tc>
          <w:tcPr>
            <w:tcW w:w="1057" w:type="dxa"/>
            <w:vAlign w:val="top"/>
          </w:tcPr>
          <w:p w14:paraId="1E69A19B">
            <w:pPr>
              <w:rPr>
                <w:rFonts w:ascii="Arial"/>
                <w:color w:val="auto"/>
                <w:sz w:val="21"/>
                <w:highlight w:val="none"/>
              </w:rPr>
            </w:pPr>
          </w:p>
        </w:tc>
        <w:tc>
          <w:tcPr>
            <w:tcW w:w="880" w:type="dxa"/>
            <w:vAlign w:val="top"/>
          </w:tcPr>
          <w:p w14:paraId="60307766">
            <w:pPr>
              <w:rPr>
                <w:rFonts w:ascii="Arial"/>
                <w:color w:val="auto"/>
                <w:sz w:val="21"/>
                <w:highlight w:val="none"/>
              </w:rPr>
            </w:pPr>
          </w:p>
        </w:tc>
        <w:tc>
          <w:tcPr>
            <w:tcW w:w="1019" w:type="dxa"/>
            <w:vAlign w:val="top"/>
          </w:tcPr>
          <w:p w14:paraId="34CBA621">
            <w:pPr>
              <w:rPr>
                <w:rFonts w:ascii="Arial"/>
                <w:color w:val="auto"/>
                <w:sz w:val="21"/>
                <w:highlight w:val="none"/>
              </w:rPr>
            </w:pPr>
          </w:p>
        </w:tc>
        <w:tc>
          <w:tcPr>
            <w:tcW w:w="1479" w:type="dxa"/>
            <w:vAlign w:val="top"/>
          </w:tcPr>
          <w:p w14:paraId="7F930BA2">
            <w:pPr>
              <w:rPr>
                <w:rFonts w:ascii="Arial"/>
                <w:color w:val="auto"/>
                <w:sz w:val="21"/>
                <w:highlight w:val="none"/>
              </w:rPr>
            </w:pPr>
          </w:p>
        </w:tc>
        <w:tc>
          <w:tcPr>
            <w:tcW w:w="1020" w:type="dxa"/>
            <w:vAlign w:val="top"/>
          </w:tcPr>
          <w:p w14:paraId="388168E1">
            <w:pPr>
              <w:rPr>
                <w:rFonts w:ascii="Arial"/>
                <w:color w:val="auto"/>
                <w:sz w:val="21"/>
                <w:highlight w:val="none"/>
              </w:rPr>
            </w:pPr>
          </w:p>
        </w:tc>
        <w:tc>
          <w:tcPr>
            <w:tcW w:w="925" w:type="dxa"/>
            <w:vAlign w:val="top"/>
          </w:tcPr>
          <w:p w14:paraId="32649404">
            <w:pPr>
              <w:rPr>
                <w:rFonts w:ascii="Arial"/>
                <w:color w:val="auto"/>
                <w:sz w:val="21"/>
                <w:highlight w:val="none"/>
              </w:rPr>
            </w:pPr>
          </w:p>
        </w:tc>
      </w:tr>
      <w:tr w14:paraId="53A58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14:paraId="4EA0A85B">
            <w:pPr>
              <w:rPr>
                <w:rFonts w:ascii="Arial"/>
                <w:color w:val="auto"/>
                <w:sz w:val="21"/>
                <w:highlight w:val="none"/>
              </w:rPr>
            </w:pPr>
          </w:p>
        </w:tc>
        <w:tc>
          <w:tcPr>
            <w:tcW w:w="1417" w:type="dxa"/>
            <w:vAlign w:val="top"/>
          </w:tcPr>
          <w:p w14:paraId="66CD33AC">
            <w:pPr>
              <w:rPr>
                <w:rFonts w:ascii="Arial"/>
                <w:color w:val="auto"/>
                <w:sz w:val="21"/>
                <w:highlight w:val="none"/>
              </w:rPr>
            </w:pPr>
          </w:p>
        </w:tc>
        <w:tc>
          <w:tcPr>
            <w:tcW w:w="850" w:type="dxa"/>
            <w:vAlign w:val="top"/>
          </w:tcPr>
          <w:p w14:paraId="7F5A4B83">
            <w:pPr>
              <w:rPr>
                <w:rFonts w:ascii="Arial"/>
                <w:color w:val="auto"/>
                <w:sz w:val="21"/>
                <w:highlight w:val="none"/>
              </w:rPr>
            </w:pPr>
          </w:p>
        </w:tc>
        <w:tc>
          <w:tcPr>
            <w:tcW w:w="1057" w:type="dxa"/>
            <w:vAlign w:val="top"/>
          </w:tcPr>
          <w:p w14:paraId="7BA6BCAF">
            <w:pPr>
              <w:rPr>
                <w:rFonts w:ascii="Arial"/>
                <w:color w:val="auto"/>
                <w:sz w:val="21"/>
                <w:highlight w:val="none"/>
              </w:rPr>
            </w:pPr>
          </w:p>
        </w:tc>
        <w:tc>
          <w:tcPr>
            <w:tcW w:w="880" w:type="dxa"/>
            <w:vAlign w:val="top"/>
          </w:tcPr>
          <w:p w14:paraId="116BA200">
            <w:pPr>
              <w:rPr>
                <w:rFonts w:ascii="Arial"/>
                <w:color w:val="auto"/>
                <w:sz w:val="21"/>
                <w:highlight w:val="none"/>
              </w:rPr>
            </w:pPr>
          </w:p>
        </w:tc>
        <w:tc>
          <w:tcPr>
            <w:tcW w:w="1019" w:type="dxa"/>
            <w:vAlign w:val="top"/>
          </w:tcPr>
          <w:p w14:paraId="04F75A32">
            <w:pPr>
              <w:rPr>
                <w:rFonts w:ascii="Arial"/>
                <w:color w:val="auto"/>
                <w:sz w:val="21"/>
                <w:highlight w:val="none"/>
              </w:rPr>
            </w:pPr>
          </w:p>
        </w:tc>
        <w:tc>
          <w:tcPr>
            <w:tcW w:w="1479" w:type="dxa"/>
            <w:vAlign w:val="top"/>
          </w:tcPr>
          <w:p w14:paraId="5A25B6F9">
            <w:pPr>
              <w:rPr>
                <w:rFonts w:ascii="Arial"/>
                <w:color w:val="auto"/>
                <w:sz w:val="21"/>
                <w:highlight w:val="none"/>
              </w:rPr>
            </w:pPr>
          </w:p>
        </w:tc>
        <w:tc>
          <w:tcPr>
            <w:tcW w:w="1020" w:type="dxa"/>
            <w:vAlign w:val="top"/>
          </w:tcPr>
          <w:p w14:paraId="4FCEB090">
            <w:pPr>
              <w:rPr>
                <w:rFonts w:ascii="Arial"/>
                <w:color w:val="auto"/>
                <w:sz w:val="21"/>
                <w:highlight w:val="none"/>
              </w:rPr>
            </w:pPr>
          </w:p>
        </w:tc>
        <w:tc>
          <w:tcPr>
            <w:tcW w:w="925" w:type="dxa"/>
            <w:vAlign w:val="top"/>
          </w:tcPr>
          <w:p w14:paraId="623CFFDF">
            <w:pPr>
              <w:rPr>
                <w:rFonts w:ascii="Arial"/>
                <w:color w:val="auto"/>
                <w:sz w:val="21"/>
                <w:highlight w:val="none"/>
              </w:rPr>
            </w:pPr>
          </w:p>
        </w:tc>
      </w:tr>
      <w:tr w14:paraId="50046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6974CF03">
            <w:pPr>
              <w:rPr>
                <w:rFonts w:ascii="Arial"/>
                <w:color w:val="auto"/>
                <w:sz w:val="21"/>
                <w:highlight w:val="none"/>
              </w:rPr>
            </w:pPr>
          </w:p>
        </w:tc>
        <w:tc>
          <w:tcPr>
            <w:tcW w:w="1417" w:type="dxa"/>
            <w:vAlign w:val="top"/>
          </w:tcPr>
          <w:p w14:paraId="50D2475E">
            <w:pPr>
              <w:rPr>
                <w:rFonts w:ascii="Arial"/>
                <w:color w:val="auto"/>
                <w:sz w:val="21"/>
                <w:highlight w:val="none"/>
              </w:rPr>
            </w:pPr>
          </w:p>
        </w:tc>
        <w:tc>
          <w:tcPr>
            <w:tcW w:w="850" w:type="dxa"/>
            <w:vAlign w:val="top"/>
          </w:tcPr>
          <w:p w14:paraId="2892C989">
            <w:pPr>
              <w:rPr>
                <w:rFonts w:ascii="Arial"/>
                <w:color w:val="auto"/>
                <w:sz w:val="21"/>
                <w:highlight w:val="none"/>
              </w:rPr>
            </w:pPr>
          </w:p>
        </w:tc>
        <w:tc>
          <w:tcPr>
            <w:tcW w:w="1057" w:type="dxa"/>
            <w:vAlign w:val="top"/>
          </w:tcPr>
          <w:p w14:paraId="6F4D82B3">
            <w:pPr>
              <w:rPr>
                <w:rFonts w:ascii="Arial"/>
                <w:color w:val="auto"/>
                <w:sz w:val="21"/>
                <w:highlight w:val="none"/>
              </w:rPr>
            </w:pPr>
          </w:p>
        </w:tc>
        <w:tc>
          <w:tcPr>
            <w:tcW w:w="880" w:type="dxa"/>
            <w:vAlign w:val="top"/>
          </w:tcPr>
          <w:p w14:paraId="74A31CB3">
            <w:pPr>
              <w:rPr>
                <w:rFonts w:ascii="Arial"/>
                <w:color w:val="auto"/>
                <w:sz w:val="21"/>
                <w:highlight w:val="none"/>
              </w:rPr>
            </w:pPr>
          </w:p>
        </w:tc>
        <w:tc>
          <w:tcPr>
            <w:tcW w:w="1019" w:type="dxa"/>
            <w:vAlign w:val="top"/>
          </w:tcPr>
          <w:p w14:paraId="4D0144B2">
            <w:pPr>
              <w:rPr>
                <w:rFonts w:ascii="Arial"/>
                <w:color w:val="auto"/>
                <w:sz w:val="21"/>
                <w:highlight w:val="none"/>
              </w:rPr>
            </w:pPr>
          </w:p>
        </w:tc>
        <w:tc>
          <w:tcPr>
            <w:tcW w:w="1479" w:type="dxa"/>
            <w:vAlign w:val="top"/>
          </w:tcPr>
          <w:p w14:paraId="02A8B834">
            <w:pPr>
              <w:rPr>
                <w:rFonts w:ascii="Arial"/>
                <w:color w:val="auto"/>
                <w:sz w:val="21"/>
                <w:highlight w:val="none"/>
              </w:rPr>
            </w:pPr>
          </w:p>
        </w:tc>
        <w:tc>
          <w:tcPr>
            <w:tcW w:w="1020" w:type="dxa"/>
            <w:vAlign w:val="top"/>
          </w:tcPr>
          <w:p w14:paraId="057850D3">
            <w:pPr>
              <w:rPr>
                <w:rFonts w:ascii="Arial"/>
                <w:color w:val="auto"/>
                <w:sz w:val="21"/>
                <w:highlight w:val="none"/>
              </w:rPr>
            </w:pPr>
          </w:p>
        </w:tc>
        <w:tc>
          <w:tcPr>
            <w:tcW w:w="925" w:type="dxa"/>
            <w:vAlign w:val="top"/>
          </w:tcPr>
          <w:p w14:paraId="0DAE4589">
            <w:pPr>
              <w:rPr>
                <w:rFonts w:ascii="Arial"/>
                <w:color w:val="auto"/>
                <w:sz w:val="21"/>
                <w:highlight w:val="none"/>
              </w:rPr>
            </w:pPr>
          </w:p>
        </w:tc>
      </w:tr>
      <w:tr w14:paraId="67A913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4353923D">
            <w:pPr>
              <w:rPr>
                <w:rFonts w:ascii="Arial"/>
                <w:color w:val="auto"/>
                <w:sz w:val="21"/>
                <w:highlight w:val="none"/>
              </w:rPr>
            </w:pPr>
          </w:p>
        </w:tc>
        <w:tc>
          <w:tcPr>
            <w:tcW w:w="1417" w:type="dxa"/>
            <w:vAlign w:val="top"/>
          </w:tcPr>
          <w:p w14:paraId="7E3B12FE">
            <w:pPr>
              <w:rPr>
                <w:rFonts w:ascii="Arial"/>
                <w:color w:val="auto"/>
                <w:sz w:val="21"/>
                <w:highlight w:val="none"/>
              </w:rPr>
            </w:pPr>
          </w:p>
        </w:tc>
        <w:tc>
          <w:tcPr>
            <w:tcW w:w="850" w:type="dxa"/>
            <w:vAlign w:val="top"/>
          </w:tcPr>
          <w:p w14:paraId="535D4BD2">
            <w:pPr>
              <w:rPr>
                <w:rFonts w:ascii="Arial"/>
                <w:color w:val="auto"/>
                <w:sz w:val="21"/>
                <w:highlight w:val="none"/>
              </w:rPr>
            </w:pPr>
          </w:p>
        </w:tc>
        <w:tc>
          <w:tcPr>
            <w:tcW w:w="1057" w:type="dxa"/>
            <w:vAlign w:val="top"/>
          </w:tcPr>
          <w:p w14:paraId="64A124C5">
            <w:pPr>
              <w:rPr>
                <w:rFonts w:ascii="Arial"/>
                <w:color w:val="auto"/>
                <w:sz w:val="21"/>
                <w:highlight w:val="none"/>
              </w:rPr>
            </w:pPr>
          </w:p>
        </w:tc>
        <w:tc>
          <w:tcPr>
            <w:tcW w:w="880" w:type="dxa"/>
            <w:vAlign w:val="top"/>
          </w:tcPr>
          <w:p w14:paraId="5DB80A99">
            <w:pPr>
              <w:rPr>
                <w:rFonts w:ascii="Arial"/>
                <w:color w:val="auto"/>
                <w:sz w:val="21"/>
                <w:highlight w:val="none"/>
              </w:rPr>
            </w:pPr>
          </w:p>
        </w:tc>
        <w:tc>
          <w:tcPr>
            <w:tcW w:w="1019" w:type="dxa"/>
            <w:vAlign w:val="top"/>
          </w:tcPr>
          <w:p w14:paraId="3850DDD2">
            <w:pPr>
              <w:rPr>
                <w:rFonts w:ascii="Arial"/>
                <w:color w:val="auto"/>
                <w:sz w:val="21"/>
                <w:highlight w:val="none"/>
              </w:rPr>
            </w:pPr>
          </w:p>
        </w:tc>
        <w:tc>
          <w:tcPr>
            <w:tcW w:w="1479" w:type="dxa"/>
            <w:vAlign w:val="top"/>
          </w:tcPr>
          <w:p w14:paraId="60F5E526">
            <w:pPr>
              <w:rPr>
                <w:rFonts w:ascii="Arial"/>
                <w:color w:val="auto"/>
                <w:sz w:val="21"/>
                <w:highlight w:val="none"/>
              </w:rPr>
            </w:pPr>
          </w:p>
        </w:tc>
        <w:tc>
          <w:tcPr>
            <w:tcW w:w="1020" w:type="dxa"/>
            <w:vAlign w:val="top"/>
          </w:tcPr>
          <w:p w14:paraId="072A8F4B">
            <w:pPr>
              <w:rPr>
                <w:rFonts w:ascii="Arial"/>
                <w:color w:val="auto"/>
                <w:sz w:val="21"/>
                <w:highlight w:val="none"/>
              </w:rPr>
            </w:pPr>
          </w:p>
        </w:tc>
        <w:tc>
          <w:tcPr>
            <w:tcW w:w="925" w:type="dxa"/>
            <w:vAlign w:val="top"/>
          </w:tcPr>
          <w:p w14:paraId="3FA55C4A">
            <w:pPr>
              <w:rPr>
                <w:rFonts w:ascii="Arial"/>
                <w:color w:val="auto"/>
                <w:sz w:val="21"/>
                <w:highlight w:val="none"/>
              </w:rPr>
            </w:pPr>
          </w:p>
        </w:tc>
      </w:tr>
      <w:tr w14:paraId="3B462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433B29B4">
            <w:pPr>
              <w:rPr>
                <w:rFonts w:ascii="Arial"/>
                <w:color w:val="auto"/>
                <w:sz w:val="21"/>
                <w:highlight w:val="none"/>
              </w:rPr>
            </w:pPr>
          </w:p>
        </w:tc>
        <w:tc>
          <w:tcPr>
            <w:tcW w:w="1417" w:type="dxa"/>
            <w:vAlign w:val="top"/>
          </w:tcPr>
          <w:p w14:paraId="71C672B4">
            <w:pPr>
              <w:rPr>
                <w:rFonts w:ascii="Arial"/>
                <w:color w:val="auto"/>
                <w:sz w:val="21"/>
                <w:highlight w:val="none"/>
              </w:rPr>
            </w:pPr>
          </w:p>
        </w:tc>
        <w:tc>
          <w:tcPr>
            <w:tcW w:w="850" w:type="dxa"/>
            <w:vAlign w:val="top"/>
          </w:tcPr>
          <w:p w14:paraId="33043002">
            <w:pPr>
              <w:rPr>
                <w:rFonts w:ascii="Arial"/>
                <w:color w:val="auto"/>
                <w:sz w:val="21"/>
                <w:highlight w:val="none"/>
              </w:rPr>
            </w:pPr>
          </w:p>
        </w:tc>
        <w:tc>
          <w:tcPr>
            <w:tcW w:w="1057" w:type="dxa"/>
            <w:vAlign w:val="top"/>
          </w:tcPr>
          <w:p w14:paraId="2D4E52EE">
            <w:pPr>
              <w:rPr>
                <w:rFonts w:ascii="Arial"/>
                <w:color w:val="auto"/>
                <w:sz w:val="21"/>
                <w:highlight w:val="none"/>
              </w:rPr>
            </w:pPr>
          </w:p>
        </w:tc>
        <w:tc>
          <w:tcPr>
            <w:tcW w:w="880" w:type="dxa"/>
            <w:vAlign w:val="top"/>
          </w:tcPr>
          <w:p w14:paraId="6CF33A0A">
            <w:pPr>
              <w:rPr>
                <w:rFonts w:ascii="Arial"/>
                <w:color w:val="auto"/>
                <w:sz w:val="21"/>
                <w:highlight w:val="none"/>
              </w:rPr>
            </w:pPr>
          </w:p>
        </w:tc>
        <w:tc>
          <w:tcPr>
            <w:tcW w:w="1019" w:type="dxa"/>
            <w:vAlign w:val="top"/>
          </w:tcPr>
          <w:p w14:paraId="7AA048A5">
            <w:pPr>
              <w:rPr>
                <w:rFonts w:ascii="Arial"/>
                <w:color w:val="auto"/>
                <w:sz w:val="21"/>
                <w:highlight w:val="none"/>
              </w:rPr>
            </w:pPr>
          </w:p>
        </w:tc>
        <w:tc>
          <w:tcPr>
            <w:tcW w:w="1479" w:type="dxa"/>
            <w:vAlign w:val="top"/>
          </w:tcPr>
          <w:p w14:paraId="4DE63466">
            <w:pPr>
              <w:rPr>
                <w:rFonts w:ascii="Arial"/>
                <w:color w:val="auto"/>
                <w:sz w:val="21"/>
                <w:highlight w:val="none"/>
              </w:rPr>
            </w:pPr>
          </w:p>
        </w:tc>
        <w:tc>
          <w:tcPr>
            <w:tcW w:w="1020" w:type="dxa"/>
            <w:vAlign w:val="top"/>
          </w:tcPr>
          <w:p w14:paraId="0B465A50">
            <w:pPr>
              <w:rPr>
                <w:rFonts w:ascii="Arial"/>
                <w:color w:val="auto"/>
                <w:sz w:val="21"/>
                <w:highlight w:val="none"/>
              </w:rPr>
            </w:pPr>
          </w:p>
        </w:tc>
        <w:tc>
          <w:tcPr>
            <w:tcW w:w="925" w:type="dxa"/>
            <w:vAlign w:val="top"/>
          </w:tcPr>
          <w:p w14:paraId="093261E5">
            <w:pPr>
              <w:rPr>
                <w:rFonts w:ascii="Arial"/>
                <w:color w:val="auto"/>
                <w:sz w:val="21"/>
                <w:highlight w:val="none"/>
              </w:rPr>
            </w:pPr>
          </w:p>
        </w:tc>
      </w:tr>
      <w:tr w14:paraId="167F1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00A97B57">
            <w:pPr>
              <w:rPr>
                <w:rFonts w:ascii="Arial"/>
                <w:color w:val="auto"/>
                <w:sz w:val="21"/>
                <w:highlight w:val="none"/>
              </w:rPr>
            </w:pPr>
          </w:p>
        </w:tc>
        <w:tc>
          <w:tcPr>
            <w:tcW w:w="1417" w:type="dxa"/>
            <w:vAlign w:val="top"/>
          </w:tcPr>
          <w:p w14:paraId="2E1A83F6">
            <w:pPr>
              <w:rPr>
                <w:rFonts w:ascii="Arial"/>
                <w:color w:val="auto"/>
                <w:sz w:val="21"/>
                <w:highlight w:val="none"/>
              </w:rPr>
            </w:pPr>
          </w:p>
        </w:tc>
        <w:tc>
          <w:tcPr>
            <w:tcW w:w="850" w:type="dxa"/>
            <w:vAlign w:val="top"/>
          </w:tcPr>
          <w:p w14:paraId="4494E18D">
            <w:pPr>
              <w:rPr>
                <w:rFonts w:ascii="Arial"/>
                <w:color w:val="auto"/>
                <w:sz w:val="21"/>
                <w:highlight w:val="none"/>
              </w:rPr>
            </w:pPr>
          </w:p>
        </w:tc>
        <w:tc>
          <w:tcPr>
            <w:tcW w:w="1057" w:type="dxa"/>
            <w:vAlign w:val="top"/>
          </w:tcPr>
          <w:p w14:paraId="5939D0FF">
            <w:pPr>
              <w:rPr>
                <w:rFonts w:ascii="Arial"/>
                <w:color w:val="auto"/>
                <w:sz w:val="21"/>
                <w:highlight w:val="none"/>
              </w:rPr>
            </w:pPr>
          </w:p>
        </w:tc>
        <w:tc>
          <w:tcPr>
            <w:tcW w:w="880" w:type="dxa"/>
            <w:vAlign w:val="top"/>
          </w:tcPr>
          <w:p w14:paraId="181A4130">
            <w:pPr>
              <w:rPr>
                <w:rFonts w:ascii="Arial"/>
                <w:color w:val="auto"/>
                <w:sz w:val="21"/>
                <w:highlight w:val="none"/>
              </w:rPr>
            </w:pPr>
          </w:p>
        </w:tc>
        <w:tc>
          <w:tcPr>
            <w:tcW w:w="1019" w:type="dxa"/>
            <w:vAlign w:val="top"/>
          </w:tcPr>
          <w:p w14:paraId="172266AE">
            <w:pPr>
              <w:rPr>
                <w:rFonts w:ascii="Arial"/>
                <w:color w:val="auto"/>
                <w:sz w:val="21"/>
                <w:highlight w:val="none"/>
              </w:rPr>
            </w:pPr>
          </w:p>
        </w:tc>
        <w:tc>
          <w:tcPr>
            <w:tcW w:w="1479" w:type="dxa"/>
            <w:vAlign w:val="top"/>
          </w:tcPr>
          <w:p w14:paraId="28FFE012">
            <w:pPr>
              <w:rPr>
                <w:rFonts w:ascii="Arial"/>
                <w:color w:val="auto"/>
                <w:sz w:val="21"/>
                <w:highlight w:val="none"/>
              </w:rPr>
            </w:pPr>
          </w:p>
        </w:tc>
        <w:tc>
          <w:tcPr>
            <w:tcW w:w="1020" w:type="dxa"/>
            <w:vAlign w:val="top"/>
          </w:tcPr>
          <w:p w14:paraId="17695E9D">
            <w:pPr>
              <w:rPr>
                <w:rFonts w:ascii="Arial"/>
                <w:color w:val="auto"/>
                <w:sz w:val="21"/>
                <w:highlight w:val="none"/>
              </w:rPr>
            </w:pPr>
          </w:p>
        </w:tc>
        <w:tc>
          <w:tcPr>
            <w:tcW w:w="925" w:type="dxa"/>
            <w:vAlign w:val="top"/>
          </w:tcPr>
          <w:p w14:paraId="71737DE4">
            <w:pPr>
              <w:rPr>
                <w:rFonts w:ascii="Arial"/>
                <w:color w:val="auto"/>
                <w:sz w:val="21"/>
                <w:highlight w:val="none"/>
              </w:rPr>
            </w:pPr>
          </w:p>
        </w:tc>
      </w:tr>
      <w:tr w14:paraId="1D69A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4E162F03">
            <w:pPr>
              <w:rPr>
                <w:rFonts w:ascii="Arial"/>
                <w:color w:val="auto"/>
                <w:sz w:val="21"/>
                <w:highlight w:val="none"/>
              </w:rPr>
            </w:pPr>
          </w:p>
        </w:tc>
        <w:tc>
          <w:tcPr>
            <w:tcW w:w="1417" w:type="dxa"/>
            <w:vAlign w:val="top"/>
          </w:tcPr>
          <w:p w14:paraId="14416C91">
            <w:pPr>
              <w:rPr>
                <w:rFonts w:ascii="Arial"/>
                <w:color w:val="auto"/>
                <w:sz w:val="21"/>
                <w:highlight w:val="none"/>
              </w:rPr>
            </w:pPr>
          </w:p>
        </w:tc>
        <w:tc>
          <w:tcPr>
            <w:tcW w:w="850" w:type="dxa"/>
            <w:vAlign w:val="top"/>
          </w:tcPr>
          <w:p w14:paraId="32EB795C">
            <w:pPr>
              <w:rPr>
                <w:rFonts w:ascii="Arial"/>
                <w:color w:val="auto"/>
                <w:sz w:val="21"/>
                <w:highlight w:val="none"/>
              </w:rPr>
            </w:pPr>
          </w:p>
        </w:tc>
        <w:tc>
          <w:tcPr>
            <w:tcW w:w="1057" w:type="dxa"/>
            <w:vAlign w:val="top"/>
          </w:tcPr>
          <w:p w14:paraId="05EE2998">
            <w:pPr>
              <w:rPr>
                <w:rFonts w:ascii="Arial"/>
                <w:color w:val="auto"/>
                <w:sz w:val="21"/>
                <w:highlight w:val="none"/>
              </w:rPr>
            </w:pPr>
          </w:p>
        </w:tc>
        <w:tc>
          <w:tcPr>
            <w:tcW w:w="880" w:type="dxa"/>
            <w:vAlign w:val="top"/>
          </w:tcPr>
          <w:p w14:paraId="5035EBB0">
            <w:pPr>
              <w:rPr>
                <w:rFonts w:ascii="Arial"/>
                <w:color w:val="auto"/>
                <w:sz w:val="21"/>
                <w:highlight w:val="none"/>
              </w:rPr>
            </w:pPr>
          </w:p>
        </w:tc>
        <w:tc>
          <w:tcPr>
            <w:tcW w:w="1019" w:type="dxa"/>
            <w:vAlign w:val="top"/>
          </w:tcPr>
          <w:p w14:paraId="66AA5A7D">
            <w:pPr>
              <w:rPr>
                <w:rFonts w:ascii="Arial"/>
                <w:color w:val="auto"/>
                <w:sz w:val="21"/>
                <w:highlight w:val="none"/>
              </w:rPr>
            </w:pPr>
          </w:p>
        </w:tc>
        <w:tc>
          <w:tcPr>
            <w:tcW w:w="1479" w:type="dxa"/>
            <w:vAlign w:val="top"/>
          </w:tcPr>
          <w:p w14:paraId="5C2D55CE">
            <w:pPr>
              <w:rPr>
                <w:rFonts w:ascii="Arial"/>
                <w:color w:val="auto"/>
                <w:sz w:val="21"/>
                <w:highlight w:val="none"/>
              </w:rPr>
            </w:pPr>
          </w:p>
        </w:tc>
        <w:tc>
          <w:tcPr>
            <w:tcW w:w="1020" w:type="dxa"/>
            <w:vAlign w:val="top"/>
          </w:tcPr>
          <w:p w14:paraId="37083FCA">
            <w:pPr>
              <w:rPr>
                <w:rFonts w:ascii="Arial"/>
                <w:color w:val="auto"/>
                <w:sz w:val="21"/>
                <w:highlight w:val="none"/>
              </w:rPr>
            </w:pPr>
          </w:p>
        </w:tc>
        <w:tc>
          <w:tcPr>
            <w:tcW w:w="925" w:type="dxa"/>
            <w:vAlign w:val="top"/>
          </w:tcPr>
          <w:p w14:paraId="78E4A152">
            <w:pPr>
              <w:rPr>
                <w:rFonts w:ascii="Arial"/>
                <w:color w:val="auto"/>
                <w:sz w:val="21"/>
                <w:highlight w:val="none"/>
              </w:rPr>
            </w:pPr>
          </w:p>
        </w:tc>
      </w:tr>
      <w:tr w14:paraId="518E2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176CB793">
            <w:pPr>
              <w:rPr>
                <w:rFonts w:ascii="Arial"/>
                <w:color w:val="auto"/>
                <w:sz w:val="21"/>
                <w:highlight w:val="none"/>
              </w:rPr>
            </w:pPr>
          </w:p>
        </w:tc>
        <w:tc>
          <w:tcPr>
            <w:tcW w:w="1417" w:type="dxa"/>
            <w:vAlign w:val="top"/>
          </w:tcPr>
          <w:p w14:paraId="23FD96AF">
            <w:pPr>
              <w:rPr>
                <w:rFonts w:ascii="Arial"/>
                <w:color w:val="auto"/>
                <w:sz w:val="21"/>
                <w:highlight w:val="none"/>
              </w:rPr>
            </w:pPr>
          </w:p>
        </w:tc>
        <w:tc>
          <w:tcPr>
            <w:tcW w:w="850" w:type="dxa"/>
            <w:vAlign w:val="top"/>
          </w:tcPr>
          <w:p w14:paraId="248D9864">
            <w:pPr>
              <w:rPr>
                <w:rFonts w:ascii="Arial"/>
                <w:color w:val="auto"/>
                <w:sz w:val="21"/>
                <w:highlight w:val="none"/>
              </w:rPr>
            </w:pPr>
          </w:p>
        </w:tc>
        <w:tc>
          <w:tcPr>
            <w:tcW w:w="1057" w:type="dxa"/>
            <w:vAlign w:val="top"/>
          </w:tcPr>
          <w:p w14:paraId="40C82187">
            <w:pPr>
              <w:rPr>
                <w:rFonts w:ascii="Arial"/>
                <w:color w:val="auto"/>
                <w:sz w:val="21"/>
                <w:highlight w:val="none"/>
              </w:rPr>
            </w:pPr>
          </w:p>
        </w:tc>
        <w:tc>
          <w:tcPr>
            <w:tcW w:w="880" w:type="dxa"/>
            <w:vAlign w:val="top"/>
          </w:tcPr>
          <w:p w14:paraId="147BC1BF">
            <w:pPr>
              <w:rPr>
                <w:rFonts w:ascii="Arial"/>
                <w:color w:val="auto"/>
                <w:sz w:val="21"/>
                <w:highlight w:val="none"/>
              </w:rPr>
            </w:pPr>
          </w:p>
        </w:tc>
        <w:tc>
          <w:tcPr>
            <w:tcW w:w="1019" w:type="dxa"/>
            <w:vAlign w:val="top"/>
          </w:tcPr>
          <w:p w14:paraId="2CAD8A36">
            <w:pPr>
              <w:rPr>
                <w:rFonts w:ascii="Arial"/>
                <w:color w:val="auto"/>
                <w:sz w:val="21"/>
                <w:highlight w:val="none"/>
              </w:rPr>
            </w:pPr>
          </w:p>
        </w:tc>
        <w:tc>
          <w:tcPr>
            <w:tcW w:w="1479" w:type="dxa"/>
            <w:vAlign w:val="top"/>
          </w:tcPr>
          <w:p w14:paraId="0B05BF6A">
            <w:pPr>
              <w:rPr>
                <w:rFonts w:ascii="Arial"/>
                <w:color w:val="auto"/>
                <w:sz w:val="21"/>
                <w:highlight w:val="none"/>
              </w:rPr>
            </w:pPr>
          </w:p>
        </w:tc>
        <w:tc>
          <w:tcPr>
            <w:tcW w:w="1020" w:type="dxa"/>
            <w:vAlign w:val="top"/>
          </w:tcPr>
          <w:p w14:paraId="5136C928">
            <w:pPr>
              <w:rPr>
                <w:rFonts w:ascii="Arial"/>
                <w:color w:val="auto"/>
                <w:sz w:val="21"/>
                <w:highlight w:val="none"/>
              </w:rPr>
            </w:pPr>
          </w:p>
        </w:tc>
        <w:tc>
          <w:tcPr>
            <w:tcW w:w="925" w:type="dxa"/>
            <w:vAlign w:val="top"/>
          </w:tcPr>
          <w:p w14:paraId="1D8BF50B">
            <w:pPr>
              <w:rPr>
                <w:rFonts w:ascii="Arial"/>
                <w:color w:val="auto"/>
                <w:sz w:val="21"/>
                <w:highlight w:val="none"/>
              </w:rPr>
            </w:pPr>
          </w:p>
        </w:tc>
      </w:tr>
      <w:tr w14:paraId="67302D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5F9974F8">
            <w:pPr>
              <w:rPr>
                <w:rFonts w:ascii="Arial"/>
                <w:color w:val="auto"/>
                <w:sz w:val="21"/>
                <w:highlight w:val="none"/>
              </w:rPr>
            </w:pPr>
          </w:p>
        </w:tc>
        <w:tc>
          <w:tcPr>
            <w:tcW w:w="1417" w:type="dxa"/>
            <w:vAlign w:val="top"/>
          </w:tcPr>
          <w:p w14:paraId="79F072A4">
            <w:pPr>
              <w:rPr>
                <w:rFonts w:ascii="Arial"/>
                <w:color w:val="auto"/>
                <w:sz w:val="21"/>
                <w:highlight w:val="none"/>
              </w:rPr>
            </w:pPr>
          </w:p>
        </w:tc>
        <w:tc>
          <w:tcPr>
            <w:tcW w:w="850" w:type="dxa"/>
            <w:vAlign w:val="top"/>
          </w:tcPr>
          <w:p w14:paraId="2DFBF71E">
            <w:pPr>
              <w:rPr>
                <w:rFonts w:ascii="Arial"/>
                <w:color w:val="auto"/>
                <w:sz w:val="21"/>
                <w:highlight w:val="none"/>
              </w:rPr>
            </w:pPr>
          </w:p>
        </w:tc>
        <w:tc>
          <w:tcPr>
            <w:tcW w:w="1057" w:type="dxa"/>
            <w:vAlign w:val="top"/>
          </w:tcPr>
          <w:p w14:paraId="63D7DA83">
            <w:pPr>
              <w:rPr>
                <w:rFonts w:ascii="Arial"/>
                <w:color w:val="auto"/>
                <w:sz w:val="21"/>
                <w:highlight w:val="none"/>
              </w:rPr>
            </w:pPr>
          </w:p>
        </w:tc>
        <w:tc>
          <w:tcPr>
            <w:tcW w:w="880" w:type="dxa"/>
            <w:vAlign w:val="top"/>
          </w:tcPr>
          <w:p w14:paraId="4B6133B3">
            <w:pPr>
              <w:rPr>
                <w:rFonts w:ascii="Arial"/>
                <w:color w:val="auto"/>
                <w:sz w:val="21"/>
                <w:highlight w:val="none"/>
              </w:rPr>
            </w:pPr>
          </w:p>
        </w:tc>
        <w:tc>
          <w:tcPr>
            <w:tcW w:w="1019" w:type="dxa"/>
            <w:vAlign w:val="top"/>
          </w:tcPr>
          <w:p w14:paraId="54370181">
            <w:pPr>
              <w:rPr>
                <w:rFonts w:ascii="Arial"/>
                <w:color w:val="auto"/>
                <w:sz w:val="21"/>
                <w:highlight w:val="none"/>
              </w:rPr>
            </w:pPr>
          </w:p>
        </w:tc>
        <w:tc>
          <w:tcPr>
            <w:tcW w:w="1479" w:type="dxa"/>
            <w:vAlign w:val="top"/>
          </w:tcPr>
          <w:p w14:paraId="3C4D96AA">
            <w:pPr>
              <w:rPr>
                <w:rFonts w:ascii="Arial"/>
                <w:color w:val="auto"/>
                <w:sz w:val="21"/>
                <w:highlight w:val="none"/>
              </w:rPr>
            </w:pPr>
          </w:p>
        </w:tc>
        <w:tc>
          <w:tcPr>
            <w:tcW w:w="1020" w:type="dxa"/>
            <w:vAlign w:val="top"/>
          </w:tcPr>
          <w:p w14:paraId="1D706CEA">
            <w:pPr>
              <w:rPr>
                <w:rFonts w:ascii="Arial"/>
                <w:color w:val="auto"/>
                <w:sz w:val="21"/>
                <w:highlight w:val="none"/>
              </w:rPr>
            </w:pPr>
          </w:p>
        </w:tc>
        <w:tc>
          <w:tcPr>
            <w:tcW w:w="925" w:type="dxa"/>
            <w:vAlign w:val="top"/>
          </w:tcPr>
          <w:p w14:paraId="5029D79A">
            <w:pPr>
              <w:rPr>
                <w:rFonts w:ascii="Arial"/>
                <w:color w:val="auto"/>
                <w:sz w:val="21"/>
                <w:highlight w:val="none"/>
              </w:rPr>
            </w:pPr>
          </w:p>
        </w:tc>
      </w:tr>
      <w:tr w14:paraId="1C0DE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259B1AA3">
            <w:pPr>
              <w:rPr>
                <w:rFonts w:ascii="Arial"/>
                <w:color w:val="auto"/>
                <w:sz w:val="21"/>
                <w:highlight w:val="none"/>
              </w:rPr>
            </w:pPr>
          </w:p>
        </w:tc>
        <w:tc>
          <w:tcPr>
            <w:tcW w:w="1417" w:type="dxa"/>
            <w:vAlign w:val="top"/>
          </w:tcPr>
          <w:p w14:paraId="77268344">
            <w:pPr>
              <w:rPr>
                <w:rFonts w:ascii="Arial"/>
                <w:color w:val="auto"/>
                <w:sz w:val="21"/>
                <w:highlight w:val="none"/>
              </w:rPr>
            </w:pPr>
          </w:p>
        </w:tc>
        <w:tc>
          <w:tcPr>
            <w:tcW w:w="850" w:type="dxa"/>
            <w:vAlign w:val="top"/>
          </w:tcPr>
          <w:p w14:paraId="386AABFC">
            <w:pPr>
              <w:rPr>
                <w:rFonts w:ascii="Arial"/>
                <w:color w:val="auto"/>
                <w:sz w:val="21"/>
                <w:highlight w:val="none"/>
              </w:rPr>
            </w:pPr>
          </w:p>
        </w:tc>
        <w:tc>
          <w:tcPr>
            <w:tcW w:w="1057" w:type="dxa"/>
            <w:vAlign w:val="top"/>
          </w:tcPr>
          <w:p w14:paraId="560FE611">
            <w:pPr>
              <w:rPr>
                <w:rFonts w:ascii="Arial"/>
                <w:color w:val="auto"/>
                <w:sz w:val="21"/>
                <w:highlight w:val="none"/>
              </w:rPr>
            </w:pPr>
          </w:p>
        </w:tc>
        <w:tc>
          <w:tcPr>
            <w:tcW w:w="880" w:type="dxa"/>
            <w:vAlign w:val="top"/>
          </w:tcPr>
          <w:p w14:paraId="3016AD64">
            <w:pPr>
              <w:rPr>
                <w:rFonts w:ascii="Arial"/>
                <w:color w:val="auto"/>
                <w:sz w:val="21"/>
                <w:highlight w:val="none"/>
              </w:rPr>
            </w:pPr>
          </w:p>
        </w:tc>
        <w:tc>
          <w:tcPr>
            <w:tcW w:w="1019" w:type="dxa"/>
            <w:vAlign w:val="top"/>
          </w:tcPr>
          <w:p w14:paraId="552F530C">
            <w:pPr>
              <w:rPr>
                <w:rFonts w:ascii="Arial"/>
                <w:color w:val="auto"/>
                <w:sz w:val="21"/>
                <w:highlight w:val="none"/>
              </w:rPr>
            </w:pPr>
          </w:p>
        </w:tc>
        <w:tc>
          <w:tcPr>
            <w:tcW w:w="1479" w:type="dxa"/>
            <w:vAlign w:val="top"/>
          </w:tcPr>
          <w:p w14:paraId="7F6D266E">
            <w:pPr>
              <w:rPr>
                <w:rFonts w:ascii="Arial"/>
                <w:color w:val="auto"/>
                <w:sz w:val="21"/>
                <w:highlight w:val="none"/>
              </w:rPr>
            </w:pPr>
          </w:p>
        </w:tc>
        <w:tc>
          <w:tcPr>
            <w:tcW w:w="1020" w:type="dxa"/>
            <w:vAlign w:val="top"/>
          </w:tcPr>
          <w:p w14:paraId="69F00AEC">
            <w:pPr>
              <w:rPr>
                <w:rFonts w:ascii="Arial"/>
                <w:color w:val="auto"/>
                <w:sz w:val="21"/>
                <w:highlight w:val="none"/>
              </w:rPr>
            </w:pPr>
          </w:p>
        </w:tc>
        <w:tc>
          <w:tcPr>
            <w:tcW w:w="925" w:type="dxa"/>
            <w:vAlign w:val="top"/>
          </w:tcPr>
          <w:p w14:paraId="542D90A1">
            <w:pPr>
              <w:rPr>
                <w:rFonts w:ascii="Arial"/>
                <w:color w:val="auto"/>
                <w:sz w:val="21"/>
                <w:highlight w:val="none"/>
              </w:rPr>
            </w:pPr>
          </w:p>
        </w:tc>
      </w:tr>
      <w:tr w14:paraId="377CA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4CC5A724">
            <w:pPr>
              <w:rPr>
                <w:rFonts w:ascii="Arial"/>
                <w:color w:val="auto"/>
                <w:sz w:val="21"/>
                <w:highlight w:val="none"/>
              </w:rPr>
            </w:pPr>
          </w:p>
        </w:tc>
        <w:tc>
          <w:tcPr>
            <w:tcW w:w="1417" w:type="dxa"/>
            <w:vAlign w:val="top"/>
          </w:tcPr>
          <w:p w14:paraId="236234EE">
            <w:pPr>
              <w:rPr>
                <w:rFonts w:ascii="Arial"/>
                <w:color w:val="auto"/>
                <w:sz w:val="21"/>
                <w:highlight w:val="none"/>
              </w:rPr>
            </w:pPr>
          </w:p>
        </w:tc>
        <w:tc>
          <w:tcPr>
            <w:tcW w:w="850" w:type="dxa"/>
            <w:vAlign w:val="top"/>
          </w:tcPr>
          <w:p w14:paraId="07EBB1CA">
            <w:pPr>
              <w:rPr>
                <w:rFonts w:ascii="Arial"/>
                <w:color w:val="auto"/>
                <w:sz w:val="21"/>
                <w:highlight w:val="none"/>
              </w:rPr>
            </w:pPr>
          </w:p>
        </w:tc>
        <w:tc>
          <w:tcPr>
            <w:tcW w:w="1057" w:type="dxa"/>
            <w:vAlign w:val="top"/>
          </w:tcPr>
          <w:p w14:paraId="6933DA1E">
            <w:pPr>
              <w:rPr>
                <w:rFonts w:ascii="Arial"/>
                <w:color w:val="auto"/>
                <w:sz w:val="21"/>
                <w:highlight w:val="none"/>
              </w:rPr>
            </w:pPr>
          </w:p>
        </w:tc>
        <w:tc>
          <w:tcPr>
            <w:tcW w:w="880" w:type="dxa"/>
            <w:vAlign w:val="top"/>
          </w:tcPr>
          <w:p w14:paraId="069AF8B5">
            <w:pPr>
              <w:rPr>
                <w:rFonts w:ascii="Arial"/>
                <w:color w:val="auto"/>
                <w:sz w:val="21"/>
                <w:highlight w:val="none"/>
              </w:rPr>
            </w:pPr>
          </w:p>
        </w:tc>
        <w:tc>
          <w:tcPr>
            <w:tcW w:w="1019" w:type="dxa"/>
            <w:vAlign w:val="top"/>
          </w:tcPr>
          <w:p w14:paraId="3BAA482C">
            <w:pPr>
              <w:rPr>
                <w:rFonts w:ascii="Arial"/>
                <w:color w:val="auto"/>
                <w:sz w:val="21"/>
                <w:highlight w:val="none"/>
              </w:rPr>
            </w:pPr>
          </w:p>
        </w:tc>
        <w:tc>
          <w:tcPr>
            <w:tcW w:w="1479" w:type="dxa"/>
            <w:vAlign w:val="top"/>
          </w:tcPr>
          <w:p w14:paraId="5A57F667">
            <w:pPr>
              <w:rPr>
                <w:rFonts w:ascii="Arial"/>
                <w:color w:val="auto"/>
                <w:sz w:val="21"/>
                <w:highlight w:val="none"/>
              </w:rPr>
            </w:pPr>
          </w:p>
        </w:tc>
        <w:tc>
          <w:tcPr>
            <w:tcW w:w="1020" w:type="dxa"/>
            <w:vAlign w:val="top"/>
          </w:tcPr>
          <w:p w14:paraId="0C1670CC">
            <w:pPr>
              <w:rPr>
                <w:rFonts w:ascii="Arial"/>
                <w:color w:val="auto"/>
                <w:sz w:val="21"/>
                <w:highlight w:val="none"/>
              </w:rPr>
            </w:pPr>
          </w:p>
        </w:tc>
        <w:tc>
          <w:tcPr>
            <w:tcW w:w="925" w:type="dxa"/>
            <w:vAlign w:val="top"/>
          </w:tcPr>
          <w:p w14:paraId="58AF1F26">
            <w:pPr>
              <w:rPr>
                <w:rFonts w:ascii="Arial"/>
                <w:color w:val="auto"/>
                <w:sz w:val="21"/>
                <w:highlight w:val="none"/>
              </w:rPr>
            </w:pPr>
          </w:p>
        </w:tc>
      </w:tr>
      <w:tr w14:paraId="6B7D4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4C098D30">
            <w:pPr>
              <w:rPr>
                <w:rFonts w:ascii="Arial"/>
                <w:color w:val="auto"/>
                <w:sz w:val="21"/>
                <w:highlight w:val="none"/>
              </w:rPr>
            </w:pPr>
          </w:p>
        </w:tc>
        <w:tc>
          <w:tcPr>
            <w:tcW w:w="1417" w:type="dxa"/>
            <w:vAlign w:val="top"/>
          </w:tcPr>
          <w:p w14:paraId="03AD78DF">
            <w:pPr>
              <w:rPr>
                <w:rFonts w:ascii="Arial"/>
                <w:color w:val="auto"/>
                <w:sz w:val="21"/>
                <w:highlight w:val="none"/>
              </w:rPr>
            </w:pPr>
          </w:p>
        </w:tc>
        <w:tc>
          <w:tcPr>
            <w:tcW w:w="850" w:type="dxa"/>
            <w:vAlign w:val="top"/>
          </w:tcPr>
          <w:p w14:paraId="0E85601A">
            <w:pPr>
              <w:rPr>
                <w:rFonts w:ascii="Arial"/>
                <w:color w:val="auto"/>
                <w:sz w:val="21"/>
                <w:highlight w:val="none"/>
              </w:rPr>
            </w:pPr>
          </w:p>
        </w:tc>
        <w:tc>
          <w:tcPr>
            <w:tcW w:w="1057" w:type="dxa"/>
            <w:vAlign w:val="top"/>
          </w:tcPr>
          <w:p w14:paraId="28B854F8">
            <w:pPr>
              <w:rPr>
                <w:rFonts w:ascii="Arial"/>
                <w:color w:val="auto"/>
                <w:sz w:val="21"/>
                <w:highlight w:val="none"/>
              </w:rPr>
            </w:pPr>
          </w:p>
        </w:tc>
        <w:tc>
          <w:tcPr>
            <w:tcW w:w="880" w:type="dxa"/>
            <w:vAlign w:val="top"/>
          </w:tcPr>
          <w:p w14:paraId="4B472F27">
            <w:pPr>
              <w:rPr>
                <w:rFonts w:ascii="Arial"/>
                <w:color w:val="auto"/>
                <w:sz w:val="21"/>
                <w:highlight w:val="none"/>
              </w:rPr>
            </w:pPr>
          </w:p>
        </w:tc>
        <w:tc>
          <w:tcPr>
            <w:tcW w:w="1019" w:type="dxa"/>
            <w:vAlign w:val="top"/>
          </w:tcPr>
          <w:p w14:paraId="6E28142F">
            <w:pPr>
              <w:rPr>
                <w:rFonts w:ascii="Arial"/>
                <w:color w:val="auto"/>
                <w:sz w:val="21"/>
                <w:highlight w:val="none"/>
              </w:rPr>
            </w:pPr>
          </w:p>
        </w:tc>
        <w:tc>
          <w:tcPr>
            <w:tcW w:w="1479" w:type="dxa"/>
            <w:vAlign w:val="top"/>
          </w:tcPr>
          <w:p w14:paraId="0AC79427">
            <w:pPr>
              <w:rPr>
                <w:rFonts w:ascii="Arial"/>
                <w:color w:val="auto"/>
                <w:sz w:val="21"/>
                <w:highlight w:val="none"/>
              </w:rPr>
            </w:pPr>
          </w:p>
        </w:tc>
        <w:tc>
          <w:tcPr>
            <w:tcW w:w="1020" w:type="dxa"/>
            <w:vAlign w:val="top"/>
          </w:tcPr>
          <w:p w14:paraId="6F68B456">
            <w:pPr>
              <w:rPr>
                <w:rFonts w:ascii="Arial"/>
                <w:color w:val="auto"/>
                <w:sz w:val="21"/>
                <w:highlight w:val="none"/>
              </w:rPr>
            </w:pPr>
          </w:p>
        </w:tc>
        <w:tc>
          <w:tcPr>
            <w:tcW w:w="925" w:type="dxa"/>
            <w:vAlign w:val="top"/>
          </w:tcPr>
          <w:p w14:paraId="23296B30">
            <w:pPr>
              <w:rPr>
                <w:rFonts w:ascii="Arial"/>
                <w:color w:val="auto"/>
                <w:sz w:val="21"/>
                <w:highlight w:val="none"/>
              </w:rPr>
            </w:pPr>
          </w:p>
        </w:tc>
      </w:tr>
      <w:tr w14:paraId="74A18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19117E8C">
            <w:pPr>
              <w:rPr>
                <w:rFonts w:ascii="Arial"/>
                <w:color w:val="auto"/>
                <w:sz w:val="21"/>
                <w:highlight w:val="none"/>
              </w:rPr>
            </w:pPr>
          </w:p>
        </w:tc>
        <w:tc>
          <w:tcPr>
            <w:tcW w:w="1417" w:type="dxa"/>
            <w:vAlign w:val="top"/>
          </w:tcPr>
          <w:p w14:paraId="617E761E">
            <w:pPr>
              <w:rPr>
                <w:rFonts w:ascii="Arial"/>
                <w:color w:val="auto"/>
                <w:sz w:val="21"/>
                <w:highlight w:val="none"/>
              </w:rPr>
            </w:pPr>
          </w:p>
        </w:tc>
        <w:tc>
          <w:tcPr>
            <w:tcW w:w="850" w:type="dxa"/>
            <w:vAlign w:val="top"/>
          </w:tcPr>
          <w:p w14:paraId="1C53F538">
            <w:pPr>
              <w:rPr>
                <w:rFonts w:ascii="Arial"/>
                <w:color w:val="auto"/>
                <w:sz w:val="21"/>
                <w:highlight w:val="none"/>
              </w:rPr>
            </w:pPr>
          </w:p>
        </w:tc>
        <w:tc>
          <w:tcPr>
            <w:tcW w:w="1057" w:type="dxa"/>
            <w:vAlign w:val="top"/>
          </w:tcPr>
          <w:p w14:paraId="3121272D">
            <w:pPr>
              <w:rPr>
                <w:rFonts w:ascii="Arial"/>
                <w:color w:val="auto"/>
                <w:sz w:val="21"/>
                <w:highlight w:val="none"/>
              </w:rPr>
            </w:pPr>
          </w:p>
        </w:tc>
        <w:tc>
          <w:tcPr>
            <w:tcW w:w="880" w:type="dxa"/>
            <w:vAlign w:val="top"/>
          </w:tcPr>
          <w:p w14:paraId="38DA3BB7">
            <w:pPr>
              <w:rPr>
                <w:rFonts w:ascii="Arial"/>
                <w:color w:val="auto"/>
                <w:sz w:val="21"/>
                <w:highlight w:val="none"/>
              </w:rPr>
            </w:pPr>
          </w:p>
        </w:tc>
        <w:tc>
          <w:tcPr>
            <w:tcW w:w="1019" w:type="dxa"/>
            <w:vAlign w:val="top"/>
          </w:tcPr>
          <w:p w14:paraId="44E475CE">
            <w:pPr>
              <w:rPr>
                <w:rFonts w:ascii="Arial"/>
                <w:color w:val="auto"/>
                <w:sz w:val="21"/>
                <w:highlight w:val="none"/>
              </w:rPr>
            </w:pPr>
          </w:p>
        </w:tc>
        <w:tc>
          <w:tcPr>
            <w:tcW w:w="1479" w:type="dxa"/>
            <w:vAlign w:val="top"/>
          </w:tcPr>
          <w:p w14:paraId="4485509A">
            <w:pPr>
              <w:rPr>
                <w:rFonts w:ascii="Arial"/>
                <w:color w:val="auto"/>
                <w:sz w:val="21"/>
                <w:highlight w:val="none"/>
              </w:rPr>
            </w:pPr>
          </w:p>
        </w:tc>
        <w:tc>
          <w:tcPr>
            <w:tcW w:w="1020" w:type="dxa"/>
            <w:vAlign w:val="top"/>
          </w:tcPr>
          <w:p w14:paraId="3FFD506F">
            <w:pPr>
              <w:rPr>
                <w:rFonts w:ascii="Arial"/>
                <w:color w:val="auto"/>
                <w:sz w:val="21"/>
                <w:highlight w:val="none"/>
              </w:rPr>
            </w:pPr>
          </w:p>
        </w:tc>
        <w:tc>
          <w:tcPr>
            <w:tcW w:w="925" w:type="dxa"/>
            <w:vAlign w:val="top"/>
          </w:tcPr>
          <w:p w14:paraId="21011434">
            <w:pPr>
              <w:rPr>
                <w:rFonts w:ascii="Arial"/>
                <w:color w:val="auto"/>
                <w:sz w:val="21"/>
                <w:highlight w:val="none"/>
              </w:rPr>
            </w:pPr>
          </w:p>
        </w:tc>
      </w:tr>
      <w:tr w14:paraId="6D08B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66" w:type="dxa"/>
            <w:vAlign w:val="top"/>
          </w:tcPr>
          <w:p w14:paraId="0B78FE08">
            <w:pPr>
              <w:rPr>
                <w:rFonts w:ascii="Arial"/>
                <w:color w:val="auto"/>
                <w:sz w:val="21"/>
                <w:highlight w:val="none"/>
              </w:rPr>
            </w:pPr>
          </w:p>
        </w:tc>
        <w:tc>
          <w:tcPr>
            <w:tcW w:w="1417" w:type="dxa"/>
            <w:vAlign w:val="top"/>
          </w:tcPr>
          <w:p w14:paraId="16E99C33">
            <w:pPr>
              <w:rPr>
                <w:rFonts w:ascii="Arial"/>
                <w:color w:val="auto"/>
                <w:sz w:val="21"/>
                <w:highlight w:val="none"/>
              </w:rPr>
            </w:pPr>
          </w:p>
        </w:tc>
        <w:tc>
          <w:tcPr>
            <w:tcW w:w="850" w:type="dxa"/>
            <w:vAlign w:val="top"/>
          </w:tcPr>
          <w:p w14:paraId="04C8AD9D">
            <w:pPr>
              <w:rPr>
                <w:rFonts w:ascii="Arial"/>
                <w:color w:val="auto"/>
                <w:sz w:val="21"/>
                <w:highlight w:val="none"/>
              </w:rPr>
            </w:pPr>
          </w:p>
        </w:tc>
        <w:tc>
          <w:tcPr>
            <w:tcW w:w="1057" w:type="dxa"/>
            <w:vAlign w:val="top"/>
          </w:tcPr>
          <w:p w14:paraId="45284B9C">
            <w:pPr>
              <w:rPr>
                <w:rFonts w:ascii="Arial"/>
                <w:color w:val="auto"/>
                <w:sz w:val="21"/>
                <w:highlight w:val="none"/>
              </w:rPr>
            </w:pPr>
          </w:p>
        </w:tc>
        <w:tc>
          <w:tcPr>
            <w:tcW w:w="880" w:type="dxa"/>
            <w:vAlign w:val="top"/>
          </w:tcPr>
          <w:p w14:paraId="6EC164A3">
            <w:pPr>
              <w:rPr>
                <w:rFonts w:ascii="Arial"/>
                <w:color w:val="auto"/>
                <w:sz w:val="21"/>
                <w:highlight w:val="none"/>
              </w:rPr>
            </w:pPr>
          </w:p>
        </w:tc>
        <w:tc>
          <w:tcPr>
            <w:tcW w:w="1019" w:type="dxa"/>
            <w:vAlign w:val="top"/>
          </w:tcPr>
          <w:p w14:paraId="35A3B7E5">
            <w:pPr>
              <w:rPr>
                <w:rFonts w:ascii="Arial"/>
                <w:color w:val="auto"/>
                <w:sz w:val="21"/>
                <w:highlight w:val="none"/>
              </w:rPr>
            </w:pPr>
          </w:p>
        </w:tc>
        <w:tc>
          <w:tcPr>
            <w:tcW w:w="1479" w:type="dxa"/>
            <w:vAlign w:val="top"/>
          </w:tcPr>
          <w:p w14:paraId="0BF4C2B6">
            <w:pPr>
              <w:rPr>
                <w:rFonts w:ascii="Arial"/>
                <w:color w:val="auto"/>
                <w:sz w:val="21"/>
                <w:highlight w:val="none"/>
              </w:rPr>
            </w:pPr>
          </w:p>
        </w:tc>
        <w:tc>
          <w:tcPr>
            <w:tcW w:w="1020" w:type="dxa"/>
            <w:vAlign w:val="top"/>
          </w:tcPr>
          <w:p w14:paraId="63B8AC10">
            <w:pPr>
              <w:rPr>
                <w:rFonts w:ascii="Arial"/>
                <w:color w:val="auto"/>
                <w:sz w:val="21"/>
                <w:highlight w:val="none"/>
              </w:rPr>
            </w:pPr>
          </w:p>
        </w:tc>
        <w:tc>
          <w:tcPr>
            <w:tcW w:w="925" w:type="dxa"/>
            <w:vAlign w:val="top"/>
          </w:tcPr>
          <w:p w14:paraId="218C9FB8">
            <w:pPr>
              <w:rPr>
                <w:rFonts w:ascii="Arial"/>
                <w:color w:val="auto"/>
                <w:sz w:val="21"/>
                <w:highlight w:val="none"/>
              </w:rPr>
            </w:pPr>
          </w:p>
        </w:tc>
      </w:tr>
      <w:tr w14:paraId="0E533F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66" w:type="dxa"/>
            <w:vAlign w:val="top"/>
          </w:tcPr>
          <w:p w14:paraId="061DD29B">
            <w:pPr>
              <w:rPr>
                <w:rFonts w:ascii="Arial"/>
                <w:color w:val="auto"/>
                <w:sz w:val="21"/>
                <w:highlight w:val="none"/>
              </w:rPr>
            </w:pPr>
          </w:p>
        </w:tc>
        <w:tc>
          <w:tcPr>
            <w:tcW w:w="1417" w:type="dxa"/>
            <w:vAlign w:val="top"/>
          </w:tcPr>
          <w:p w14:paraId="5B0AA567">
            <w:pPr>
              <w:rPr>
                <w:rFonts w:ascii="Arial"/>
                <w:color w:val="auto"/>
                <w:sz w:val="21"/>
                <w:highlight w:val="none"/>
              </w:rPr>
            </w:pPr>
          </w:p>
        </w:tc>
        <w:tc>
          <w:tcPr>
            <w:tcW w:w="850" w:type="dxa"/>
            <w:vAlign w:val="top"/>
          </w:tcPr>
          <w:p w14:paraId="09015C6F">
            <w:pPr>
              <w:rPr>
                <w:rFonts w:ascii="Arial"/>
                <w:color w:val="auto"/>
                <w:sz w:val="21"/>
                <w:highlight w:val="none"/>
              </w:rPr>
            </w:pPr>
          </w:p>
        </w:tc>
        <w:tc>
          <w:tcPr>
            <w:tcW w:w="1057" w:type="dxa"/>
            <w:vAlign w:val="top"/>
          </w:tcPr>
          <w:p w14:paraId="5E35C02C">
            <w:pPr>
              <w:rPr>
                <w:rFonts w:ascii="Arial"/>
                <w:color w:val="auto"/>
                <w:sz w:val="21"/>
                <w:highlight w:val="none"/>
              </w:rPr>
            </w:pPr>
          </w:p>
        </w:tc>
        <w:tc>
          <w:tcPr>
            <w:tcW w:w="880" w:type="dxa"/>
            <w:vAlign w:val="top"/>
          </w:tcPr>
          <w:p w14:paraId="00E1B450">
            <w:pPr>
              <w:rPr>
                <w:rFonts w:ascii="Arial"/>
                <w:color w:val="auto"/>
                <w:sz w:val="21"/>
                <w:highlight w:val="none"/>
              </w:rPr>
            </w:pPr>
          </w:p>
        </w:tc>
        <w:tc>
          <w:tcPr>
            <w:tcW w:w="1019" w:type="dxa"/>
            <w:vAlign w:val="top"/>
          </w:tcPr>
          <w:p w14:paraId="7BACBF26">
            <w:pPr>
              <w:rPr>
                <w:rFonts w:ascii="Arial"/>
                <w:color w:val="auto"/>
                <w:sz w:val="21"/>
                <w:highlight w:val="none"/>
              </w:rPr>
            </w:pPr>
          </w:p>
        </w:tc>
        <w:tc>
          <w:tcPr>
            <w:tcW w:w="1479" w:type="dxa"/>
            <w:vAlign w:val="top"/>
          </w:tcPr>
          <w:p w14:paraId="03959FE7">
            <w:pPr>
              <w:rPr>
                <w:rFonts w:ascii="Arial"/>
                <w:color w:val="auto"/>
                <w:sz w:val="21"/>
                <w:highlight w:val="none"/>
              </w:rPr>
            </w:pPr>
          </w:p>
        </w:tc>
        <w:tc>
          <w:tcPr>
            <w:tcW w:w="1020" w:type="dxa"/>
            <w:vAlign w:val="top"/>
          </w:tcPr>
          <w:p w14:paraId="69F67BFC">
            <w:pPr>
              <w:rPr>
                <w:rFonts w:ascii="Arial"/>
                <w:color w:val="auto"/>
                <w:sz w:val="21"/>
                <w:highlight w:val="none"/>
              </w:rPr>
            </w:pPr>
          </w:p>
        </w:tc>
        <w:tc>
          <w:tcPr>
            <w:tcW w:w="925" w:type="dxa"/>
            <w:vAlign w:val="top"/>
          </w:tcPr>
          <w:p w14:paraId="411BB710">
            <w:pPr>
              <w:rPr>
                <w:rFonts w:ascii="Arial"/>
                <w:color w:val="auto"/>
                <w:sz w:val="21"/>
                <w:highlight w:val="none"/>
              </w:rPr>
            </w:pPr>
          </w:p>
        </w:tc>
      </w:tr>
      <w:tr w14:paraId="1FB199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66" w:type="dxa"/>
            <w:vAlign w:val="top"/>
          </w:tcPr>
          <w:p w14:paraId="6494F32C">
            <w:pPr>
              <w:rPr>
                <w:rFonts w:ascii="Arial"/>
                <w:color w:val="auto"/>
                <w:sz w:val="21"/>
                <w:highlight w:val="none"/>
              </w:rPr>
            </w:pPr>
          </w:p>
        </w:tc>
        <w:tc>
          <w:tcPr>
            <w:tcW w:w="1417" w:type="dxa"/>
            <w:vAlign w:val="top"/>
          </w:tcPr>
          <w:p w14:paraId="3DFB34E6">
            <w:pPr>
              <w:rPr>
                <w:rFonts w:ascii="Arial"/>
                <w:color w:val="auto"/>
                <w:sz w:val="21"/>
                <w:highlight w:val="none"/>
              </w:rPr>
            </w:pPr>
          </w:p>
        </w:tc>
        <w:tc>
          <w:tcPr>
            <w:tcW w:w="850" w:type="dxa"/>
            <w:vAlign w:val="top"/>
          </w:tcPr>
          <w:p w14:paraId="41121318">
            <w:pPr>
              <w:rPr>
                <w:rFonts w:ascii="Arial"/>
                <w:color w:val="auto"/>
                <w:sz w:val="21"/>
                <w:highlight w:val="none"/>
              </w:rPr>
            </w:pPr>
          </w:p>
        </w:tc>
        <w:tc>
          <w:tcPr>
            <w:tcW w:w="1057" w:type="dxa"/>
            <w:vAlign w:val="top"/>
          </w:tcPr>
          <w:p w14:paraId="6BEA5998">
            <w:pPr>
              <w:rPr>
                <w:rFonts w:ascii="Arial"/>
                <w:color w:val="auto"/>
                <w:sz w:val="21"/>
                <w:highlight w:val="none"/>
              </w:rPr>
            </w:pPr>
          </w:p>
        </w:tc>
        <w:tc>
          <w:tcPr>
            <w:tcW w:w="880" w:type="dxa"/>
            <w:vAlign w:val="top"/>
          </w:tcPr>
          <w:p w14:paraId="37CAA5B3">
            <w:pPr>
              <w:rPr>
                <w:rFonts w:ascii="Arial"/>
                <w:color w:val="auto"/>
                <w:sz w:val="21"/>
                <w:highlight w:val="none"/>
              </w:rPr>
            </w:pPr>
          </w:p>
        </w:tc>
        <w:tc>
          <w:tcPr>
            <w:tcW w:w="1019" w:type="dxa"/>
            <w:vAlign w:val="top"/>
          </w:tcPr>
          <w:p w14:paraId="379117EB">
            <w:pPr>
              <w:rPr>
                <w:rFonts w:ascii="Arial"/>
                <w:color w:val="auto"/>
                <w:sz w:val="21"/>
                <w:highlight w:val="none"/>
              </w:rPr>
            </w:pPr>
          </w:p>
        </w:tc>
        <w:tc>
          <w:tcPr>
            <w:tcW w:w="1479" w:type="dxa"/>
            <w:vAlign w:val="top"/>
          </w:tcPr>
          <w:p w14:paraId="184E09CE">
            <w:pPr>
              <w:rPr>
                <w:rFonts w:ascii="Arial"/>
                <w:color w:val="auto"/>
                <w:sz w:val="21"/>
                <w:highlight w:val="none"/>
              </w:rPr>
            </w:pPr>
          </w:p>
        </w:tc>
        <w:tc>
          <w:tcPr>
            <w:tcW w:w="1020" w:type="dxa"/>
            <w:vAlign w:val="top"/>
          </w:tcPr>
          <w:p w14:paraId="1C8625D4">
            <w:pPr>
              <w:rPr>
                <w:rFonts w:ascii="Arial"/>
                <w:color w:val="auto"/>
                <w:sz w:val="21"/>
                <w:highlight w:val="none"/>
              </w:rPr>
            </w:pPr>
          </w:p>
        </w:tc>
        <w:tc>
          <w:tcPr>
            <w:tcW w:w="925" w:type="dxa"/>
            <w:vAlign w:val="top"/>
          </w:tcPr>
          <w:p w14:paraId="327BB3BA">
            <w:pPr>
              <w:rPr>
                <w:rFonts w:ascii="Arial"/>
                <w:color w:val="auto"/>
                <w:sz w:val="21"/>
                <w:highlight w:val="none"/>
              </w:rPr>
            </w:pPr>
          </w:p>
        </w:tc>
      </w:tr>
    </w:tbl>
    <w:p w14:paraId="07902217">
      <w:pPr>
        <w:pStyle w:val="2"/>
        <w:rPr>
          <w:color w:val="auto"/>
          <w:highlight w:val="none"/>
        </w:rPr>
      </w:pPr>
    </w:p>
    <w:p w14:paraId="60C38B90">
      <w:pPr>
        <w:rPr>
          <w:color w:val="auto"/>
          <w:highlight w:val="none"/>
        </w:rPr>
        <w:sectPr>
          <w:footerReference r:id="rId59" w:type="default"/>
          <w:pgSz w:w="11907" w:h="16840"/>
          <w:pgMar w:top="1428" w:right="866" w:bottom="1014" w:left="1222" w:header="0" w:footer="852" w:gutter="0"/>
          <w:pgNumType w:fmt="decimal"/>
          <w:cols w:space="720" w:num="1"/>
        </w:sectPr>
      </w:pPr>
    </w:p>
    <w:p w14:paraId="221AACC3">
      <w:pPr>
        <w:spacing w:before="41" w:line="227" w:lineRule="auto"/>
        <w:ind w:left="36"/>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附件</w:t>
      </w:r>
      <w:r>
        <w:rPr>
          <w:rFonts w:ascii="宋体" w:hAnsi="宋体" w:eastAsia="宋体" w:cs="宋体"/>
          <w:color w:val="auto"/>
          <w:spacing w:val="-35"/>
          <w:sz w:val="20"/>
          <w:szCs w:val="20"/>
          <w:highlight w:val="none"/>
        </w:rPr>
        <w:t xml:space="preserve"> </w:t>
      </w:r>
      <w:r>
        <w:rPr>
          <w:rFonts w:hint="eastAsia" w:ascii="宋体" w:hAnsi="宋体" w:eastAsia="宋体" w:cs="宋体"/>
          <w:color w:val="auto"/>
          <w:spacing w:val="-4"/>
          <w:sz w:val="20"/>
          <w:szCs w:val="20"/>
          <w:highlight w:val="none"/>
          <w:lang w:val="en-US" w:eastAsia="zh-CN"/>
        </w:rPr>
        <w:t>8</w:t>
      </w:r>
      <w:r>
        <w:rPr>
          <w:rFonts w:ascii="宋体" w:hAnsi="宋体" w:eastAsia="宋体" w:cs="宋体"/>
          <w:color w:val="auto"/>
          <w:spacing w:val="-4"/>
          <w:sz w:val="20"/>
          <w:szCs w:val="20"/>
          <w:highlight w:val="none"/>
        </w:rPr>
        <w:t>：</w:t>
      </w:r>
    </w:p>
    <w:p w14:paraId="52B565CD">
      <w:pPr>
        <w:spacing w:before="214" w:line="228" w:lineRule="auto"/>
        <w:ind w:left="383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预付款担保</w:t>
      </w:r>
    </w:p>
    <w:p w14:paraId="29F68889">
      <w:pPr>
        <w:tabs>
          <w:tab w:val="left" w:pos="2110"/>
        </w:tabs>
        <w:spacing w:before="214" w:line="228" w:lineRule="auto"/>
        <w:ind w:left="10"/>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11"/>
          <w:sz w:val="20"/>
          <w:szCs w:val="20"/>
          <w:highlight w:val="none"/>
        </w:rPr>
        <w:t xml:space="preserve"> </w:t>
      </w:r>
      <w:r>
        <w:rPr>
          <w:rFonts w:ascii="宋体" w:hAnsi="宋体" w:eastAsia="宋体" w:cs="宋体"/>
          <w:color w:val="auto"/>
          <w:spacing w:val="8"/>
          <w:sz w:val="20"/>
          <w:szCs w:val="20"/>
          <w:highlight w:val="none"/>
        </w:rPr>
        <w:t>（发包人名称</w:t>
      </w:r>
      <w:r>
        <w:rPr>
          <w:rFonts w:ascii="宋体" w:hAnsi="宋体" w:eastAsia="宋体" w:cs="宋体"/>
          <w:color w:val="auto"/>
          <w:spacing w:val="1"/>
          <w:sz w:val="20"/>
          <w:szCs w:val="20"/>
          <w:highlight w:val="none"/>
        </w:rPr>
        <w:t>）：</w:t>
      </w:r>
    </w:p>
    <w:p w14:paraId="6E378AE3">
      <w:pPr>
        <w:spacing w:before="95" w:line="308" w:lineRule="auto"/>
        <w:ind w:left="18" w:firstLine="420"/>
        <w:jc w:val="both"/>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根据</w:t>
      </w:r>
      <w:r>
        <w:rPr>
          <w:rFonts w:ascii="宋体" w:hAnsi="宋体" w:eastAsia="宋体" w:cs="宋体"/>
          <w:color w:val="auto"/>
          <w:spacing w:val="-99"/>
          <w:sz w:val="20"/>
          <w:szCs w:val="20"/>
          <w:highlight w:val="none"/>
        </w:rPr>
        <w:t xml:space="preserve"> </w:t>
      </w:r>
      <w:r>
        <w:rPr>
          <w:rFonts w:ascii="宋体" w:hAnsi="宋体" w:eastAsia="宋体" w:cs="宋体"/>
          <w:color w:val="auto"/>
          <w:spacing w:val="-9"/>
          <w:sz w:val="20"/>
          <w:szCs w:val="20"/>
          <w:highlight w:val="none"/>
          <w:u w:val="single" w:color="auto"/>
        </w:rPr>
        <w:t xml:space="preserve">                   </w:t>
      </w:r>
      <w:r>
        <w:rPr>
          <w:rFonts w:ascii="宋体" w:hAnsi="宋体" w:eastAsia="宋体" w:cs="宋体"/>
          <w:color w:val="auto"/>
          <w:spacing w:val="-9"/>
          <w:sz w:val="20"/>
          <w:szCs w:val="20"/>
          <w:highlight w:val="none"/>
        </w:rPr>
        <w:t>（承包人名称</w:t>
      </w:r>
      <w:r>
        <w:rPr>
          <w:rFonts w:ascii="宋体" w:hAnsi="宋体" w:eastAsia="宋体" w:cs="宋体"/>
          <w:color w:val="auto"/>
          <w:spacing w:val="-40"/>
          <w:w w:val="70"/>
          <w:sz w:val="20"/>
          <w:szCs w:val="20"/>
          <w:highlight w:val="none"/>
        </w:rPr>
        <w:t>）（</w:t>
      </w:r>
      <w:r>
        <w:rPr>
          <w:rFonts w:ascii="宋体" w:hAnsi="宋体" w:eastAsia="宋体" w:cs="宋体"/>
          <w:color w:val="auto"/>
          <w:spacing w:val="-9"/>
          <w:sz w:val="20"/>
          <w:szCs w:val="20"/>
          <w:highlight w:val="none"/>
        </w:rPr>
        <w:t>以下称“承包人</w:t>
      </w:r>
      <w:r>
        <w:rPr>
          <w:rFonts w:ascii="宋体" w:hAnsi="宋体" w:eastAsia="宋体" w:cs="宋体"/>
          <w:color w:val="auto"/>
          <w:spacing w:val="-70"/>
          <w:sz w:val="20"/>
          <w:szCs w:val="20"/>
          <w:highlight w:val="none"/>
        </w:rPr>
        <w:t xml:space="preserve"> </w:t>
      </w:r>
      <w:r>
        <w:rPr>
          <w:rFonts w:ascii="宋体" w:hAnsi="宋体" w:eastAsia="宋体" w:cs="宋体"/>
          <w:color w:val="auto"/>
          <w:spacing w:val="-9"/>
          <w:sz w:val="20"/>
          <w:szCs w:val="20"/>
          <w:highlight w:val="none"/>
        </w:rPr>
        <w:t>”）与</w:t>
      </w:r>
      <w:r>
        <w:rPr>
          <w:rFonts w:ascii="宋体" w:hAnsi="宋体" w:eastAsia="宋体" w:cs="宋体"/>
          <w:color w:val="auto"/>
          <w:spacing w:val="-98"/>
          <w:sz w:val="20"/>
          <w:szCs w:val="20"/>
          <w:highlight w:val="none"/>
        </w:rPr>
        <w:t xml:space="preserve"> </w:t>
      </w:r>
      <w:r>
        <w:rPr>
          <w:rFonts w:ascii="宋体" w:hAnsi="宋体" w:eastAsia="宋体" w:cs="宋体"/>
          <w:color w:val="auto"/>
          <w:spacing w:val="-9"/>
          <w:sz w:val="20"/>
          <w:szCs w:val="20"/>
          <w:highlight w:val="none"/>
          <w:u w:val="single" w:color="auto"/>
        </w:rPr>
        <w:t xml:space="preserve">                           </w:t>
      </w:r>
      <w:r>
        <w:rPr>
          <w:rFonts w:ascii="宋体" w:hAnsi="宋体" w:eastAsia="宋体" w:cs="宋体"/>
          <w:color w:val="auto"/>
          <w:spacing w:val="-9"/>
          <w:sz w:val="20"/>
          <w:szCs w:val="20"/>
          <w:highlight w:val="none"/>
        </w:rPr>
        <w:t>（发</w:t>
      </w:r>
      <w:r>
        <w:rPr>
          <w:rFonts w:ascii="宋体" w:hAnsi="宋体" w:eastAsia="宋体" w:cs="宋体"/>
          <w:color w:val="auto"/>
          <w:spacing w:val="-6"/>
          <w:sz w:val="20"/>
          <w:szCs w:val="20"/>
          <w:highlight w:val="none"/>
        </w:rPr>
        <w:t>包人名称</w:t>
      </w:r>
      <w:r>
        <w:rPr>
          <w:rFonts w:ascii="宋体" w:hAnsi="宋体" w:eastAsia="宋体" w:cs="宋体"/>
          <w:color w:val="auto"/>
          <w:spacing w:val="-40"/>
          <w:w w:val="69"/>
          <w:sz w:val="20"/>
          <w:szCs w:val="20"/>
          <w:highlight w:val="none"/>
        </w:rPr>
        <w:t>）（</w:t>
      </w:r>
      <w:r>
        <w:rPr>
          <w:rFonts w:ascii="宋体" w:hAnsi="宋体" w:eastAsia="宋体" w:cs="宋体"/>
          <w:color w:val="auto"/>
          <w:spacing w:val="-6"/>
          <w:sz w:val="20"/>
          <w:szCs w:val="20"/>
          <w:highlight w:val="none"/>
        </w:rPr>
        <w:t>以下简称“发包人</w:t>
      </w:r>
      <w:r>
        <w:rPr>
          <w:rFonts w:ascii="宋体" w:hAnsi="宋体" w:eastAsia="宋体" w:cs="宋体"/>
          <w:color w:val="auto"/>
          <w:spacing w:val="-67"/>
          <w:sz w:val="20"/>
          <w:szCs w:val="20"/>
          <w:highlight w:val="none"/>
        </w:rPr>
        <w:t xml:space="preserve"> </w:t>
      </w:r>
      <w:r>
        <w:rPr>
          <w:rFonts w:ascii="宋体" w:hAnsi="宋体" w:eastAsia="宋体" w:cs="宋体"/>
          <w:color w:val="auto"/>
          <w:spacing w:val="-6"/>
          <w:sz w:val="20"/>
          <w:szCs w:val="20"/>
          <w:highlight w:val="none"/>
        </w:rPr>
        <w:t>”）于</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6"/>
          <w:sz w:val="20"/>
          <w:szCs w:val="20"/>
          <w:highlight w:val="none"/>
        </w:rPr>
        <w:t>年</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6"/>
          <w:sz w:val="20"/>
          <w:szCs w:val="20"/>
          <w:highlight w:val="none"/>
        </w:rPr>
        <w:t>月</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6"/>
          <w:sz w:val="20"/>
          <w:szCs w:val="20"/>
          <w:highlight w:val="none"/>
        </w:rPr>
        <w:t>日签订的</w:t>
      </w:r>
      <w:r>
        <w:rPr>
          <w:rFonts w:ascii="宋体" w:hAnsi="宋体" w:eastAsia="宋体" w:cs="宋体"/>
          <w:color w:val="auto"/>
          <w:spacing w:val="-99"/>
          <w:sz w:val="20"/>
          <w:szCs w:val="20"/>
          <w:highlight w:val="none"/>
        </w:rPr>
        <w:t xml:space="preserve"> </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（工</w:t>
      </w:r>
      <w:r>
        <w:rPr>
          <w:rFonts w:ascii="宋体" w:hAnsi="宋体" w:eastAsia="宋体" w:cs="宋体"/>
          <w:color w:val="auto"/>
          <w:spacing w:val="10"/>
          <w:sz w:val="20"/>
          <w:szCs w:val="20"/>
          <w:highlight w:val="none"/>
        </w:rPr>
        <w:t>程名称）《建设工程施工合同》</w:t>
      </w:r>
      <w:r>
        <w:rPr>
          <w:rFonts w:ascii="宋体" w:hAnsi="宋体" w:eastAsia="宋体" w:cs="宋体"/>
          <w:color w:val="auto"/>
          <w:spacing w:val="-50"/>
          <w:sz w:val="20"/>
          <w:szCs w:val="20"/>
          <w:highlight w:val="none"/>
        </w:rPr>
        <w:t xml:space="preserve"> </w:t>
      </w:r>
      <w:r>
        <w:rPr>
          <w:rFonts w:ascii="宋体" w:hAnsi="宋体" w:eastAsia="宋体" w:cs="宋体"/>
          <w:color w:val="auto"/>
          <w:spacing w:val="10"/>
          <w:sz w:val="20"/>
          <w:szCs w:val="20"/>
          <w:highlight w:val="none"/>
        </w:rPr>
        <w:t>，承包人按约定的金额向你方提交一份预付款担保，即有权得</w:t>
      </w:r>
      <w:r>
        <w:rPr>
          <w:rFonts w:ascii="宋体" w:hAnsi="宋体" w:eastAsia="宋体" w:cs="宋体"/>
          <w:color w:val="auto"/>
          <w:spacing w:val="11"/>
          <w:sz w:val="20"/>
          <w:szCs w:val="20"/>
          <w:highlight w:val="none"/>
        </w:rPr>
        <w:t>到你方支付相等金额的预付款。我方愿意就你方提供给承包人的预付款为承包人提供连带责任</w:t>
      </w:r>
      <w:r>
        <w:rPr>
          <w:rFonts w:ascii="宋体" w:hAnsi="宋体" w:eastAsia="宋体" w:cs="宋体"/>
          <w:color w:val="auto"/>
          <w:spacing w:val="3"/>
          <w:sz w:val="20"/>
          <w:szCs w:val="20"/>
          <w:highlight w:val="none"/>
        </w:rPr>
        <w:t>担保。</w:t>
      </w:r>
    </w:p>
    <w:p w14:paraId="470672A0">
      <w:pPr>
        <w:spacing w:before="31" w:line="227" w:lineRule="auto"/>
        <w:ind w:left="455"/>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1. 担保金额人民币（大写）</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7"/>
          <w:sz w:val="20"/>
          <w:szCs w:val="20"/>
          <w:highlight w:val="none"/>
        </w:rPr>
        <w:t xml:space="preserve"> </w:t>
      </w:r>
      <w:r>
        <w:rPr>
          <w:rFonts w:ascii="宋体" w:hAnsi="宋体" w:eastAsia="宋体" w:cs="宋体"/>
          <w:color w:val="auto"/>
          <w:spacing w:val="3"/>
          <w:sz w:val="20"/>
          <w:szCs w:val="20"/>
          <w:highlight w:val="none"/>
        </w:rPr>
        <w:t>元 (¥</w:t>
      </w:r>
      <w:r>
        <w:rPr>
          <w:rFonts w:ascii="宋体" w:hAnsi="宋体" w:eastAsia="宋体" w:cs="宋体"/>
          <w:color w:val="auto"/>
          <w:spacing w:val="-99"/>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69"/>
          <w:sz w:val="20"/>
          <w:szCs w:val="2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pacing w:val="19"/>
          <w:sz w:val="20"/>
          <w:szCs w:val="20"/>
          <w:highlight w:val="none"/>
        </w:rPr>
        <w:t xml:space="preserve"> </w:t>
      </w:r>
      <w:r>
        <w:rPr>
          <w:rFonts w:ascii="宋体" w:hAnsi="宋体" w:eastAsia="宋体" w:cs="宋体"/>
          <w:color w:val="auto"/>
          <w:spacing w:val="3"/>
          <w:sz w:val="20"/>
          <w:szCs w:val="20"/>
          <w:highlight w:val="none"/>
        </w:rPr>
        <w:t>。</w:t>
      </w:r>
    </w:p>
    <w:p w14:paraId="5045F288">
      <w:pPr>
        <w:spacing w:before="96" w:line="271" w:lineRule="auto"/>
        <w:ind w:left="19" w:firstLine="422"/>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2. 担保有效期自预付款支付给承包人起生效，至你方签发的进度款支付证书说明已完全扣</w:t>
      </w:r>
      <w:r>
        <w:rPr>
          <w:rFonts w:ascii="宋体" w:hAnsi="宋体" w:eastAsia="宋体" w:cs="宋体"/>
          <w:color w:val="auto"/>
          <w:spacing w:val="3"/>
          <w:sz w:val="20"/>
          <w:szCs w:val="20"/>
          <w:highlight w:val="none"/>
        </w:rPr>
        <w:t>清止。</w:t>
      </w:r>
    </w:p>
    <w:p w14:paraId="4E623014">
      <w:pPr>
        <w:spacing w:before="92" w:line="285" w:lineRule="auto"/>
        <w:ind w:left="19"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 在本保函有效期内，因承包人违反合同约定的义务而要求收回预付款时，我方在收到你</w:t>
      </w:r>
      <w:r>
        <w:rPr>
          <w:rFonts w:ascii="宋体" w:hAnsi="宋体" w:eastAsia="宋体" w:cs="宋体"/>
          <w:color w:val="auto"/>
          <w:spacing w:val="14"/>
          <w:sz w:val="20"/>
          <w:szCs w:val="20"/>
          <w:highlight w:val="none"/>
        </w:rPr>
        <w:t>方的书面通知后，在7天内无条件支付。但本保函的担保金</w:t>
      </w:r>
      <w:r>
        <w:rPr>
          <w:rFonts w:ascii="宋体" w:hAnsi="宋体" w:eastAsia="宋体" w:cs="宋体"/>
          <w:color w:val="auto"/>
          <w:spacing w:val="13"/>
          <w:sz w:val="20"/>
          <w:szCs w:val="20"/>
          <w:highlight w:val="none"/>
        </w:rPr>
        <w:t>额，在任何时候不应超过预付款金</w:t>
      </w:r>
      <w:r>
        <w:rPr>
          <w:rFonts w:ascii="宋体" w:hAnsi="宋体" w:eastAsia="宋体" w:cs="宋体"/>
          <w:color w:val="auto"/>
          <w:spacing w:val="9"/>
          <w:sz w:val="20"/>
          <w:szCs w:val="20"/>
          <w:highlight w:val="none"/>
        </w:rPr>
        <w:t>额减去你方按合同约定在向承包人签发的进度款支付证书中扣除的金额。</w:t>
      </w:r>
    </w:p>
    <w:p w14:paraId="75F21FEA">
      <w:pPr>
        <w:spacing w:before="95" w:line="227" w:lineRule="auto"/>
        <w:ind w:left="438"/>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4. 你方和承包人按合同约定变更合同时，我方承担本保函规定的义务不变。</w:t>
      </w:r>
    </w:p>
    <w:p w14:paraId="3E4B6AAD">
      <w:pPr>
        <w:spacing w:before="94" w:line="271" w:lineRule="auto"/>
        <w:ind w:left="18" w:right="2" w:firstLine="42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5. 因本保函发生的纠纷，可由双方协商解决，协商不成的，</w:t>
      </w:r>
      <w:r>
        <w:rPr>
          <w:rFonts w:ascii="宋体" w:hAnsi="宋体" w:eastAsia="宋体" w:cs="宋体"/>
          <w:color w:val="auto"/>
          <w:spacing w:val="7"/>
          <w:sz w:val="20"/>
          <w:szCs w:val="20"/>
          <w:highlight w:val="none"/>
        </w:rPr>
        <w:t>任何一方均可提请</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7"/>
          <w:sz w:val="20"/>
          <w:szCs w:val="20"/>
          <w:highlight w:val="none"/>
        </w:rPr>
        <w:t>仲裁</w:t>
      </w:r>
      <w:r>
        <w:rPr>
          <w:rFonts w:ascii="宋体" w:hAnsi="宋体" w:eastAsia="宋体" w:cs="宋体"/>
          <w:color w:val="auto"/>
          <w:spacing w:val="6"/>
          <w:sz w:val="20"/>
          <w:szCs w:val="20"/>
          <w:highlight w:val="none"/>
        </w:rPr>
        <w:t>委员会仲裁。</w:t>
      </w:r>
    </w:p>
    <w:p w14:paraId="1094FB76">
      <w:pPr>
        <w:spacing w:before="95" w:line="227" w:lineRule="auto"/>
        <w:ind w:left="441"/>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6. 本保函自我方法定代表人（或其授权代理人）签字并加盖公章之日起</w:t>
      </w:r>
      <w:r>
        <w:rPr>
          <w:rFonts w:ascii="宋体" w:hAnsi="宋体" w:eastAsia="宋体" w:cs="宋体"/>
          <w:color w:val="auto"/>
          <w:spacing w:val="8"/>
          <w:sz w:val="20"/>
          <w:szCs w:val="20"/>
          <w:highlight w:val="none"/>
        </w:rPr>
        <w:t>生效。</w:t>
      </w:r>
    </w:p>
    <w:p w14:paraId="0947A58B">
      <w:pPr>
        <w:pStyle w:val="2"/>
        <w:spacing w:line="365" w:lineRule="auto"/>
        <w:rPr>
          <w:color w:val="auto"/>
          <w:highlight w:val="none"/>
        </w:rPr>
      </w:pPr>
    </w:p>
    <w:p w14:paraId="3BE90FC9">
      <w:pPr>
        <w:spacing w:before="66" w:line="308" w:lineRule="auto"/>
        <w:ind w:left="19" w:right="3860"/>
        <w:jc w:val="both"/>
        <w:rPr>
          <w:rFonts w:ascii="宋体" w:hAnsi="宋体" w:eastAsia="宋体" w:cs="宋体"/>
          <w:color w:val="auto"/>
          <w:sz w:val="20"/>
          <w:szCs w:val="20"/>
          <w:highlight w:val="none"/>
        </w:rPr>
      </w:pPr>
      <w:r>
        <w:rPr>
          <w:rFonts w:ascii="宋体" w:hAnsi="宋体" w:eastAsia="宋体" w:cs="宋体"/>
          <w:color w:val="auto"/>
          <w:spacing w:val="10"/>
          <w:sz w:val="20"/>
          <w:szCs w:val="20"/>
          <w:highlight w:val="none"/>
        </w:rPr>
        <w:t>担保人</w:t>
      </w:r>
      <w:r>
        <w:rPr>
          <w:rFonts w:ascii="宋体" w:hAnsi="宋体" w:eastAsia="宋体" w:cs="宋体"/>
          <w:color w:val="auto"/>
          <w:spacing w:val="-6"/>
          <w:sz w:val="20"/>
          <w:szCs w:val="20"/>
          <w:highlight w:val="none"/>
        </w:rPr>
        <w:t>：</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10"/>
          <w:sz w:val="20"/>
          <w:szCs w:val="20"/>
          <w:highlight w:val="none"/>
        </w:rPr>
        <w:t>盖单位章）</w:t>
      </w:r>
      <w:r>
        <w:rPr>
          <w:rFonts w:ascii="宋体" w:hAnsi="宋体" w:eastAsia="宋体" w:cs="宋体"/>
          <w:color w:val="auto"/>
          <w:spacing w:val="3"/>
          <w:sz w:val="20"/>
          <w:szCs w:val="20"/>
          <w:highlight w:val="none"/>
        </w:rPr>
        <w:t xml:space="preserve"> </w:t>
      </w:r>
      <w:r>
        <w:rPr>
          <w:rFonts w:ascii="宋体" w:hAnsi="宋体" w:eastAsia="宋体" w:cs="宋体"/>
          <w:color w:val="auto"/>
          <w:spacing w:val="10"/>
          <w:sz w:val="20"/>
          <w:szCs w:val="20"/>
          <w:highlight w:val="none"/>
        </w:rPr>
        <w:t>法定代表人或其委托代理人</w:t>
      </w:r>
      <w:r>
        <w:rPr>
          <w:rFonts w:ascii="宋体" w:hAnsi="宋体" w:eastAsia="宋体" w:cs="宋体"/>
          <w:color w:val="auto"/>
          <w:spacing w:val="-6"/>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6"/>
          <w:sz w:val="20"/>
          <w:szCs w:val="20"/>
          <w:highlight w:val="none"/>
        </w:rPr>
        <w:t>（</w:t>
      </w:r>
      <w:r>
        <w:rPr>
          <w:rFonts w:ascii="宋体" w:hAnsi="宋体" w:eastAsia="宋体" w:cs="宋体"/>
          <w:color w:val="auto"/>
          <w:spacing w:val="10"/>
          <w:sz w:val="20"/>
          <w:szCs w:val="20"/>
          <w:highlight w:val="none"/>
        </w:rPr>
        <w:t>签字）</w:t>
      </w:r>
      <w:r>
        <w:rPr>
          <w:rFonts w:ascii="宋体" w:hAnsi="宋体" w:eastAsia="宋体" w:cs="宋体"/>
          <w:color w:val="auto"/>
          <w:spacing w:val="1"/>
          <w:sz w:val="20"/>
          <w:szCs w:val="20"/>
          <w:highlight w:val="none"/>
        </w:rPr>
        <w:t xml:space="preserve"> </w:t>
      </w:r>
      <w:r>
        <w:rPr>
          <w:rFonts w:ascii="宋体" w:hAnsi="宋体" w:eastAsia="宋体" w:cs="宋体"/>
          <w:color w:val="auto"/>
          <w:spacing w:val="-5"/>
          <w:sz w:val="20"/>
          <w:szCs w:val="20"/>
          <w:highlight w:val="none"/>
        </w:rPr>
        <w:t>地</w:t>
      </w:r>
      <w:r>
        <w:rPr>
          <w:rFonts w:ascii="宋体" w:hAnsi="宋体" w:eastAsia="宋体" w:cs="宋体"/>
          <w:color w:val="auto"/>
          <w:spacing w:val="7"/>
          <w:sz w:val="20"/>
          <w:szCs w:val="20"/>
          <w:highlight w:val="none"/>
        </w:rPr>
        <w:t xml:space="preserve">    </w:t>
      </w:r>
      <w:r>
        <w:rPr>
          <w:rFonts w:ascii="宋体" w:hAnsi="宋体" w:eastAsia="宋体" w:cs="宋体"/>
          <w:color w:val="auto"/>
          <w:spacing w:val="-5"/>
          <w:sz w:val="20"/>
          <w:szCs w:val="20"/>
          <w:highlight w:val="none"/>
        </w:rPr>
        <w:t>址</w:t>
      </w:r>
      <w:r>
        <w:rPr>
          <w:rFonts w:ascii="宋体" w:hAnsi="宋体" w:eastAsia="宋体" w:cs="宋体"/>
          <w:color w:val="auto"/>
          <w:spacing w:val="-74"/>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color="auto"/>
        </w:rPr>
        <w:t xml:space="preserve">                              </w:t>
      </w:r>
    </w:p>
    <w:p w14:paraId="29DFFA1E">
      <w:pPr>
        <w:tabs>
          <w:tab w:val="left" w:pos="3998"/>
        </w:tabs>
        <w:spacing w:before="20" w:line="305" w:lineRule="auto"/>
        <w:ind w:left="18" w:right="4680" w:firstLine="17"/>
        <w:jc w:val="both"/>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邮政编码：</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电</w:t>
      </w:r>
      <w:r>
        <w:rPr>
          <w:rFonts w:ascii="宋体" w:hAnsi="宋体" w:eastAsia="宋体" w:cs="宋体"/>
          <w:color w:val="auto"/>
          <w:spacing w:val="6"/>
          <w:sz w:val="20"/>
          <w:szCs w:val="20"/>
          <w:highlight w:val="none"/>
        </w:rPr>
        <w:t xml:space="preserve">    </w:t>
      </w:r>
      <w:r>
        <w:rPr>
          <w:rFonts w:ascii="宋体" w:hAnsi="宋体" w:eastAsia="宋体" w:cs="宋体"/>
          <w:color w:val="auto"/>
          <w:spacing w:val="-4"/>
          <w:sz w:val="20"/>
          <w:szCs w:val="20"/>
          <w:highlight w:val="none"/>
        </w:rPr>
        <w:t>话</w:t>
      </w:r>
      <w:r>
        <w:rPr>
          <w:rFonts w:ascii="宋体" w:hAnsi="宋体" w:eastAsia="宋体" w:cs="宋体"/>
          <w:color w:val="auto"/>
          <w:spacing w:val="-72"/>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传</w:t>
      </w:r>
      <w:r>
        <w:rPr>
          <w:rFonts w:ascii="宋体" w:hAnsi="宋体" w:eastAsia="宋体" w:cs="宋体"/>
          <w:color w:val="auto"/>
          <w:spacing w:val="7"/>
          <w:sz w:val="20"/>
          <w:szCs w:val="20"/>
          <w:highlight w:val="none"/>
        </w:rPr>
        <w:t xml:space="preserve">    </w:t>
      </w:r>
      <w:r>
        <w:rPr>
          <w:rFonts w:ascii="宋体" w:hAnsi="宋体" w:eastAsia="宋体" w:cs="宋体"/>
          <w:color w:val="auto"/>
          <w:spacing w:val="-5"/>
          <w:sz w:val="20"/>
          <w:szCs w:val="20"/>
          <w:highlight w:val="none"/>
        </w:rPr>
        <w:t>真</w:t>
      </w:r>
      <w:r>
        <w:rPr>
          <w:rFonts w:ascii="宋体" w:hAnsi="宋体" w:eastAsia="宋体" w:cs="宋体"/>
          <w:color w:val="auto"/>
          <w:spacing w:val="-73"/>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z w:val="20"/>
          <w:szCs w:val="20"/>
          <w:highlight w:val="none"/>
          <w:u w:val="single" w:color="auto"/>
        </w:rPr>
        <w:t xml:space="preserve">                              </w:t>
      </w:r>
    </w:p>
    <w:p w14:paraId="79A003CB">
      <w:pPr>
        <w:pStyle w:val="2"/>
        <w:spacing w:line="303" w:lineRule="auto"/>
        <w:rPr>
          <w:color w:val="auto"/>
          <w:highlight w:val="none"/>
        </w:rPr>
      </w:pPr>
    </w:p>
    <w:p w14:paraId="63F7DE2C">
      <w:pPr>
        <w:tabs>
          <w:tab w:val="left" w:pos="2845"/>
        </w:tabs>
        <w:spacing w:before="66" w:line="228" w:lineRule="auto"/>
        <w:ind w:left="1270"/>
        <w:rPr>
          <w:rFonts w:ascii="宋体" w:hAnsi="宋体" w:eastAsia="宋体" w:cs="宋体"/>
          <w:color w:val="auto"/>
          <w:sz w:val="20"/>
          <w:szCs w:val="20"/>
          <w:highlight w:val="none"/>
        </w:rPr>
      </w:pPr>
      <w:r>
        <w:rPr>
          <w:rFonts w:ascii="宋体" w:hAnsi="宋体" w:eastAsia="宋体" w:cs="宋体"/>
          <w:color w:val="auto"/>
          <w:sz w:val="20"/>
          <w:szCs w:val="20"/>
          <w:highlight w:val="none"/>
          <w:u w:val="single" w:color="auto"/>
        </w:rPr>
        <w:tab/>
      </w:r>
      <w:r>
        <w:rPr>
          <w:rFonts w:ascii="宋体" w:hAnsi="宋体" w:eastAsia="宋体" w:cs="宋体"/>
          <w:color w:val="auto"/>
          <w:spacing w:val="-90"/>
          <w:sz w:val="20"/>
          <w:szCs w:val="20"/>
          <w:highlight w:val="none"/>
        </w:rPr>
        <w:t xml:space="preserve"> </w:t>
      </w:r>
      <w:r>
        <w:rPr>
          <w:rFonts w:ascii="宋体" w:hAnsi="宋体" w:eastAsia="宋体" w:cs="宋体"/>
          <w:color w:val="auto"/>
          <w:spacing w:val="-2"/>
          <w:sz w:val="20"/>
          <w:szCs w:val="20"/>
          <w:highlight w:val="none"/>
        </w:rPr>
        <w:t>年</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2"/>
          <w:sz w:val="20"/>
          <w:szCs w:val="20"/>
          <w:highlight w:val="none"/>
        </w:rPr>
        <w:t>月</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4"/>
          <w:sz w:val="20"/>
          <w:szCs w:val="20"/>
          <w:highlight w:val="none"/>
        </w:rPr>
        <w:t xml:space="preserve"> </w:t>
      </w:r>
      <w:r>
        <w:rPr>
          <w:rFonts w:ascii="宋体" w:hAnsi="宋体" w:eastAsia="宋体" w:cs="宋体"/>
          <w:color w:val="auto"/>
          <w:spacing w:val="-2"/>
          <w:sz w:val="20"/>
          <w:szCs w:val="20"/>
          <w:highlight w:val="none"/>
        </w:rPr>
        <w:t>日</w:t>
      </w:r>
    </w:p>
    <w:p w14:paraId="02E8E7FF">
      <w:pPr>
        <w:spacing w:line="228" w:lineRule="auto"/>
        <w:rPr>
          <w:rFonts w:ascii="宋体" w:hAnsi="宋体" w:eastAsia="宋体" w:cs="宋体"/>
          <w:color w:val="auto"/>
          <w:sz w:val="20"/>
          <w:szCs w:val="20"/>
          <w:highlight w:val="none"/>
        </w:rPr>
        <w:sectPr>
          <w:footerReference r:id="rId60" w:type="default"/>
          <w:pgSz w:w="11907" w:h="16840"/>
          <w:pgMar w:top="1428" w:right="1440" w:bottom="1014" w:left="1786" w:header="0" w:footer="852" w:gutter="0"/>
          <w:pgNumType w:fmt="decimal"/>
          <w:cols w:space="720" w:num="1"/>
        </w:sectPr>
      </w:pPr>
    </w:p>
    <w:p w14:paraId="64BD82CF">
      <w:pPr>
        <w:spacing w:before="41" w:line="227" w:lineRule="auto"/>
        <w:ind w:left="17"/>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附件</w:t>
      </w:r>
      <w:r>
        <w:rPr>
          <w:rFonts w:ascii="宋体" w:hAnsi="宋体" w:eastAsia="宋体" w:cs="宋体"/>
          <w:color w:val="auto"/>
          <w:spacing w:val="-37"/>
          <w:sz w:val="20"/>
          <w:szCs w:val="20"/>
          <w:highlight w:val="none"/>
        </w:rPr>
        <w:t xml:space="preserve"> </w:t>
      </w:r>
      <w:r>
        <w:rPr>
          <w:rFonts w:hint="eastAsia" w:ascii="宋体" w:hAnsi="宋体" w:eastAsia="宋体" w:cs="宋体"/>
          <w:color w:val="auto"/>
          <w:spacing w:val="-3"/>
          <w:sz w:val="20"/>
          <w:szCs w:val="20"/>
          <w:highlight w:val="none"/>
          <w:lang w:val="en-US" w:eastAsia="zh-CN"/>
        </w:rPr>
        <w:t>9</w:t>
      </w:r>
      <w:r>
        <w:rPr>
          <w:rFonts w:ascii="宋体" w:hAnsi="宋体" w:eastAsia="宋体" w:cs="宋体"/>
          <w:color w:val="auto"/>
          <w:spacing w:val="-3"/>
          <w:sz w:val="20"/>
          <w:szCs w:val="20"/>
          <w:highlight w:val="none"/>
        </w:rPr>
        <w:t>：</w:t>
      </w:r>
    </w:p>
    <w:p w14:paraId="69E047B0">
      <w:pPr>
        <w:spacing w:before="101" w:line="298" w:lineRule="auto"/>
        <w:ind w:left="0" w:right="1974" w:firstLine="0"/>
        <w:jc w:val="center"/>
        <w:rPr>
          <w:rFonts w:ascii="黑体" w:hAnsi="黑体" w:eastAsia="黑体" w:cs="黑体"/>
          <w:color w:val="auto"/>
          <w:spacing w:val="7"/>
          <w:sz w:val="31"/>
          <w:szCs w:val="31"/>
          <w:highlight w:val="none"/>
        </w:rPr>
      </w:pPr>
      <w:r>
        <w:rPr>
          <w:rFonts w:ascii="黑体" w:hAnsi="黑体" w:eastAsia="黑体" w:cs="黑体"/>
          <w:color w:val="auto"/>
          <w:spacing w:val="6"/>
          <w:sz w:val="31"/>
          <w:szCs w:val="31"/>
          <w:highlight w:val="none"/>
        </w:rPr>
        <w:t>工程质量保修书（市政公用工程）</w:t>
      </w:r>
    </w:p>
    <w:p w14:paraId="3B5547B3">
      <w:pPr>
        <w:spacing w:before="101" w:line="298" w:lineRule="auto"/>
        <w:ind w:left="0" w:right="1974" w:firstLine="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发包人（全称</w:t>
      </w:r>
      <w:r>
        <w:rPr>
          <w:rFonts w:ascii="宋体" w:hAnsi="宋体" w:eastAsia="宋体" w:cs="宋体"/>
          <w:color w:val="auto"/>
          <w:spacing w:val="-52"/>
          <w:sz w:val="20"/>
          <w:szCs w:val="20"/>
          <w:highlight w:val="none"/>
        </w:rPr>
        <w:t>）：</w:t>
      </w:r>
      <w:r>
        <w:rPr>
          <w:rFonts w:ascii="宋体" w:hAnsi="宋体" w:eastAsia="宋体" w:cs="宋体"/>
          <w:color w:val="auto"/>
          <w:spacing w:val="-77"/>
          <w:sz w:val="20"/>
          <w:szCs w:val="20"/>
          <w:highlight w:val="none"/>
        </w:rPr>
        <w:t xml:space="preserve"> </w:t>
      </w:r>
      <w:r>
        <w:rPr>
          <w:rFonts w:ascii="宋体" w:hAnsi="宋体" w:eastAsia="宋体" w:cs="宋体"/>
          <w:color w:val="auto"/>
          <w:sz w:val="20"/>
          <w:szCs w:val="20"/>
          <w:highlight w:val="none"/>
          <w:u w:val="single" w:color="auto"/>
        </w:rPr>
        <w:t xml:space="preserve">                                  </w:t>
      </w:r>
    </w:p>
    <w:p w14:paraId="0401B089">
      <w:pPr>
        <w:spacing w:before="99" w:line="228" w:lineRule="auto"/>
        <w:ind w:left="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承包人（全称</w:t>
      </w:r>
      <w:r>
        <w:rPr>
          <w:rFonts w:ascii="宋体" w:hAnsi="宋体" w:eastAsia="宋体" w:cs="宋体"/>
          <w:color w:val="auto"/>
          <w:spacing w:val="-54"/>
          <w:sz w:val="20"/>
          <w:szCs w:val="20"/>
          <w:highlight w:val="none"/>
        </w:rPr>
        <w:t>）：</w:t>
      </w:r>
      <w:r>
        <w:rPr>
          <w:rFonts w:ascii="宋体" w:hAnsi="宋体" w:eastAsia="宋体" w:cs="宋体"/>
          <w:color w:val="auto"/>
          <w:spacing w:val="-75"/>
          <w:sz w:val="20"/>
          <w:szCs w:val="20"/>
          <w:highlight w:val="none"/>
        </w:rPr>
        <w:t xml:space="preserve"> </w:t>
      </w:r>
      <w:r>
        <w:rPr>
          <w:rFonts w:ascii="宋体" w:hAnsi="宋体" w:eastAsia="宋体" w:cs="宋体"/>
          <w:color w:val="auto"/>
          <w:sz w:val="20"/>
          <w:szCs w:val="20"/>
          <w:highlight w:val="none"/>
          <w:u w:val="single" w:color="auto"/>
        </w:rPr>
        <w:t xml:space="preserve">                                  </w:t>
      </w:r>
    </w:p>
    <w:p w14:paraId="3BB61AF1">
      <w:pPr>
        <w:pStyle w:val="2"/>
        <w:spacing w:line="250" w:lineRule="auto"/>
        <w:rPr>
          <w:color w:val="auto"/>
          <w:highlight w:val="none"/>
        </w:rPr>
      </w:pPr>
    </w:p>
    <w:p w14:paraId="505FFE1C">
      <w:pPr>
        <w:pStyle w:val="2"/>
        <w:spacing w:line="250" w:lineRule="auto"/>
        <w:rPr>
          <w:color w:val="auto"/>
          <w:highlight w:val="none"/>
        </w:rPr>
      </w:pPr>
    </w:p>
    <w:p w14:paraId="285F9069">
      <w:pPr>
        <w:spacing w:before="65" w:line="362" w:lineRule="auto"/>
        <w:ind w:left="21" w:firstLine="42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发包人和承包人根据《中华人民共和国建筑法》和《建设工程质量管理条例》，经协商</w:t>
      </w:r>
      <w:r>
        <w:rPr>
          <w:rFonts w:ascii="宋体" w:hAnsi="宋体" w:eastAsia="宋体" w:cs="宋体"/>
          <w:color w:val="auto"/>
          <w:spacing w:val="5"/>
          <w:sz w:val="20"/>
          <w:szCs w:val="20"/>
          <w:highlight w:val="none"/>
        </w:rPr>
        <w:t>一致</w:t>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就</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6"/>
          <w:sz w:val="20"/>
          <w:szCs w:val="20"/>
          <w:highlight w:val="none"/>
        </w:rPr>
        <w:t>（工程全称）签订工程质量保修书。</w:t>
      </w:r>
    </w:p>
    <w:p w14:paraId="135D7091">
      <w:pPr>
        <w:spacing w:before="32" w:line="230" w:lineRule="auto"/>
        <w:ind w:left="443"/>
        <w:rPr>
          <w:rFonts w:ascii="黑体" w:hAnsi="黑体" w:eastAsia="黑体" w:cs="黑体"/>
          <w:color w:val="auto"/>
          <w:sz w:val="20"/>
          <w:szCs w:val="20"/>
          <w:highlight w:val="none"/>
        </w:rPr>
      </w:pPr>
      <w:r>
        <w:rPr>
          <w:rFonts w:ascii="黑体" w:hAnsi="黑体" w:eastAsia="黑体" w:cs="黑体"/>
          <w:color w:val="auto"/>
          <w:spacing w:val="9"/>
          <w:sz w:val="20"/>
          <w:szCs w:val="20"/>
          <w:highlight w:val="none"/>
        </w:rPr>
        <w:t>一、工程质量保修范围和内容</w:t>
      </w:r>
    </w:p>
    <w:p w14:paraId="728C627B">
      <w:pPr>
        <w:spacing w:before="159" w:line="228" w:lineRule="auto"/>
        <w:ind w:left="43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承包人在质量保修期内，按照有关法律规定和合同约定，承担工程质量保修责任。</w:t>
      </w:r>
    </w:p>
    <w:p w14:paraId="49AA1F55">
      <w:pPr>
        <w:spacing w:before="164" w:line="362" w:lineRule="auto"/>
        <w:ind w:left="20" w:right="4" w:firstLine="420"/>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质量保修范围包括</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65"/>
          <w:sz w:val="20"/>
          <w:szCs w:val="20"/>
          <w:highlight w:val="none"/>
        </w:rPr>
        <w:t xml:space="preserve"> </w:t>
      </w:r>
      <w:r>
        <w:rPr>
          <w:rFonts w:ascii="宋体" w:hAnsi="宋体" w:eastAsia="宋体" w:cs="宋体"/>
          <w:color w:val="auto"/>
          <w:spacing w:val="7"/>
          <w:sz w:val="20"/>
          <w:szCs w:val="20"/>
          <w:highlight w:val="none"/>
        </w:rPr>
        <w:t>，</w:t>
      </w:r>
      <w:r>
        <w:rPr>
          <w:rFonts w:ascii="宋体" w:hAnsi="宋体" w:eastAsia="宋体" w:cs="宋体"/>
          <w:color w:val="auto"/>
          <w:spacing w:val="-59"/>
          <w:sz w:val="20"/>
          <w:szCs w:val="20"/>
          <w:highlight w:val="none"/>
        </w:rPr>
        <w:t xml:space="preserve"> </w:t>
      </w:r>
      <w:r>
        <w:rPr>
          <w:rFonts w:ascii="宋体" w:hAnsi="宋体" w:eastAsia="宋体" w:cs="宋体"/>
          <w:color w:val="auto"/>
          <w:spacing w:val="7"/>
          <w:sz w:val="20"/>
          <w:szCs w:val="20"/>
          <w:highlight w:val="none"/>
        </w:rPr>
        <w:t>以及双方约定的其他项目。具体</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保修的内容，双方约定如下：</w:t>
      </w:r>
    </w:p>
    <w:p w14:paraId="2FFC7344">
      <w:pPr>
        <w:pStyle w:val="2"/>
        <w:tabs>
          <w:tab w:val="left" w:pos="8619"/>
        </w:tabs>
        <w:spacing w:before="39"/>
        <w:ind w:left="430"/>
        <w:rPr>
          <w:color w:val="auto"/>
          <w:highlight w:val="none"/>
        </w:rPr>
      </w:pPr>
      <w:r>
        <w:rPr>
          <w:color w:val="auto"/>
          <w:highlight w:val="none"/>
          <w:u w:val="single" w:color="auto"/>
        </w:rPr>
        <w:tab/>
      </w:r>
    </w:p>
    <w:p w14:paraId="32E59084">
      <w:pPr>
        <w:tabs>
          <w:tab w:val="left" w:pos="8410"/>
        </w:tabs>
        <w:spacing w:before="23" w:line="173" w:lineRule="auto"/>
        <w:ind w:left="0"/>
        <w:rPr>
          <w:rFonts w:ascii="宋体" w:hAnsi="宋体" w:eastAsia="宋体" w:cs="宋体"/>
          <w:color w:val="auto"/>
          <w:sz w:val="7"/>
          <w:szCs w:val="7"/>
          <w:highlight w:val="none"/>
        </w:rPr>
      </w:pPr>
    </w:p>
    <w:p w14:paraId="02B2A2F5">
      <w:pPr>
        <w:spacing w:before="210" w:line="230" w:lineRule="auto"/>
        <w:ind w:left="443"/>
        <w:rPr>
          <w:color w:val="auto"/>
          <w:highlight w:val="none"/>
        </w:rPr>
      </w:pPr>
      <w:r>
        <w:rPr>
          <w:rFonts w:ascii="黑体" w:hAnsi="黑体" w:eastAsia="黑体" w:cs="黑体"/>
          <w:color w:val="auto"/>
          <w:spacing w:val="8"/>
          <w:sz w:val="20"/>
          <w:szCs w:val="20"/>
          <w:highlight w:val="none"/>
        </w:rPr>
        <w:t>二、质量保修期</w:t>
      </w:r>
    </w:p>
    <w:p w14:paraId="7B7DE7DC">
      <w:pPr>
        <w:spacing w:before="65" w:line="228" w:lineRule="auto"/>
        <w:ind w:left="43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根据《建设工程质量管理条例》及有关规定，工程的质量保修期如下：</w:t>
      </w:r>
    </w:p>
    <w:p w14:paraId="5941A8C8">
      <w:pPr>
        <w:spacing w:before="161" w:line="228" w:lineRule="auto"/>
        <w:ind w:left="459"/>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1．桥梁工程为</w:t>
      </w:r>
      <w:r>
        <w:rPr>
          <w:rFonts w:ascii="宋体" w:hAnsi="宋体" w:eastAsia="宋体" w:cs="宋体"/>
          <w:color w:val="auto"/>
          <w:spacing w:val="-97"/>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9"/>
          <w:sz w:val="20"/>
          <w:szCs w:val="20"/>
          <w:highlight w:val="none"/>
        </w:rPr>
        <w:t>年（建议桥梁隧道主体结构工程为设计文件规</w:t>
      </w:r>
      <w:r>
        <w:rPr>
          <w:rFonts w:ascii="宋体" w:hAnsi="宋体" w:eastAsia="宋体" w:cs="宋体"/>
          <w:color w:val="auto"/>
          <w:spacing w:val="8"/>
          <w:sz w:val="20"/>
          <w:szCs w:val="20"/>
          <w:highlight w:val="none"/>
        </w:rPr>
        <w:t>定的合理使用年限</w:t>
      </w:r>
      <w:r>
        <w:rPr>
          <w:rFonts w:ascii="宋体" w:hAnsi="宋体" w:eastAsia="宋体" w:cs="宋体"/>
          <w:color w:val="auto"/>
          <w:spacing w:val="-54"/>
          <w:sz w:val="20"/>
          <w:szCs w:val="20"/>
          <w:highlight w:val="none"/>
        </w:rPr>
        <w:t>）；</w:t>
      </w:r>
    </w:p>
    <w:p w14:paraId="2EC1EDFD">
      <w:pPr>
        <w:spacing w:before="163" w:line="228" w:lineRule="auto"/>
        <w:ind w:left="440"/>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2</w:t>
      </w:r>
      <w:r>
        <w:rPr>
          <w:rFonts w:ascii="Times New Roman" w:hAnsi="Times New Roman" w:eastAsia="Times New Roman" w:cs="Times New Roman"/>
          <w:color w:val="auto"/>
          <w:spacing w:val="-18"/>
          <w:sz w:val="20"/>
          <w:szCs w:val="20"/>
          <w:highlight w:val="none"/>
        </w:rPr>
        <w:t xml:space="preserve"> </w:t>
      </w:r>
      <w:r>
        <w:rPr>
          <w:rFonts w:ascii="宋体" w:hAnsi="宋体" w:eastAsia="宋体" w:cs="宋体"/>
          <w:color w:val="auto"/>
          <w:spacing w:val="7"/>
          <w:sz w:val="20"/>
          <w:szCs w:val="20"/>
          <w:highlight w:val="none"/>
        </w:rPr>
        <w:t>．道路工程为</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7"/>
          <w:sz w:val="20"/>
          <w:szCs w:val="20"/>
          <w:highlight w:val="none"/>
        </w:rPr>
        <w:t>年（建议路基、路面、桥面为</w:t>
      </w:r>
      <w:r>
        <w:rPr>
          <w:rFonts w:ascii="宋体" w:hAnsi="宋体" w:eastAsia="宋体" w:cs="宋体"/>
          <w:color w:val="auto"/>
          <w:spacing w:val="-43"/>
          <w:sz w:val="20"/>
          <w:szCs w:val="20"/>
          <w:highlight w:val="none"/>
        </w:rPr>
        <w:t xml:space="preserve"> </w:t>
      </w:r>
      <w:r>
        <w:rPr>
          <w:rFonts w:ascii="Times New Roman" w:hAnsi="Times New Roman" w:eastAsia="Times New Roman" w:cs="Times New Roman"/>
          <w:color w:val="auto"/>
          <w:spacing w:val="7"/>
          <w:sz w:val="20"/>
          <w:szCs w:val="20"/>
          <w:highlight w:val="none"/>
        </w:rPr>
        <w:t xml:space="preserve">2 </w:t>
      </w:r>
      <w:r>
        <w:rPr>
          <w:rFonts w:ascii="宋体" w:hAnsi="宋体" w:eastAsia="宋体" w:cs="宋体"/>
          <w:color w:val="auto"/>
          <w:spacing w:val="7"/>
          <w:sz w:val="20"/>
          <w:szCs w:val="20"/>
          <w:highlight w:val="none"/>
        </w:rPr>
        <w:t>年</w:t>
      </w:r>
      <w:r>
        <w:rPr>
          <w:rFonts w:ascii="宋体" w:hAnsi="宋体" w:eastAsia="宋体" w:cs="宋体"/>
          <w:color w:val="auto"/>
          <w:spacing w:val="-54"/>
          <w:w w:val="99"/>
          <w:sz w:val="20"/>
          <w:szCs w:val="20"/>
          <w:highlight w:val="none"/>
        </w:rPr>
        <w:t>）；</w:t>
      </w:r>
    </w:p>
    <w:p w14:paraId="509C587E">
      <w:pPr>
        <w:spacing w:before="161" w:line="228" w:lineRule="auto"/>
        <w:ind w:left="444"/>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3</w:t>
      </w:r>
      <w:r>
        <w:rPr>
          <w:rFonts w:ascii="Times New Roman" w:hAnsi="Times New Roman" w:eastAsia="Times New Roman" w:cs="Times New Roman"/>
          <w:color w:val="auto"/>
          <w:spacing w:val="-20"/>
          <w:sz w:val="20"/>
          <w:szCs w:val="20"/>
          <w:highlight w:val="none"/>
        </w:rPr>
        <w:t xml:space="preserve"> </w:t>
      </w:r>
      <w:r>
        <w:rPr>
          <w:rFonts w:ascii="宋体" w:hAnsi="宋体" w:eastAsia="宋体" w:cs="宋体"/>
          <w:color w:val="auto"/>
          <w:spacing w:val="7"/>
          <w:sz w:val="20"/>
          <w:szCs w:val="20"/>
          <w:highlight w:val="none"/>
        </w:rPr>
        <w:t>．排水（雨水）工程为</w:t>
      </w:r>
      <w:r>
        <w:rPr>
          <w:rFonts w:ascii="宋体" w:hAnsi="宋体" w:eastAsia="宋体" w:cs="宋体"/>
          <w:color w:val="auto"/>
          <w:spacing w:val="-98"/>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7"/>
          <w:sz w:val="20"/>
          <w:szCs w:val="20"/>
          <w:highlight w:val="none"/>
        </w:rPr>
        <w:t>年（建议道路工程中的排水工程为</w:t>
      </w:r>
      <w:r>
        <w:rPr>
          <w:rFonts w:ascii="宋体" w:hAnsi="宋体" w:eastAsia="宋体" w:cs="宋体"/>
          <w:color w:val="auto"/>
          <w:spacing w:val="-38"/>
          <w:sz w:val="20"/>
          <w:szCs w:val="20"/>
          <w:highlight w:val="none"/>
        </w:rPr>
        <w:t xml:space="preserve"> </w:t>
      </w:r>
      <w:r>
        <w:rPr>
          <w:rFonts w:ascii="Times New Roman" w:hAnsi="Times New Roman" w:eastAsia="Times New Roman" w:cs="Times New Roman"/>
          <w:color w:val="auto"/>
          <w:spacing w:val="7"/>
          <w:sz w:val="20"/>
          <w:szCs w:val="20"/>
          <w:highlight w:val="none"/>
        </w:rPr>
        <w:t xml:space="preserve">3 </w:t>
      </w:r>
      <w:r>
        <w:rPr>
          <w:rFonts w:ascii="宋体" w:hAnsi="宋体" w:eastAsia="宋体" w:cs="宋体"/>
          <w:color w:val="auto"/>
          <w:spacing w:val="7"/>
          <w:sz w:val="20"/>
          <w:szCs w:val="20"/>
          <w:highlight w:val="none"/>
        </w:rPr>
        <w:t>年</w:t>
      </w:r>
      <w:r>
        <w:rPr>
          <w:rFonts w:ascii="宋体" w:hAnsi="宋体" w:eastAsia="宋体" w:cs="宋体"/>
          <w:color w:val="auto"/>
          <w:spacing w:val="-50"/>
          <w:sz w:val="20"/>
          <w:szCs w:val="20"/>
          <w:highlight w:val="none"/>
        </w:rPr>
        <w:t>）；</w:t>
      </w:r>
    </w:p>
    <w:p w14:paraId="018EC8FA">
      <w:pPr>
        <w:spacing w:before="160" w:line="228" w:lineRule="auto"/>
        <w:ind w:left="439"/>
        <w:rPr>
          <w:rFonts w:ascii="宋体" w:hAnsi="宋体" w:eastAsia="宋体" w:cs="宋体"/>
          <w:color w:val="auto"/>
          <w:sz w:val="20"/>
          <w:szCs w:val="20"/>
          <w:highlight w:val="none"/>
        </w:rPr>
      </w:pPr>
      <w:r>
        <w:rPr>
          <w:rFonts w:ascii="Times New Roman" w:hAnsi="Times New Roman" w:eastAsia="Times New Roman" w:cs="Times New Roman"/>
          <w:color w:val="auto"/>
          <w:spacing w:val="7"/>
          <w:sz w:val="20"/>
          <w:szCs w:val="20"/>
          <w:highlight w:val="none"/>
        </w:rPr>
        <w:t>4</w:t>
      </w:r>
      <w:r>
        <w:rPr>
          <w:rFonts w:ascii="Times New Roman" w:hAnsi="Times New Roman" w:eastAsia="Times New Roman" w:cs="Times New Roman"/>
          <w:color w:val="auto"/>
          <w:spacing w:val="-21"/>
          <w:sz w:val="20"/>
          <w:szCs w:val="20"/>
          <w:highlight w:val="none"/>
        </w:rPr>
        <w:t xml:space="preserve"> </w:t>
      </w:r>
      <w:r>
        <w:rPr>
          <w:rFonts w:ascii="宋体" w:hAnsi="宋体" w:eastAsia="宋体" w:cs="宋体"/>
          <w:color w:val="auto"/>
          <w:spacing w:val="7"/>
          <w:sz w:val="20"/>
          <w:szCs w:val="20"/>
          <w:highlight w:val="none"/>
        </w:rPr>
        <w:t xml:space="preserve">．绿化工程为 </w:t>
      </w:r>
      <w:r>
        <w:rPr>
          <w:rFonts w:ascii="宋体" w:hAnsi="宋体" w:eastAsia="宋体" w:cs="宋体"/>
          <w:color w:val="auto"/>
          <w:spacing w:val="7"/>
          <w:sz w:val="20"/>
          <w:szCs w:val="20"/>
          <w:highlight w:val="none"/>
          <w:u w:val="single" w:color="auto"/>
        </w:rPr>
        <w:t>单位工程竣工验收合格后    年</w:t>
      </w:r>
      <w:r>
        <w:rPr>
          <w:rFonts w:ascii="宋体" w:hAnsi="宋体" w:eastAsia="宋体" w:cs="宋体"/>
          <w:color w:val="auto"/>
          <w:spacing w:val="7"/>
          <w:sz w:val="20"/>
          <w:szCs w:val="20"/>
          <w:highlight w:val="none"/>
        </w:rPr>
        <w:t>；</w:t>
      </w:r>
    </w:p>
    <w:p w14:paraId="755B6C03">
      <w:pPr>
        <w:spacing w:before="161" w:line="228" w:lineRule="auto"/>
        <w:ind w:left="446"/>
        <w:rPr>
          <w:rFonts w:ascii="宋体" w:hAnsi="宋体" w:eastAsia="宋体" w:cs="宋体"/>
          <w:color w:val="auto"/>
          <w:sz w:val="20"/>
          <w:szCs w:val="20"/>
          <w:highlight w:val="none"/>
        </w:rPr>
      </w:pPr>
      <w:r>
        <w:rPr>
          <w:rFonts w:ascii="Times New Roman" w:hAnsi="Times New Roman" w:eastAsia="Times New Roman" w:cs="Times New Roman"/>
          <w:color w:val="auto"/>
          <w:spacing w:val="5"/>
          <w:sz w:val="20"/>
          <w:szCs w:val="20"/>
          <w:highlight w:val="none"/>
        </w:rPr>
        <w:t xml:space="preserve">5.    </w:t>
      </w:r>
      <w:r>
        <w:rPr>
          <w:rFonts w:ascii="宋体" w:hAnsi="宋体" w:eastAsia="宋体" w:cs="宋体"/>
          <w:color w:val="auto"/>
          <w:spacing w:val="5"/>
          <w:sz w:val="20"/>
          <w:szCs w:val="20"/>
          <w:highlight w:val="none"/>
        </w:rPr>
        <w:t>地下防水工程为</w:t>
      </w:r>
      <w:r>
        <w:rPr>
          <w:rFonts w:ascii="宋体" w:hAnsi="宋体" w:eastAsia="宋体" w:cs="宋体"/>
          <w:color w:val="auto"/>
          <w:spacing w:val="-97"/>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7"/>
          <w:sz w:val="20"/>
          <w:szCs w:val="20"/>
          <w:highlight w:val="none"/>
        </w:rPr>
        <w:t xml:space="preserve"> </w:t>
      </w:r>
      <w:r>
        <w:rPr>
          <w:rFonts w:ascii="宋体" w:hAnsi="宋体" w:eastAsia="宋体" w:cs="宋体"/>
          <w:color w:val="auto"/>
          <w:spacing w:val="5"/>
          <w:sz w:val="20"/>
          <w:szCs w:val="20"/>
          <w:highlight w:val="none"/>
        </w:rPr>
        <w:t>年（建议为</w:t>
      </w:r>
      <w:r>
        <w:rPr>
          <w:rFonts w:ascii="宋体" w:hAnsi="宋体" w:eastAsia="宋体" w:cs="宋体"/>
          <w:color w:val="auto"/>
          <w:spacing w:val="-35"/>
          <w:sz w:val="20"/>
          <w:szCs w:val="20"/>
          <w:highlight w:val="none"/>
        </w:rPr>
        <w:t xml:space="preserve"> </w:t>
      </w:r>
      <w:r>
        <w:rPr>
          <w:rFonts w:ascii="Times New Roman" w:hAnsi="Times New Roman" w:eastAsia="Times New Roman" w:cs="Times New Roman"/>
          <w:color w:val="auto"/>
          <w:spacing w:val="5"/>
          <w:sz w:val="20"/>
          <w:szCs w:val="20"/>
          <w:highlight w:val="none"/>
        </w:rPr>
        <w:t xml:space="preserve">5 </w:t>
      </w:r>
      <w:r>
        <w:rPr>
          <w:rFonts w:ascii="宋体" w:hAnsi="宋体" w:eastAsia="宋体" w:cs="宋体"/>
          <w:color w:val="auto"/>
          <w:spacing w:val="5"/>
          <w:sz w:val="20"/>
          <w:szCs w:val="20"/>
          <w:highlight w:val="none"/>
        </w:rPr>
        <w:t>年</w:t>
      </w:r>
      <w:r>
        <w:rPr>
          <w:rFonts w:ascii="宋体" w:hAnsi="宋体" w:eastAsia="宋体" w:cs="宋体"/>
          <w:color w:val="auto"/>
          <w:spacing w:val="-47"/>
          <w:sz w:val="20"/>
          <w:szCs w:val="20"/>
          <w:highlight w:val="none"/>
        </w:rPr>
        <w:t>）；</w:t>
      </w:r>
    </w:p>
    <w:p w14:paraId="0F084DF3">
      <w:pPr>
        <w:spacing w:before="163" w:line="227" w:lineRule="auto"/>
        <w:ind w:left="445"/>
        <w:rPr>
          <w:rFonts w:ascii="宋体" w:hAnsi="宋体" w:eastAsia="宋体" w:cs="宋体"/>
          <w:color w:val="auto"/>
          <w:sz w:val="20"/>
          <w:szCs w:val="20"/>
          <w:highlight w:val="none"/>
        </w:rPr>
      </w:pPr>
      <w:r>
        <w:rPr>
          <w:rFonts w:ascii="Times New Roman" w:hAnsi="Times New Roman" w:eastAsia="Times New Roman" w:cs="Times New Roman"/>
          <w:color w:val="auto"/>
          <w:spacing w:val="4"/>
          <w:sz w:val="20"/>
          <w:szCs w:val="20"/>
          <w:highlight w:val="none"/>
        </w:rPr>
        <w:t>6</w:t>
      </w:r>
      <w:r>
        <w:rPr>
          <w:rFonts w:ascii="Times New Roman" w:hAnsi="Times New Roman" w:eastAsia="Times New Roman" w:cs="Times New Roman"/>
          <w:color w:val="auto"/>
          <w:spacing w:val="-21"/>
          <w:sz w:val="20"/>
          <w:szCs w:val="20"/>
          <w:highlight w:val="none"/>
        </w:rPr>
        <w:t xml:space="preserve"> </w:t>
      </w:r>
      <w:r>
        <w:rPr>
          <w:rFonts w:ascii="宋体" w:hAnsi="宋体" w:eastAsia="宋体" w:cs="宋体"/>
          <w:color w:val="auto"/>
          <w:spacing w:val="4"/>
          <w:sz w:val="20"/>
          <w:szCs w:val="20"/>
          <w:highlight w:val="none"/>
        </w:rPr>
        <w:t>．其他附属工程为</w:t>
      </w:r>
      <w:r>
        <w:rPr>
          <w:rFonts w:ascii="宋体" w:hAnsi="宋体" w:eastAsia="宋体" w:cs="宋体"/>
          <w:color w:val="auto"/>
          <w:spacing w:val="-98"/>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4"/>
          <w:sz w:val="20"/>
          <w:szCs w:val="20"/>
          <w:highlight w:val="none"/>
        </w:rPr>
        <w:t>年；</w:t>
      </w:r>
    </w:p>
    <w:p w14:paraId="75638CB4">
      <w:pPr>
        <w:spacing w:before="162" w:line="228" w:lineRule="auto"/>
        <w:ind w:left="444"/>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7．其他项目保修期限约定如下：</w:t>
      </w:r>
    </w:p>
    <w:p w14:paraId="3F71ACCF">
      <w:pPr>
        <w:pStyle w:val="2"/>
        <w:tabs>
          <w:tab w:val="left" w:pos="8619"/>
        </w:tabs>
        <w:spacing w:before="166"/>
        <w:ind w:left="430"/>
        <w:rPr>
          <w:color w:val="auto"/>
          <w:highlight w:val="none"/>
        </w:rPr>
      </w:pPr>
      <w:r>
        <w:rPr>
          <w:color w:val="auto"/>
          <w:highlight w:val="none"/>
          <w:u w:val="single" w:color="auto"/>
        </w:rPr>
        <w:tab/>
      </w:r>
    </w:p>
    <w:p w14:paraId="66A050F5">
      <w:pPr>
        <w:pStyle w:val="2"/>
        <w:spacing w:line="271" w:lineRule="auto"/>
        <w:rPr>
          <w:color w:val="auto"/>
          <w:highlight w:val="none"/>
        </w:rPr>
      </w:pPr>
    </w:p>
    <w:p w14:paraId="26B486D3">
      <w:pPr>
        <w:tabs>
          <w:tab w:val="left" w:pos="8410"/>
        </w:tabs>
        <w:spacing w:before="24" w:line="173" w:lineRule="auto"/>
        <w:ind w:left="10"/>
        <w:rPr>
          <w:rFonts w:ascii="宋体" w:hAnsi="宋体" w:eastAsia="宋体" w:cs="宋体"/>
          <w:color w:val="auto"/>
          <w:sz w:val="7"/>
          <w:szCs w:val="7"/>
          <w:highlight w:val="none"/>
        </w:rPr>
      </w:pPr>
      <w:r>
        <w:rPr>
          <w:rFonts w:ascii="宋体" w:hAnsi="宋体" w:eastAsia="宋体" w:cs="宋体"/>
          <w:color w:val="auto"/>
          <w:sz w:val="7"/>
          <w:szCs w:val="7"/>
          <w:highlight w:val="none"/>
          <w:u w:val="single" w:color="auto"/>
        </w:rPr>
        <w:tab/>
      </w:r>
      <w:r>
        <w:rPr>
          <w:rFonts w:ascii="宋体" w:hAnsi="宋体" w:eastAsia="宋体" w:cs="宋体"/>
          <w:color w:val="auto"/>
          <w:spacing w:val="-5"/>
          <w:sz w:val="7"/>
          <w:szCs w:val="7"/>
          <w:highlight w:val="none"/>
        </w:rPr>
        <w:t xml:space="preserve"> </w:t>
      </w:r>
      <w:r>
        <w:rPr>
          <w:rFonts w:ascii="宋体" w:hAnsi="宋体" w:eastAsia="宋体" w:cs="宋体"/>
          <w:color w:val="auto"/>
          <w:spacing w:val="10"/>
          <w:sz w:val="7"/>
          <w:szCs w:val="7"/>
          <w:highlight w:val="none"/>
        </w:rPr>
        <w:t>。</w:t>
      </w:r>
    </w:p>
    <w:p w14:paraId="429A5D98">
      <w:pPr>
        <w:spacing w:before="210" w:line="228" w:lineRule="auto"/>
        <w:ind w:left="44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质量保修期自工程竣工验收合格之日起计算。</w:t>
      </w:r>
    </w:p>
    <w:p w14:paraId="112A2E2A">
      <w:pPr>
        <w:spacing w:before="161" w:line="229" w:lineRule="auto"/>
        <w:ind w:left="443"/>
        <w:rPr>
          <w:rFonts w:ascii="黑体" w:hAnsi="黑体" w:eastAsia="黑体" w:cs="黑体"/>
          <w:color w:val="auto"/>
          <w:sz w:val="20"/>
          <w:szCs w:val="20"/>
          <w:highlight w:val="none"/>
        </w:rPr>
      </w:pPr>
      <w:r>
        <w:rPr>
          <w:rFonts w:ascii="黑体" w:hAnsi="黑体" w:eastAsia="黑体" w:cs="黑体"/>
          <w:color w:val="auto"/>
          <w:spacing w:val="8"/>
          <w:sz w:val="20"/>
          <w:szCs w:val="20"/>
          <w:highlight w:val="none"/>
        </w:rPr>
        <w:t>三、缺陷责任期</w:t>
      </w:r>
    </w:p>
    <w:p w14:paraId="405E67EF">
      <w:pPr>
        <w:spacing w:before="160" w:line="367" w:lineRule="auto"/>
        <w:ind w:left="20" w:right="66" w:firstLine="421"/>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工程缺陷责任期为</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7"/>
          <w:sz w:val="20"/>
          <w:szCs w:val="20"/>
          <w:highlight w:val="none"/>
        </w:rPr>
        <w:t>个月（最长不超过</w:t>
      </w:r>
      <w:r>
        <w:rPr>
          <w:rFonts w:ascii="宋体" w:hAnsi="宋体" w:eastAsia="宋体" w:cs="宋体"/>
          <w:color w:val="auto"/>
          <w:spacing w:val="-43"/>
          <w:sz w:val="20"/>
          <w:szCs w:val="20"/>
          <w:highlight w:val="none"/>
        </w:rPr>
        <w:t xml:space="preserve"> </w:t>
      </w:r>
      <w:r>
        <w:rPr>
          <w:rFonts w:ascii="Times New Roman" w:hAnsi="Times New Roman" w:eastAsia="Times New Roman" w:cs="Times New Roman"/>
          <w:color w:val="auto"/>
          <w:spacing w:val="7"/>
          <w:sz w:val="20"/>
          <w:szCs w:val="20"/>
          <w:highlight w:val="none"/>
        </w:rPr>
        <w:t xml:space="preserve">24 </w:t>
      </w:r>
      <w:r>
        <w:rPr>
          <w:rFonts w:ascii="宋体" w:hAnsi="宋体" w:eastAsia="宋体" w:cs="宋体"/>
          <w:color w:val="auto"/>
          <w:spacing w:val="7"/>
          <w:sz w:val="20"/>
          <w:szCs w:val="20"/>
          <w:highlight w:val="none"/>
        </w:rPr>
        <w:t>个月</w:t>
      </w:r>
      <w:r>
        <w:rPr>
          <w:rFonts w:ascii="宋体" w:hAnsi="宋体" w:eastAsia="宋体" w:cs="宋体"/>
          <w:color w:val="auto"/>
          <w:spacing w:val="-43"/>
          <w:sz w:val="20"/>
          <w:szCs w:val="20"/>
          <w:highlight w:val="none"/>
        </w:rPr>
        <w:t>），</w:t>
      </w:r>
      <w:r>
        <w:rPr>
          <w:rFonts w:ascii="宋体" w:hAnsi="宋体" w:eastAsia="宋体" w:cs="宋体"/>
          <w:color w:val="auto"/>
          <w:spacing w:val="7"/>
          <w:sz w:val="20"/>
          <w:szCs w:val="20"/>
          <w:highlight w:val="none"/>
        </w:rPr>
        <w:t>缺陷责任期自工程竣工验收合格</w:t>
      </w:r>
      <w:r>
        <w:rPr>
          <w:rFonts w:ascii="宋体" w:hAnsi="宋体" w:eastAsia="宋体" w:cs="宋体"/>
          <w:color w:val="auto"/>
          <w:sz w:val="20"/>
          <w:szCs w:val="20"/>
          <w:highlight w:val="none"/>
        </w:rPr>
        <w:t xml:space="preserve"> </w:t>
      </w:r>
      <w:r>
        <w:rPr>
          <w:rFonts w:ascii="宋体" w:hAnsi="宋体" w:eastAsia="宋体" w:cs="宋体"/>
          <w:color w:val="auto"/>
          <w:spacing w:val="11"/>
          <w:sz w:val="20"/>
          <w:szCs w:val="20"/>
          <w:highlight w:val="none"/>
        </w:rPr>
        <w:t>之日起计算。单位工程先于全部工程进行验收，单位工程缺陷责任期自单位工程验收合格之日</w:t>
      </w:r>
      <w:r>
        <w:rPr>
          <w:rFonts w:ascii="宋体" w:hAnsi="宋体" w:eastAsia="宋体" w:cs="宋体"/>
          <w:color w:val="auto"/>
          <w:spacing w:val="7"/>
          <w:sz w:val="20"/>
          <w:szCs w:val="20"/>
          <w:highlight w:val="none"/>
        </w:rPr>
        <w:t xml:space="preserve"> </w:t>
      </w:r>
      <w:r>
        <w:rPr>
          <w:rFonts w:ascii="宋体" w:hAnsi="宋体" w:eastAsia="宋体" w:cs="宋体"/>
          <w:color w:val="auto"/>
          <w:spacing w:val="2"/>
          <w:sz w:val="20"/>
          <w:szCs w:val="20"/>
          <w:highlight w:val="none"/>
        </w:rPr>
        <w:t>起算。</w:t>
      </w:r>
    </w:p>
    <w:p w14:paraId="6866C522">
      <w:pPr>
        <w:spacing w:before="31" w:line="228" w:lineRule="auto"/>
        <w:ind w:left="439"/>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缺陷责任期</w:t>
      </w:r>
      <w:r>
        <w:rPr>
          <w:rFonts w:ascii="宋体" w:hAnsi="宋体" w:eastAsia="宋体" w:cs="宋体"/>
          <w:color w:val="auto"/>
          <w:spacing w:val="8"/>
          <w:sz w:val="20"/>
          <w:szCs w:val="20"/>
          <w:highlight w:val="none"/>
          <w:u w:val="single" w:color="auto"/>
        </w:rPr>
        <w:t>满</w:t>
      </w:r>
      <w:r>
        <w:rPr>
          <w:rFonts w:ascii="宋体" w:hAnsi="宋体" w:eastAsia="宋体" w:cs="宋体"/>
          <w:color w:val="auto"/>
          <w:spacing w:val="8"/>
          <w:sz w:val="20"/>
          <w:szCs w:val="20"/>
          <w:highlight w:val="none"/>
        </w:rPr>
        <w:t>之日起</w:t>
      </w:r>
      <w:r>
        <w:rPr>
          <w:rFonts w:ascii="宋体" w:hAnsi="宋体" w:eastAsia="宋体" w:cs="宋体"/>
          <w:color w:val="auto"/>
          <w:spacing w:val="8"/>
          <w:sz w:val="20"/>
          <w:szCs w:val="20"/>
          <w:highlight w:val="none"/>
          <w:u w:val="single" w:color="auto"/>
        </w:rPr>
        <w:t xml:space="preserve">    </w:t>
      </w:r>
      <w:r>
        <w:rPr>
          <w:rFonts w:ascii="宋体" w:hAnsi="宋体" w:eastAsia="宋体" w:cs="宋体"/>
          <w:color w:val="auto"/>
          <w:spacing w:val="-88"/>
          <w:sz w:val="20"/>
          <w:szCs w:val="20"/>
          <w:highlight w:val="none"/>
        </w:rPr>
        <w:t xml:space="preserve"> </w:t>
      </w:r>
      <w:r>
        <w:rPr>
          <w:rFonts w:ascii="宋体" w:hAnsi="宋体" w:eastAsia="宋体" w:cs="宋体"/>
          <w:color w:val="auto"/>
          <w:spacing w:val="8"/>
          <w:sz w:val="20"/>
          <w:szCs w:val="20"/>
          <w:highlight w:val="none"/>
        </w:rPr>
        <w:t>天</w:t>
      </w:r>
      <w:r>
        <w:rPr>
          <w:rFonts w:ascii="宋体" w:hAnsi="宋体" w:eastAsia="宋体" w:cs="宋体"/>
          <w:color w:val="auto"/>
          <w:spacing w:val="8"/>
          <w:sz w:val="20"/>
          <w:szCs w:val="20"/>
          <w:highlight w:val="none"/>
          <w:u w:val="single" w:color="auto"/>
        </w:rPr>
        <w:t>（按合同约定期限</w:t>
      </w:r>
      <w:r>
        <w:rPr>
          <w:rFonts w:ascii="宋体" w:hAnsi="宋体" w:eastAsia="宋体" w:cs="宋体"/>
          <w:color w:val="auto"/>
          <w:spacing w:val="-33"/>
          <w:sz w:val="20"/>
          <w:szCs w:val="20"/>
          <w:highlight w:val="none"/>
          <w:u w:val="single" w:color="auto"/>
        </w:rPr>
        <w:t>），</w:t>
      </w:r>
      <w:r>
        <w:rPr>
          <w:rFonts w:ascii="宋体" w:hAnsi="宋体" w:eastAsia="宋体" w:cs="宋体"/>
          <w:color w:val="auto"/>
          <w:spacing w:val="8"/>
          <w:sz w:val="20"/>
          <w:szCs w:val="20"/>
          <w:highlight w:val="none"/>
        </w:rPr>
        <w:t>发包人应退还剩余的质量保证金。</w:t>
      </w:r>
    </w:p>
    <w:p w14:paraId="59B6A03C">
      <w:pPr>
        <w:spacing w:before="164" w:line="229" w:lineRule="auto"/>
        <w:ind w:left="452"/>
        <w:rPr>
          <w:rFonts w:ascii="黑体" w:hAnsi="黑体" w:eastAsia="黑体" w:cs="黑体"/>
          <w:color w:val="auto"/>
          <w:sz w:val="20"/>
          <w:szCs w:val="20"/>
          <w:highlight w:val="none"/>
        </w:rPr>
      </w:pPr>
      <w:r>
        <w:rPr>
          <w:rFonts w:ascii="黑体" w:hAnsi="黑体" w:eastAsia="黑体" w:cs="黑体"/>
          <w:color w:val="auto"/>
          <w:spacing w:val="7"/>
          <w:sz w:val="20"/>
          <w:szCs w:val="20"/>
          <w:highlight w:val="none"/>
        </w:rPr>
        <w:t>四、质量保修责任</w:t>
      </w:r>
    </w:p>
    <w:p w14:paraId="70020B35">
      <w:pPr>
        <w:spacing w:before="160" w:line="302" w:lineRule="auto"/>
        <w:ind w:left="19" w:firstLine="435"/>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1．属于保修范围、</w:t>
      </w:r>
      <w:r>
        <w:rPr>
          <w:rFonts w:ascii="宋体" w:hAnsi="宋体" w:eastAsia="宋体" w:cs="宋体"/>
          <w:color w:val="auto"/>
          <w:spacing w:val="-53"/>
          <w:sz w:val="20"/>
          <w:szCs w:val="20"/>
          <w:highlight w:val="none"/>
        </w:rPr>
        <w:t xml:space="preserve"> </w:t>
      </w:r>
      <w:r>
        <w:rPr>
          <w:rFonts w:ascii="宋体" w:hAnsi="宋体" w:eastAsia="宋体" w:cs="宋体"/>
          <w:color w:val="auto"/>
          <w:spacing w:val="8"/>
          <w:sz w:val="20"/>
          <w:szCs w:val="20"/>
          <w:highlight w:val="none"/>
        </w:rPr>
        <w:t>内容的项目，承包人应当在接到保修通知之日起</w:t>
      </w:r>
      <w:r>
        <w:rPr>
          <w:rFonts w:ascii="宋体" w:hAnsi="宋体" w:eastAsia="宋体" w:cs="宋体"/>
          <w:color w:val="auto"/>
          <w:spacing w:val="-97"/>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83"/>
          <w:sz w:val="20"/>
          <w:szCs w:val="20"/>
          <w:highlight w:val="none"/>
        </w:rPr>
        <w:t xml:space="preserve"> </w:t>
      </w:r>
      <w:r>
        <w:rPr>
          <w:rFonts w:ascii="宋体" w:hAnsi="宋体" w:eastAsia="宋体" w:cs="宋体"/>
          <w:color w:val="auto"/>
          <w:spacing w:val="8"/>
          <w:sz w:val="20"/>
          <w:szCs w:val="20"/>
          <w:highlight w:val="none"/>
        </w:rPr>
        <w:t>天内派人保修。</w:t>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承包人不在约定期限内派人保修的，发包人可以委托他人修理，修理费用从质</w:t>
      </w:r>
      <w:r>
        <w:rPr>
          <w:rFonts w:ascii="宋体" w:hAnsi="宋体" w:eastAsia="宋体" w:cs="宋体"/>
          <w:color w:val="auto"/>
          <w:spacing w:val="7"/>
          <w:sz w:val="20"/>
          <w:szCs w:val="20"/>
          <w:highlight w:val="none"/>
        </w:rPr>
        <w:t>量保证金内扣除。</w:t>
      </w:r>
    </w:p>
    <w:p w14:paraId="15381FCD">
      <w:pPr>
        <w:spacing w:before="161" w:line="228" w:lineRule="auto"/>
        <w:ind w:left="44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2．发生紧急事故需抢修的，承包人在接到事故通知后，应当立即到达事故现场抢修。</w:t>
      </w:r>
    </w:p>
    <w:p w14:paraId="6C3F9001">
      <w:pPr>
        <w:spacing w:before="164" w:line="327" w:lineRule="auto"/>
        <w:ind w:left="19" w:right="68" w:firstLine="42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3．对于涉及结构安全的质量问题，应当按照《建设工程质量管理条例》的规定，立即向当</w:t>
      </w:r>
      <w:r>
        <w:rPr>
          <w:rFonts w:ascii="宋体" w:hAnsi="宋体" w:eastAsia="宋体" w:cs="宋体"/>
          <w:color w:val="auto"/>
          <w:spacing w:val="13"/>
          <w:sz w:val="20"/>
          <w:szCs w:val="20"/>
          <w:highlight w:val="none"/>
        </w:rPr>
        <w:t xml:space="preserve"> </w:t>
      </w:r>
      <w:r>
        <w:rPr>
          <w:rFonts w:ascii="宋体" w:hAnsi="宋体" w:eastAsia="宋体" w:cs="宋体"/>
          <w:color w:val="auto"/>
          <w:spacing w:val="11"/>
          <w:sz w:val="20"/>
          <w:szCs w:val="20"/>
          <w:highlight w:val="none"/>
        </w:rPr>
        <w:t>地建设行政主管部门和有关部门报告，采取安全防范措施，并由原设计人或者具有相应资质等</w:t>
      </w:r>
      <w:r>
        <w:rPr>
          <w:rFonts w:ascii="宋体" w:hAnsi="宋体" w:eastAsia="宋体" w:cs="宋体"/>
          <w:color w:val="auto"/>
          <w:spacing w:val="8"/>
          <w:sz w:val="20"/>
          <w:szCs w:val="20"/>
          <w:highlight w:val="none"/>
        </w:rPr>
        <w:t xml:space="preserve"> </w:t>
      </w:r>
      <w:r>
        <w:rPr>
          <w:rFonts w:ascii="宋体" w:hAnsi="宋体" w:eastAsia="宋体" w:cs="宋体"/>
          <w:color w:val="auto"/>
          <w:spacing w:val="9"/>
          <w:sz w:val="20"/>
          <w:szCs w:val="20"/>
          <w:highlight w:val="none"/>
        </w:rPr>
        <w:t>级的设计人提出保修方案，承包人实施保修。</w:t>
      </w:r>
    </w:p>
    <w:p w14:paraId="160E9F0B">
      <w:pPr>
        <w:spacing w:before="161" w:line="228" w:lineRule="auto"/>
        <w:ind w:left="43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4．质量保修完成后，由发包人组织验收。</w:t>
      </w:r>
    </w:p>
    <w:p w14:paraId="1F33A575">
      <w:pPr>
        <w:spacing w:before="161" w:line="230" w:lineRule="auto"/>
        <w:ind w:left="445"/>
        <w:rPr>
          <w:rFonts w:ascii="黑体" w:hAnsi="黑体" w:eastAsia="黑体" w:cs="黑体"/>
          <w:color w:val="auto"/>
          <w:sz w:val="20"/>
          <w:szCs w:val="20"/>
          <w:highlight w:val="none"/>
        </w:rPr>
      </w:pPr>
      <w:r>
        <w:rPr>
          <w:rFonts w:ascii="黑体" w:hAnsi="黑体" w:eastAsia="黑体" w:cs="黑体"/>
          <w:color w:val="auto"/>
          <w:spacing w:val="7"/>
          <w:sz w:val="20"/>
          <w:szCs w:val="20"/>
          <w:highlight w:val="none"/>
        </w:rPr>
        <w:t>五、保修费用</w:t>
      </w:r>
    </w:p>
    <w:p w14:paraId="65A7138E">
      <w:pPr>
        <w:spacing w:before="158" w:line="228" w:lineRule="auto"/>
        <w:ind w:left="44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保修费用由造成质量缺陷的责任方承担。</w:t>
      </w:r>
    </w:p>
    <w:p w14:paraId="5DF6C15B">
      <w:pPr>
        <w:spacing w:before="164" w:line="229" w:lineRule="auto"/>
        <w:ind w:left="446"/>
        <w:rPr>
          <w:rFonts w:ascii="黑体" w:hAnsi="黑体" w:eastAsia="黑体" w:cs="黑体"/>
          <w:color w:val="auto"/>
          <w:sz w:val="20"/>
          <w:szCs w:val="20"/>
          <w:highlight w:val="none"/>
        </w:rPr>
      </w:pPr>
      <w:r>
        <w:rPr>
          <w:rFonts w:ascii="黑体" w:hAnsi="黑体" w:eastAsia="黑体" w:cs="黑体"/>
          <w:color w:val="auto"/>
          <w:spacing w:val="9"/>
          <w:sz w:val="20"/>
          <w:szCs w:val="20"/>
          <w:highlight w:val="none"/>
        </w:rPr>
        <w:t>六、双方约定的其他工程质量保修事项：</w:t>
      </w:r>
      <w:r>
        <w:rPr>
          <w:rFonts w:ascii="黑体" w:hAnsi="黑体" w:eastAsia="黑体" w:cs="黑体"/>
          <w:color w:val="auto"/>
          <w:sz w:val="20"/>
          <w:szCs w:val="20"/>
          <w:highlight w:val="none"/>
          <w:u w:val="single" w:color="auto"/>
        </w:rPr>
        <w:t xml:space="preserve">                                             </w:t>
      </w:r>
    </w:p>
    <w:p w14:paraId="76EE2FE8">
      <w:pPr>
        <w:tabs>
          <w:tab w:val="left" w:pos="8305"/>
        </w:tabs>
        <w:spacing w:before="24" w:line="173" w:lineRule="auto"/>
        <w:ind w:left="0"/>
        <w:rPr>
          <w:rFonts w:ascii="宋体" w:hAnsi="宋体" w:eastAsia="宋体" w:cs="宋体"/>
          <w:color w:val="auto"/>
          <w:sz w:val="7"/>
          <w:szCs w:val="7"/>
          <w:highlight w:val="none"/>
        </w:rPr>
      </w:pPr>
      <w:r>
        <w:rPr>
          <w:rFonts w:ascii="宋体" w:hAnsi="宋体" w:eastAsia="宋体" w:cs="宋体"/>
          <w:color w:val="auto"/>
          <w:sz w:val="7"/>
          <w:szCs w:val="7"/>
          <w:highlight w:val="none"/>
          <w:u w:val="single" w:color="auto"/>
        </w:rPr>
        <w:tab/>
      </w:r>
      <w:r>
        <w:rPr>
          <w:rFonts w:ascii="宋体" w:hAnsi="宋体" w:eastAsia="宋体" w:cs="宋体"/>
          <w:color w:val="auto"/>
          <w:spacing w:val="-6"/>
          <w:sz w:val="7"/>
          <w:szCs w:val="7"/>
          <w:highlight w:val="none"/>
        </w:rPr>
        <w:t xml:space="preserve"> </w:t>
      </w:r>
      <w:r>
        <w:rPr>
          <w:rFonts w:ascii="宋体" w:hAnsi="宋体" w:eastAsia="宋体" w:cs="宋体"/>
          <w:color w:val="auto"/>
          <w:spacing w:val="10"/>
          <w:sz w:val="7"/>
          <w:szCs w:val="7"/>
          <w:highlight w:val="none"/>
        </w:rPr>
        <w:t>。</w:t>
      </w:r>
    </w:p>
    <w:p w14:paraId="00717376">
      <w:pPr>
        <w:spacing w:before="208" w:line="362" w:lineRule="auto"/>
        <w:ind w:left="24" w:right="68" w:firstLine="395"/>
        <w:rPr>
          <w:rFonts w:ascii="宋体" w:hAnsi="宋体" w:eastAsia="宋体" w:cs="宋体"/>
          <w:color w:val="auto"/>
          <w:sz w:val="20"/>
          <w:szCs w:val="20"/>
          <w:highlight w:val="none"/>
        </w:rPr>
      </w:pPr>
      <w:r>
        <w:rPr>
          <w:rFonts w:ascii="宋体" w:hAnsi="宋体" w:eastAsia="宋体" w:cs="宋体"/>
          <w:color w:val="auto"/>
          <w:spacing w:val="12"/>
          <w:sz w:val="20"/>
          <w:szCs w:val="20"/>
          <w:highlight w:val="none"/>
        </w:rPr>
        <w:t>工程质量保修书由发包人、承包人在工程竣工验收前共同签署，作</w:t>
      </w:r>
      <w:r>
        <w:rPr>
          <w:rFonts w:ascii="宋体" w:hAnsi="宋体" w:eastAsia="宋体" w:cs="宋体"/>
          <w:color w:val="auto"/>
          <w:spacing w:val="11"/>
          <w:sz w:val="20"/>
          <w:szCs w:val="20"/>
          <w:highlight w:val="none"/>
        </w:rPr>
        <w:t>为施工合同附件，其有</w:t>
      </w:r>
      <w:r>
        <w:rPr>
          <w:rFonts w:ascii="宋体" w:hAnsi="宋体" w:eastAsia="宋体" w:cs="宋体"/>
          <w:color w:val="auto"/>
          <w:sz w:val="20"/>
          <w:szCs w:val="20"/>
          <w:highlight w:val="none"/>
        </w:rPr>
        <w:t xml:space="preserve"> </w:t>
      </w:r>
      <w:r>
        <w:rPr>
          <w:rFonts w:ascii="宋体" w:hAnsi="宋体" w:eastAsia="宋体" w:cs="宋体"/>
          <w:color w:val="auto"/>
          <w:spacing w:val="7"/>
          <w:sz w:val="20"/>
          <w:szCs w:val="20"/>
          <w:highlight w:val="none"/>
        </w:rPr>
        <w:t>效期限至保修期满。</w:t>
      </w:r>
    </w:p>
    <w:p w14:paraId="6D5E4462">
      <w:pPr>
        <w:pStyle w:val="2"/>
        <w:spacing w:line="260" w:lineRule="auto"/>
        <w:rPr>
          <w:color w:val="auto"/>
          <w:highlight w:val="none"/>
        </w:rPr>
      </w:pPr>
    </w:p>
    <w:p w14:paraId="0940491C">
      <w:pPr>
        <w:pStyle w:val="2"/>
        <w:spacing w:line="260" w:lineRule="auto"/>
        <w:rPr>
          <w:color w:val="auto"/>
          <w:highlight w:val="none"/>
        </w:rPr>
      </w:pPr>
    </w:p>
    <w:p w14:paraId="01837DF3">
      <w:pPr>
        <w:pStyle w:val="2"/>
        <w:spacing w:line="260" w:lineRule="auto"/>
        <w:rPr>
          <w:color w:val="auto"/>
          <w:highlight w:val="none"/>
        </w:rPr>
      </w:pPr>
    </w:p>
    <w:p w14:paraId="08533477">
      <w:pPr>
        <w:spacing w:before="65" w:line="227" w:lineRule="auto"/>
        <w:ind w:left="23"/>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发包人（公章</w:t>
      </w:r>
      <w:r>
        <w:rPr>
          <w:rFonts w:ascii="宋体" w:hAnsi="宋体" w:eastAsia="宋体" w:cs="宋体"/>
          <w:color w:val="auto"/>
          <w:spacing w:val="-51"/>
          <w:sz w:val="20"/>
          <w:szCs w:val="20"/>
          <w:highlight w:val="none"/>
        </w:rPr>
        <w:t>）：</w:t>
      </w:r>
      <w:r>
        <w:rPr>
          <w:rFonts w:ascii="宋体" w:hAnsi="宋体" w:eastAsia="宋体" w:cs="宋体"/>
          <w:color w:val="auto"/>
          <w:spacing w:val="-76"/>
          <w:sz w:val="20"/>
          <w:szCs w:val="20"/>
          <w:highlight w:val="none"/>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6"/>
          <w:sz w:val="20"/>
          <w:szCs w:val="20"/>
          <w:highlight w:val="none"/>
        </w:rPr>
        <w:t xml:space="preserve">             </w:t>
      </w:r>
      <w:r>
        <w:rPr>
          <w:rFonts w:ascii="宋体" w:hAnsi="宋体" w:eastAsia="宋体" w:cs="宋体"/>
          <w:color w:val="auto"/>
          <w:spacing w:val="7"/>
          <w:sz w:val="20"/>
          <w:szCs w:val="20"/>
          <w:highlight w:val="none"/>
        </w:rPr>
        <w:t>承包人（公章</w:t>
      </w:r>
      <w:r>
        <w:rPr>
          <w:rFonts w:ascii="宋体" w:hAnsi="宋体" w:eastAsia="宋体" w:cs="宋体"/>
          <w:color w:val="auto"/>
          <w:spacing w:val="-51"/>
          <w:sz w:val="20"/>
          <w:szCs w:val="20"/>
          <w:highlight w:val="none"/>
        </w:rPr>
        <w:t>）：</w:t>
      </w:r>
      <w:r>
        <w:rPr>
          <w:rFonts w:ascii="宋体" w:hAnsi="宋体" w:eastAsia="宋体" w:cs="宋体"/>
          <w:color w:val="auto"/>
          <w:spacing w:val="-75"/>
          <w:sz w:val="20"/>
          <w:szCs w:val="20"/>
          <w:highlight w:val="none"/>
        </w:rPr>
        <w:t xml:space="preserve"> </w:t>
      </w:r>
      <w:r>
        <w:rPr>
          <w:rFonts w:ascii="宋体" w:hAnsi="宋体" w:eastAsia="宋体" w:cs="宋体"/>
          <w:color w:val="auto"/>
          <w:sz w:val="20"/>
          <w:szCs w:val="20"/>
          <w:highlight w:val="none"/>
          <w:u w:val="single" w:color="auto"/>
        </w:rPr>
        <w:t xml:space="preserve">               </w:t>
      </w:r>
    </w:p>
    <w:p w14:paraId="4496DA35">
      <w:pPr>
        <w:spacing w:before="165" w:line="237" w:lineRule="auto"/>
        <w:ind w:left="19"/>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地</w:t>
      </w:r>
      <w:r>
        <w:rPr>
          <w:rFonts w:ascii="宋体" w:hAnsi="宋体" w:eastAsia="宋体" w:cs="宋体"/>
          <w:color w:val="auto"/>
          <w:spacing w:val="10"/>
          <w:sz w:val="20"/>
          <w:szCs w:val="20"/>
          <w:highlight w:val="none"/>
        </w:rPr>
        <w:t xml:space="preserve">  </w:t>
      </w:r>
      <w:r>
        <w:rPr>
          <w:rFonts w:ascii="宋体" w:hAnsi="宋体" w:eastAsia="宋体" w:cs="宋体"/>
          <w:color w:val="auto"/>
          <w:spacing w:val="-3"/>
          <w:sz w:val="20"/>
          <w:szCs w:val="20"/>
          <w:highlight w:val="none"/>
        </w:rPr>
        <w:t>址</w:t>
      </w:r>
      <w:r>
        <w:rPr>
          <w:rFonts w:ascii="宋体" w:hAnsi="宋体" w:eastAsia="宋体" w:cs="宋体"/>
          <w:color w:val="auto"/>
          <w:spacing w:val="-74"/>
          <w:sz w:val="20"/>
          <w:szCs w:val="2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3"/>
          <w:sz w:val="20"/>
          <w:szCs w:val="20"/>
          <w:highlight w:val="none"/>
        </w:rPr>
        <w:t xml:space="preserve">               地</w:t>
      </w:r>
      <w:r>
        <w:rPr>
          <w:rFonts w:ascii="宋体" w:hAnsi="宋体" w:eastAsia="宋体" w:cs="宋体"/>
          <w:color w:val="auto"/>
          <w:spacing w:val="11"/>
          <w:sz w:val="20"/>
          <w:szCs w:val="20"/>
          <w:highlight w:val="none"/>
        </w:rPr>
        <w:t xml:space="preserve">  </w:t>
      </w:r>
      <w:r>
        <w:rPr>
          <w:rFonts w:ascii="宋体" w:hAnsi="宋体" w:eastAsia="宋体" w:cs="宋体"/>
          <w:color w:val="auto"/>
          <w:spacing w:val="-3"/>
          <w:sz w:val="20"/>
          <w:szCs w:val="20"/>
          <w:highlight w:val="none"/>
        </w:rPr>
        <w:t>址</w:t>
      </w:r>
      <w:r>
        <w:rPr>
          <w:rFonts w:ascii="宋体" w:hAnsi="宋体" w:eastAsia="宋体" w:cs="宋体"/>
          <w:color w:val="auto"/>
          <w:spacing w:val="-73"/>
          <w:sz w:val="20"/>
          <w:szCs w:val="2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4"/>
          <w:sz w:val="20"/>
          <w:szCs w:val="20"/>
          <w:highlight w:val="none"/>
          <w:u w:val="single" w:color="auto"/>
        </w:rPr>
        <w:t xml:space="preserve">                     </w:t>
      </w:r>
    </w:p>
    <w:p w14:paraId="4989DA1E">
      <w:pPr>
        <w:spacing w:before="65" w:line="228" w:lineRule="auto"/>
        <w:ind w:left="20"/>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法定代表人（签字</w:t>
      </w:r>
      <w:r>
        <w:rPr>
          <w:rFonts w:ascii="宋体" w:hAnsi="宋体" w:eastAsia="宋体" w:cs="宋体"/>
          <w:color w:val="auto"/>
          <w:spacing w:val="-52"/>
          <w:sz w:val="20"/>
          <w:szCs w:val="20"/>
          <w:highlight w:val="none"/>
        </w:rPr>
        <w:t>）：</w:t>
      </w:r>
      <w:r>
        <w:rPr>
          <w:rFonts w:ascii="宋体" w:hAnsi="宋体" w:eastAsia="宋体" w:cs="宋体"/>
          <w:color w:val="auto"/>
          <w:spacing w:val="-74"/>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6"/>
          <w:sz w:val="20"/>
          <w:szCs w:val="20"/>
          <w:highlight w:val="none"/>
        </w:rPr>
        <w:t xml:space="preserve">              </w:t>
      </w:r>
      <w:r>
        <w:rPr>
          <w:rFonts w:ascii="宋体" w:hAnsi="宋体" w:eastAsia="宋体" w:cs="宋体"/>
          <w:color w:val="auto"/>
          <w:spacing w:val="8"/>
          <w:sz w:val="20"/>
          <w:szCs w:val="20"/>
          <w:highlight w:val="none"/>
        </w:rPr>
        <w:t>法定代表人（签字</w:t>
      </w:r>
      <w:r>
        <w:rPr>
          <w:rFonts w:ascii="宋体" w:hAnsi="宋体" w:eastAsia="宋体" w:cs="宋体"/>
          <w:color w:val="auto"/>
          <w:spacing w:val="-52"/>
          <w:sz w:val="20"/>
          <w:szCs w:val="20"/>
          <w:highlight w:val="none"/>
        </w:rPr>
        <w:t>）：</w:t>
      </w:r>
      <w:r>
        <w:rPr>
          <w:rFonts w:ascii="宋体" w:hAnsi="宋体" w:eastAsia="宋体" w:cs="宋体"/>
          <w:color w:val="auto"/>
          <w:spacing w:val="-72"/>
          <w:sz w:val="20"/>
          <w:szCs w:val="20"/>
          <w:highlight w:val="none"/>
        </w:rPr>
        <w:t xml:space="preserve"> </w:t>
      </w:r>
      <w:r>
        <w:rPr>
          <w:rFonts w:ascii="宋体" w:hAnsi="宋体" w:eastAsia="宋体" w:cs="宋体"/>
          <w:color w:val="auto"/>
          <w:sz w:val="20"/>
          <w:szCs w:val="20"/>
          <w:highlight w:val="none"/>
          <w:u w:val="single" w:color="auto"/>
        </w:rPr>
        <w:t xml:space="preserve">          </w:t>
      </w:r>
    </w:p>
    <w:p w14:paraId="4B6AA1DC">
      <w:pPr>
        <w:spacing w:before="161" w:line="228" w:lineRule="auto"/>
        <w:ind w:left="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委托代理人（签字</w:t>
      </w:r>
      <w:r>
        <w:rPr>
          <w:rFonts w:ascii="宋体" w:hAnsi="宋体" w:eastAsia="宋体" w:cs="宋体"/>
          <w:color w:val="auto"/>
          <w:spacing w:val="-51"/>
          <w:sz w:val="20"/>
          <w:szCs w:val="20"/>
          <w:highlight w:val="none"/>
        </w:rPr>
        <w:t>）：</w:t>
      </w:r>
      <w:r>
        <w:rPr>
          <w:rFonts w:ascii="宋体" w:hAnsi="宋体" w:eastAsia="宋体" w:cs="宋体"/>
          <w:color w:val="auto"/>
          <w:spacing w:val="-75"/>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6"/>
          <w:sz w:val="20"/>
          <w:szCs w:val="20"/>
          <w:highlight w:val="none"/>
        </w:rPr>
        <w:t xml:space="preserve">              </w:t>
      </w:r>
      <w:r>
        <w:rPr>
          <w:rFonts w:ascii="宋体" w:hAnsi="宋体" w:eastAsia="宋体" w:cs="宋体"/>
          <w:color w:val="auto"/>
          <w:spacing w:val="8"/>
          <w:sz w:val="20"/>
          <w:szCs w:val="20"/>
          <w:highlight w:val="none"/>
        </w:rPr>
        <w:t>委托代理人（签字</w:t>
      </w:r>
      <w:r>
        <w:rPr>
          <w:rFonts w:ascii="宋体" w:hAnsi="宋体" w:eastAsia="宋体" w:cs="宋体"/>
          <w:color w:val="auto"/>
          <w:spacing w:val="-51"/>
          <w:sz w:val="20"/>
          <w:szCs w:val="20"/>
          <w:highlight w:val="none"/>
        </w:rPr>
        <w:t>）：</w:t>
      </w:r>
      <w:r>
        <w:rPr>
          <w:rFonts w:ascii="宋体" w:hAnsi="宋体" w:eastAsia="宋体" w:cs="宋体"/>
          <w:color w:val="auto"/>
          <w:spacing w:val="-73"/>
          <w:sz w:val="20"/>
          <w:szCs w:val="20"/>
          <w:highlight w:val="none"/>
        </w:rPr>
        <w:t xml:space="preserve"> </w:t>
      </w:r>
      <w:r>
        <w:rPr>
          <w:rFonts w:ascii="宋体" w:hAnsi="宋体" w:eastAsia="宋体" w:cs="宋体"/>
          <w:color w:val="auto"/>
          <w:sz w:val="20"/>
          <w:szCs w:val="20"/>
          <w:highlight w:val="none"/>
          <w:u w:val="single" w:color="auto"/>
        </w:rPr>
        <w:t xml:space="preserve">          </w:t>
      </w:r>
    </w:p>
    <w:p w14:paraId="192281AE">
      <w:pPr>
        <w:spacing w:before="163" w:line="230" w:lineRule="auto"/>
        <w:ind w:left="44"/>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电</w:t>
      </w:r>
      <w:r>
        <w:rPr>
          <w:rFonts w:ascii="宋体" w:hAnsi="宋体" w:eastAsia="宋体" w:cs="宋体"/>
          <w:color w:val="auto"/>
          <w:spacing w:val="11"/>
          <w:sz w:val="20"/>
          <w:szCs w:val="20"/>
          <w:highlight w:val="none"/>
        </w:rPr>
        <w:t xml:space="preserve">  </w:t>
      </w:r>
      <w:r>
        <w:rPr>
          <w:rFonts w:ascii="宋体" w:hAnsi="宋体" w:eastAsia="宋体" w:cs="宋体"/>
          <w:color w:val="auto"/>
          <w:spacing w:val="-8"/>
          <w:sz w:val="20"/>
          <w:szCs w:val="20"/>
          <w:highlight w:val="none"/>
        </w:rPr>
        <w:t>话</w:t>
      </w:r>
      <w:r>
        <w:rPr>
          <w:rFonts w:ascii="宋体" w:hAnsi="宋体" w:eastAsia="宋体" w:cs="宋体"/>
          <w:color w:val="auto"/>
          <w:spacing w:val="-74"/>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8"/>
          <w:sz w:val="20"/>
          <w:szCs w:val="20"/>
          <w:highlight w:val="none"/>
        </w:rPr>
        <w:t xml:space="preserve">                电</w:t>
      </w:r>
      <w:r>
        <w:rPr>
          <w:rFonts w:ascii="宋体" w:hAnsi="宋体" w:eastAsia="宋体" w:cs="宋体"/>
          <w:color w:val="auto"/>
          <w:spacing w:val="11"/>
          <w:sz w:val="20"/>
          <w:szCs w:val="20"/>
          <w:highlight w:val="none"/>
        </w:rPr>
        <w:t xml:space="preserve">  </w:t>
      </w:r>
      <w:r>
        <w:rPr>
          <w:rFonts w:ascii="宋体" w:hAnsi="宋体" w:eastAsia="宋体" w:cs="宋体"/>
          <w:color w:val="auto"/>
          <w:spacing w:val="-8"/>
          <w:sz w:val="20"/>
          <w:szCs w:val="20"/>
          <w:highlight w:val="none"/>
        </w:rPr>
        <w:t>话</w:t>
      </w:r>
      <w:r>
        <w:rPr>
          <w:rFonts w:ascii="宋体" w:hAnsi="宋体" w:eastAsia="宋体" w:cs="宋体"/>
          <w:color w:val="auto"/>
          <w:spacing w:val="-74"/>
          <w:sz w:val="20"/>
          <w:szCs w:val="20"/>
          <w:highlight w:val="none"/>
        </w:rPr>
        <w:t xml:space="preserve"> </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u w:val="single" w:color="auto"/>
        </w:rPr>
        <w:t xml:space="preserve">                     </w:t>
      </w:r>
    </w:p>
    <w:p w14:paraId="673AB709">
      <w:pPr>
        <w:spacing w:before="158" w:line="227" w:lineRule="auto"/>
        <w:ind w:left="18"/>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传</w:t>
      </w:r>
      <w:r>
        <w:rPr>
          <w:rFonts w:ascii="宋体" w:hAnsi="宋体" w:eastAsia="宋体" w:cs="宋体"/>
          <w:color w:val="auto"/>
          <w:spacing w:val="11"/>
          <w:sz w:val="20"/>
          <w:szCs w:val="20"/>
          <w:highlight w:val="none"/>
        </w:rPr>
        <w:t xml:space="preserve">  </w:t>
      </w:r>
      <w:r>
        <w:rPr>
          <w:rFonts w:ascii="宋体" w:hAnsi="宋体" w:eastAsia="宋体" w:cs="宋体"/>
          <w:color w:val="auto"/>
          <w:spacing w:val="-3"/>
          <w:sz w:val="20"/>
          <w:szCs w:val="20"/>
          <w:highlight w:val="none"/>
        </w:rPr>
        <w:t>真</w:t>
      </w:r>
      <w:r>
        <w:rPr>
          <w:rFonts w:ascii="宋体" w:hAnsi="宋体" w:eastAsia="宋体" w:cs="宋体"/>
          <w:color w:val="auto"/>
          <w:spacing w:val="-74"/>
          <w:sz w:val="20"/>
          <w:szCs w:val="20"/>
          <w:highlight w:val="none"/>
        </w:rPr>
        <w:t xml:space="preserve"> </w:t>
      </w:r>
      <w:r>
        <w:rPr>
          <w:rFonts w:ascii="宋体" w:hAnsi="宋体" w:eastAsia="宋体" w:cs="宋体"/>
          <w:color w:val="auto"/>
          <w:spacing w:val="-3"/>
          <w:sz w:val="20"/>
          <w:szCs w:val="20"/>
          <w:highlight w:val="none"/>
        </w:rPr>
        <w:t>：</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3"/>
          <w:sz w:val="20"/>
          <w:szCs w:val="20"/>
          <w:highlight w:val="none"/>
        </w:rPr>
        <w:t xml:space="preserve">               传</w:t>
      </w:r>
      <w:r>
        <w:rPr>
          <w:rFonts w:ascii="宋体" w:hAnsi="宋体" w:eastAsia="宋体" w:cs="宋体"/>
          <w:color w:val="auto"/>
          <w:spacing w:val="12"/>
          <w:sz w:val="20"/>
          <w:szCs w:val="20"/>
          <w:highlight w:val="none"/>
        </w:rPr>
        <w:t xml:space="preserve">  </w:t>
      </w:r>
      <w:r>
        <w:rPr>
          <w:rFonts w:ascii="宋体" w:hAnsi="宋体" w:eastAsia="宋体" w:cs="宋体"/>
          <w:color w:val="auto"/>
          <w:spacing w:val="-3"/>
          <w:sz w:val="20"/>
          <w:szCs w:val="20"/>
          <w:highlight w:val="none"/>
        </w:rPr>
        <w:t>真</w:t>
      </w:r>
      <w:r>
        <w:rPr>
          <w:rFonts w:ascii="宋体" w:hAnsi="宋体" w:eastAsia="宋体" w:cs="宋体"/>
          <w:color w:val="auto"/>
          <w:spacing w:val="-74"/>
          <w:sz w:val="20"/>
          <w:szCs w:val="20"/>
          <w:highlight w:val="none"/>
        </w:rPr>
        <w:t xml:space="preserve"> </w:t>
      </w:r>
      <w:r>
        <w:rPr>
          <w:rFonts w:ascii="宋体" w:hAnsi="宋体" w:eastAsia="宋体" w:cs="宋体"/>
          <w:color w:val="auto"/>
          <w:spacing w:val="-4"/>
          <w:sz w:val="20"/>
          <w:szCs w:val="20"/>
          <w:highlight w:val="none"/>
        </w:rPr>
        <w:t>：</w:t>
      </w:r>
      <w:r>
        <w:rPr>
          <w:rFonts w:ascii="宋体" w:hAnsi="宋体" w:eastAsia="宋体" w:cs="宋体"/>
          <w:color w:val="auto"/>
          <w:spacing w:val="-4"/>
          <w:sz w:val="20"/>
          <w:szCs w:val="20"/>
          <w:highlight w:val="none"/>
          <w:u w:val="single" w:color="auto"/>
        </w:rPr>
        <w:t xml:space="preserve">                      </w:t>
      </w:r>
    </w:p>
    <w:p w14:paraId="5D26377E">
      <w:pPr>
        <w:spacing w:before="162" w:line="228" w:lineRule="auto"/>
        <w:ind w:left="20"/>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开户银行：</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4"/>
          <w:sz w:val="20"/>
          <w:szCs w:val="20"/>
          <w:highlight w:val="none"/>
        </w:rPr>
        <w:t xml:space="preserve">              开户银行：</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01AD3D06">
      <w:pPr>
        <w:spacing w:before="161" w:line="229" w:lineRule="auto"/>
        <w:ind w:left="2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账</w:t>
      </w:r>
      <w:r>
        <w:rPr>
          <w:rFonts w:ascii="宋体" w:hAnsi="宋体" w:eastAsia="宋体" w:cs="宋体"/>
          <w:color w:val="auto"/>
          <w:spacing w:val="12"/>
          <w:sz w:val="20"/>
          <w:szCs w:val="20"/>
          <w:highlight w:val="none"/>
        </w:rPr>
        <w:t xml:space="preserve">  </w:t>
      </w:r>
      <w:r>
        <w:rPr>
          <w:rFonts w:ascii="宋体" w:hAnsi="宋体" w:eastAsia="宋体" w:cs="宋体"/>
          <w:color w:val="auto"/>
          <w:spacing w:val="-5"/>
          <w:sz w:val="20"/>
          <w:szCs w:val="20"/>
          <w:highlight w:val="none"/>
        </w:rPr>
        <w:t>号</w:t>
      </w:r>
      <w:r>
        <w:rPr>
          <w:rFonts w:ascii="宋体" w:hAnsi="宋体" w:eastAsia="宋体" w:cs="宋体"/>
          <w:color w:val="auto"/>
          <w:spacing w:val="-74"/>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6"/>
          <w:sz w:val="20"/>
          <w:szCs w:val="20"/>
          <w:highlight w:val="none"/>
        </w:rPr>
        <w:t xml:space="preserve">              </w:t>
      </w:r>
      <w:r>
        <w:rPr>
          <w:rFonts w:ascii="宋体" w:hAnsi="宋体" w:eastAsia="宋体" w:cs="宋体"/>
          <w:color w:val="auto"/>
          <w:spacing w:val="-5"/>
          <w:sz w:val="20"/>
          <w:szCs w:val="20"/>
          <w:highlight w:val="none"/>
        </w:rPr>
        <w:t>账</w:t>
      </w:r>
      <w:r>
        <w:rPr>
          <w:rFonts w:ascii="宋体" w:hAnsi="宋体" w:eastAsia="宋体" w:cs="宋体"/>
          <w:color w:val="auto"/>
          <w:spacing w:val="17"/>
          <w:sz w:val="20"/>
          <w:szCs w:val="20"/>
          <w:highlight w:val="none"/>
        </w:rPr>
        <w:t xml:space="preserve">  </w:t>
      </w:r>
      <w:r>
        <w:rPr>
          <w:rFonts w:ascii="宋体" w:hAnsi="宋体" w:eastAsia="宋体" w:cs="宋体"/>
          <w:color w:val="auto"/>
          <w:spacing w:val="-5"/>
          <w:sz w:val="20"/>
          <w:szCs w:val="20"/>
          <w:highlight w:val="none"/>
        </w:rPr>
        <w:t>号</w:t>
      </w:r>
      <w:r>
        <w:rPr>
          <w:rFonts w:ascii="宋体" w:hAnsi="宋体" w:eastAsia="宋体" w:cs="宋体"/>
          <w:color w:val="auto"/>
          <w:spacing w:val="-73"/>
          <w:sz w:val="20"/>
          <w:szCs w:val="20"/>
          <w:highlight w:val="none"/>
        </w:rPr>
        <w:t xml:space="preserve"> </w:t>
      </w:r>
      <w:r>
        <w:rPr>
          <w:rFonts w:ascii="宋体" w:hAnsi="宋体" w:eastAsia="宋体" w:cs="宋体"/>
          <w:color w:val="auto"/>
          <w:spacing w:val="-5"/>
          <w:sz w:val="20"/>
          <w:szCs w:val="20"/>
          <w:highlight w:val="none"/>
        </w:rPr>
        <w:t>：</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6"/>
          <w:sz w:val="20"/>
          <w:szCs w:val="20"/>
          <w:highlight w:val="none"/>
          <w:u w:val="single" w:color="auto"/>
        </w:rPr>
        <w:t xml:space="preserve">      </w:t>
      </w:r>
    </w:p>
    <w:p w14:paraId="1DC0AE40">
      <w:pPr>
        <w:spacing w:before="162" w:line="228" w:lineRule="auto"/>
        <w:ind w:left="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邮政编码：</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
          <w:sz w:val="20"/>
          <w:szCs w:val="20"/>
          <w:highlight w:val="none"/>
        </w:rPr>
        <w:t xml:space="preserve">              </w:t>
      </w:r>
      <w:r>
        <w:rPr>
          <w:rFonts w:ascii="宋体" w:hAnsi="宋体" w:eastAsia="宋体" w:cs="宋体"/>
          <w:color w:val="auto"/>
          <w:spacing w:val="4"/>
          <w:sz w:val="20"/>
          <w:szCs w:val="20"/>
          <w:highlight w:val="none"/>
        </w:rPr>
        <w:t>邮政编码：</w:t>
      </w:r>
      <w:r>
        <w:rPr>
          <w:rFonts w:ascii="宋体" w:hAnsi="宋体" w:eastAsia="宋体" w:cs="宋体"/>
          <w:color w:val="auto"/>
          <w:sz w:val="20"/>
          <w:szCs w:val="20"/>
          <w:highlight w:val="none"/>
          <w:u w:val="single" w:color="auto"/>
        </w:rPr>
        <w:t xml:space="preserve">                   </w:t>
      </w:r>
    </w:p>
    <w:p w14:paraId="51AEFE6C">
      <w:pPr>
        <w:spacing w:line="228" w:lineRule="auto"/>
        <w:rPr>
          <w:rFonts w:ascii="宋体" w:hAnsi="宋体" w:eastAsia="宋体" w:cs="宋体"/>
          <w:color w:val="auto"/>
          <w:sz w:val="20"/>
          <w:szCs w:val="20"/>
          <w:highlight w:val="none"/>
        </w:rPr>
        <w:sectPr>
          <w:headerReference r:id="rId61" w:type="default"/>
          <w:footerReference r:id="rId62" w:type="default"/>
          <w:pgSz w:w="11907" w:h="16840"/>
          <w:pgMar w:top="1270" w:right="1786" w:bottom="1271" w:left="1786" w:header="0" w:footer="1106" w:gutter="0"/>
          <w:pgNumType w:fmt="decimal"/>
          <w:cols w:space="720" w:num="1"/>
        </w:sectPr>
      </w:pPr>
    </w:p>
    <w:p w14:paraId="0DEFEB45">
      <w:pPr>
        <w:spacing w:before="41" w:line="227" w:lineRule="auto"/>
        <w:ind w:left="17"/>
        <w:rPr>
          <w:rFonts w:ascii="宋体" w:hAnsi="宋体" w:eastAsia="宋体" w:cs="宋体"/>
          <w:color w:val="auto"/>
          <w:sz w:val="20"/>
          <w:szCs w:val="20"/>
          <w:highlight w:val="none"/>
        </w:rPr>
      </w:pPr>
      <w:bookmarkStart w:id="444" w:name="bookmark13"/>
      <w:bookmarkEnd w:id="444"/>
      <w:bookmarkStart w:id="445" w:name="_Toc9680"/>
      <w:bookmarkStart w:id="446" w:name="_Toc27459"/>
      <w:bookmarkStart w:id="447" w:name="_Toc1782"/>
      <w:bookmarkStart w:id="448" w:name="_Toc20525"/>
      <w:r>
        <w:rPr>
          <w:rFonts w:ascii="宋体" w:hAnsi="宋体" w:eastAsia="宋体" w:cs="宋体"/>
          <w:color w:val="auto"/>
          <w:spacing w:val="-3"/>
          <w:sz w:val="20"/>
          <w:szCs w:val="20"/>
          <w:highlight w:val="none"/>
        </w:rPr>
        <w:t>附件</w:t>
      </w:r>
      <w:r>
        <w:rPr>
          <w:rFonts w:ascii="宋体" w:hAnsi="宋体" w:eastAsia="宋体" w:cs="宋体"/>
          <w:color w:val="auto"/>
          <w:spacing w:val="-37"/>
          <w:sz w:val="20"/>
          <w:szCs w:val="20"/>
          <w:highlight w:val="none"/>
        </w:rPr>
        <w:t xml:space="preserve"> </w:t>
      </w:r>
      <w:r>
        <w:rPr>
          <w:rFonts w:hint="eastAsia" w:ascii="宋体" w:hAnsi="宋体" w:eastAsia="宋体" w:cs="宋体"/>
          <w:color w:val="auto"/>
          <w:spacing w:val="-3"/>
          <w:sz w:val="20"/>
          <w:szCs w:val="20"/>
          <w:highlight w:val="none"/>
          <w:lang w:val="en-US" w:eastAsia="zh-CN"/>
        </w:rPr>
        <w:t>10</w:t>
      </w:r>
      <w:r>
        <w:rPr>
          <w:rFonts w:ascii="宋体" w:hAnsi="宋体" w:eastAsia="宋体" w:cs="宋体"/>
          <w:color w:val="auto"/>
          <w:spacing w:val="-3"/>
          <w:sz w:val="20"/>
          <w:szCs w:val="20"/>
          <w:highlight w:val="none"/>
        </w:rPr>
        <w:t>：</w:t>
      </w:r>
    </w:p>
    <w:p w14:paraId="00EDC359">
      <w:pPr>
        <w:spacing w:line="360" w:lineRule="auto"/>
        <w:jc w:val="center"/>
        <w:rPr>
          <w:rFonts w:hint="eastAsia" w:ascii="宋体" w:hAnsi="宋体"/>
          <w:b/>
          <w:bCs/>
          <w:color w:val="auto"/>
          <w:sz w:val="32"/>
          <w:szCs w:val="32"/>
          <w:highlight w:val="none"/>
        </w:rPr>
      </w:pPr>
    </w:p>
    <w:p w14:paraId="3DF4C640">
      <w:pPr>
        <w:jc w:val="center"/>
        <w:rPr>
          <w:rFonts w:hint="eastAsia"/>
          <w:b/>
          <w:color w:val="auto"/>
          <w:sz w:val="36"/>
          <w:szCs w:val="36"/>
          <w:highlight w:val="none"/>
        </w:rPr>
      </w:pPr>
      <w:r>
        <w:rPr>
          <w:rFonts w:hint="eastAsia"/>
          <w:b/>
          <w:color w:val="auto"/>
          <w:sz w:val="36"/>
          <w:szCs w:val="36"/>
          <w:highlight w:val="none"/>
        </w:rPr>
        <w:t>预付款支付申请（核准）表</w:t>
      </w:r>
    </w:p>
    <w:p w14:paraId="306CCDC8">
      <w:pPr>
        <w:rPr>
          <w:rFonts w:hint="eastAsia"/>
          <w:color w:val="auto"/>
          <w:sz w:val="24"/>
          <w:szCs w:val="24"/>
          <w:highlight w:val="none"/>
        </w:rPr>
      </w:pPr>
      <w:r>
        <w:rPr>
          <w:rFonts w:hint="eastAsia"/>
          <w:color w:val="auto"/>
          <w:sz w:val="24"/>
          <w:szCs w:val="24"/>
          <w:highlight w:val="none"/>
        </w:rPr>
        <w:t>工程名称：                                             编号：</w:t>
      </w:r>
    </w:p>
    <w:tbl>
      <w:tblPr>
        <w:tblStyle w:val="1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8"/>
        <w:gridCol w:w="4697"/>
      </w:tblGrid>
      <w:tr w14:paraId="1C442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noWrap w:val="0"/>
            <w:vAlign w:val="top"/>
          </w:tcPr>
          <w:p w14:paraId="41AB7659">
            <w:pPr>
              <w:spacing w:line="480" w:lineRule="exact"/>
              <w:ind w:left="525" w:leftChars="149" w:hanging="212" w:hangingChars="101"/>
              <w:rPr>
                <w:rFonts w:hint="eastAsia"/>
                <w:color w:val="auto"/>
                <w:highlight w:val="none"/>
                <w:u w:val="single"/>
              </w:rPr>
            </w:pPr>
            <w:r>
              <w:rPr>
                <w:rFonts w:hint="eastAsia"/>
                <w:color w:val="auto"/>
                <w:highlight w:val="none"/>
              </w:rPr>
              <w:t>致：</w:t>
            </w:r>
            <w:r>
              <w:rPr>
                <w:rFonts w:hint="eastAsia"/>
                <w:color w:val="auto"/>
                <w:highlight w:val="none"/>
                <w:u w:val="single"/>
              </w:rPr>
              <w:t xml:space="preserve">                                   （发包人全称）</w:t>
            </w:r>
          </w:p>
          <w:p w14:paraId="3C4162FB">
            <w:pPr>
              <w:spacing w:line="400" w:lineRule="exact"/>
              <w:ind w:left="-4" w:leftChars="-2" w:firstLine="315" w:firstLineChars="150"/>
              <w:rPr>
                <w:rFonts w:hint="eastAsia"/>
                <w:color w:val="auto"/>
                <w:highlight w:val="none"/>
              </w:rPr>
            </w:pPr>
            <w:r>
              <w:rPr>
                <w:rFonts w:hint="eastAsia"/>
                <w:color w:val="auto"/>
                <w:highlight w:val="none"/>
              </w:rPr>
              <w:t>我方根据施工合同的约定，现申请支付工程预付款额为(大写)</w:t>
            </w:r>
            <w:r>
              <w:rPr>
                <w:rFonts w:hint="eastAsia"/>
                <w:color w:val="auto"/>
                <w:highlight w:val="none"/>
                <w:u w:val="single"/>
              </w:rPr>
              <w:t xml:space="preserve">            </w:t>
            </w:r>
            <w:r>
              <w:rPr>
                <w:rFonts w:hint="eastAsia"/>
                <w:color w:val="auto"/>
                <w:highlight w:val="none"/>
              </w:rPr>
              <w:t>元，(小写)</w:t>
            </w:r>
          </w:p>
          <w:p w14:paraId="4537E0EF">
            <w:pPr>
              <w:spacing w:line="400" w:lineRule="exact"/>
              <w:rPr>
                <w:rFonts w:hint="eastAsia"/>
                <w:color w:val="auto"/>
                <w:highlight w:val="none"/>
              </w:rPr>
            </w:pPr>
            <w:r>
              <w:rPr>
                <w:rFonts w:hint="eastAsia"/>
                <w:color w:val="auto"/>
                <w:highlight w:val="none"/>
                <w:u w:val="single"/>
              </w:rPr>
              <w:t xml:space="preserve">         </w:t>
            </w:r>
            <w:r>
              <w:rPr>
                <w:rFonts w:hint="eastAsia"/>
                <w:color w:val="auto"/>
                <w:highlight w:val="none"/>
              </w:rPr>
              <w:t>元，请予核准。</w:t>
            </w:r>
          </w:p>
          <w:tbl>
            <w:tblPr>
              <w:tblStyle w:val="11"/>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14:paraId="67755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noWrap w:val="0"/>
                  <w:vAlign w:val="center"/>
                </w:tcPr>
                <w:p w14:paraId="271B3B3C">
                  <w:pPr>
                    <w:spacing w:line="280" w:lineRule="exact"/>
                    <w:jc w:val="center"/>
                    <w:rPr>
                      <w:rFonts w:hint="eastAsia"/>
                      <w:color w:val="auto"/>
                      <w:highlight w:val="none"/>
                    </w:rPr>
                  </w:pPr>
                  <w:r>
                    <w:rPr>
                      <w:rFonts w:hint="eastAsia"/>
                      <w:color w:val="auto"/>
                      <w:highlight w:val="none"/>
                    </w:rPr>
                    <w:t>序号</w:t>
                  </w:r>
                </w:p>
              </w:tc>
              <w:tc>
                <w:tcPr>
                  <w:tcW w:w="3340" w:type="dxa"/>
                  <w:noWrap w:val="0"/>
                  <w:vAlign w:val="center"/>
                </w:tcPr>
                <w:p w14:paraId="2B0C65B3">
                  <w:pPr>
                    <w:spacing w:line="280" w:lineRule="exact"/>
                    <w:jc w:val="center"/>
                    <w:rPr>
                      <w:rFonts w:hint="eastAsia"/>
                      <w:color w:val="auto"/>
                      <w:highlight w:val="none"/>
                    </w:rPr>
                  </w:pPr>
                  <w:r>
                    <w:rPr>
                      <w:rFonts w:hint="eastAsia"/>
                      <w:color w:val="auto"/>
                      <w:highlight w:val="none"/>
                    </w:rPr>
                    <w:t>名      称</w:t>
                  </w:r>
                </w:p>
              </w:tc>
              <w:tc>
                <w:tcPr>
                  <w:tcW w:w="1764" w:type="dxa"/>
                  <w:noWrap w:val="0"/>
                  <w:vAlign w:val="center"/>
                </w:tcPr>
                <w:p w14:paraId="6CFB6725">
                  <w:pPr>
                    <w:spacing w:line="280" w:lineRule="exact"/>
                    <w:jc w:val="center"/>
                    <w:rPr>
                      <w:rFonts w:hint="eastAsia"/>
                      <w:color w:val="auto"/>
                      <w:highlight w:val="none"/>
                    </w:rPr>
                  </w:pPr>
                  <w:r>
                    <w:rPr>
                      <w:rFonts w:hint="eastAsia"/>
                      <w:color w:val="auto"/>
                      <w:highlight w:val="none"/>
                    </w:rPr>
                    <w:t>申请金额（元）</w:t>
                  </w:r>
                </w:p>
              </w:tc>
              <w:tc>
                <w:tcPr>
                  <w:tcW w:w="2240" w:type="dxa"/>
                  <w:noWrap w:val="0"/>
                  <w:vAlign w:val="center"/>
                </w:tcPr>
                <w:p w14:paraId="32A59896">
                  <w:pPr>
                    <w:spacing w:line="280" w:lineRule="exact"/>
                    <w:jc w:val="center"/>
                    <w:rPr>
                      <w:rFonts w:hint="eastAsia"/>
                      <w:color w:val="auto"/>
                      <w:highlight w:val="none"/>
                    </w:rPr>
                  </w:pPr>
                  <w:r>
                    <w:rPr>
                      <w:rFonts w:hint="eastAsia"/>
                      <w:color w:val="auto"/>
                      <w:highlight w:val="none"/>
                    </w:rPr>
                    <w:t>复核金额（元）</w:t>
                  </w:r>
                </w:p>
              </w:tc>
              <w:tc>
                <w:tcPr>
                  <w:tcW w:w="1080" w:type="dxa"/>
                  <w:noWrap w:val="0"/>
                  <w:vAlign w:val="center"/>
                </w:tcPr>
                <w:p w14:paraId="579AA241">
                  <w:pPr>
                    <w:spacing w:line="280" w:lineRule="exact"/>
                    <w:jc w:val="center"/>
                    <w:rPr>
                      <w:rFonts w:hint="eastAsia"/>
                      <w:color w:val="auto"/>
                      <w:highlight w:val="none"/>
                    </w:rPr>
                  </w:pPr>
                  <w:r>
                    <w:rPr>
                      <w:rFonts w:hint="eastAsia"/>
                      <w:color w:val="auto"/>
                      <w:highlight w:val="none"/>
                    </w:rPr>
                    <w:t>备注</w:t>
                  </w:r>
                </w:p>
              </w:tc>
            </w:tr>
            <w:tr w14:paraId="27988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328D5A85">
                  <w:pPr>
                    <w:spacing w:line="280" w:lineRule="exact"/>
                    <w:jc w:val="center"/>
                    <w:rPr>
                      <w:rFonts w:hint="eastAsia"/>
                      <w:color w:val="auto"/>
                      <w:highlight w:val="none"/>
                    </w:rPr>
                  </w:pPr>
                  <w:r>
                    <w:rPr>
                      <w:rFonts w:hint="eastAsia"/>
                      <w:color w:val="auto"/>
                      <w:highlight w:val="none"/>
                    </w:rPr>
                    <w:t>1</w:t>
                  </w:r>
                </w:p>
              </w:tc>
              <w:tc>
                <w:tcPr>
                  <w:tcW w:w="3340" w:type="dxa"/>
                  <w:noWrap w:val="0"/>
                  <w:vAlign w:val="top"/>
                </w:tcPr>
                <w:p w14:paraId="1BC4BE75">
                  <w:pPr>
                    <w:spacing w:line="280" w:lineRule="exact"/>
                    <w:rPr>
                      <w:rFonts w:hint="eastAsia"/>
                      <w:color w:val="auto"/>
                      <w:highlight w:val="none"/>
                    </w:rPr>
                  </w:pPr>
                  <w:r>
                    <w:rPr>
                      <w:rFonts w:hint="eastAsia"/>
                      <w:color w:val="auto"/>
                      <w:highlight w:val="none"/>
                    </w:rPr>
                    <w:t>已签约合同价款金额</w:t>
                  </w:r>
                </w:p>
              </w:tc>
              <w:tc>
                <w:tcPr>
                  <w:tcW w:w="1764" w:type="dxa"/>
                  <w:noWrap w:val="0"/>
                  <w:vAlign w:val="top"/>
                </w:tcPr>
                <w:p w14:paraId="74882379">
                  <w:pPr>
                    <w:spacing w:line="280" w:lineRule="exact"/>
                    <w:rPr>
                      <w:rFonts w:hint="eastAsia"/>
                      <w:color w:val="auto"/>
                      <w:highlight w:val="none"/>
                    </w:rPr>
                  </w:pPr>
                </w:p>
              </w:tc>
              <w:tc>
                <w:tcPr>
                  <w:tcW w:w="2240" w:type="dxa"/>
                  <w:noWrap w:val="0"/>
                  <w:vAlign w:val="top"/>
                </w:tcPr>
                <w:p w14:paraId="1270244D">
                  <w:pPr>
                    <w:spacing w:line="280" w:lineRule="exact"/>
                    <w:rPr>
                      <w:rFonts w:hint="eastAsia"/>
                      <w:color w:val="auto"/>
                      <w:highlight w:val="none"/>
                    </w:rPr>
                  </w:pPr>
                </w:p>
              </w:tc>
              <w:tc>
                <w:tcPr>
                  <w:tcW w:w="1080" w:type="dxa"/>
                  <w:noWrap w:val="0"/>
                  <w:vAlign w:val="top"/>
                </w:tcPr>
                <w:p w14:paraId="55E6865D">
                  <w:pPr>
                    <w:spacing w:line="280" w:lineRule="exact"/>
                    <w:rPr>
                      <w:rFonts w:hint="eastAsia"/>
                      <w:color w:val="auto"/>
                      <w:highlight w:val="none"/>
                    </w:rPr>
                  </w:pPr>
                </w:p>
              </w:tc>
            </w:tr>
            <w:tr w14:paraId="25D6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2A31CAFC">
                  <w:pPr>
                    <w:spacing w:line="280" w:lineRule="exact"/>
                    <w:jc w:val="center"/>
                    <w:rPr>
                      <w:rFonts w:hint="eastAsia"/>
                      <w:color w:val="auto"/>
                      <w:highlight w:val="none"/>
                    </w:rPr>
                  </w:pPr>
                  <w:r>
                    <w:rPr>
                      <w:rFonts w:hint="eastAsia"/>
                      <w:color w:val="auto"/>
                      <w:highlight w:val="none"/>
                    </w:rPr>
                    <w:t>2</w:t>
                  </w:r>
                </w:p>
              </w:tc>
              <w:tc>
                <w:tcPr>
                  <w:tcW w:w="3340" w:type="dxa"/>
                  <w:noWrap w:val="0"/>
                  <w:vAlign w:val="top"/>
                </w:tcPr>
                <w:p w14:paraId="268887A7">
                  <w:pPr>
                    <w:spacing w:line="280" w:lineRule="exact"/>
                    <w:rPr>
                      <w:rFonts w:hint="eastAsia"/>
                      <w:color w:val="auto"/>
                      <w:highlight w:val="none"/>
                    </w:rPr>
                  </w:pPr>
                  <w:r>
                    <w:rPr>
                      <w:rFonts w:hint="eastAsia"/>
                      <w:color w:val="auto"/>
                      <w:highlight w:val="none"/>
                    </w:rPr>
                    <w:t>其中：安全文明施工费</w:t>
                  </w:r>
                </w:p>
              </w:tc>
              <w:tc>
                <w:tcPr>
                  <w:tcW w:w="1764" w:type="dxa"/>
                  <w:noWrap w:val="0"/>
                  <w:vAlign w:val="top"/>
                </w:tcPr>
                <w:p w14:paraId="133EF31E">
                  <w:pPr>
                    <w:spacing w:line="280" w:lineRule="exact"/>
                    <w:rPr>
                      <w:rFonts w:hint="eastAsia"/>
                      <w:color w:val="auto"/>
                      <w:highlight w:val="none"/>
                    </w:rPr>
                  </w:pPr>
                </w:p>
              </w:tc>
              <w:tc>
                <w:tcPr>
                  <w:tcW w:w="2240" w:type="dxa"/>
                  <w:noWrap w:val="0"/>
                  <w:vAlign w:val="top"/>
                </w:tcPr>
                <w:p w14:paraId="545907F9">
                  <w:pPr>
                    <w:spacing w:line="280" w:lineRule="exact"/>
                    <w:rPr>
                      <w:rFonts w:hint="eastAsia"/>
                      <w:color w:val="auto"/>
                      <w:highlight w:val="none"/>
                    </w:rPr>
                  </w:pPr>
                </w:p>
              </w:tc>
              <w:tc>
                <w:tcPr>
                  <w:tcW w:w="1080" w:type="dxa"/>
                  <w:noWrap w:val="0"/>
                  <w:vAlign w:val="top"/>
                </w:tcPr>
                <w:p w14:paraId="1A02B336">
                  <w:pPr>
                    <w:spacing w:line="280" w:lineRule="exact"/>
                    <w:rPr>
                      <w:rFonts w:hint="eastAsia"/>
                      <w:color w:val="auto"/>
                      <w:highlight w:val="none"/>
                    </w:rPr>
                  </w:pPr>
                </w:p>
              </w:tc>
            </w:tr>
            <w:tr w14:paraId="669F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421EEE2">
                  <w:pPr>
                    <w:spacing w:line="280" w:lineRule="exact"/>
                    <w:jc w:val="center"/>
                    <w:rPr>
                      <w:rFonts w:hint="eastAsia"/>
                      <w:color w:val="auto"/>
                      <w:highlight w:val="none"/>
                    </w:rPr>
                  </w:pPr>
                  <w:r>
                    <w:rPr>
                      <w:rFonts w:hint="eastAsia"/>
                      <w:color w:val="auto"/>
                      <w:highlight w:val="none"/>
                    </w:rPr>
                    <w:t>3</w:t>
                  </w:r>
                </w:p>
              </w:tc>
              <w:tc>
                <w:tcPr>
                  <w:tcW w:w="3340" w:type="dxa"/>
                  <w:noWrap w:val="0"/>
                  <w:vAlign w:val="top"/>
                </w:tcPr>
                <w:p w14:paraId="635A7469">
                  <w:pPr>
                    <w:spacing w:line="280" w:lineRule="exact"/>
                    <w:rPr>
                      <w:rFonts w:hint="eastAsia"/>
                      <w:color w:val="auto"/>
                      <w:highlight w:val="none"/>
                    </w:rPr>
                  </w:pPr>
                  <w:r>
                    <w:rPr>
                      <w:rFonts w:hint="eastAsia"/>
                      <w:color w:val="auto"/>
                      <w:highlight w:val="none"/>
                    </w:rPr>
                    <w:t>应支付的预付款</w:t>
                  </w:r>
                </w:p>
              </w:tc>
              <w:tc>
                <w:tcPr>
                  <w:tcW w:w="1764" w:type="dxa"/>
                  <w:noWrap w:val="0"/>
                  <w:vAlign w:val="top"/>
                </w:tcPr>
                <w:p w14:paraId="4B8E2053">
                  <w:pPr>
                    <w:spacing w:line="280" w:lineRule="exact"/>
                    <w:rPr>
                      <w:rFonts w:hint="eastAsia"/>
                      <w:color w:val="auto"/>
                      <w:highlight w:val="none"/>
                    </w:rPr>
                  </w:pPr>
                </w:p>
              </w:tc>
              <w:tc>
                <w:tcPr>
                  <w:tcW w:w="2240" w:type="dxa"/>
                  <w:noWrap w:val="0"/>
                  <w:vAlign w:val="top"/>
                </w:tcPr>
                <w:p w14:paraId="7881786D">
                  <w:pPr>
                    <w:spacing w:line="280" w:lineRule="exact"/>
                    <w:rPr>
                      <w:rFonts w:hint="eastAsia"/>
                      <w:color w:val="auto"/>
                      <w:highlight w:val="none"/>
                    </w:rPr>
                  </w:pPr>
                </w:p>
              </w:tc>
              <w:tc>
                <w:tcPr>
                  <w:tcW w:w="1080" w:type="dxa"/>
                  <w:noWrap w:val="0"/>
                  <w:vAlign w:val="top"/>
                </w:tcPr>
                <w:p w14:paraId="26A62AC5">
                  <w:pPr>
                    <w:spacing w:line="280" w:lineRule="exact"/>
                    <w:rPr>
                      <w:rFonts w:hint="eastAsia"/>
                      <w:color w:val="auto"/>
                      <w:highlight w:val="none"/>
                    </w:rPr>
                  </w:pPr>
                </w:p>
              </w:tc>
            </w:tr>
            <w:tr w14:paraId="410E3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5E36FF1D">
                  <w:pPr>
                    <w:spacing w:line="280" w:lineRule="exact"/>
                    <w:jc w:val="center"/>
                    <w:rPr>
                      <w:rFonts w:hint="eastAsia"/>
                      <w:color w:val="auto"/>
                      <w:highlight w:val="none"/>
                    </w:rPr>
                  </w:pPr>
                  <w:r>
                    <w:rPr>
                      <w:rFonts w:hint="eastAsia"/>
                      <w:color w:val="auto"/>
                      <w:highlight w:val="none"/>
                    </w:rPr>
                    <w:t>4</w:t>
                  </w:r>
                </w:p>
              </w:tc>
              <w:tc>
                <w:tcPr>
                  <w:tcW w:w="3340" w:type="dxa"/>
                  <w:noWrap w:val="0"/>
                  <w:vAlign w:val="top"/>
                </w:tcPr>
                <w:p w14:paraId="171537D9">
                  <w:pPr>
                    <w:spacing w:line="280" w:lineRule="exact"/>
                    <w:rPr>
                      <w:rFonts w:hint="eastAsia"/>
                      <w:color w:val="auto"/>
                      <w:highlight w:val="none"/>
                    </w:rPr>
                  </w:pPr>
                  <w:r>
                    <w:rPr>
                      <w:rFonts w:hint="eastAsia"/>
                      <w:color w:val="auto"/>
                      <w:highlight w:val="none"/>
                    </w:rPr>
                    <w:t>应支付的安全文明施工费预付款</w:t>
                  </w:r>
                </w:p>
              </w:tc>
              <w:tc>
                <w:tcPr>
                  <w:tcW w:w="1764" w:type="dxa"/>
                  <w:noWrap w:val="0"/>
                  <w:vAlign w:val="top"/>
                </w:tcPr>
                <w:p w14:paraId="3642D534">
                  <w:pPr>
                    <w:spacing w:line="280" w:lineRule="exact"/>
                    <w:rPr>
                      <w:rFonts w:hint="eastAsia"/>
                      <w:color w:val="auto"/>
                      <w:highlight w:val="none"/>
                    </w:rPr>
                  </w:pPr>
                </w:p>
              </w:tc>
              <w:tc>
                <w:tcPr>
                  <w:tcW w:w="2240" w:type="dxa"/>
                  <w:noWrap w:val="0"/>
                  <w:vAlign w:val="top"/>
                </w:tcPr>
                <w:p w14:paraId="299BF491">
                  <w:pPr>
                    <w:spacing w:line="280" w:lineRule="exact"/>
                    <w:rPr>
                      <w:rFonts w:hint="eastAsia"/>
                      <w:color w:val="auto"/>
                      <w:highlight w:val="none"/>
                    </w:rPr>
                  </w:pPr>
                </w:p>
              </w:tc>
              <w:tc>
                <w:tcPr>
                  <w:tcW w:w="1080" w:type="dxa"/>
                  <w:noWrap w:val="0"/>
                  <w:vAlign w:val="top"/>
                </w:tcPr>
                <w:p w14:paraId="189E975C">
                  <w:pPr>
                    <w:spacing w:line="280" w:lineRule="exact"/>
                    <w:rPr>
                      <w:rFonts w:hint="eastAsia"/>
                      <w:color w:val="auto"/>
                      <w:highlight w:val="none"/>
                    </w:rPr>
                  </w:pPr>
                </w:p>
              </w:tc>
            </w:tr>
            <w:tr w14:paraId="725B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noWrap w:val="0"/>
                  <w:vAlign w:val="top"/>
                </w:tcPr>
                <w:p w14:paraId="041B3CBE">
                  <w:pPr>
                    <w:spacing w:line="280" w:lineRule="exact"/>
                    <w:jc w:val="center"/>
                    <w:rPr>
                      <w:rFonts w:hint="eastAsia"/>
                      <w:color w:val="auto"/>
                      <w:highlight w:val="none"/>
                    </w:rPr>
                  </w:pPr>
                  <w:r>
                    <w:rPr>
                      <w:rFonts w:hint="eastAsia"/>
                      <w:color w:val="auto"/>
                      <w:highlight w:val="none"/>
                    </w:rPr>
                    <w:t>5</w:t>
                  </w:r>
                </w:p>
              </w:tc>
              <w:tc>
                <w:tcPr>
                  <w:tcW w:w="3340" w:type="dxa"/>
                  <w:noWrap w:val="0"/>
                  <w:vAlign w:val="top"/>
                </w:tcPr>
                <w:p w14:paraId="4FF8B46D">
                  <w:pPr>
                    <w:spacing w:line="280" w:lineRule="exact"/>
                    <w:rPr>
                      <w:rFonts w:hint="eastAsia"/>
                      <w:color w:val="auto"/>
                      <w:highlight w:val="none"/>
                    </w:rPr>
                  </w:pPr>
                  <w:r>
                    <w:rPr>
                      <w:rFonts w:hint="eastAsia"/>
                      <w:color w:val="auto"/>
                      <w:highlight w:val="none"/>
                    </w:rPr>
                    <w:t>合计应支付的预付款</w:t>
                  </w:r>
                </w:p>
              </w:tc>
              <w:tc>
                <w:tcPr>
                  <w:tcW w:w="1764" w:type="dxa"/>
                  <w:noWrap w:val="0"/>
                  <w:vAlign w:val="top"/>
                </w:tcPr>
                <w:p w14:paraId="5DD52920">
                  <w:pPr>
                    <w:spacing w:line="280" w:lineRule="exact"/>
                    <w:rPr>
                      <w:rFonts w:hint="eastAsia"/>
                      <w:color w:val="auto"/>
                      <w:highlight w:val="none"/>
                    </w:rPr>
                  </w:pPr>
                </w:p>
              </w:tc>
              <w:tc>
                <w:tcPr>
                  <w:tcW w:w="2240" w:type="dxa"/>
                  <w:noWrap w:val="0"/>
                  <w:vAlign w:val="top"/>
                </w:tcPr>
                <w:p w14:paraId="35AE7056">
                  <w:pPr>
                    <w:spacing w:line="280" w:lineRule="exact"/>
                    <w:rPr>
                      <w:rFonts w:hint="eastAsia"/>
                      <w:color w:val="auto"/>
                      <w:highlight w:val="none"/>
                    </w:rPr>
                  </w:pPr>
                </w:p>
              </w:tc>
              <w:tc>
                <w:tcPr>
                  <w:tcW w:w="1080" w:type="dxa"/>
                  <w:noWrap w:val="0"/>
                  <w:vAlign w:val="top"/>
                </w:tcPr>
                <w:p w14:paraId="08EF2366">
                  <w:pPr>
                    <w:spacing w:line="280" w:lineRule="exact"/>
                    <w:rPr>
                      <w:rFonts w:hint="eastAsia"/>
                      <w:color w:val="auto"/>
                      <w:highlight w:val="none"/>
                    </w:rPr>
                  </w:pPr>
                </w:p>
              </w:tc>
            </w:tr>
            <w:tr w14:paraId="286D6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noWrap w:val="0"/>
                  <w:vAlign w:val="top"/>
                </w:tcPr>
                <w:p w14:paraId="4D2B9CC2">
                  <w:pPr>
                    <w:spacing w:line="280" w:lineRule="exact"/>
                    <w:jc w:val="center"/>
                    <w:rPr>
                      <w:rFonts w:hint="eastAsia"/>
                      <w:color w:val="auto"/>
                      <w:highlight w:val="none"/>
                    </w:rPr>
                  </w:pPr>
                </w:p>
              </w:tc>
              <w:tc>
                <w:tcPr>
                  <w:tcW w:w="3340" w:type="dxa"/>
                  <w:noWrap w:val="0"/>
                  <w:vAlign w:val="top"/>
                </w:tcPr>
                <w:p w14:paraId="3F585906">
                  <w:pPr>
                    <w:spacing w:line="280" w:lineRule="exact"/>
                    <w:rPr>
                      <w:rFonts w:hint="eastAsia"/>
                      <w:color w:val="auto"/>
                      <w:highlight w:val="none"/>
                    </w:rPr>
                  </w:pPr>
                </w:p>
              </w:tc>
              <w:tc>
                <w:tcPr>
                  <w:tcW w:w="1764" w:type="dxa"/>
                  <w:noWrap w:val="0"/>
                  <w:vAlign w:val="top"/>
                </w:tcPr>
                <w:p w14:paraId="40D4CFF4">
                  <w:pPr>
                    <w:spacing w:line="280" w:lineRule="exact"/>
                    <w:rPr>
                      <w:rFonts w:hint="eastAsia"/>
                      <w:color w:val="auto"/>
                      <w:highlight w:val="none"/>
                    </w:rPr>
                  </w:pPr>
                </w:p>
              </w:tc>
              <w:tc>
                <w:tcPr>
                  <w:tcW w:w="2240" w:type="dxa"/>
                  <w:noWrap w:val="0"/>
                  <w:vAlign w:val="top"/>
                </w:tcPr>
                <w:p w14:paraId="33DE22E2">
                  <w:pPr>
                    <w:spacing w:line="280" w:lineRule="exact"/>
                    <w:rPr>
                      <w:rFonts w:hint="eastAsia"/>
                      <w:color w:val="auto"/>
                      <w:highlight w:val="none"/>
                    </w:rPr>
                  </w:pPr>
                </w:p>
              </w:tc>
              <w:tc>
                <w:tcPr>
                  <w:tcW w:w="1080" w:type="dxa"/>
                  <w:noWrap w:val="0"/>
                  <w:vAlign w:val="top"/>
                </w:tcPr>
                <w:p w14:paraId="6DEB28D0">
                  <w:pPr>
                    <w:spacing w:line="280" w:lineRule="exact"/>
                    <w:rPr>
                      <w:rFonts w:hint="eastAsia"/>
                      <w:color w:val="auto"/>
                      <w:highlight w:val="none"/>
                    </w:rPr>
                  </w:pPr>
                </w:p>
              </w:tc>
            </w:tr>
          </w:tbl>
          <w:p w14:paraId="2CF6AC58">
            <w:pPr>
              <w:wordWrap w:val="0"/>
              <w:spacing w:line="400" w:lineRule="exact"/>
              <w:ind w:right="420"/>
              <w:rPr>
                <w:rFonts w:hint="eastAsia"/>
                <w:color w:val="auto"/>
                <w:highlight w:val="none"/>
              </w:rPr>
            </w:pPr>
          </w:p>
          <w:p w14:paraId="28F17571">
            <w:pPr>
              <w:wordWrap w:val="0"/>
              <w:spacing w:line="400" w:lineRule="exact"/>
              <w:ind w:right="420"/>
              <w:rPr>
                <w:rFonts w:hint="eastAsia"/>
                <w:color w:val="auto"/>
                <w:highlight w:val="none"/>
              </w:rPr>
            </w:pPr>
            <w:r>
              <w:rPr>
                <w:rFonts w:hint="eastAsia"/>
                <w:color w:val="auto"/>
                <w:highlight w:val="none"/>
              </w:rPr>
              <w:t xml:space="preserve">                                            承包人（章）             </w:t>
            </w:r>
          </w:p>
          <w:p w14:paraId="51D62568">
            <w:pPr>
              <w:spacing w:line="400" w:lineRule="exact"/>
              <w:ind w:right="420" w:firstLine="435"/>
              <w:rPr>
                <w:rFonts w:hint="eastAsia"/>
                <w:color w:val="auto"/>
                <w:highlight w:val="none"/>
              </w:rPr>
            </w:pPr>
            <w:r>
              <w:rPr>
                <w:rFonts w:hint="eastAsia"/>
                <w:color w:val="auto"/>
                <w:highlight w:val="none"/>
              </w:rPr>
              <w:t>造价人员</w:t>
            </w:r>
            <w:r>
              <w:rPr>
                <w:rFonts w:hint="eastAsia"/>
                <w:color w:val="auto"/>
                <w:highlight w:val="none"/>
                <w:u w:val="single"/>
              </w:rPr>
              <w:t xml:space="preserve">               </w:t>
            </w:r>
            <w:r>
              <w:rPr>
                <w:rFonts w:hint="eastAsia"/>
                <w:color w:val="auto"/>
                <w:highlight w:val="none"/>
              </w:rPr>
              <w:t>承包人代表</w:t>
            </w:r>
            <w:r>
              <w:rPr>
                <w:rFonts w:hint="eastAsia"/>
                <w:color w:val="auto"/>
                <w:highlight w:val="none"/>
                <w:u w:val="single"/>
              </w:rPr>
              <w:t xml:space="preserve">               </w:t>
            </w:r>
            <w:r>
              <w:rPr>
                <w:rFonts w:hint="eastAsia"/>
                <w:color w:val="auto"/>
                <w:highlight w:val="none"/>
              </w:rPr>
              <w:t>日      期</w:t>
            </w:r>
            <w:r>
              <w:rPr>
                <w:rFonts w:hint="eastAsia"/>
                <w:color w:val="auto"/>
                <w:highlight w:val="none"/>
                <w:u w:val="single"/>
              </w:rPr>
              <w:t xml:space="preserve">               </w:t>
            </w:r>
          </w:p>
        </w:tc>
      </w:tr>
      <w:tr w14:paraId="5B84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noWrap w:val="0"/>
            <w:vAlign w:val="top"/>
          </w:tcPr>
          <w:p w14:paraId="75AE272A">
            <w:pPr>
              <w:spacing w:line="360" w:lineRule="exact"/>
              <w:rPr>
                <w:rFonts w:hint="eastAsia"/>
                <w:color w:val="auto"/>
                <w:highlight w:val="none"/>
              </w:rPr>
            </w:pPr>
            <w:r>
              <w:rPr>
                <w:rFonts w:hint="eastAsia"/>
                <w:color w:val="auto"/>
                <w:highlight w:val="none"/>
              </w:rPr>
              <w:t>复核意见：</w:t>
            </w:r>
          </w:p>
          <w:p w14:paraId="562A7B99">
            <w:pPr>
              <w:spacing w:line="360" w:lineRule="exact"/>
              <w:ind w:firstLine="312"/>
              <w:rPr>
                <w:rFonts w:hint="eastAsia"/>
                <w:color w:val="auto"/>
                <w:highlight w:val="none"/>
              </w:rPr>
            </w:pPr>
            <w:r>
              <w:rPr>
                <w:rFonts w:hint="eastAsia"/>
                <w:color w:val="auto"/>
                <w:highlight w:val="none"/>
              </w:rPr>
              <w:t>□与合同约定不相符，修改意见见附件。</w:t>
            </w:r>
          </w:p>
          <w:p w14:paraId="32263FF9">
            <w:pPr>
              <w:spacing w:line="360" w:lineRule="exact"/>
              <w:ind w:firstLine="312"/>
              <w:rPr>
                <w:rFonts w:hint="eastAsia"/>
                <w:color w:val="auto"/>
                <w:highlight w:val="none"/>
              </w:rPr>
            </w:pPr>
            <w:r>
              <w:rPr>
                <w:rFonts w:hint="eastAsia"/>
                <w:color w:val="auto"/>
                <w:highlight w:val="none"/>
              </w:rPr>
              <w:t>□与合同约定相符，具体金额由造价工程师复核。</w:t>
            </w:r>
          </w:p>
          <w:p w14:paraId="7AA468BE">
            <w:pPr>
              <w:spacing w:line="360" w:lineRule="exact"/>
              <w:ind w:firstLine="435"/>
              <w:jc w:val="right"/>
              <w:rPr>
                <w:rFonts w:hint="eastAsia"/>
                <w:color w:val="auto"/>
                <w:highlight w:val="none"/>
              </w:rPr>
            </w:pPr>
          </w:p>
          <w:p w14:paraId="33120AC3">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监理工程师</w:t>
            </w:r>
            <w:r>
              <w:rPr>
                <w:rFonts w:hint="eastAsia"/>
                <w:color w:val="auto"/>
                <w:highlight w:val="none"/>
                <w:u w:val="single"/>
              </w:rPr>
              <w:t xml:space="preserve">           </w:t>
            </w:r>
          </w:p>
          <w:p w14:paraId="3811E67C">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c>
          <w:tcPr>
            <w:tcW w:w="4552" w:type="dxa"/>
            <w:noWrap w:val="0"/>
            <w:vAlign w:val="top"/>
          </w:tcPr>
          <w:p w14:paraId="4F5A5A21">
            <w:pPr>
              <w:spacing w:line="360" w:lineRule="exact"/>
              <w:rPr>
                <w:rFonts w:hint="eastAsia"/>
                <w:color w:val="auto"/>
                <w:highlight w:val="none"/>
              </w:rPr>
            </w:pPr>
            <w:r>
              <w:rPr>
                <w:rFonts w:hint="eastAsia"/>
                <w:color w:val="auto"/>
                <w:highlight w:val="none"/>
              </w:rPr>
              <w:t>复核意见：</w:t>
            </w:r>
          </w:p>
          <w:p w14:paraId="04C0392F">
            <w:pPr>
              <w:spacing w:line="360" w:lineRule="exact"/>
              <w:ind w:firstLine="435"/>
              <w:rPr>
                <w:rFonts w:hint="eastAsia"/>
                <w:color w:val="auto"/>
                <w:highlight w:val="none"/>
              </w:rPr>
            </w:pPr>
            <w:r>
              <w:rPr>
                <w:rFonts w:hint="eastAsia"/>
                <w:color w:val="auto"/>
                <w:highlight w:val="none"/>
              </w:rPr>
              <w:t>你方提出的支付申请经复核，应支付预付款金额为(大写)</w:t>
            </w:r>
            <w:r>
              <w:rPr>
                <w:rFonts w:hint="eastAsia"/>
                <w:color w:val="auto"/>
                <w:highlight w:val="none"/>
                <w:u w:val="single"/>
              </w:rPr>
              <w:t xml:space="preserve">                </w:t>
            </w:r>
            <w:r>
              <w:rPr>
                <w:rFonts w:hint="eastAsia"/>
                <w:color w:val="auto"/>
                <w:highlight w:val="none"/>
              </w:rPr>
              <w:t>元，（小写）</w:t>
            </w:r>
          </w:p>
          <w:p w14:paraId="234BB0CA">
            <w:pPr>
              <w:spacing w:line="360" w:lineRule="exact"/>
              <w:rPr>
                <w:rFonts w:hint="eastAsia"/>
                <w:color w:val="auto"/>
                <w:highlight w:val="none"/>
              </w:rPr>
            </w:pPr>
            <w:r>
              <w:rPr>
                <w:rFonts w:hint="eastAsia"/>
                <w:color w:val="auto"/>
                <w:highlight w:val="none"/>
                <w:u w:val="single"/>
              </w:rPr>
              <w:t xml:space="preserve">          </w:t>
            </w:r>
            <w:r>
              <w:rPr>
                <w:rFonts w:hint="eastAsia"/>
                <w:color w:val="auto"/>
                <w:highlight w:val="none"/>
              </w:rPr>
              <w:t xml:space="preserve"> 元。</w:t>
            </w:r>
          </w:p>
          <w:p w14:paraId="3A54C0B9">
            <w:pPr>
              <w:spacing w:line="360" w:lineRule="exact"/>
              <w:rPr>
                <w:rFonts w:hint="eastAsia"/>
                <w:color w:val="auto"/>
                <w:highlight w:val="none"/>
                <w:u w:val="single"/>
              </w:rPr>
            </w:pPr>
          </w:p>
          <w:p w14:paraId="5CF9A852">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造价工程师</w:t>
            </w:r>
            <w:r>
              <w:rPr>
                <w:rFonts w:hint="eastAsia"/>
                <w:color w:val="auto"/>
                <w:highlight w:val="none"/>
                <w:u w:val="single"/>
              </w:rPr>
              <w:t xml:space="preserve">           </w:t>
            </w:r>
          </w:p>
          <w:p w14:paraId="493F05B0">
            <w:pPr>
              <w:spacing w:line="360" w:lineRule="exact"/>
              <w:ind w:firstLine="435"/>
              <w:jc w:val="center"/>
              <w:rPr>
                <w:rFonts w:hint="eastAsia"/>
                <w:color w:val="auto"/>
                <w:highlight w:val="none"/>
                <w:u w:val="single"/>
              </w:rPr>
            </w:pPr>
            <w:r>
              <w:rPr>
                <w:color w:val="auto"/>
                <w:highlight w:val="none"/>
              </w:rPr>
              <w:t xml:space="preserve">    </w:t>
            </w:r>
            <w:r>
              <w:rPr>
                <w:rFonts w:hint="eastAsia"/>
                <w:color w:val="auto"/>
                <w:highlight w:val="none"/>
              </w:rPr>
              <w:t xml:space="preserve">    日      期</w:t>
            </w:r>
            <w:r>
              <w:rPr>
                <w:rFonts w:hint="eastAsia"/>
                <w:color w:val="auto"/>
                <w:highlight w:val="none"/>
                <w:u w:val="single"/>
              </w:rPr>
              <w:t xml:space="preserve">           </w:t>
            </w:r>
          </w:p>
        </w:tc>
      </w:tr>
      <w:tr w14:paraId="7DC5F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noWrap w:val="0"/>
            <w:vAlign w:val="top"/>
          </w:tcPr>
          <w:p w14:paraId="0D943B17">
            <w:pPr>
              <w:spacing w:line="400" w:lineRule="exact"/>
              <w:rPr>
                <w:rFonts w:hint="eastAsia"/>
                <w:color w:val="auto"/>
                <w:highlight w:val="none"/>
              </w:rPr>
            </w:pPr>
            <w:r>
              <w:rPr>
                <w:rFonts w:hint="eastAsia"/>
                <w:color w:val="auto"/>
                <w:highlight w:val="none"/>
              </w:rPr>
              <w:t>审核意见：</w:t>
            </w:r>
          </w:p>
          <w:p w14:paraId="210ABC52">
            <w:pPr>
              <w:spacing w:line="400" w:lineRule="exact"/>
              <w:ind w:firstLine="435"/>
              <w:rPr>
                <w:rFonts w:hint="eastAsia"/>
                <w:color w:val="auto"/>
                <w:highlight w:val="none"/>
              </w:rPr>
            </w:pPr>
            <w:r>
              <w:rPr>
                <w:rFonts w:hint="eastAsia"/>
                <w:color w:val="auto"/>
                <w:highlight w:val="none"/>
              </w:rPr>
              <w:t>□不同意。</w:t>
            </w:r>
          </w:p>
          <w:p w14:paraId="05467AFC">
            <w:pPr>
              <w:spacing w:line="400" w:lineRule="exact"/>
              <w:ind w:firstLine="420" w:firstLineChars="200"/>
              <w:rPr>
                <w:rFonts w:hint="eastAsia"/>
                <w:color w:val="auto"/>
                <w:highlight w:val="none"/>
              </w:rPr>
            </w:pPr>
            <w:r>
              <w:rPr>
                <w:rFonts w:hint="eastAsia"/>
                <w:color w:val="auto"/>
                <w:highlight w:val="none"/>
              </w:rPr>
              <w:t>□同意，支付时间为本表签发后的15天内。</w:t>
            </w:r>
          </w:p>
          <w:p w14:paraId="07CCBE65">
            <w:pPr>
              <w:wordWrap w:val="0"/>
              <w:spacing w:line="400" w:lineRule="exact"/>
              <w:ind w:firstLine="420" w:firstLineChars="200"/>
              <w:jc w:val="right"/>
              <w:rPr>
                <w:rFonts w:hint="eastAsia"/>
                <w:color w:val="auto"/>
                <w:highlight w:val="none"/>
              </w:rPr>
            </w:pPr>
            <w:r>
              <w:rPr>
                <w:rFonts w:hint="eastAsia"/>
                <w:color w:val="auto"/>
                <w:highlight w:val="none"/>
              </w:rPr>
              <w:t xml:space="preserve">发包人（章）           </w:t>
            </w:r>
          </w:p>
          <w:p w14:paraId="7405EFD8">
            <w:pPr>
              <w:wordWrap w:val="0"/>
              <w:spacing w:line="400" w:lineRule="exact"/>
              <w:ind w:firstLine="420" w:firstLineChars="200"/>
              <w:jc w:val="right"/>
              <w:rPr>
                <w:rFonts w:hint="eastAsia"/>
                <w:color w:val="auto"/>
                <w:highlight w:val="none"/>
                <w:u w:val="single"/>
              </w:rPr>
            </w:pPr>
            <w:r>
              <w:rPr>
                <w:rFonts w:hint="eastAsia"/>
                <w:color w:val="auto"/>
                <w:highlight w:val="none"/>
              </w:rPr>
              <w:t>发包人代表</w:t>
            </w:r>
            <w:r>
              <w:rPr>
                <w:rFonts w:hint="eastAsia"/>
                <w:color w:val="auto"/>
                <w:highlight w:val="none"/>
                <w:u w:val="single"/>
              </w:rPr>
              <w:t xml:space="preserve">             </w:t>
            </w:r>
          </w:p>
          <w:p w14:paraId="1B382154">
            <w:pPr>
              <w:wordWrap w:val="0"/>
              <w:spacing w:line="400" w:lineRule="exact"/>
              <w:ind w:firstLine="420" w:firstLineChars="200"/>
              <w:jc w:val="right"/>
              <w:rPr>
                <w:rFonts w:hint="eastAsia"/>
                <w:color w:val="auto"/>
                <w:highlight w:val="none"/>
                <w:u w:val="single"/>
              </w:rPr>
            </w:pPr>
            <w:r>
              <w:rPr>
                <w:rFonts w:hint="eastAsia"/>
                <w:color w:val="auto"/>
                <w:highlight w:val="none"/>
              </w:rPr>
              <w:t>日      期</w:t>
            </w:r>
            <w:r>
              <w:rPr>
                <w:rFonts w:hint="eastAsia"/>
                <w:color w:val="auto"/>
                <w:highlight w:val="none"/>
                <w:u w:val="single"/>
              </w:rPr>
              <w:t xml:space="preserve">             </w:t>
            </w:r>
          </w:p>
        </w:tc>
      </w:tr>
    </w:tbl>
    <w:p w14:paraId="08F95081">
      <w:pPr>
        <w:spacing w:before="120" w:beforeLines="50"/>
        <w:ind w:firstLine="360" w:firstLineChars="200"/>
        <w:rPr>
          <w:rFonts w:hint="eastAsia"/>
          <w:color w:val="auto"/>
          <w:sz w:val="18"/>
          <w:szCs w:val="18"/>
          <w:highlight w:val="none"/>
        </w:rPr>
      </w:pPr>
      <w:r>
        <w:rPr>
          <w:rFonts w:hint="eastAsia"/>
          <w:color w:val="auto"/>
          <w:sz w:val="18"/>
          <w:szCs w:val="18"/>
          <w:highlight w:val="none"/>
        </w:rPr>
        <w:t xml:space="preserve">注：1.在选择栏中的“□”内作标识“√”。 </w:t>
      </w:r>
    </w:p>
    <w:p w14:paraId="04FA486D">
      <w:pPr>
        <w:spacing w:before="120" w:beforeLines="50"/>
        <w:ind w:left="720" w:hanging="720" w:hangingChars="400"/>
        <w:rPr>
          <w:rFonts w:hint="eastAsia" w:eastAsia="仿宋_GB2312"/>
          <w:color w:val="auto"/>
          <w:sz w:val="30"/>
          <w:szCs w:val="30"/>
          <w:highlight w:val="none"/>
        </w:rPr>
      </w:pPr>
      <w:r>
        <w:rPr>
          <w:rFonts w:hint="eastAsia"/>
          <w:color w:val="auto"/>
          <w:sz w:val="18"/>
          <w:szCs w:val="18"/>
          <w:highlight w:val="none"/>
        </w:rPr>
        <w:t xml:space="preserve">    </w:t>
      </w:r>
      <w:r>
        <w:rPr>
          <w:color w:val="auto"/>
          <w:sz w:val="18"/>
          <w:szCs w:val="18"/>
          <w:highlight w:val="none"/>
        </w:rPr>
        <w:t xml:space="preserve">  </w:t>
      </w:r>
      <w:r>
        <w:rPr>
          <w:rFonts w:hint="eastAsia"/>
          <w:color w:val="auto"/>
          <w:sz w:val="18"/>
          <w:szCs w:val="18"/>
          <w:highlight w:val="none"/>
        </w:rPr>
        <w:t xml:space="preserve">  2.本表一式四份，由承包人填报，发包人、监理人、造价咨询人、承包人各存一份。</w:t>
      </w:r>
    </w:p>
    <w:p w14:paraId="2DFECBD3">
      <w:pPr>
        <w:spacing w:before="120" w:beforeLines="50"/>
        <w:ind w:left="1200" w:hanging="1200" w:hangingChars="400"/>
        <w:rPr>
          <w:rFonts w:hint="eastAsia" w:eastAsia="仿宋_GB2312"/>
          <w:color w:val="auto"/>
          <w:sz w:val="30"/>
          <w:szCs w:val="30"/>
          <w:highlight w:val="none"/>
        </w:rPr>
      </w:pPr>
    </w:p>
    <w:p w14:paraId="7E3402F8">
      <w:pPr>
        <w:spacing w:line="360" w:lineRule="auto"/>
        <w:ind w:firstLine="480" w:firstLineChars="200"/>
        <w:rPr>
          <w:rFonts w:ascii="宋体" w:hAnsi="宋体"/>
          <w:color w:val="auto"/>
          <w:sz w:val="24"/>
          <w:szCs w:val="24"/>
          <w:highlight w:val="none"/>
        </w:rPr>
      </w:pPr>
    </w:p>
    <w:p w14:paraId="52F70E4F">
      <w:pPr>
        <w:spacing w:before="63" w:line="224" w:lineRule="auto"/>
        <w:ind w:left="295"/>
        <w:outlineLvl w:val="0"/>
        <w:rPr>
          <w:rFonts w:hint="eastAsia" w:ascii="宋体" w:hAnsi="宋体" w:eastAsia="宋体" w:cs="宋体"/>
          <w:color w:val="auto"/>
          <w:sz w:val="31"/>
          <w:szCs w:val="31"/>
          <w:highlight w:val="none"/>
          <w:lang w:eastAsia="zh-CN"/>
        </w:rPr>
      </w:pPr>
      <w:r>
        <w:rPr>
          <w:rFonts w:ascii="宋体" w:hAnsi="宋体" w:eastAsia="宋体" w:cs="宋体"/>
          <w:b/>
          <w:bCs/>
          <w:color w:val="auto"/>
          <w:spacing w:val="1"/>
          <w:sz w:val="31"/>
          <w:szCs w:val="31"/>
          <w:highlight w:val="none"/>
        </w:rPr>
        <w:t>第七章</w:t>
      </w:r>
      <w:r>
        <w:rPr>
          <w:rFonts w:ascii="宋体" w:hAnsi="宋体" w:eastAsia="宋体" w:cs="宋体"/>
          <w:color w:val="auto"/>
          <w:spacing w:val="1"/>
          <w:sz w:val="31"/>
          <w:szCs w:val="31"/>
          <w:highlight w:val="none"/>
        </w:rPr>
        <w:t xml:space="preserve">  </w:t>
      </w:r>
      <w:r>
        <w:rPr>
          <w:rFonts w:ascii="宋体" w:hAnsi="宋体" w:eastAsia="宋体" w:cs="宋体"/>
          <w:b/>
          <w:bCs/>
          <w:color w:val="auto"/>
          <w:spacing w:val="1"/>
          <w:sz w:val="31"/>
          <w:szCs w:val="31"/>
          <w:highlight w:val="none"/>
        </w:rPr>
        <w:t>崇左市财政局关于进一步做好线上“政采贷</w:t>
      </w:r>
      <w:r>
        <w:rPr>
          <w:rFonts w:ascii="宋体" w:hAnsi="宋体" w:eastAsia="宋体" w:cs="宋体"/>
          <w:color w:val="auto"/>
          <w:spacing w:val="-110"/>
          <w:sz w:val="31"/>
          <w:szCs w:val="31"/>
          <w:highlight w:val="none"/>
        </w:rPr>
        <w:t xml:space="preserve"> </w:t>
      </w:r>
      <w:r>
        <w:rPr>
          <w:rFonts w:ascii="宋体" w:hAnsi="宋体" w:eastAsia="宋体" w:cs="宋体"/>
          <w:b/>
          <w:bCs/>
          <w:color w:val="auto"/>
          <w:spacing w:val="1"/>
          <w:sz w:val="31"/>
          <w:szCs w:val="31"/>
          <w:highlight w:val="none"/>
        </w:rPr>
        <w:t>”融资业务工作</w:t>
      </w:r>
      <w:bookmarkEnd w:id="445"/>
      <w:bookmarkEnd w:id="446"/>
      <w:bookmarkEnd w:id="447"/>
      <w:bookmarkEnd w:id="448"/>
      <w:r>
        <w:rPr>
          <w:rFonts w:hint="eastAsia" w:ascii="宋体" w:hAnsi="宋体" w:eastAsia="宋体" w:cs="宋体"/>
          <w:b/>
          <w:bCs/>
          <w:color w:val="auto"/>
          <w:spacing w:val="1"/>
          <w:sz w:val="31"/>
          <w:szCs w:val="31"/>
          <w:highlight w:val="none"/>
          <w:lang w:eastAsia="zh-CN"/>
        </w:rPr>
        <w:t>的通知</w:t>
      </w:r>
    </w:p>
    <w:p w14:paraId="534E3A8C">
      <w:pPr>
        <w:spacing w:before="347" w:line="222" w:lineRule="auto"/>
        <w:ind w:left="1056"/>
        <w:rPr>
          <w:rFonts w:ascii="宋体" w:hAnsi="宋体" w:eastAsia="宋体" w:cs="宋体"/>
          <w:color w:val="auto"/>
          <w:sz w:val="83"/>
          <w:szCs w:val="83"/>
          <w:highlight w:val="none"/>
        </w:rPr>
      </w:pPr>
      <w:bookmarkStart w:id="449" w:name="bookmark13"/>
      <w:bookmarkEnd w:id="449"/>
      <w:r>
        <w:rPr>
          <w:rFonts w:ascii="宋体" w:hAnsi="宋体" w:eastAsia="宋体" w:cs="宋体"/>
          <w:b/>
          <w:bCs/>
          <w:color w:val="auto"/>
          <w:spacing w:val="-6"/>
          <w:sz w:val="83"/>
          <w:szCs w:val="83"/>
          <w:highlight w:val="none"/>
        </w:rPr>
        <w:t>崇</w:t>
      </w:r>
      <w:r>
        <w:rPr>
          <w:rFonts w:ascii="宋体" w:hAnsi="宋体" w:eastAsia="宋体" w:cs="宋体"/>
          <w:color w:val="auto"/>
          <w:spacing w:val="-188"/>
          <w:sz w:val="83"/>
          <w:szCs w:val="83"/>
          <w:highlight w:val="none"/>
        </w:rPr>
        <w:t xml:space="preserve"> </w:t>
      </w:r>
      <w:r>
        <w:rPr>
          <w:rFonts w:ascii="宋体" w:hAnsi="宋体" w:eastAsia="宋体" w:cs="宋体"/>
          <w:b/>
          <w:bCs/>
          <w:color w:val="auto"/>
          <w:spacing w:val="-6"/>
          <w:sz w:val="83"/>
          <w:szCs w:val="83"/>
          <w:highlight w:val="none"/>
        </w:rPr>
        <w:t>左市</w:t>
      </w:r>
      <w:r>
        <w:rPr>
          <w:rFonts w:ascii="宋体" w:hAnsi="宋体" w:eastAsia="宋体" w:cs="宋体"/>
          <w:color w:val="auto"/>
          <w:spacing w:val="-192"/>
          <w:sz w:val="83"/>
          <w:szCs w:val="83"/>
          <w:highlight w:val="none"/>
        </w:rPr>
        <w:t xml:space="preserve"> </w:t>
      </w:r>
      <w:r>
        <w:rPr>
          <w:rFonts w:ascii="宋体" w:hAnsi="宋体" w:eastAsia="宋体" w:cs="宋体"/>
          <w:b/>
          <w:bCs/>
          <w:color w:val="auto"/>
          <w:spacing w:val="-6"/>
          <w:sz w:val="83"/>
          <w:szCs w:val="83"/>
          <w:highlight w:val="none"/>
        </w:rPr>
        <w:t>财</w:t>
      </w:r>
      <w:r>
        <w:rPr>
          <w:rFonts w:ascii="宋体" w:hAnsi="宋体" w:eastAsia="宋体" w:cs="宋体"/>
          <w:color w:val="auto"/>
          <w:spacing w:val="-198"/>
          <w:sz w:val="83"/>
          <w:szCs w:val="83"/>
          <w:highlight w:val="none"/>
        </w:rPr>
        <w:t xml:space="preserve"> </w:t>
      </w:r>
      <w:r>
        <w:rPr>
          <w:rFonts w:ascii="宋体" w:hAnsi="宋体" w:eastAsia="宋体" w:cs="宋体"/>
          <w:b/>
          <w:bCs/>
          <w:color w:val="auto"/>
          <w:spacing w:val="-6"/>
          <w:sz w:val="83"/>
          <w:szCs w:val="83"/>
          <w:highlight w:val="none"/>
        </w:rPr>
        <w:t>政</w:t>
      </w:r>
      <w:r>
        <w:rPr>
          <w:rFonts w:ascii="宋体" w:hAnsi="宋体" w:eastAsia="宋体" w:cs="宋体"/>
          <w:color w:val="auto"/>
          <w:spacing w:val="-185"/>
          <w:sz w:val="83"/>
          <w:szCs w:val="83"/>
          <w:highlight w:val="none"/>
        </w:rPr>
        <w:t xml:space="preserve"> </w:t>
      </w:r>
      <w:r>
        <w:rPr>
          <w:rFonts w:ascii="宋体" w:hAnsi="宋体" w:eastAsia="宋体" w:cs="宋体"/>
          <w:b/>
          <w:bCs/>
          <w:color w:val="auto"/>
          <w:spacing w:val="-6"/>
          <w:sz w:val="83"/>
          <w:szCs w:val="83"/>
          <w:highlight w:val="none"/>
        </w:rPr>
        <w:t>局</w:t>
      </w:r>
      <w:r>
        <w:rPr>
          <w:rFonts w:ascii="宋体" w:hAnsi="宋体" w:eastAsia="宋体" w:cs="宋体"/>
          <w:color w:val="auto"/>
          <w:spacing w:val="-188"/>
          <w:sz w:val="83"/>
          <w:szCs w:val="83"/>
          <w:highlight w:val="none"/>
        </w:rPr>
        <w:t xml:space="preserve"> </w:t>
      </w:r>
      <w:r>
        <w:rPr>
          <w:rFonts w:ascii="宋体" w:hAnsi="宋体" w:eastAsia="宋体" w:cs="宋体"/>
          <w:b/>
          <w:bCs/>
          <w:color w:val="auto"/>
          <w:spacing w:val="-6"/>
          <w:sz w:val="83"/>
          <w:szCs w:val="83"/>
          <w:highlight w:val="none"/>
        </w:rPr>
        <w:t>文</w:t>
      </w:r>
      <w:r>
        <w:rPr>
          <w:rFonts w:ascii="宋体" w:hAnsi="宋体" w:eastAsia="宋体" w:cs="宋体"/>
          <w:color w:val="auto"/>
          <w:spacing w:val="-199"/>
          <w:sz w:val="83"/>
          <w:szCs w:val="83"/>
          <w:highlight w:val="none"/>
        </w:rPr>
        <w:t xml:space="preserve"> </w:t>
      </w:r>
      <w:r>
        <w:rPr>
          <w:rFonts w:ascii="宋体" w:hAnsi="宋体" w:eastAsia="宋体" w:cs="宋体"/>
          <w:b/>
          <w:bCs/>
          <w:color w:val="auto"/>
          <w:spacing w:val="-6"/>
          <w:sz w:val="83"/>
          <w:szCs w:val="83"/>
          <w:highlight w:val="none"/>
        </w:rPr>
        <w:t>件</w:t>
      </w:r>
    </w:p>
    <w:p w14:paraId="4A90A716">
      <w:pPr>
        <w:pStyle w:val="2"/>
        <w:spacing w:line="259" w:lineRule="auto"/>
        <w:rPr>
          <w:color w:val="auto"/>
          <w:highlight w:val="none"/>
        </w:rPr>
      </w:pPr>
    </w:p>
    <w:p w14:paraId="2B0C9EAB">
      <w:pPr>
        <w:pStyle w:val="2"/>
        <w:spacing w:line="259" w:lineRule="auto"/>
        <w:rPr>
          <w:color w:val="auto"/>
          <w:highlight w:val="none"/>
        </w:rPr>
      </w:pPr>
    </w:p>
    <w:p w14:paraId="065386CF">
      <w:pPr>
        <w:pStyle w:val="2"/>
        <w:spacing w:line="259" w:lineRule="auto"/>
        <w:rPr>
          <w:color w:val="auto"/>
          <w:highlight w:val="none"/>
        </w:rPr>
      </w:pPr>
    </w:p>
    <w:p w14:paraId="5EAF1043">
      <w:pPr>
        <w:pStyle w:val="2"/>
        <w:spacing w:line="259" w:lineRule="auto"/>
        <w:rPr>
          <w:color w:val="auto"/>
          <w:highlight w:val="none"/>
        </w:rPr>
      </w:pPr>
    </w:p>
    <w:p w14:paraId="555543D8">
      <w:pPr>
        <w:pStyle w:val="2"/>
        <w:spacing w:line="259" w:lineRule="auto"/>
        <w:rPr>
          <w:color w:val="auto"/>
          <w:highlight w:val="none"/>
        </w:rPr>
      </w:pPr>
    </w:p>
    <w:p w14:paraId="70FE7A4C">
      <w:pPr>
        <w:pStyle w:val="2"/>
        <w:spacing w:line="259" w:lineRule="auto"/>
        <w:rPr>
          <w:color w:val="auto"/>
          <w:highlight w:val="none"/>
        </w:rPr>
      </w:pPr>
    </w:p>
    <w:p w14:paraId="3F7351A2">
      <w:pPr>
        <w:pStyle w:val="2"/>
        <w:spacing w:line="259" w:lineRule="auto"/>
        <w:rPr>
          <w:color w:val="auto"/>
          <w:highlight w:val="none"/>
        </w:rPr>
      </w:pPr>
    </w:p>
    <w:p w14:paraId="16D5868B">
      <w:pPr>
        <w:spacing w:before="101" w:line="228" w:lineRule="auto"/>
        <w:ind w:left="3580"/>
        <w:rPr>
          <w:rFonts w:ascii="仿宋" w:hAnsi="仿宋" w:eastAsia="仿宋" w:cs="仿宋"/>
          <w:color w:val="auto"/>
          <w:sz w:val="31"/>
          <w:szCs w:val="31"/>
          <w:highlight w:val="none"/>
        </w:rPr>
      </w:pPr>
      <w:r>
        <w:rPr>
          <w:rFonts w:ascii="仿宋" w:hAnsi="仿宋" w:eastAsia="仿宋" w:cs="仿宋"/>
          <w:color w:val="auto"/>
          <w:spacing w:val="3"/>
          <w:sz w:val="31"/>
          <w:szCs w:val="31"/>
          <w:highlight w:val="none"/>
        </w:rPr>
        <w:t>崇财采〔2023〕10</w:t>
      </w:r>
      <w:r>
        <w:rPr>
          <w:rFonts w:ascii="仿宋" w:hAnsi="仿宋" w:eastAsia="仿宋" w:cs="仿宋"/>
          <w:color w:val="auto"/>
          <w:spacing w:val="-37"/>
          <w:sz w:val="31"/>
          <w:szCs w:val="31"/>
          <w:highlight w:val="none"/>
        </w:rPr>
        <w:t xml:space="preserve"> </w:t>
      </w:r>
      <w:r>
        <w:rPr>
          <w:rFonts w:ascii="仿宋" w:hAnsi="仿宋" w:eastAsia="仿宋" w:cs="仿宋"/>
          <w:color w:val="auto"/>
          <w:spacing w:val="3"/>
          <w:sz w:val="31"/>
          <w:szCs w:val="31"/>
          <w:highlight w:val="none"/>
        </w:rPr>
        <w:t>号</w:t>
      </w:r>
    </w:p>
    <w:p w14:paraId="5DCB1B0B">
      <w:pPr>
        <w:spacing w:before="137" w:line="60" w:lineRule="exact"/>
        <w:rPr>
          <w:color w:val="auto"/>
          <w:highlight w:val="none"/>
        </w:rPr>
      </w:pPr>
      <w:r>
        <w:rPr>
          <w:color w:val="auto"/>
          <w:position w:val="-1"/>
          <w:highlight w:val="none"/>
        </w:rPr>
        <w:pict>
          <v:shape id="_x0000_s1028" o:spid="_x0000_s1028" style="height:3pt;width:498.4pt;" fillcolor="#FF0000" filled="t" stroked="f" coordsize="9967,60" path="m0,0l0,60,9967,60,9967,0,0,0e">
            <v:path/>
            <v:fill on="t" focussize="0,0"/>
            <v:stroke on="f"/>
            <v:imagedata o:title=""/>
            <o:lock v:ext="edit"/>
            <w10:wrap type="none"/>
            <w10:anchorlock/>
          </v:shape>
        </w:pict>
      </w:r>
    </w:p>
    <w:p w14:paraId="514F52E3">
      <w:pPr>
        <w:pStyle w:val="2"/>
        <w:spacing w:line="462" w:lineRule="auto"/>
        <w:rPr>
          <w:color w:val="auto"/>
          <w:highlight w:val="none"/>
        </w:rPr>
      </w:pPr>
    </w:p>
    <w:p w14:paraId="13ED64CD">
      <w:pPr>
        <w:spacing w:before="185" w:line="184" w:lineRule="auto"/>
        <w:ind w:left="3068" w:right="441" w:hanging="2427"/>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20"/>
          <w:sz w:val="43"/>
          <w:szCs w:val="43"/>
          <w:highlight w:val="none"/>
        </w:rPr>
        <w:t>崇左市财政局关于进一步做好线上“政采贷”</w:t>
      </w:r>
      <w:r>
        <w:rPr>
          <w:rFonts w:ascii="微软雅黑" w:hAnsi="微软雅黑" w:eastAsia="微软雅黑" w:cs="微软雅黑"/>
          <w:color w:val="auto"/>
          <w:sz w:val="43"/>
          <w:szCs w:val="43"/>
          <w:highlight w:val="none"/>
        </w:rPr>
        <w:t xml:space="preserve"> </w:t>
      </w:r>
      <w:r>
        <w:rPr>
          <w:rFonts w:ascii="微软雅黑" w:hAnsi="微软雅黑" w:eastAsia="微软雅黑" w:cs="微软雅黑"/>
          <w:color w:val="auto"/>
          <w:spacing w:val="7"/>
          <w:sz w:val="43"/>
          <w:szCs w:val="43"/>
          <w:highlight w:val="none"/>
        </w:rPr>
        <w:t>融资业务工作的通知</w:t>
      </w:r>
    </w:p>
    <w:p w14:paraId="3EC1D6D8">
      <w:pPr>
        <w:pStyle w:val="2"/>
        <w:spacing w:line="262" w:lineRule="auto"/>
        <w:rPr>
          <w:color w:val="auto"/>
          <w:highlight w:val="none"/>
        </w:rPr>
      </w:pPr>
    </w:p>
    <w:p w14:paraId="4F434CAB">
      <w:pPr>
        <w:pStyle w:val="2"/>
        <w:spacing w:line="263" w:lineRule="auto"/>
        <w:rPr>
          <w:color w:val="auto"/>
          <w:highlight w:val="none"/>
        </w:rPr>
      </w:pPr>
    </w:p>
    <w:p w14:paraId="52D54832">
      <w:pPr>
        <w:spacing w:before="102" w:line="226" w:lineRule="auto"/>
        <w:ind w:left="737"/>
        <w:rPr>
          <w:rFonts w:ascii="仿宋" w:hAnsi="仿宋" w:eastAsia="仿宋" w:cs="仿宋"/>
          <w:color w:val="auto"/>
          <w:sz w:val="31"/>
          <w:szCs w:val="31"/>
          <w:highlight w:val="none"/>
        </w:rPr>
      </w:pPr>
      <w:r>
        <w:rPr>
          <w:rFonts w:ascii="仿宋" w:hAnsi="仿宋" w:eastAsia="仿宋" w:cs="仿宋"/>
          <w:color w:val="auto"/>
          <w:spacing w:val="8"/>
          <w:sz w:val="31"/>
          <w:szCs w:val="31"/>
          <w:highlight w:val="none"/>
        </w:rPr>
        <w:t>市直各预算单位、各县（市、区）财政局、各采购代理机构：</w:t>
      </w:r>
    </w:p>
    <w:p w14:paraId="45AE30A6">
      <w:pPr>
        <w:spacing w:before="179" w:line="227" w:lineRule="auto"/>
        <w:ind w:left="956"/>
        <w:rPr>
          <w:rFonts w:ascii="仿宋" w:hAnsi="仿宋" w:eastAsia="仿宋" w:cs="仿宋"/>
          <w:color w:val="auto"/>
          <w:sz w:val="31"/>
          <w:szCs w:val="31"/>
          <w:highlight w:val="none"/>
        </w:rPr>
      </w:pPr>
      <w:r>
        <w:rPr>
          <w:rFonts w:ascii="仿宋" w:hAnsi="仿宋" w:eastAsia="仿宋" w:cs="仿宋"/>
          <w:color w:val="auto"/>
          <w:spacing w:val="8"/>
          <w:sz w:val="31"/>
          <w:szCs w:val="31"/>
          <w:highlight w:val="none"/>
        </w:rPr>
        <w:t>为加大政府采购支持中小企业力度，帮助政府采购中标（成交）</w:t>
      </w:r>
    </w:p>
    <w:p w14:paraId="41B35159">
      <w:pPr>
        <w:spacing w:before="181" w:line="316" w:lineRule="auto"/>
        <w:ind w:left="304" w:right="315" w:firstLine="1"/>
        <w:rPr>
          <w:rFonts w:ascii="仿宋" w:hAnsi="仿宋" w:eastAsia="仿宋" w:cs="仿宋"/>
          <w:color w:val="auto"/>
          <w:sz w:val="31"/>
          <w:szCs w:val="31"/>
          <w:highlight w:val="none"/>
        </w:rPr>
      </w:pPr>
      <w:r>
        <w:rPr>
          <w:rFonts w:ascii="仿宋" w:hAnsi="仿宋" w:eastAsia="仿宋" w:cs="仿宋"/>
          <w:color w:val="auto"/>
          <w:spacing w:val="4"/>
          <w:sz w:val="31"/>
          <w:szCs w:val="31"/>
          <w:highlight w:val="none"/>
        </w:rPr>
        <w:t>供应商解决融资难、融资贵的问题，进一步做好线上“政采贷</w:t>
      </w:r>
      <w:r>
        <w:rPr>
          <w:rFonts w:ascii="仿宋" w:hAnsi="仿宋" w:eastAsia="仿宋" w:cs="仿宋"/>
          <w:color w:val="auto"/>
          <w:spacing w:val="-112"/>
          <w:sz w:val="31"/>
          <w:szCs w:val="31"/>
          <w:highlight w:val="none"/>
        </w:rPr>
        <w:t xml:space="preserve"> </w:t>
      </w:r>
      <w:r>
        <w:rPr>
          <w:rFonts w:ascii="仿宋" w:hAnsi="仿宋" w:eastAsia="仿宋" w:cs="仿宋"/>
          <w:color w:val="auto"/>
          <w:spacing w:val="4"/>
          <w:sz w:val="31"/>
          <w:szCs w:val="31"/>
          <w:highlight w:val="none"/>
        </w:rPr>
        <w:t>”</w:t>
      </w:r>
      <w:r>
        <w:rPr>
          <w:rFonts w:ascii="仿宋" w:hAnsi="仿宋" w:eastAsia="仿宋" w:cs="仿宋"/>
          <w:color w:val="auto"/>
          <w:spacing w:val="3"/>
          <w:sz w:val="31"/>
          <w:szCs w:val="31"/>
          <w:highlight w:val="none"/>
        </w:rPr>
        <w:t>融资</w:t>
      </w:r>
      <w:r>
        <w:rPr>
          <w:rFonts w:ascii="仿宋" w:hAnsi="仿宋" w:eastAsia="仿宋" w:cs="仿宋"/>
          <w:color w:val="auto"/>
          <w:sz w:val="31"/>
          <w:szCs w:val="31"/>
          <w:highlight w:val="none"/>
        </w:rPr>
        <w:t xml:space="preserve"> </w:t>
      </w:r>
      <w:r>
        <w:rPr>
          <w:rFonts w:ascii="仿宋" w:hAnsi="仿宋" w:eastAsia="仿宋" w:cs="仿宋"/>
          <w:color w:val="auto"/>
          <w:spacing w:val="8"/>
          <w:sz w:val="31"/>
          <w:szCs w:val="31"/>
          <w:highlight w:val="none"/>
        </w:rPr>
        <w:t>业务工作。经研究，现将有关事项通知如下：</w:t>
      </w:r>
    </w:p>
    <w:p w14:paraId="2B10FA88">
      <w:pPr>
        <w:spacing w:before="53" w:line="307" w:lineRule="auto"/>
        <w:ind w:left="313" w:right="313" w:firstLine="636"/>
        <w:rPr>
          <w:rFonts w:ascii="仿宋" w:hAnsi="仿宋" w:eastAsia="仿宋" w:cs="仿宋"/>
          <w:color w:val="auto"/>
          <w:sz w:val="31"/>
          <w:szCs w:val="31"/>
          <w:highlight w:val="none"/>
        </w:rPr>
      </w:pPr>
      <w:r>
        <w:rPr>
          <w:rFonts w:ascii="仿宋" w:hAnsi="仿宋" w:eastAsia="仿宋" w:cs="仿宋"/>
          <w:color w:val="auto"/>
          <w:spacing w:val="5"/>
          <w:sz w:val="31"/>
          <w:szCs w:val="31"/>
          <w:highlight w:val="none"/>
        </w:rPr>
        <w:t>一、采购人、采购代理机构在编制政府采购文件时，应</w:t>
      </w:r>
      <w:r>
        <w:rPr>
          <w:rFonts w:ascii="仿宋" w:hAnsi="仿宋" w:eastAsia="仿宋" w:cs="仿宋"/>
          <w:color w:val="auto"/>
          <w:spacing w:val="4"/>
          <w:sz w:val="31"/>
          <w:szCs w:val="31"/>
          <w:highlight w:val="none"/>
        </w:rPr>
        <w:t>将《崇左</w:t>
      </w:r>
      <w:r>
        <w:rPr>
          <w:rFonts w:ascii="仿宋" w:hAnsi="仿宋" w:eastAsia="仿宋" w:cs="仿宋"/>
          <w:color w:val="auto"/>
          <w:sz w:val="31"/>
          <w:szCs w:val="31"/>
          <w:highlight w:val="none"/>
        </w:rPr>
        <w:t xml:space="preserve"> </w:t>
      </w:r>
      <w:r>
        <w:rPr>
          <w:rFonts w:ascii="仿宋" w:hAnsi="仿宋" w:eastAsia="仿宋" w:cs="仿宋"/>
          <w:color w:val="auto"/>
          <w:spacing w:val="2"/>
          <w:sz w:val="31"/>
          <w:szCs w:val="31"/>
          <w:highlight w:val="none"/>
        </w:rPr>
        <w:t>市线上“政采贷</w:t>
      </w:r>
      <w:r>
        <w:rPr>
          <w:rFonts w:ascii="仿宋" w:hAnsi="仿宋" w:eastAsia="仿宋" w:cs="仿宋"/>
          <w:color w:val="auto"/>
          <w:spacing w:val="-102"/>
          <w:sz w:val="31"/>
          <w:szCs w:val="31"/>
          <w:highlight w:val="none"/>
        </w:rPr>
        <w:t xml:space="preserve"> </w:t>
      </w:r>
      <w:r>
        <w:rPr>
          <w:rFonts w:ascii="仿宋" w:hAnsi="仿宋" w:eastAsia="仿宋" w:cs="仿宋"/>
          <w:color w:val="auto"/>
          <w:spacing w:val="2"/>
          <w:sz w:val="31"/>
          <w:szCs w:val="31"/>
          <w:highlight w:val="none"/>
        </w:rPr>
        <w:t>”政策告知函》、《崇左市线上“政采贷</w:t>
      </w:r>
      <w:r>
        <w:rPr>
          <w:rFonts w:ascii="仿宋" w:hAnsi="仿宋" w:eastAsia="仿宋" w:cs="仿宋"/>
          <w:color w:val="auto"/>
          <w:spacing w:val="-113"/>
          <w:sz w:val="31"/>
          <w:szCs w:val="31"/>
          <w:highlight w:val="none"/>
        </w:rPr>
        <w:t xml:space="preserve"> </w:t>
      </w:r>
      <w:r>
        <w:rPr>
          <w:rFonts w:ascii="仿宋" w:hAnsi="仿宋" w:eastAsia="仿宋" w:cs="仿宋"/>
          <w:color w:val="auto"/>
          <w:spacing w:val="2"/>
          <w:sz w:val="31"/>
          <w:szCs w:val="31"/>
          <w:highlight w:val="none"/>
        </w:rPr>
        <w:t>”业务流程</w:t>
      </w:r>
      <w:r>
        <w:rPr>
          <w:rFonts w:ascii="仿宋" w:hAnsi="仿宋" w:eastAsia="仿宋" w:cs="仿宋"/>
          <w:color w:val="auto"/>
          <w:sz w:val="31"/>
          <w:szCs w:val="31"/>
          <w:highlight w:val="none"/>
        </w:rPr>
        <w:t xml:space="preserve"> </w:t>
      </w:r>
      <w:r>
        <w:rPr>
          <w:rFonts w:ascii="仿宋" w:hAnsi="仿宋" w:eastAsia="仿宋" w:cs="仿宋"/>
          <w:color w:val="auto"/>
          <w:spacing w:val="4"/>
          <w:sz w:val="31"/>
          <w:szCs w:val="31"/>
          <w:highlight w:val="none"/>
        </w:rPr>
        <w:t>图》、《崇左市金融机构线上“政采贷</w:t>
      </w:r>
      <w:r>
        <w:rPr>
          <w:rFonts w:ascii="仿宋" w:hAnsi="仿宋" w:eastAsia="仿宋" w:cs="仿宋"/>
          <w:color w:val="auto"/>
          <w:spacing w:val="-113"/>
          <w:sz w:val="31"/>
          <w:szCs w:val="31"/>
          <w:highlight w:val="none"/>
        </w:rPr>
        <w:t xml:space="preserve"> </w:t>
      </w:r>
      <w:r>
        <w:rPr>
          <w:rFonts w:ascii="仿宋" w:hAnsi="仿宋" w:eastAsia="仿宋" w:cs="仿宋"/>
          <w:color w:val="auto"/>
          <w:spacing w:val="4"/>
          <w:sz w:val="31"/>
          <w:szCs w:val="31"/>
          <w:highlight w:val="none"/>
        </w:rPr>
        <w:t>”业务办理联</w:t>
      </w:r>
      <w:r>
        <w:rPr>
          <w:rFonts w:ascii="仿宋" w:hAnsi="仿宋" w:eastAsia="仿宋" w:cs="仿宋"/>
          <w:color w:val="auto"/>
          <w:spacing w:val="3"/>
          <w:sz w:val="31"/>
          <w:szCs w:val="31"/>
          <w:highlight w:val="none"/>
        </w:rPr>
        <w:t>络表》作为政策</w:t>
      </w:r>
      <w:r>
        <w:rPr>
          <w:rFonts w:ascii="仿宋" w:hAnsi="仿宋" w:eastAsia="仿宋" w:cs="仿宋"/>
          <w:color w:val="auto"/>
          <w:sz w:val="31"/>
          <w:szCs w:val="31"/>
          <w:highlight w:val="none"/>
        </w:rPr>
        <w:t xml:space="preserve"> </w:t>
      </w:r>
      <w:r>
        <w:rPr>
          <w:rFonts w:ascii="仿宋" w:hAnsi="仿宋" w:eastAsia="仿宋" w:cs="仿宋"/>
          <w:color w:val="auto"/>
          <w:spacing w:val="9"/>
          <w:sz w:val="31"/>
          <w:szCs w:val="31"/>
          <w:highlight w:val="none"/>
        </w:rPr>
        <w:t>宣传材料排入文件显眼版块中。（详见：附件</w:t>
      </w:r>
      <w:r>
        <w:rPr>
          <w:rFonts w:ascii="仿宋" w:hAnsi="仿宋" w:eastAsia="仿宋" w:cs="仿宋"/>
          <w:color w:val="auto"/>
          <w:spacing w:val="-58"/>
          <w:sz w:val="31"/>
          <w:szCs w:val="31"/>
          <w:highlight w:val="none"/>
        </w:rPr>
        <w:t xml:space="preserve"> </w:t>
      </w:r>
      <w:r>
        <w:rPr>
          <w:rFonts w:ascii="仿宋" w:hAnsi="仿宋" w:eastAsia="仿宋" w:cs="仿宋"/>
          <w:color w:val="auto"/>
          <w:spacing w:val="9"/>
          <w:sz w:val="31"/>
          <w:szCs w:val="31"/>
          <w:highlight w:val="none"/>
        </w:rPr>
        <w:t>2</w:t>
      </w:r>
      <w:r>
        <w:rPr>
          <w:rFonts w:ascii="仿宋" w:hAnsi="仿宋" w:eastAsia="仿宋" w:cs="仿宋"/>
          <w:color w:val="auto"/>
          <w:spacing w:val="-43"/>
          <w:sz w:val="31"/>
          <w:szCs w:val="31"/>
          <w:highlight w:val="none"/>
        </w:rPr>
        <w:t xml:space="preserve"> </w:t>
      </w:r>
      <w:r>
        <w:rPr>
          <w:rFonts w:ascii="仿宋" w:hAnsi="仿宋" w:eastAsia="仿宋" w:cs="仿宋"/>
          <w:color w:val="auto"/>
          <w:spacing w:val="9"/>
          <w:sz w:val="31"/>
          <w:szCs w:val="31"/>
          <w:highlight w:val="none"/>
        </w:rPr>
        <w:t>至附件4</w:t>
      </w:r>
      <w:r>
        <w:rPr>
          <w:rFonts w:ascii="仿宋" w:hAnsi="仿宋" w:eastAsia="仿宋" w:cs="仿宋"/>
          <w:color w:val="auto"/>
          <w:spacing w:val="8"/>
          <w:sz w:val="31"/>
          <w:szCs w:val="31"/>
          <w:highlight w:val="none"/>
        </w:rPr>
        <w:t>）。</w:t>
      </w:r>
    </w:p>
    <w:p w14:paraId="387C9E85">
      <w:pPr>
        <w:spacing w:before="185" w:line="306" w:lineRule="auto"/>
        <w:ind w:left="275" w:firstLine="680"/>
        <w:rPr>
          <w:rFonts w:ascii="仿宋" w:hAnsi="仿宋" w:eastAsia="仿宋" w:cs="仿宋"/>
          <w:color w:val="auto"/>
          <w:sz w:val="31"/>
          <w:szCs w:val="31"/>
          <w:highlight w:val="none"/>
        </w:rPr>
      </w:pPr>
      <w:r>
        <w:rPr>
          <w:rFonts w:ascii="仿宋" w:hAnsi="仿宋" w:eastAsia="仿宋" w:cs="仿宋"/>
          <w:color w:val="auto"/>
          <w:spacing w:val="5"/>
          <w:sz w:val="31"/>
          <w:szCs w:val="31"/>
          <w:highlight w:val="none"/>
        </w:rPr>
        <w:t>二、采购人应及时配合签订政府采购合同，督促</w:t>
      </w:r>
      <w:r>
        <w:rPr>
          <w:rFonts w:ascii="仿宋" w:hAnsi="仿宋" w:eastAsia="仿宋" w:cs="仿宋"/>
          <w:color w:val="auto"/>
          <w:spacing w:val="4"/>
          <w:sz w:val="31"/>
          <w:szCs w:val="31"/>
          <w:highlight w:val="none"/>
        </w:rPr>
        <w:t>采购代理机构按</w:t>
      </w:r>
      <w:r>
        <w:rPr>
          <w:rFonts w:ascii="仿宋" w:hAnsi="仿宋" w:eastAsia="仿宋" w:cs="仿宋"/>
          <w:color w:val="auto"/>
          <w:sz w:val="31"/>
          <w:szCs w:val="31"/>
          <w:highlight w:val="none"/>
        </w:rPr>
        <w:t xml:space="preserve">   </w:t>
      </w:r>
      <w:r>
        <w:rPr>
          <w:rFonts w:ascii="仿宋" w:hAnsi="仿宋" w:eastAsia="仿宋" w:cs="仿宋"/>
          <w:color w:val="auto"/>
          <w:spacing w:val="5"/>
          <w:sz w:val="31"/>
          <w:szCs w:val="31"/>
          <w:highlight w:val="none"/>
        </w:rPr>
        <w:t>时完成合同公告工作（政府采购公告法定网站“广西政府采购网</w:t>
      </w:r>
      <w:r>
        <w:rPr>
          <w:rFonts w:ascii="仿宋" w:hAnsi="仿宋" w:eastAsia="仿宋" w:cs="仿宋"/>
          <w:color w:val="auto"/>
          <w:spacing w:val="-111"/>
          <w:sz w:val="31"/>
          <w:szCs w:val="31"/>
          <w:highlight w:val="none"/>
        </w:rPr>
        <w:t xml:space="preserve"> </w:t>
      </w:r>
      <w:r>
        <w:rPr>
          <w:rFonts w:ascii="仿宋" w:hAnsi="仿宋" w:eastAsia="仿宋" w:cs="仿宋"/>
          <w:color w:val="auto"/>
          <w:spacing w:val="5"/>
          <w:sz w:val="31"/>
          <w:szCs w:val="31"/>
          <w:highlight w:val="none"/>
        </w:rPr>
        <w:t>”</w:t>
      </w:r>
      <w:r>
        <w:rPr>
          <w:rFonts w:ascii="仿宋" w:hAnsi="仿宋" w:eastAsia="仿宋" w:cs="仿宋"/>
          <w:color w:val="auto"/>
          <w:spacing w:val="-56"/>
          <w:sz w:val="31"/>
          <w:szCs w:val="31"/>
          <w:highlight w:val="none"/>
        </w:rPr>
        <w:t>），</w:t>
      </w:r>
      <w:r>
        <w:rPr>
          <w:rFonts w:ascii="仿宋" w:hAnsi="仿宋" w:eastAsia="仿宋" w:cs="仿宋"/>
          <w:color w:val="auto"/>
          <w:sz w:val="31"/>
          <w:szCs w:val="31"/>
          <w:highlight w:val="none"/>
        </w:rPr>
        <w:t xml:space="preserve"> </w:t>
      </w:r>
      <w:r>
        <w:rPr>
          <w:rFonts w:ascii="仿宋" w:hAnsi="仿宋" w:eastAsia="仿宋" w:cs="仿宋"/>
          <w:color w:val="auto"/>
          <w:spacing w:val="5"/>
          <w:sz w:val="31"/>
          <w:szCs w:val="31"/>
          <w:highlight w:val="none"/>
        </w:rPr>
        <w:t>缩短“政采贷</w:t>
      </w:r>
      <w:r>
        <w:rPr>
          <w:rFonts w:ascii="仿宋" w:hAnsi="仿宋" w:eastAsia="仿宋" w:cs="仿宋"/>
          <w:color w:val="auto"/>
          <w:spacing w:val="-112"/>
          <w:sz w:val="31"/>
          <w:szCs w:val="31"/>
          <w:highlight w:val="none"/>
        </w:rPr>
        <w:t xml:space="preserve"> </w:t>
      </w:r>
      <w:r>
        <w:rPr>
          <w:rFonts w:ascii="仿宋" w:hAnsi="仿宋" w:eastAsia="仿宋" w:cs="仿宋"/>
          <w:color w:val="auto"/>
          <w:spacing w:val="5"/>
          <w:sz w:val="31"/>
          <w:szCs w:val="31"/>
          <w:highlight w:val="none"/>
        </w:rPr>
        <w:t>”办理时间。采购人应主动向中标（成交）供应商</w:t>
      </w:r>
      <w:r>
        <w:rPr>
          <w:rFonts w:ascii="仿宋" w:hAnsi="仿宋" w:eastAsia="仿宋" w:cs="仿宋"/>
          <w:color w:val="auto"/>
          <w:spacing w:val="4"/>
          <w:sz w:val="31"/>
          <w:szCs w:val="31"/>
          <w:highlight w:val="none"/>
        </w:rPr>
        <w:t>宣传</w:t>
      </w:r>
      <w:r>
        <w:rPr>
          <w:rFonts w:ascii="仿宋" w:hAnsi="仿宋" w:eastAsia="仿宋" w:cs="仿宋"/>
          <w:color w:val="auto"/>
          <w:sz w:val="31"/>
          <w:szCs w:val="31"/>
          <w:highlight w:val="none"/>
        </w:rPr>
        <w:t xml:space="preserve">   </w:t>
      </w:r>
      <w:r>
        <w:rPr>
          <w:rFonts w:ascii="仿宋" w:hAnsi="仿宋" w:eastAsia="仿宋" w:cs="仿宋"/>
          <w:color w:val="auto"/>
          <w:spacing w:val="3"/>
          <w:sz w:val="31"/>
          <w:szCs w:val="31"/>
          <w:highlight w:val="none"/>
        </w:rPr>
        <w:t>“政采贷</w:t>
      </w:r>
      <w:r>
        <w:rPr>
          <w:rFonts w:ascii="仿宋" w:hAnsi="仿宋" w:eastAsia="仿宋" w:cs="仿宋"/>
          <w:color w:val="auto"/>
          <w:spacing w:val="-94"/>
          <w:sz w:val="31"/>
          <w:szCs w:val="31"/>
          <w:highlight w:val="none"/>
        </w:rPr>
        <w:t xml:space="preserve"> </w:t>
      </w:r>
      <w:r>
        <w:rPr>
          <w:rFonts w:ascii="仿宋" w:hAnsi="仿宋" w:eastAsia="仿宋" w:cs="仿宋"/>
          <w:color w:val="auto"/>
          <w:spacing w:val="3"/>
          <w:sz w:val="31"/>
          <w:szCs w:val="31"/>
          <w:highlight w:val="none"/>
        </w:rPr>
        <w:t>”相关政策，配合、协助其在“中征应收账款融资服务平台</w:t>
      </w:r>
      <w:r>
        <w:rPr>
          <w:rFonts w:ascii="仿宋" w:hAnsi="仿宋" w:eastAsia="仿宋" w:cs="仿宋"/>
          <w:color w:val="auto"/>
          <w:spacing w:val="-112"/>
          <w:sz w:val="31"/>
          <w:szCs w:val="31"/>
          <w:highlight w:val="none"/>
        </w:rPr>
        <w:t xml:space="preserve"> </w:t>
      </w:r>
      <w:r>
        <w:rPr>
          <w:rFonts w:ascii="仿宋" w:hAnsi="仿宋" w:eastAsia="仿宋" w:cs="仿宋"/>
          <w:color w:val="auto"/>
          <w:spacing w:val="3"/>
          <w:sz w:val="31"/>
          <w:szCs w:val="31"/>
          <w:highlight w:val="none"/>
        </w:rPr>
        <w:t>”</w:t>
      </w:r>
    </w:p>
    <w:p w14:paraId="7D4CD976">
      <w:pPr>
        <w:spacing w:line="306" w:lineRule="auto"/>
        <w:rPr>
          <w:rFonts w:ascii="仿宋" w:hAnsi="仿宋" w:eastAsia="仿宋" w:cs="仿宋"/>
          <w:color w:val="auto"/>
          <w:sz w:val="31"/>
          <w:szCs w:val="31"/>
          <w:highlight w:val="none"/>
        </w:rPr>
        <w:sectPr>
          <w:footerReference r:id="rId63" w:type="default"/>
          <w:pgSz w:w="11906" w:h="16839"/>
          <w:pgMar w:top="1242" w:right="972" w:bottom="882" w:left="849" w:header="0" w:footer="720" w:gutter="0"/>
          <w:pgNumType w:fmt="decimal"/>
          <w:cols w:space="720" w:num="1"/>
        </w:sectPr>
      </w:pPr>
    </w:p>
    <w:p w14:paraId="3CCE7708">
      <w:pPr>
        <w:spacing w:before="64" w:line="226" w:lineRule="auto"/>
        <w:ind w:left="38"/>
        <w:rPr>
          <w:rFonts w:ascii="仿宋" w:hAnsi="仿宋" w:eastAsia="仿宋" w:cs="仿宋"/>
          <w:color w:val="auto"/>
          <w:sz w:val="31"/>
          <w:szCs w:val="31"/>
          <w:highlight w:val="none"/>
        </w:rPr>
      </w:pPr>
      <w:r>
        <w:rPr>
          <w:rFonts w:ascii="仿宋" w:hAnsi="仿宋" w:eastAsia="仿宋" w:cs="仿宋"/>
          <w:color w:val="auto"/>
          <w:spacing w:val="5"/>
          <w:sz w:val="31"/>
          <w:szCs w:val="31"/>
          <w:highlight w:val="none"/>
        </w:rPr>
        <w:t>向相关金融机构申请“政采贷</w:t>
      </w:r>
      <w:r>
        <w:rPr>
          <w:rFonts w:ascii="仿宋" w:hAnsi="仿宋" w:eastAsia="仿宋" w:cs="仿宋"/>
          <w:color w:val="auto"/>
          <w:spacing w:val="-108"/>
          <w:sz w:val="31"/>
          <w:szCs w:val="31"/>
          <w:highlight w:val="none"/>
        </w:rPr>
        <w:t xml:space="preserve"> </w:t>
      </w:r>
      <w:r>
        <w:rPr>
          <w:rFonts w:ascii="仿宋" w:hAnsi="仿宋" w:eastAsia="仿宋" w:cs="仿宋"/>
          <w:color w:val="auto"/>
          <w:spacing w:val="5"/>
          <w:sz w:val="31"/>
          <w:szCs w:val="31"/>
          <w:highlight w:val="none"/>
        </w:rPr>
        <w:t>”。</w:t>
      </w:r>
    </w:p>
    <w:p w14:paraId="399091C1">
      <w:pPr>
        <w:tabs>
          <w:tab w:val="left" w:pos="9775"/>
        </w:tabs>
        <w:spacing w:before="181" w:line="328" w:lineRule="auto"/>
        <w:ind w:left="1" w:firstLine="644"/>
        <w:jc w:val="both"/>
        <w:rPr>
          <w:rFonts w:ascii="仿宋" w:hAnsi="仿宋" w:eastAsia="仿宋" w:cs="仿宋"/>
          <w:color w:val="auto"/>
          <w:sz w:val="31"/>
          <w:szCs w:val="31"/>
          <w:highlight w:val="none"/>
        </w:rPr>
      </w:pPr>
      <w:r>
        <w:rPr>
          <w:rFonts w:ascii="仿宋" w:hAnsi="仿宋" w:eastAsia="仿宋" w:cs="仿宋"/>
          <w:color w:val="auto"/>
          <w:spacing w:val="3"/>
          <w:sz w:val="31"/>
          <w:szCs w:val="31"/>
          <w:highlight w:val="none"/>
        </w:rPr>
        <w:t>三、采购人应将中标（成交）供应商与金融机构签订《“政采贷</w:t>
      </w:r>
      <w:r>
        <w:rPr>
          <w:rFonts w:ascii="仿宋" w:hAnsi="仿宋" w:eastAsia="仿宋" w:cs="仿宋"/>
          <w:color w:val="auto"/>
          <w:spacing w:val="-104"/>
          <w:sz w:val="31"/>
          <w:szCs w:val="31"/>
          <w:highlight w:val="none"/>
        </w:rPr>
        <w:t xml:space="preserve"> </w:t>
      </w:r>
      <w:r>
        <w:rPr>
          <w:rFonts w:ascii="仿宋" w:hAnsi="仿宋" w:eastAsia="仿宋" w:cs="仿宋"/>
          <w:color w:val="auto"/>
          <w:spacing w:val="3"/>
          <w:sz w:val="31"/>
          <w:szCs w:val="31"/>
          <w:highlight w:val="none"/>
        </w:rPr>
        <w:t>”</w:t>
      </w:r>
      <w:r>
        <w:rPr>
          <w:rFonts w:ascii="仿宋" w:hAnsi="仿宋" w:eastAsia="仿宋" w:cs="仿宋"/>
          <w:color w:val="auto"/>
          <w:sz w:val="31"/>
          <w:szCs w:val="31"/>
          <w:highlight w:val="none"/>
        </w:rPr>
        <w:t xml:space="preserve"> </w:t>
      </w:r>
      <w:r>
        <w:rPr>
          <w:rFonts w:ascii="仿宋" w:hAnsi="仿宋" w:eastAsia="仿宋" w:cs="仿宋"/>
          <w:color w:val="auto"/>
          <w:spacing w:val="4"/>
          <w:sz w:val="31"/>
          <w:szCs w:val="31"/>
          <w:highlight w:val="none"/>
        </w:rPr>
        <w:t>融资协议》的“融资回款账户</w:t>
      </w:r>
      <w:r>
        <w:rPr>
          <w:rFonts w:ascii="仿宋" w:hAnsi="仿宋" w:eastAsia="仿宋" w:cs="仿宋"/>
          <w:color w:val="auto"/>
          <w:spacing w:val="-113"/>
          <w:sz w:val="31"/>
          <w:szCs w:val="31"/>
          <w:highlight w:val="none"/>
        </w:rPr>
        <w:t xml:space="preserve"> </w:t>
      </w:r>
      <w:r>
        <w:rPr>
          <w:rFonts w:ascii="仿宋" w:hAnsi="仿宋" w:eastAsia="仿宋" w:cs="仿宋"/>
          <w:color w:val="auto"/>
          <w:spacing w:val="4"/>
          <w:sz w:val="31"/>
          <w:szCs w:val="31"/>
          <w:highlight w:val="none"/>
        </w:rPr>
        <w:t>”做为唯一收款人帐户，将政府</w:t>
      </w:r>
      <w:r>
        <w:rPr>
          <w:rFonts w:ascii="仿宋" w:hAnsi="仿宋" w:eastAsia="仿宋" w:cs="仿宋"/>
          <w:color w:val="auto"/>
          <w:spacing w:val="3"/>
          <w:sz w:val="31"/>
          <w:szCs w:val="31"/>
          <w:highlight w:val="none"/>
        </w:rPr>
        <w:t>采购项</w:t>
      </w:r>
      <w:r>
        <w:rPr>
          <w:rFonts w:ascii="仿宋" w:hAnsi="仿宋" w:eastAsia="仿宋" w:cs="仿宋"/>
          <w:color w:val="auto"/>
          <w:sz w:val="31"/>
          <w:szCs w:val="31"/>
          <w:highlight w:val="none"/>
        </w:rPr>
        <w:tab/>
      </w:r>
      <w:r>
        <w:rPr>
          <w:rFonts w:ascii="仿宋" w:hAnsi="仿宋" w:eastAsia="仿宋" w:cs="仿宋"/>
          <w:color w:val="auto"/>
          <w:sz w:val="31"/>
          <w:szCs w:val="31"/>
          <w:highlight w:val="none"/>
        </w:rPr>
        <w:t xml:space="preserve"> </w:t>
      </w:r>
      <w:r>
        <w:rPr>
          <w:rFonts w:ascii="仿宋" w:hAnsi="仿宋" w:eastAsia="仿宋" w:cs="仿宋"/>
          <w:color w:val="auto"/>
          <w:spacing w:val="2"/>
          <w:sz w:val="31"/>
          <w:szCs w:val="31"/>
          <w:highlight w:val="none"/>
        </w:rPr>
        <w:t>目资金支付至“融资回款账户</w:t>
      </w:r>
      <w:r>
        <w:rPr>
          <w:rFonts w:ascii="仿宋" w:hAnsi="仿宋" w:eastAsia="仿宋" w:cs="仿宋"/>
          <w:color w:val="auto"/>
          <w:spacing w:val="-101"/>
          <w:sz w:val="31"/>
          <w:szCs w:val="31"/>
          <w:highlight w:val="none"/>
        </w:rPr>
        <w:t xml:space="preserve"> </w:t>
      </w:r>
      <w:r>
        <w:rPr>
          <w:rFonts w:ascii="仿宋" w:hAnsi="仿宋" w:eastAsia="仿宋" w:cs="仿宋"/>
          <w:color w:val="auto"/>
          <w:spacing w:val="2"/>
          <w:sz w:val="31"/>
          <w:szCs w:val="31"/>
          <w:highlight w:val="none"/>
        </w:rPr>
        <w:t>”。《“政采贷</w:t>
      </w:r>
      <w:r>
        <w:rPr>
          <w:rFonts w:ascii="仿宋" w:hAnsi="仿宋" w:eastAsia="仿宋" w:cs="仿宋"/>
          <w:color w:val="auto"/>
          <w:spacing w:val="-112"/>
          <w:sz w:val="31"/>
          <w:szCs w:val="31"/>
          <w:highlight w:val="none"/>
        </w:rPr>
        <w:t xml:space="preserve"> </w:t>
      </w:r>
      <w:r>
        <w:rPr>
          <w:rFonts w:ascii="仿宋" w:hAnsi="仿宋" w:eastAsia="仿宋" w:cs="仿宋"/>
          <w:color w:val="auto"/>
          <w:spacing w:val="2"/>
          <w:sz w:val="31"/>
          <w:szCs w:val="31"/>
          <w:highlight w:val="none"/>
        </w:rPr>
        <w:t>”融资协议》的“融资</w:t>
      </w:r>
      <w:r>
        <w:rPr>
          <w:rFonts w:ascii="仿宋" w:hAnsi="仿宋" w:eastAsia="仿宋" w:cs="仿宋"/>
          <w:color w:val="auto"/>
          <w:sz w:val="31"/>
          <w:szCs w:val="31"/>
          <w:highlight w:val="none"/>
        </w:rPr>
        <w:tab/>
      </w:r>
      <w:r>
        <w:rPr>
          <w:rFonts w:ascii="仿宋" w:hAnsi="仿宋" w:eastAsia="仿宋" w:cs="仿宋"/>
          <w:color w:val="auto"/>
          <w:sz w:val="31"/>
          <w:szCs w:val="31"/>
          <w:highlight w:val="none"/>
        </w:rPr>
        <w:t xml:space="preserve"> </w:t>
      </w:r>
      <w:r>
        <w:rPr>
          <w:rFonts w:ascii="仿宋" w:hAnsi="仿宋" w:eastAsia="仿宋" w:cs="仿宋"/>
          <w:color w:val="auto"/>
          <w:spacing w:val="1"/>
          <w:sz w:val="31"/>
          <w:szCs w:val="31"/>
          <w:highlight w:val="none"/>
        </w:rPr>
        <w:t>回款账户</w:t>
      </w:r>
      <w:r>
        <w:rPr>
          <w:rFonts w:ascii="仿宋" w:hAnsi="仿宋" w:eastAsia="仿宋" w:cs="仿宋"/>
          <w:color w:val="auto"/>
          <w:spacing w:val="-110"/>
          <w:sz w:val="31"/>
          <w:szCs w:val="31"/>
          <w:highlight w:val="none"/>
        </w:rPr>
        <w:t xml:space="preserve"> </w:t>
      </w:r>
      <w:r>
        <w:rPr>
          <w:rFonts w:ascii="仿宋" w:hAnsi="仿宋" w:eastAsia="仿宋" w:cs="仿宋"/>
          <w:color w:val="auto"/>
          <w:spacing w:val="1"/>
          <w:sz w:val="31"/>
          <w:szCs w:val="31"/>
          <w:highlight w:val="none"/>
        </w:rPr>
        <w:t>”应与《政府采购合同》的“</w:t>
      </w:r>
      <w:r>
        <w:rPr>
          <w:rFonts w:ascii="仿宋" w:hAnsi="仿宋" w:eastAsia="仿宋" w:cs="仿宋"/>
          <w:color w:val="auto"/>
          <w:spacing w:val="-116"/>
          <w:sz w:val="31"/>
          <w:szCs w:val="31"/>
          <w:highlight w:val="none"/>
        </w:rPr>
        <w:t xml:space="preserve"> </w:t>
      </w:r>
      <w:r>
        <w:rPr>
          <w:rFonts w:ascii="仿宋" w:hAnsi="仿宋" w:eastAsia="仿宋" w:cs="仿宋"/>
          <w:color w:val="auto"/>
          <w:spacing w:val="1"/>
          <w:sz w:val="31"/>
          <w:szCs w:val="31"/>
          <w:highlight w:val="none"/>
        </w:rPr>
        <w:t>收款人账户</w:t>
      </w:r>
      <w:r>
        <w:rPr>
          <w:rFonts w:ascii="仿宋" w:hAnsi="仿宋" w:eastAsia="仿宋" w:cs="仿宋"/>
          <w:color w:val="auto"/>
          <w:spacing w:val="-110"/>
          <w:sz w:val="31"/>
          <w:szCs w:val="31"/>
          <w:highlight w:val="none"/>
        </w:rPr>
        <w:t xml:space="preserve"> </w:t>
      </w:r>
      <w:r>
        <w:rPr>
          <w:rFonts w:ascii="仿宋" w:hAnsi="仿宋" w:eastAsia="仿宋" w:cs="仿宋"/>
          <w:color w:val="auto"/>
          <w:spacing w:val="1"/>
          <w:sz w:val="31"/>
          <w:szCs w:val="31"/>
          <w:highlight w:val="none"/>
        </w:rPr>
        <w:t>”保持一致。</w:t>
      </w:r>
      <w:r>
        <w:rPr>
          <w:rFonts w:ascii="仿宋" w:hAnsi="仿宋" w:eastAsia="仿宋" w:cs="仿宋"/>
          <w:color w:val="auto"/>
          <w:sz w:val="31"/>
          <w:szCs w:val="31"/>
          <w:highlight w:val="none"/>
        </w:rPr>
        <w:t>如不</w:t>
      </w:r>
      <w:r>
        <w:rPr>
          <w:rFonts w:ascii="仿宋" w:hAnsi="仿宋" w:eastAsia="仿宋" w:cs="仿宋"/>
          <w:color w:val="auto"/>
          <w:sz w:val="31"/>
          <w:szCs w:val="31"/>
          <w:highlight w:val="none"/>
        </w:rPr>
        <w:tab/>
      </w:r>
      <w:r>
        <w:rPr>
          <w:rFonts w:ascii="仿宋" w:hAnsi="仿宋" w:eastAsia="仿宋" w:cs="仿宋"/>
          <w:color w:val="auto"/>
          <w:sz w:val="31"/>
          <w:szCs w:val="31"/>
          <w:highlight w:val="none"/>
        </w:rPr>
        <w:t xml:space="preserve"> </w:t>
      </w:r>
      <w:r>
        <w:rPr>
          <w:rFonts w:ascii="仿宋" w:hAnsi="仿宋" w:eastAsia="仿宋" w:cs="仿宋"/>
          <w:color w:val="auto"/>
          <w:spacing w:val="4"/>
          <w:sz w:val="31"/>
          <w:szCs w:val="31"/>
          <w:highlight w:val="none"/>
        </w:rPr>
        <w:t>一致，采购人应配合以补充协议的方式将《政府采购合同》的“</w:t>
      </w:r>
      <w:r>
        <w:rPr>
          <w:rFonts w:ascii="仿宋" w:hAnsi="仿宋" w:eastAsia="仿宋" w:cs="仿宋"/>
          <w:color w:val="auto"/>
          <w:spacing w:val="-116"/>
          <w:sz w:val="31"/>
          <w:szCs w:val="31"/>
          <w:highlight w:val="none"/>
        </w:rPr>
        <w:t xml:space="preserve"> </w:t>
      </w:r>
      <w:r>
        <w:rPr>
          <w:rFonts w:ascii="仿宋" w:hAnsi="仿宋" w:eastAsia="仿宋" w:cs="仿宋"/>
          <w:color w:val="auto"/>
          <w:spacing w:val="3"/>
          <w:sz w:val="31"/>
          <w:szCs w:val="31"/>
          <w:highlight w:val="none"/>
        </w:rPr>
        <w:t>收款</w:t>
      </w:r>
      <w:r>
        <w:rPr>
          <w:rFonts w:ascii="仿宋" w:hAnsi="仿宋" w:eastAsia="仿宋" w:cs="仿宋"/>
          <w:color w:val="auto"/>
          <w:sz w:val="31"/>
          <w:szCs w:val="31"/>
          <w:highlight w:val="none"/>
        </w:rPr>
        <w:tab/>
      </w:r>
      <w:r>
        <w:rPr>
          <w:rFonts w:ascii="仿宋" w:hAnsi="仿宋" w:eastAsia="仿宋" w:cs="仿宋"/>
          <w:color w:val="auto"/>
          <w:sz w:val="31"/>
          <w:szCs w:val="31"/>
          <w:highlight w:val="none"/>
        </w:rPr>
        <w:t xml:space="preserve"> </w:t>
      </w:r>
      <w:r>
        <w:rPr>
          <w:rFonts w:ascii="仿宋" w:hAnsi="仿宋" w:eastAsia="仿宋" w:cs="仿宋"/>
          <w:color w:val="auto"/>
          <w:spacing w:val="3"/>
          <w:sz w:val="31"/>
          <w:szCs w:val="31"/>
          <w:highlight w:val="none"/>
        </w:rPr>
        <w:t>人帐户</w:t>
      </w:r>
      <w:r>
        <w:rPr>
          <w:rFonts w:ascii="仿宋" w:hAnsi="仿宋" w:eastAsia="仿宋" w:cs="仿宋"/>
          <w:color w:val="auto"/>
          <w:spacing w:val="-102"/>
          <w:sz w:val="31"/>
          <w:szCs w:val="31"/>
          <w:highlight w:val="none"/>
        </w:rPr>
        <w:t xml:space="preserve"> </w:t>
      </w:r>
      <w:r>
        <w:rPr>
          <w:rFonts w:ascii="仿宋" w:hAnsi="仿宋" w:eastAsia="仿宋" w:cs="仿宋"/>
          <w:color w:val="auto"/>
          <w:spacing w:val="3"/>
          <w:sz w:val="31"/>
          <w:szCs w:val="31"/>
          <w:highlight w:val="none"/>
        </w:rPr>
        <w:t>”修改与其保持一致。</w:t>
      </w:r>
    </w:p>
    <w:p w14:paraId="59B3522A">
      <w:pPr>
        <w:pStyle w:val="2"/>
        <w:spacing w:line="256" w:lineRule="auto"/>
        <w:rPr>
          <w:color w:val="auto"/>
          <w:highlight w:val="none"/>
        </w:rPr>
      </w:pPr>
    </w:p>
    <w:p w14:paraId="3D0FB43F">
      <w:pPr>
        <w:pStyle w:val="2"/>
        <w:spacing w:line="256" w:lineRule="auto"/>
        <w:rPr>
          <w:color w:val="auto"/>
          <w:highlight w:val="none"/>
        </w:rPr>
      </w:pPr>
    </w:p>
    <w:p w14:paraId="6C902719">
      <w:pPr>
        <w:spacing w:before="101" w:line="317" w:lineRule="auto"/>
        <w:ind w:left="7" w:right="315" w:firstLine="3"/>
        <w:rPr>
          <w:rFonts w:ascii="仿宋" w:hAnsi="仿宋" w:eastAsia="仿宋" w:cs="仿宋"/>
          <w:color w:val="auto"/>
          <w:sz w:val="31"/>
          <w:szCs w:val="31"/>
          <w:highlight w:val="none"/>
        </w:rPr>
      </w:pPr>
      <w:r>
        <w:rPr>
          <w:rFonts w:ascii="仿宋" w:hAnsi="仿宋" w:eastAsia="仿宋" w:cs="仿宋"/>
          <w:color w:val="auto"/>
          <w:spacing w:val="8"/>
          <w:sz w:val="31"/>
          <w:szCs w:val="31"/>
          <w:highlight w:val="none"/>
        </w:rPr>
        <w:t>附件：1.</w:t>
      </w:r>
      <w:r>
        <w:rPr>
          <w:rFonts w:ascii="仿宋" w:hAnsi="仿宋" w:eastAsia="仿宋" w:cs="仿宋"/>
          <w:color w:val="auto"/>
          <w:spacing w:val="-92"/>
          <w:sz w:val="31"/>
          <w:szCs w:val="31"/>
          <w:highlight w:val="none"/>
        </w:rPr>
        <w:t xml:space="preserve"> </w:t>
      </w:r>
      <w:r>
        <w:rPr>
          <w:rFonts w:ascii="仿宋" w:hAnsi="仿宋" w:eastAsia="仿宋" w:cs="仿宋"/>
          <w:color w:val="auto"/>
          <w:spacing w:val="8"/>
          <w:sz w:val="31"/>
          <w:szCs w:val="31"/>
          <w:highlight w:val="none"/>
        </w:rPr>
        <w:t>中国人民银行崇左市中心支行 崇左市财</w:t>
      </w:r>
      <w:r>
        <w:rPr>
          <w:rFonts w:ascii="仿宋" w:hAnsi="仿宋" w:eastAsia="仿宋" w:cs="仿宋"/>
          <w:color w:val="auto"/>
          <w:spacing w:val="7"/>
          <w:sz w:val="31"/>
          <w:szCs w:val="31"/>
          <w:highlight w:val="none"/>
        </w:rPr>
        <w:t>政局转发关于推广</w:t>
      </w:r>
      <w:r>
        <w:rPr>
          <w:rFonts w:ascii="仿宋" w:hAnsi="仿宋" w:eastAsia="仿宋" w:cs="仿宋"/>
          <w:color w:val="auto"/>
          <w:sz w:val="31"/>
          <w:szCs w:val="31"/>
          <w:highlight w:val="none"/>
        </w:rPr>
        <w:t xml:space="preserve"> </w:t>
      </w:r>
      <w:r>
        <w:rPr>
          <w:rFonts w:ascii="仿宋" w:hAnsi="仿宋" w:eastAsia="仿宋" w:cs="仿宋"/>
          <w:color w:val="auto"/>
          <w:spacing w:val="5"/>
          <w:sz w:val="31"/>
          <w:szCs w:val="31"/>
          <w:highlight w:val="none"/>
        </w:rPr>
        <w:t>线上“政采贷</w:t>
      </w:r>
      <w:r>
        <w:rPr>
          <w:rFonts w:ascii="仿宋" w:hAnsi="仿宋" w:eastAsia="仿宋" w:cs="仿宋"/>
          <w:color w:val="auto"/>
          <w:spacing w:val="-106"/>
          <w:sz w:val="31"/>
          <w:szCs w:val="31"/>
          <w:highlight w:val="none"/>
        </w:rPr>
        <w:t xml:space="preserve"> </w:t>
      </w:r>
      <w:r>
        <w:rPr>
          <w:rFonts w:ascii="仿宋" w:hAnsi="仿宋" w:eastAsia="仿宋" w:cs="仿宋"/>
          <w:color w:val="auto"/>
          <w:spacing w:val="5"/>
          <w:sz w:val="31"/>
          <w:szCs w:val="31"/>
          <w:highlight w:val="none"/>
        </w:rPr>
        <w:t>”融资模式文件的通知</w:t>
      </w:r>
    </w:p>
    <w:p w14:paraId="3429B61B">
      <w:pPr>
        <w:spacing w:before="51" w:line="319" w:lineRule="auto"/>
        <w:ind w:left="952" w:right="3721" w:hanging="2"/>
        <w:rPr>
          <w:rFonts w:ascii="仿宋" w:hAnsi="仿宋" w:eastAsia="仿宋" w:cs="仿宋"/>
          <w:color w:val="auto"/>
          <w:sz w:val="31"/>
          <w:szCs w:val="31"/>
          <w:highlight w:val="none"/>
        </w:rPr>
      </w:pPr>
      <w:r>
        <w:rPr>
          <w:rFonts w:ascii="仿宋" w:hAnsi="仿宋" w:eastAsia="仿宋" w:cs="仿宋"/>
          <w:color w:val="auto"/>
          <w:spacing w:val="5"/>
          <w:sz w:val="31"/>
          <w:szCs w:val="31"/>
          <w:highlight w:val="none"/>
        </w:rPr>
        <w:t>2.崇左市线上“政采贷</w:t>
      </w:r>
      <w:r>
        <w:rPr>
          <w:rFonts w:ascii="仿宋" w:hAnsi="仿宋" w:eastAsia="仿宋" w:cs="仿宋"/>
          <w:color w:val="auto"/>
          <w:spacing w:val="-98"/>
          <w:sz w:val="31"/>
          <w:szCs w:val="31"/>
          <w:highlight w:val="none"/>
        </w:rPr>
        <w:t xml:space="preserve"> </w:t>
      </w:r>
      <w:r>
        <w:rPr>
          <w:rFonts w:ascii="仿宋" w:hAnsi="仿宋" w:eastAsia="仿宋" w:cs="仿宋"/>
          <w:color w:val="auto"/>
          <w:spacing w:val="5"/>
          <w:sz w:val="31"/>
          <w:szCs w:val="31"/>
          <w:highlight w:val="none"/>
        </w:rPr>
        <w:t>”政策告知函</w:t>
      </w:r>
      <w:r>
        <w:rPr>
          <w:rFonts w:ascii="仿宋" w:hAnsi="仿宋" w:eastAsia="仿宋" w:cs="仿宋"/>
          <w:color w:val="auto"/>
          <w:sz w:val="31"/>
          <w:szCs w:val="31"/>
          <w:highlight w:val="none"/>
        </w:rPr>
        <w:t xml:space="preserve"> </w:t>
      </w:r>
      <w:r>
        <w:rPr>
          <w:rFonts w:ascii="仿宋" w:hAnsi="仿宋" w:eastAsia="仿宋" w:cs="仿宋"/>
          <w:color w:val="auto"/>
          <w:spacing w:val="5"/>
          <w:sz w:val="31"/>
          <w:szCs w:val="31"/>
          <w:highlight w:val="none"/>
        </w:rPr>
        <w:t>3.崇左市线上“政采贷</w:t>
      </w:r>
      <w:r>
        <w:rPr>
          <w:rFonts w:ascii="仿宋" w:hAnsi="仿宋" w:eastAsia="仿宋" w:cs="仿宋"/>
          <w:color w:val="auto"/>
          <w:spacing w:val="-100"/>
          <w:sz w:val="31"/>
          <w:szCs w:val="31"/>
          <w:highlight w:val="none"/>
        </w:rPr>
        <w:t xml:space="preserve"> </w:t>
      </w:r>
      <w:r>
        <w:rPr>
          <w:rFonts w:ascii="仿宋" w:hAnsi="仿宋" w:eastAsia="仿宋" w:cs="仿宋"/>
          <w:color w:val="auto"/>
          <w:spacing w:val="5"/>
          <w:sz w:val="31"/>
          <w:szCs w:val="31"/>
          <w:highlight w:val="none"/>
        </w:rPr>
        <w:t>”业务流程图</w:t>
      </w:r>
    </w:p>
    <w:p w14:paraId="5553647C">
      <w:pPr>
        <w:spacing w:before="51" w:line="227" w:lineRule="auto"/>
        <w:ind w:left="945"/>
        <w:rPr>
          <w:rFonts w:ascii="仿宋" w:hAnsi="仿宋" w:eastAsia="仿宋" w:cs="仿宋"/>
          <w:color w:val="auto"/>
          <w:sz w:val="31"/>
          <w:szCs w:val="31"/>
          <w:highlight w:val="none"/>
        </w:rPr>
      </w:pPr>
      <w:r>
        <w:rPr>
          <w:rFonts w:ascii="仿宋" w:hAnsi="仿宋" w:eastAsia="仿宋" w:cs="仿宋"/>
          <w:color w:val="auto"/>
          <w:spacing w:val="7"/>
          <w:sz w:val="31"/>
          <w:szCs w:val="31"/>
          <w:highlight w:val="none"/>
        </w:rPr>
        <w:t>4.崇左市金融机构线上“政采贷</w:t>
      </w:r>
      <w:r>
        <w:rPr>
          <w:rFonts w:ascii="仿宋" w:hAnsi="仿宋" w:eastAsia="仿宋" w:cs="仿宋"/>
          <w:color w:val="auto"/>
          <w:spacing w:val="-108"/>
          <w:sz w:val="31"/>
          <w:szCs w:val="31"/>
          <w:highlight w:val="none"/>
        </w:rPr>
        <w:t xml:space="preserve"> </w:t>
      </w:r>
      <w:r>
        <w:rPr>
          <w:rFonts w:ascii="仿宋" w:hAnsi="仿宋" w:eastAsia="仿宋" w:cs="仿宋"/>
          <w:color w:val="auto"/>
          <w:spacing w:val="7"/>
          <w:sz w:val="31"/>
          <w:szCs w:val="31"/>
          <w:highlight w:val="none"/>
        </w:rPr>
        <w:t>”业务办理联络表</w:t>
      </w:r>
    </w:p>
    <w:p w14:paraId="2706F477">
      <w:pPr>
        <w:pStyle w:val="2"/>
        <w:spacing w:line="256" w:lineRule="auto"/>
        <w:rPr>
          <w:color w:val="auto"/>
          <w:highlight w:val="none"/>
        </w:rPr>
      </w:pPr>
    </w:p>
    <w:p w14:paraId="082A093E">
      <w:pPr>
        <w:pStyle w:val="2"/>
        <w:spacing w:line="256" w:lineRule="auto"/>
        <w:rPr>
          <w:color w:val="auto"/>
          <w:highlight w:val="none"/>
        </w:rPr>
      </w:pPr>
    </w:p>
    <w:p w14:paraId="707576D8">
      <w:pPr>
        <w:pStyle w:val="2"/>
        <w:spacing w:line="256" w:lineRule="auto"/>
        <w:rPr>
          <w:color w:val="auto"/>
          <w:highlight w:val="none"/>
        </w:rPr>
      </w:pPr>
    </w:p>
    <w:p w14:paraId="3FE80DF8">
      <w:pPr>
        <w:pStyle w:val="2"/>
        <w:spacing w:line="256" w:lineRule="auto"/>
        <w:rPr>
          <w:color w:val="auto"/>
          <w:highlight w:val="none"/>
        </w:rPr>
      </w:pPr>
    </w:p>
    <w:p w14:paraId="12088CAB">
      <w:pPr>
        <w:pStyle w:val="2"/>
        <w:spacing w:line="256" w:lineRule="auto"/>
        <w:rPr>
          <w:color w:val="auto"/>
          <w:highlight w:val="none"/>
        </w:rPr>
      </w:pPr>
    </w:p>
    <w:p w14:paraId="2F73C415">
      <w:pPr>
        <w:pStyle w:val="2"/>
        <w:spacing w:line="256" w:lineRule="auto"/>
        <w:rPr>
          <w:color w:val="auto"/>
          <w:highlight w:val="none"/>
        </w:rPr>
      </w:pPr>
    </w:p>
    <w:p w14:paraId="4E333150">
      <w:pPr>
        <w:pStyle w:val="2"/>
        <w:spacing w:line="256" w:lineRule="auto"/>
        <w:rPr>
          <w:color w:val="auto"/>
          <w:highlight w:val="none"/>
        </w:rPr>
      </w:pPr>
    </w:p>
    <w:p w14:paraId="390E9D02">
      <w:pPr>
        <w:pStyle w:val="2"/>
        <w:spacing w:line="256" w:lineRule="auto"/>
        <w:rPr>
          <w:color w:val="auto"/>
          <w:highlight w:val="none"/>
        </w:rPr>
      </w:pPr>
    </w:p>
    <w:p w14:paraId="0CFE74D0">
      <w:pPr>
        <w:pStyle w:val="2"/>
        <w:spacing w:line="257" w:lineRule="auto"/>
        <w:rPr>
          <w:color w:val="auto"/>
          <w:highlight w:val="none"/>
        </w:rPr>
      </w:pPr>
    </w:p>
    <w:p w14:paraId="77595493">
      <w:pPr>
        <w:spacing w:before="101" w:line="317" w:lineRule="auto"/>
        <w:ind w:left="6998" w:right="313" w:firstLine="577"/>
        <w:rPr>
          <w:rFonts w:ascii="仿宋" w:hAnsi="仿宋" w:eastAsia="仿宋" w:cs="仿宋"/>
          <w:color w:val="auto"/>
          <w:sz w:val="31"/>
          <w:szCs w:val="31"/>
          <w:highlight w:val="none"/>
        </w:rPr>
      </w:pPr>
      <w:r>
        <w:rPr>
          <w:rFonts w:ascii="仿宋" w:hAnsi="仿宋" w:eastAsia="仿宋" w:cs="仿宋"/>
          <w:color w:val="auto"/>
          <w:spacing w:val="4"/>
          <w:sz w:val="31"/>
          <w:szCs w:val="31"/>
          <w:highlight w:val="none"/>
        </w:rPr>
        <w:t>崇左市财政局</w:t>
      </w:r>
      <w:r>
        <w:rPr>
          <w:rFonts w:ascii="仿宋" w:hAnsi="仿宋" w:eastAsia="仿宋" w:cs="仿宋"/>
          <w:color w:val="auto"/>
          <w:spacing w:val="1"/>
          <w:sz w:val="31"/>
          <w:szCs w:val="31"/>
          <w:highlight w:val="none"/>
        </w:rPr>
        <w:t xml:space="preserve"> </w:t>
      </w:r>
      <w:r>
        <w:rPr>
          <w:rFonts w:ascii="仿宋" w:hAnsi="仿宋" w:eastAsia="仿宋" w:cs="仿宋"/>
          <w:color w:val="auto"/>
          <w:spacing w:val="-15"/>
          <w:sz w:val="31"/>
          <w:szCs w:val="31"/>
          <w:highlight w:val="none"/>
        </w:rPr>
        <w:t>2023</w:t>
      </w:r>
      <w:r>
        <w:rPr>
          <w:rFonts w:ascii="仿宋" w:hAnsi="仿宋" w:eastAsia="仿宋" w:cs="仿宋"/>
          <w:color w:val="auto"/>
          <w:spacing w:val="-40"/>
          <w:sz w:val="31"/>
          <w:szCs w:val="31"/>
          <w:highlight w:val="none"/>
        </w:rPr>
        <w:t xml:space="preserve"> </w:t>
      </w:r>
      <w:r>
        <w:rPr>
          <w:rFonts w:ascii="仿宋" w:hAnsi="仿宋" w:eastAsia="仿宋" w:cs="仿宋"/>
          <w:color w:val="auto"/>
          <w:spacing w:val="-15"/>
          <w:sz w:val="31"/>
          <w:szCs w:val="31"/>
          <w:highlight w:val="none"/>
        </w:rPr>
        <w:t>年</w:t>
      </w:r>
      <w:r>
        <w:rPr>
          <w:rFonts w:ascii="仿宋" w:hAnsi="仿宋" w:eastAsia="仿宋" w:cs="仿宋"/>
          <w:color w:val="auto"/>
          <w:spacing w:val="-57"/>
          <w:sz w:val="31"/>
          <w:szCs w:val="31"/>
          <w:highlight w:val="none"/>
        </w:rPr>
        <w:t xml:space="preserve"> </w:t>
      </w:r>
      <w:r>
        <w:rPr>
          <w:rFonts w:ascii="仿宋" w:hAnsi="仿宋" w:eastAsia="仿宋" w:cs="仿宋"/>
          <w:color w:val="auto"/>
          <w:spacing w:val="-15"/>
          <w:sz w:val="31"/>
          <w:szCs w:val="31"/>
          <w:highlight w:val="none"/>
        </w:rPr>
        <w:t>7</w:t>
      </w:r>
      <w:r>
        <w:rPr>
          <w:rFonts w:ascii="仿宋" w:hAnsi="仿宋" w:eastAsia="仿宋" w:cs="仿宋"/>
          <w:color w:val="auto"/>
          <w:spacing w:val="-39"/>
          <w:sz w:val="31"/>
          <w:szCs w:val="31"/>
          <w:highlight w:val="none"/>
        </w:rPr>
        <w:t xml:space="preserve"> </w:t>
      </w:r>
      <w:r>
        <w:rPr>
          <w:rFonts w:ascii="仿宋" w:hAnsi="仿宋" w:eastAsia="仿宋" w:cs="仿宋"/>
          <w:color w:val="auto"/>
          <w:spacing w:val="-15"/>
          <w:sz w:val="31"/>
          <w:szCs w:val="31"/>
          <w:highlight w:val="none"/>
        </w:rPr>
        <w:t>月</w:t>
      </w:r>
      <w:r>
        <w:rPr>
          <w:rFonts w:ascii="仿宋" w:hAnsi="仿宋" w:eastAsia="仿宋" w:cs="仿宋"/>
          <w:color w:val="auto"/>
          <w:spacing w:val="-55"/>
          <w:sz w:val="31"/>
          <w:szCs w:val="31"/>
          <w:highlight w:val="none"/>
        </w:rPr>
        <w:t xml:space="preserve"> </w:t>
      </w:r>
      <w:r>
        <w:rPr>
          <w:rFonts w:ascii="仿宋" w:hAnsi="仿宋" w:eastAsia="仿宋" w:cs="仿宋"/>
          <w:color w:val="auto"/>
          <w:spacing w:val="-15"/>
          <w:sz w:val="31"/>
          <w:szCs w:val="31"/>
          <w:highlight w:val="none"/>
        </w:rPr>
        <w:t>31</w:t>
      </w:r>
      <w:r>
        <w:rPr>
          <w:rFonts w:ascii="仿宋" w:hAnsi="仿宋" w:eastAsia="仿宋" w:cs="仿宋"/>
          <w:color w:val="auto"/>
          <w:spacing w:val="14"/>
          <w:sz w:val="31"/>
          <w:szCs w:val="31"/>
          <w:highlight w:val="none"/>
        </w:rPr>
        <w:t xml:space="preserve"> </w:t>
      </w:r>
      <w:r>
        <w:rPr>
          <w:rFonts w:ascii="仿宋" w:hAnsi="仿宋" w:eastAsia="仿宋" w:cs="仿宋"/>
          <w:color w:val="auto"/>
          <w:spacing w:val="-15"/>
          <w:sz w:val="31"/>
          <w:szCs w:val="31"/>
          <w:highlight w:val="none"/>
        </w:rPr>
        <w:t>日</w:t>
      </w:r>
    </w:p>
    <w:p w14:paraId="11FA062F">
      <w:pPr>
        <w:pStyle w:val="2"/>
        <w:spacing w:line="247" w:lineRule="auto"/>
        <w:rPr>
          <w:color w:val="auto"/>
          <w:highlight w:val="none"/>
        </w:rPr>
      </w:pPr>
    </w:p>
    <w:p w14:paraId="75E74EEF">
      <w:pPr>
        <w:pStyle w:val="2"/>
        <w:spacing w:line="247" w:lineRule="auto"/>
        <w:rPr>
          <w:color w:val="auto"/>
          <w:highlight w:val="none"/>
        </w:rPr>
      </w:pPr>
    </w:p>
    <w:p w14:paraId="0EC1EF07">
      <w:pPr>
        <w:pStyle w:val="2"/>
        <w:spacing w:line="247" w:lineRule="auto"/>
        <w:rPr>
          <w:color w:val="auto"/>
          <w:highlight w:val="none"/>
        </w:rPr>
      </w:pPr>
    </w:p>
    <w:p w14:paraId="5D5B602F">
      <w:pPr>
        <w:pStyle w:val="2"/>
        <w:spacing w:line="248" w:lineRule="auto"/>
        <w:rPr>
          <w:color w:val="auto"/>
          <w:highlight w:val="none"/>
        </w:rPr>
      </w:pPr>
    </w:p>
    <w:p w14:paraId="19C59868">
      <w:pPr>
        <w:pStyle w:val="2"/>
        <w:spacing w:line="248" w:lineRule="auto"/>
        <w:rPr>
          <w:color w:val="auto"/>
          <w:highlight w:val="none"/>
        </w:rPr>
      </w:pPr>
    </w:p>
    <w:p w14:paraId="7AABA8BA">
      <w:pPr>
        <w:pStyle w:val="2"/>
        <w:spacing w:line="248" w:lineRule="auto"/>
        <w:rPr>
          <w:color w:val="auto"/>
          <w:highlight w:val="none"/>
        </w:rPr>
      </w:pPr>
    </w:p>
    <w:p w14:paraId="59378F6F">
      <w:pPr>
        <w:pStyle w:val="2"/>
        <w:spacing w:line="248" w:lineRule="auto"/>
        <w:rPr>
          <w:color w:val="auto"/>
          <w:highlight w:val="none"/>
        </w:rPr>
      </w:pPr>
    </w:p>
    <w:p w14:paraId="7CD7EC39">
      <w:pPr>
        <w:pStyle w:val="2"/>
        <w:spacing w:line="248" w:lineRule="auto"/>
        <w:rPr>
          <w:color w:val="auto"/>
          <w:highlight w:val="none"/>
        </w:rPr>
      </w:pPr>
    </w:p>
    <w:p w14:paraId="52D4EDAD">
      <w:pPr>
        <w:pStyle w:val="2"/>
        <w:spacing w:line="248" w:lineRule="auto"/>
        <w:rPr>
          <w:color w:val="auto"/>
          <w:highlight w:val="none"/>
        </w:rPr>
      </w:pPr>
    </w:p>
    <w:p w14:paraId="7FB74671">
      <w:pPr>
        <w:pStyle w:val="2"/>
        <w:spacing w:line="248" w:lineRule="auto"/>
        <w:rPr>
          <w:color w:val="auto"/>
          <w:highlight w:val="none"/>
        </w:rPr>
      </w:pPr>
    </w:p>
    <w:p w14:paraId="009625CF">
      <w:pPr>
        <w:spacing w:before="92" w:line="223" w:lineRule="auto"/>
        <w:rPr>
          <w:rFonts w:ascii="仿宋" w:hAnsi="仿宋" w:eastAsia="仿宋" w:cs="仿宋"/>
          <w:color w:val="auto"/>
          <w:sz w:val="28"/>
          <w:szCs w:val="28"/>
          <w:highlight w:val="none"/>
        </w:rPr>
      </w:pPr>
      <w:r>
        <w:rPr>
          <w:color w:val="auto"/>
          <w:highlight w:val="none"/>
        </w:rPr>
        <w:drawing>
          <wp:anchor distT="0" distB="0" distL="0" distR="0" simplePos="0" relativeHeight="251664384" behindDoc="0" locked="0" layoutInCell="1" allowOverlap="1">
            <wp:simplePos x="0" y="0"/>
            <wp:positionH relativeFrom="column">
              <wp:posOffset>5715</wp:posOffset>
            </wp:positionH>
            <wp:positionV relativeFrom="paragraph">
              <wp:posOffset>324485</wp:posOffset>
            </wp:positionV>
            <wp:extent cx="5615940" cy="952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6"/>
                    <a:stretch>
                      <a:fillRect/>
                    </a:stretch>
                  </pic:blipFill>
                  <pic:spPr>
                    <a:xfrm>
                      <a:off x="0" y="0"/>
                      <a:ext cx="5615940" cy="9525"/>
                    </a:xfrm>
                    <a:prstGeom prst="rect">
                      <a:avLst/>
                    </a:prstGeom>
                  </pic:spPr>
                </pic:pic>
              </a:graphicData>
            </a:graphic>
          </wp:anchor>
        </w:drawing>
      </w:r>
      <w:r>
        <w:rPr>
          <w:rFonts w:ascii="仿宋" w:hAnsi="仿宋" w:eastAsia="仿宋" w:cs="仿宋"/>
          <w:b/>
          <w:bCs/>
          <w:color w:val="auto"/>
          <w:spacing w:val="-5"/>
          <w:sz w:val="28"/>
          <w:szCs w:val="28"/>
          <w:highlight w:val="none"/>
        </w:rPr>
        <w:t>公开方式：主动公开</w:t>
      </w:r>
    </w:p>
    <w:p w14:paraId="565CF574">
      <w:pPr>
        <w:spacing w:before="223" w:line="222" w:lineRule="auto"/>
        <w:ind w:left="286"/>
        <w:rPr>
          <w:rFonts w:ascii="仿宋" w:hAnsi="仿宋" w:eastAsia="仿宋" w:cs="仿宋"/>
          <w:color w:val="auto"/>
          <w:sz w:val="28"/>
          <w:szCs w:val="28"/>
          <w:highlight w:val="none"/>
        </w:rPr>
      </w:pPr>
      <w:r>
        <w:rPr>
          <w:color w:val="auto"/>
          <w:highlight w:val="none"/>
        </w:rPr>
        <w:drawing>
          <wp:anchor distT="0" distB="0" distL="0" distR="0" simplePos="0" relativeHeight="251665408" behindDoc="0" locked="0" layoutInCell="1" allowOverlap="1">
            <wp:simplePos x="0" y="0"/>
            <wp:positionH relativeFrom="column">
              <wp:posOffset>5715</wp:posOffset>
            </wp:positionH>
            <wp:positionV relativeFrom="paragraph">
              <wp:posOffset>384810</wp:posOffset>
            </wp:positionV>
            <wp:extent cx="5615940" cy="952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76"/>
                    <a:stretch>
                      <a:fillRect/>
                    </a:stretch>
                  </pic:blipFill>
                  <pic:spPr>
                    <a:xfrm>
                      <a:off x="0" y="0"/>
                      <a:ext cx="5615940" cy="9525"/>
                    </a:xfrm>
                    <a:prstGeom prst="rect">
                      <a:avLst/>
                    </a:prstGeom>
                  </pic:spPr>
                </pic:pic>
              </a:graphicData>
            </a:graphic>
          </wp:anchor>
        </w:drawing>
      </w:r>
      <w:r>
        <w:rPr>
          <w:rFonts w:ascii="仿宋" w:hAnsi="仿宋" w:eastAsia="仿宋" w:cs="仿宋"/>
          <w:color w:val="auto"/>
          <w:spacing w:val="-7"/>
          <w:sz w:val="28"/>
          <w:szCs w:val="28"/>
          <w:highlight w:val="none"/>
        </w:rPr>
        <w:t>崇左市财政局办公室                        2023</w:t>
      </w:r>
      <w:r>
        <w:rPr>
          <w:rFonts w:ascii="仿宋" w:hAnsi="仿宋" w:eastAsia="仿宋" w:cs="仿宋"/>
          <w:color w:val="auto"/>
          <w:spacing w:val="-48"/>
          <w:sz w:val="28"/>
          <w:szCs w:val="28"/>
          <w:highlight w:val="none"/>
        </w:rPr>
        <w:t xml:space="preserve"> </w:t>
      </w:r>
      <w:r>
        <w:rPr>
          <w:rFonts w:ascii="仿宋" w:hAnsi="仿宋" w:eastAsia="仿宋" w:cs="仿宋"/>
          <w:color w:val="auto"/>
          <w:spacing w:val="-7"/>
          <w:sz w:val="28"/>
          <w:szCs w:val="28"/>
          <w:highlight w:val="none"/>
        </w:rPr>
        <w:t>年</w:t>
      </w:r>
      <w:r>
        <w:rPr>
          <w:rFonts w:ascii="仿宋" w:hAnsi="仿宋" w:eastAsia="仿宋" w:cs="仿宋"/>
          <w:color w:val="auto"/>
          <w:spacing w:val="-55"/>
          <w:sz w:val="28"/>
          <w:szCs w:val="28"/>
          <w:highlight w:val="none"/>
        </w:rPr>
        <w:t xml:space="preserve"> </w:t>
      </w:r>
      <w:r>
        <w:rPr>
          <w:rFonts w:ascii="仿宋" w:hAnsi="仿宋" w:eastAsia="仿宋" w:cs="仿宋"/>
          <w:color w:val="auto"/>
          <w:spacing w:val="-7"/>
          <w:sz w:val="28"/>
          <w:szCs w:val="28"/>
          <w:highlight w:val="none"/>
        </w:rPr>
        <w:t>7</w:t>
      </w:r>
      <w:r>
        <w:rPr>
          <w:rFonts w:ascii="仿宋" w:hAnsi="仿宋" w:eastAsia="仿宋" w:cs="仿宋"/>
          <w:color w:val="auto"/>
          <w:spacing w:val="-37"/>
          <w:sz w:val="28"/>
          <w:szCs w:val="28"/>
          <w:highlight w:val="none"/>
        </w:rPr>
        <w:t xml:space="preserve"> </w:t>
      </w:r>
      <w:r>
        <w:rPr>
          <w:rFonts w:ascii="仿宋" w:hAnsi="仿宋" w:eastAsia="仿宋" w:cs="仿宋"/>
          <w:color w:val="auto"/>
          <w:spacing w:val="-7"/>
          <w:sz w:val="28"/>
          <w:szCs w:val="28"/>
          <w:highlight w:val="none"/>
        </w:rPr>
        <w:t>月</w:t>
      </w:r>
      <w:r>
        <w:rPr>
          <w:rFonts w:ascii="仿宋" w:hAnsi="仿宋" w:eastAsia="仿宋" w:cs="仿宋"/>
          <w:color w:val="auto"/>
          <w:spacing w:val="-58"/>
          <w:sz w:val="28"/>
          <w:szCs w:val="28"/>
          <w:highlight w:val="none"/>
        </w:rPr>
        <w:t xml:space="preserve"> </w:t>
      </w:r>
      <w:r>
        <w:rPr>
          <w:rFonts w:ascii="仿宋" w:hAnsi="仿宋" w:eastAsia="仿宋" w:cs="仿宋"/>
          <w:color w:val="auto"/>
          <w:spacing w:val="-7"/>
          <w:sz w:val="28"/>
          <w:szCs w:val="28"/>
          <w:highlight w:val="none"/>
        </w:rPr>
        <w:t>31 日印发</w:t>
      </w:r>
    </w:p>
    <w:p w14:paraId="3737A2F0">
      <w:pPr>
        <w:spacing w:line="222" w:lineRule="auto"/>
        <w:rPr>
          <w:rFonts w:ascii="仿宋" w:hAnsi="仿宋" w:eastAsia="仿宋" w:cs="仿宋"/>
          <w:color w:val="auto"/>
          <w:sz w:val="28"/>
          <w:szCs w:val="28"/>
          <w:highlight w:val="none"/>
        </w:rPr>
        <w:sectPr>
          <w:footerReference r:id="rId64" w:type="default"/>
          <w:pgSz w:w="11906" w:h="16839"/>
          <w:pgMar w:top="1243" w:right="972" w:bottom="882" w:left="1156" w:header="0" w:footer="720" w:gutter="0"/>
          <w:pgNumType w:fmt="decimal"/>
          <w:cols w:space="720" w:num="1"/>
        </w:sectPr>
      </w:pPr>
    </w:p>
    <w:p w14:paraId="6133D867">
      <w:pPr>
        <w:spacing w:before="64" w:line="230" w:lineRule="auto"/>
        <w:ind w:left="20"/>
        <w:rPr>
          <w:rFonts w:ascii="黑体" w:hAnsi="黑体" w:eastAsia="黑体" w:cs="黑体"/>
          <w:color w:val="auto"/>
          <w:sz w:val="31"/>
          <w:szCs w:val="31"/>
          <w:highlight w:val="none"/>
        </w:rPr>
      </w:pPr>
      <w:r>
        <w:rPr>
          <w:rFonts w:ascii="黑体" w:hAnsi="黑体" w:eastAsia="黑体" w:cs="黑体"/>
          <w:color w:val="auto"/>
          <w:spacing w:val="-4"/>
          <w:sz w:val="31"/>
          <w:szCs w:val="31"/>
          <w:highlight w:val="none"/>
        </w:rPr>
        <w:t>附件</w:t>
      </w:r>
      <w:r>
        <w:rPr>
          <w:rFonts w:ascii="黑体" w:hAnsi="黑体" w:eastAsia="黑体" w:cs="黑体"/>
          <w:color w:val="auto"/>
          <w:spacing w:val="-64"/>
          <w:sz w:val="31"/>
          <w:szCs w:val="31"/>
          <w:highlight w:val="none"/>
        </w:rPr>
        <w:t xml:space="preserve"> </w:t>
      </w:r>
      <w:r>
        <w:rPr>
          <w:rFonts w:ascii="黑体" w:hAnsi="黑体" w:eastAsia="黑体" w:cs="黑体"/>
          <w:color w:val="auto"/>
          <w:spacing w:val="-4"/>
          <w:sz w:val="31"/>
          <w:szCs w:val="31"/>
          <w:highlight w:val="none"/>
        </w:rPr>
        <w:t>2</w:t>
      </w:r>
    </w:p>
    <w:p w14:paraId="6CB8FA3F">
      <w:pPr>
        <w:pStyle w:val="2"/>
        <w:spacing w:line="291" w:lineRule="auto"/>
        <w:rPr>
          <w:color w:val="auto"/>
          <w:highlight w:val="none"/>
        </w:rPr>
      </w:pPr>
    </w:p>
    <w:p w14:paraId="5E0C2BF5">
      <w:pPr>
        <w:pStyle w:val="2"/>
        <w:spacing w:line="292" w:lineRule="auto"/>
        <w:rPr>
          <w:color w:val="auto"/>
          <w:highlight w:val="none"/>
        </w:rPr>
      </w:pPr>
    </w:p>
    <w:p w14:paraId="0A4A7884">
      <w:pPr>
        <w:spacing w:before="184" w:line="187" w:lineRule="auto"/>
        <w:ind w:left="1449"/>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8"/>
          <w:sz w:val="43"/>
          <w:szCs w:val="43"/>
          <w:highlight w:val="none"/>
        </w:rPr>
        <w:t>崇左市线上“政采贷”政策告知函</w:t>
      </w:r>
    </w:p>
    <w:p w14:paraId="148FDD7B">
      <w:pPr>
        <w:pStyle w:val="2"/>
        <w:spacing w:line="283" w:lineRule="auto"/>
        <w:rPr>
          <w:color w:val="auto"/>
          <w:highlight w:val="none"/>
        </w:rPr>
      </w:pPr>
    </w:p>
    <w:p w14:paraId="05ECD900">
      <w:pPr>
        <w:pStyle w:val="2"/>
        <w:spacing w:line="284" w:lineRule="auto"/>
        <w:rPr>
          <w:color w:val="auto"/>
          <w:highlight w:val="none"/>
        </w:rPr>
      </w:pPr>
    </w:p>
    <w:p w14:paraId="6D068DD6">
      <w:pPr>
        <w:spacing w:before="101" w:line="229" w:lineRule="auto"/>
        <w:ind w:left="12"/>
        <w:rPr>
          <w:rFonts w:ascii="仿宋" w:hAnsi="仿宋" w:eastAsia="仿宋" w:cs="仿宋"/>
          <w:color w:val="auto"/>
          <w:sz w:val="31"/>
          <w:szCs w:val="31"/>
          <w:highlight w:val="none"/>
        </w:rPr>
      </w:pPr>
      <w:r>
        <w:rPr>
          <w:rFonts w:ascii="仿宋" w:hAnsi="仿宋" w:eastAsia="仿宋" w:cs="仿宋"/>
          <w:color w:val="auto"/>
          <w:spacing w:val="3"/>
          <w:sz w:val="31"/>
          <w:szCs w:val="31"/>
          <w:highlight w:val="none"/>
        </w:rPr>
        <w:t>各供应商：</w:t>
      </w:r>
    </w:p>
    <w:p w14:paraId="5A96080D">
      <w:pPr>
        <w:spacing w:before="175" w:line="228" w:lineRule="auto"/>
        <w:ind w:left="651"/>
        <w:rPr>
          <w:rFonts w:ascii="仿宋" w:hAnsi="仿宋" w:eastAsia="仿宋" w:cs="仿宋"/>
          <w:color w:val="auto"/>
          <w:sz w:val="31"/>
          <w:szCs w:val="31"/>
          <w:highlight w:val="none"/>
        </w:rPr>
      </w:pPr>
      <w:r>
        <w:rPr>
          <w:rFonts w:ascii="仿宋" w:hAnsi="仿宋" w:eastAsia="仿宋" w:cs="仿宋"/>
          <w:color w:val="auto"/>
          <w:spacing w:val="8"/>
          <w:sz w:val="31"/>
          <w:szCs w:val="31"/>
          <w:highlight w:val="none"/>
        </w:rPr>
        <w:t>欢迎贵公司参与崇左市政府采购活动！</w:t>
      </w:r>
    </w:p>
    <w:p w14:paraId="773AEFA0">
      <w:pPr>
        <w:spacing w:before="179" w:line="329" w:lineRule="auto"/>
        <w:ind w:left="5" w:firstLine="657"/>
        <w:rPr>
          <w:rFonts w:ascii="仿宋" w:hAnsi="仿宋" w:eastAsia="仿宋" w:cs="仿宋"/>
          <w:color w:val="auto"/>
          <w:sz w:val="31"/>
          <w:szCs w:val="31"/>
          <w:highlight w:val="none"/>
        </w:rPr>
      </w:pPr>
      <w:r>
        <w:rPr>
          <w:rFonts w:ascii="仿宋" w:hAnsi="仿宋" w:eastAsia="仿宋" w:cs="仿宋"/>
          <w:color w:val="auto"/>
          <w:spacing w:val="3"/>
          <w:sz w:val="31"/>
          <w:szCs w:val="31"/>
          <w:highlight w:val="none"/>
        </w:rPr>
        <w:t>线上“政采贷</w:t>
      </w:r>
      <w:r>
        <w:rPr>
          <w:rFonts w:ascii="仿宋" w:hAnsi="仿宋" w:eastAsia="仿宋" w:cs="仿宋"/>
          <w:color w:val="auto"/>
          <w:spacing w:val="-106"/>
          <w:sz w:val="31"/>
          <w:szCs w:val="31"/>
          <w:highlight w:val="none"/>
        </w:rPr>
        <w:t xml:space="preserve"> </w:t>
      </w:r>
      <w:r>
        <w:rPr>
          <w:rFonts w:ascii="仿宋" w:hAnsi="仿宋" w:eastAsia="仿宋" w:cs="仿宋"/>
          <w:color w:val="auto"/>
          <w:spacing w:val="3"/>
          <w:sz w:val="31"/>
          <w:szCs w:val="31"/>
          <w:highlight w:val="none"/>
        </w:rPr>
        <w:t>”是人民银行南宁中心支行和自治区财政厅共同支</w:t>
      </w:r>
      <w:r>
        <w:rPr>
          <w:rFonts w:ascii="仿宋" w:hAnsi="仿宋" w:eastAsia="仿宋" w:cs="仿宋"/>
          <w:color w:val="auto"/>
          <w:spacing w:val="-1"/>
          <w:sz w:val="31"/>
          <w:szCs w:val="31"/>
          <w:highlight w:val="none"/>
        </w:rPr>
        <w:t>持企业发展，针对参与政府采购活动的企业融资难、融资</w:t>
      </w:r>
      <w:r>
        <w:rPr>
          <w:rFonts w:ascii="仿宋" w:hAnsi="仿宋" w:eastAsia="仿宋" w:cs="仿宋"/>
          <w:color w:val="auto"/>
          <w:spacing w:val="-2"/>
          <w:sz w:val="31"/>
          <w:szCs w:val="31"/>
          <w:highlight w:val="none"/>
        </w:rPr>
        <w:t>贵、融资慢、</w:t>
      </w:r>
      <w:r>
        <w:rPr>
          <w:rFonts w:ascii="仿宋" w:hAnsi="仿宋" w:eastAsia="仿宋" w:cs="仿宋"/>
          <w:color w:val="auto"/>
          <w:spacing w:val="6"/>
          <w:sz w:val="31"/>
          <w:szCs w:val="31"/>
          <w:highlight w:val="none"/>
        </w:rPr>
        <w:t>融资繁问题推出的一项融资政策。贵公司若成</w:t>
      </w:r>
      <w:r>
        <w:rPr>
          <w:rFonts w:ascii="仿宋" w:hAnsi="仿宋" w:eastAsia="仿宋" w:cs="仿宋"/>
          <w:color w:val="auto"/>
          <w:spacing w:val="5"/>
          <w:sz w:val="31"/>
          <w:szCs w:val="31"/>
          <w:highlight w:val="none"/>
        </w:rPr>
        <w:t>为本次政府采购项目的中标（成交）供应商，可持政府采购合同在线向银行业金融机构申请</w:t>
      </w:r>
      <w:r>
        <w:rPr>
          <w:rFonts w:ascii="仿宋" w:hAnsi="仿宋" w:eastAsia="仿宋" w:cs="仿宋"/>
          <w:color w:val="auto"/>
          <w:spacing w:val="11"/>
          <w:sz w:val="31"/>
          <w:szCs w:val="31"/>
          <w:highlight w:val="none"/>
        </w:rPr>
        <w:t>贷款，融资机构将根据《中国人民银行南宁中心支行 广</w:t>
      </w:r>
      <w:r>
        <w:rPr>
          <w:rFonts w:ascii="仿宋" w:hAnsi="仿宋" w:eastAsia="仿宋" w:cs="仿宋"/>
          <w:color w:val="auto"/>
          <w:spacing w:val="10"/>
          <w:sz w:val="31"/>
          <w:szCs w:val="31"/>
          <w:highlight w:val="none"/>
        </w:rPr>
        <w:t>西壮族自治</w:t>
      </w:r>
      <w:r>
        <w:rPr>
          <w:rFonts w:ascii="仿宋" w:hAnsi="仿宋" w:eastAsia="仿宋" w:cs="仿宋"/>
          <w:color w:val="auto"/>
          <w:spacing w:val="-11"/>
          <w:sz w:val="31"/>
          <w:szCs w:val="31"/>
          <w:highlight w:val="none"/>
        </w:rPr>
        <w:t>区财政厅关于推广线上“政采贷</w:t>
      </w:r>
      <w:r>
        <w:rPr>
          <w:rFonts w:ascii="仿宋" w:hAnsi="仿宋" w:eastAsia="仿宋" w:cs="仿宋"/>
          <w:color w:val="auto"/>
          <w:spacing w:val="-113"/>
          <w:sz w:val="31"/>
          <w:szCs w:val="31"/>
          <w:highlight w:val="none"/>
        </w:rPr>
        <w:t xml:space="preserve"> </w:t>
      </w:r>
      <w:r>
        <w:rPr>
          <w:rFonts w:ascii="仿宋" w:hAnsi="仿宋" w:eastAsia="仿宋" w:cs="仿宋"/>
          <w:color w:val="auto"/>
          <w:spacing w:val="-11"/>
          <w:sz w:val="31"/>
          <w:szCs w:val="31"/>
          <w:highlight w:val="none"/>
        </w:rPr>
        <w:t>”融资模式</w:t>
      </w:r>
      <w:r>
        <w:rPr>
          <w:rFonts w:ascii="仿宋" w:hAnsi="仿宋" w:eastAsia="仿宋" w:cs="仿宋"/>
          <w:color w:val="auto"/>
          <w:spacing w:val="-12"/>
          <w:sz w:val="31"/>
          <w:szCs w:val="31"/>
          <w:highlight w:val="none"/>
        </w:rPr>
        <w:t>的通知》（南宁银发〔2021〕</w:t>
      </w:r>
      <w:r>
        <w:rPr>
          <w:rFonts w:ascii="仿宋" w:hAnsi="仿宋" w:eastAsia="仿宋" w:cs="仿宋"/>
          <w:color w:val="auto"/>
          <w:spacing w:val="6"/>
          <w:sz w:val="31"/>
          <w:szCs w:val="31"/>
          <w:highlight w:val="none"/>
        </w:rPr>
        <w:t>258</w:t>
      </w:r>
      <w:r>
        <w:rPr>
          <w:rFonts w:ascii="仿宋" w:hAnsi="仿宋" w:eastAsia="仿宋" w:cs="仿宋"/>
          <w:color w:val="auto"/>
          <w:spacing w:val="-45"/>
          <w:sz w:val="31"/>
          <w:szCs w:val="31"/>
          <w:highlight w:val="none"/>
        </w:rPr>
        <w:t xml:space="preserve"> </w:t>
      </w:r>
      <w:r>
        <w:rPr>
          <w:rFonts w:ascii="仿宋" w:hAnsi="仿宋" w:eastAsia="仿宋" w:cs="仿宋"/>
          <w:color w:val="auto"/>
          <w:spacing w:val="6"/>
          <w:sz w:val="31"/>
          <w:szCs w:val="31"/>
          <w:highlight w:val="none"/>
        </w:rPr>
        <w:t>号</w:t>
      </w:r>
      <w:r>
        <w:rPr>
          <w:rFonts w:ascii="仿宋" w:hAnsi="仿宋" w:eastAsia="仿宋" w:cs="仿宋"/>
          <w:color w:val="auto"/>
          <w:spacing w:val="27"/>
          <w:sz w:val="31"/>
          <w:szCs w:val="31"/>
          <w:highlight w:val="none"/>
        </w:rPr>
        <w:t>），</w:t>
      </w:r>
      <w:r>
        <w:rPr>
          <w:rFonts w:ascii="仿宋" w:hAnsi="仿宋" w:eastAsia="仿宋" w:cs="仿宋"/>
          <w:color w:val="auto"/>
          <w:spacing w:val="6"/>
          <w:sz w:val="31"/>
          <w:szCs w:val="31"/>
          <w:highlight w:val="none"/>
        </w:rPr>
        <w:t>按照双方自愿的原则提供便捷、优惠的贷款服务。</w:t>
      </w:r>
    </w:p>
    <w:p w14:paraId="10B6BEF2">
      <w:pPr>
        <w:spacing w:before="51" w:line="303" w:lineRule="auto"/>
        <w:ind w:right="102" w:firstLine="654"/>
        <w:rPr>
          <w:rFonts w:ascii="仿宋" w:hAnsi="仿宋" w:eastAsia="仿宋" w:cs="仿宋"/>
          <w:color w:val="auto"/>
          <w:sz w:val="31"/>
          <w:szCs w:val="31"/>
          <w:highlight w:val="none"/>
        </w:rPr>
      </w:pPr>
      <w:r>
        <w:rPr>
          <w:rFonts w:ascii="仿宋" w:hAnsi="仿宋" w:eastAsia="仿宋" w:cs="仿宋"/>
          <w:color w:val="auto"/>
          <w:spacing w:val="5"/>
          <w:sz w:val="31"/>
          <w:szCs w:val="31"/>
          <w:highlight w:val="none"/>
        </w:rPr>
        <w:t>相关金融产品和银行业金融机构联系方式，可在中征应收账款融</w:t>
      </w:r>
      <w:r>
        <w:rPr>
          <w:rFonts w:ascii="仿宋" w:hAnsi="仿宋" w:eastAsia="仿宋" w:cs="仿宋"/>
          <w:color w:val="auto"/>
          <w:spacing w:val="15"/>
          <w:sz w:val="31"/>
          <w:szCs w:val="31"/>
          <w:highlight w:val="none"/>
        </w:rPr>
        <w:t>资服务平台查询（</w:t>
      </w:r>
      <w:r>
        <w:rPr>
          <w:rFonts w:ascii="仿宋" w:hAnsi="仿宋" w:eastAsia="仿宋" w:cs="仿宋"/>
          <w:color w:val="auto"/>
          <w:spacing w:val="-36"/>
          <w:sz w:val="31"/>
          <w:szCs w:val="31"/>
          <w:highlight w:val="none"/>
        </w:rPr>
        <w:t xml:space="preserve"> </w:t>
      </w:r>
      <w:r>
        <w:rPr>
          <w:rFonts w:ascii="仿宋" w:hAnsi="仿宋" w:eastAsia="仿宋" w:cs="仿宋"/>
          <w:color w:val="auto"/>
          <w:spacing w:val="15"/>
          <w:sz w:val="31"/>
          <w:szCs w:val="31"/>
          <w:highlight w:val="none"/>
        </w:rPr>
        <w:t>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Fonts w:ascii="仿宋" w:hAnsi="仿宋" w:eastAsia="仿宋" w:cs="仿宋"/>
          <w:color w:val="auto"/>
          <w:sz w:val="31"/>
          <w:szCs w:val="31"/>
          <w:highlight w:val="none"/>
        </w:rPr>
        <w:t>https</w:t>
      </w:r>
      <w:r>
        <w:rPr>
          <w:rFonts w:ascii="仿宋" w:hAnsi="仿宋" w:eastAsia="仿宋" w:cs="仿宋"/>
          <w:color w:val="auto"/>
          <w:spacing w:val="15"/>
          <w:sz w:val="31"/>
          <w:szCs w:val="31"/>
          <w:highlight w:val="none"/>
        </w:rPr>
        <w:t>://</w:t>
      </w:r>
      <w:r>
        <w:rPr>
          <w:rFonts w:ascii="仿宋" w:hAnsi="仿宋" w:eastAsia="仿宋" w:cs="仿宋"/>
          <w:color w:val="auto"/>
          <w:sz w:val="31"/>
          <w:szCs w:val="31"/>
          <w:highlight w:val="none"/>
        </w:rPr>
        <w:t>www</w:t>
      </w:r>
      <w:r>
        <w:rPr>
          <w:rFonts w:ascii="仿宋" w:hAnsi="仿宋" w:eastAsia="仿宋" w:cs="仿宋"/>
          <w:color w:val="auto"/>
          <w:spacing w:val="15"/>
          <w:sz w:val="31"/>
          <w:szCs w:val="31"/>
          <w:highlight w:val="none"/>
        </w:rPr>
        <w:t>.</w:t>
      </w:r>
      <w:r>
        <w:rPr>
          <w:rFonts w:ascii="仿宋" w:hAnsi="仿宋" w:eastAsia="仿宋" w:cs="仿宋"/>
          <w:color w:val="auto"/>
          <w:sz w:val="31"/>
          <w:szCs w:val="31"/>
          <w:highlight w:val="none"/>
        </w:rPr>
        <w:t>crcrfsp</w:t>
      </w:r>
      <w:r>
        <w:rPr>
          <w:rFonts w:ascii="仿宋" w:hAnsi="仿宋" w:eastAsia="仿宋" w:cs="仿宋"/>
          <w:color w:val="auto"/>
          <w:spacing w:val="15"/>
          <w:sz w:val="31"/>
          <w:szCs w:val="31"/>
          <w:highlight w:val="none"/>
        </w:rPr>
        <w:t>.</w:t>
      </w:r>
      <w:r>
        <w:rPr>
          <w:rFonts w:ascii="仿宋" w:hAnsi="仿宋" w:eastAsia="仿宋" w:cs="仿宋"/>
          <w:color w:val="auto"/>
          <w:sz w:val="31"/>
          <w:szCs w:val="31"/>
          <w:highlight w:val="none"/>
        </w:rPr>
        <w:t>com</w:t>
      </w:r>
      <w:r>
        <w:rPr>
          <w:rFonts w:ascii="仿宋" w:hAnsi="仿宋" w:eastAsia="仿宋" w:cs="仿宋"/>
          <w:color w:val="auto"/>
          <w:spacing w:val="15"/>
          <w:sz w:val="31"/>
          <w:szCs w:val="31"/>
          <w:highlight w:val="none"/>
        </w:rPr>
        <w:t>/</w:t>
      </w:r>
      <w:r>
        <w:rPr>
          <w:rFonts w:ascii="仿宋" w:hAnsi="仿宋" w:eastAsia="仿宋" w:cs="仿宋"/>
          <w:color w:val="auto"/>
          <w:spacing w:val="15"/>
          <w:sz w:val="31"/>
          <w:szCs w:val="31"/>
          <w:highlight w:val="none"/>
        </w:rPr>
        <w:fldChar w:fldCharType="end"/>
      </w:r>
      <w:r>
        <w:rPr>
          <w:rFonts w:ascii="仿宋" w:hAnsi="仿宋" w:eastAsia="仿宋" w:cs="仿宋"/>
          <w:color w:val="auto"/>
          <w:spacing w:val="15"/>
          <w:sz w:val="31"/>
          <w:szCs w:val="31"/>
          <w:highlight w:val="none"/>
        </w:rPr>
        <w:t>，客服电话：</w:t>
      </w:r>
      <w:r>
        <w:rPr>
          <w:rFonts w:ascii="仿宋" w:hAnsi="仿宋" w:eastAsia="仿宋" w:cs="仿宋"/>
          <w:color w:val="auto"/>
          <w:spacing w:val="3"/>
          <w:sz w:val="31"/>
          <w:szCs w:val="31"/>
          <w:highlight w:val="none"/>
        </w:rPr>
        <w:t>400-009-0001）。</w:t>
      </w:r>
    </w:p>
    <w:p w14:paraId="3C52D54B">
      <w:pPr>
        <w:spacing w:line="303" w:lineRule="auto"/>
        <w:rPr>
          <w:rFonts w:ascii="仿宋" w:hAnsi="仿宋" w:eastAsia="仿宋" w:cs="仿宋"/>
          <w:color w:val="auto"/>
          <w:sz w:val="31"/>
          <w:szCs w:val="31"/>
          <w:highlight w:val="none"/>
        </w:rPr>
        <w:sectPr>
          <w:footerReference r:id="rId65" w:type="default"/>
          <w:pgSz w:w="11906" w:h="16839"/>
          <w:pgMar w:top="1371" w:right="1183" w:bottom="882" w:left="1142" w:header="0" w:footer="720" w:gutter="0"/>
          <w:pgNumType w:fmt="decimal"/>
          <w:cols w:space="720" w:num="1"/>
        </w:sectPr>
      </w:pPr>
    </w:p>
    <w:p w14:paraId="2A5FD79F">
      <w:pPr>
        <w:spacing w:before="64" w:line="230" w:lineRule="auto"/>
        <w:ind w:left="27"/>
        <w:rPr>
          <w:rFonts w:ascii="黑体" w:hAnsi="黑体" w:eastAsia="黑体" w:cs="黑体"/>
          <w:color w:val="auto"/>
          <w:sz w:val="31"/>
          <w:szCs w:val="31"/>
          <w:highlight w:val="none"/>
        </w:rPr>
      </w:pPr>
      <w:r>
        <w:rPr>
          <w:rFonts w:ascii="黑体" w:hAnsi="黑体" w:eastAsia="黑体" w:cs="黑体"/>
          <w:color w:val="auto"/>
          <w:spacing w:val="-4"/>
          <w:sz w:val="31"/>
          <w:szCs w:val="31"/>
          <w:highlight w:val="none"/>
        </w:rPr>
        <w:t>附件</w:t>
      </w:r>
      <w:r>
        <w:rPr>
          <w:rFonts w:ascii="黑体" w:hAnsi="黑体" w:eastAsia="黑体" w:cs="黑体"/>
          <w:color w:val="auto"/>
          <w:spacing w:val="-62"/>
          <w:sz w:val="31"/>
          <w:szCs w:val="31"/>
          <w:highlight w:val="none"/>
        </w:rPr>
        <w:t xml:space="preserve"> </w:t>
      </w:r>
      <w:r>
        <w:rPr>
          <w:rFonts w:ascii="黑体" w:hAnsi="黑体" w:eastAsia="黑体" w:cs="黑体"/>
          <w:color w:val="auto"/>
          <w:spacing w:val="-4"/>
          <w:sz w:val="31"/>
          <w:szCs w:val="31"/>
          <w:highlight w:val="none"/>
        </w:rPr>
        <w:t>3</w:t>
      </w:r>
    </w:p>
    <w:p w14:paraId="6C5B3FC4">
      <w:pPr>
        <w:pStyle w:val="2"/>
        <w:spacing w:line="298" w:lineRule="auto"/>
        <w:rPr>
          <w:color w:val="auto"/>
          <w:highlight w:val="none"/>
        </w:rPr>
      </w:pPr>
    </w:p>
    <w:p w14:paraId="37488875">
      <w:pPr>
        <w:pStyle w:val="2"/>
        <w:spacing w:line="299" w:lineRule="auto"/>
        <w:rPr>
          <w:color w:val="auto"/>
          <w:highlight w:val="none"/>
        </w:rPr>
      </w:pPr>
    </w:p>
    <w:p w14:paraId="3D826563">
      <w:pPr>
        <w:spacing w:before="185" w:line="187" w:lineRule="auto"/>
        <w:ind w:left="1457"/>
        <w:rPr>
          <w:rFonts w:ascii="微软雅黑" w:hAnsi="微软雅黑" w:eastAsia="微软雅黑" w:cs="微软雅黑"/>
          <w:color w:val="auto"/>
          <w:sz w:val="43"/>
          <w:szCs w:val="43"/>
          <w:highlight w:val="none"/>
        </w:rPr>
      </w:pPr>
      <w:r>
        <w:rPr>
          <w:rFonts w:ascii="微软雅黑" w:hAnsi="微软雅黑" w:eastAsia="微软雅黑" w:cs="微软雅黑"/>
          <w:color w:val="auto"/>
          <w:spacing w:val="8"/>
          <w:sz w:val="43"/>
          <w:szCs w:val="43"/>
          <w:highlight w:val="none"/>
        </w:rPr>
        <w:t>崇左市线上“政采贷”业务流程图</w:t>
      </w:r>
    </w:p>
    <w:p w14:paraId="54DC83D9">
      <w:pPr>
        <w:spacing w:before="30" w:line="11028" w:lineRule="exact"/>
        <w:rPr>
          <w:color w:val="auto"/>
          <w:highlight w:val="none"/>
        </w:rPr>
      </w:pPr>
      <w:r>
        <w:rPr>
          <w:color w:val="auto"/>
          <w:position w:val="-220"/>
          <w:highlight w:val="none"/>
        </w:rPr>
        <w:drawing>
          <wp:inline distT="0" distB="0" distL="0" distR="0">
            <wp:extent cx="4926965" cy="70027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7"/>
                    <a:stretch>
                      <a:fillRect/>
                    </a:stretch>
                  </pic:blipFill>
                  <pic:spPr>
                    <a:xfrm>
                      <a:off x="0" y="0"/>
                      <a:ext cx="4927091" cy="7002780"/>
                    </a:xfrm>
                    <a:prstGeom prst="rect">
                      <a:avLst/>
                    </a:prstGeom>
                  </pic:spPr>
                </pic:pic>
              </a:graphicData>
            </a:graphic>
          </wp:inline>
        </w:drawing>
      </w:r>
    </w:p>
    <w:p w14:paraId="7D3C39B8">
      <w:pPr>
        <w:spacing w:line="11028" w:lineRule="exact"/>
        <w:rPr>
          <w:color w:val="auto"/>
          <w:highlight w:val="none"/>
        </w:rPr>
        <w:sectPr>
          <w:footerReference r:id="rId66" w:type="default"/>
          <w:pgSz w:w="11906" w:h="16839"/>
          <w:pgMar w:top="1371" w:right="1785" w:bottom="882" w:left="1135" w:header="0" w:footer="720" w:gutter="0"/>
          <w:pgNumType w:fmt="decimal"/>
          <w:cols w:space="720" w:num="1"/>
        </w:sectPr>
      </w:pPr>
    </w:p>
    <w:p w14:paraId="1EA3D5E5">
      <w:pPr>
        <w:spacing w:before="64" w:line="230" w:lineRule="auto"/>
        <w:rPr>
          <w:rFonts w:ascii="黑体" w:hAnsi="黑体" w:eastAsia="黑体" w:cs="黑体"/>
          <w:color w:val="auto"/>
          <w:sz w:val="31"/>
          <w:szCs w:val="31"/>
          <w:highlight w:val="none"/>
        </w:rPr>
      </w:pPr>
      <w:r>
        <w:rPr>
          <w:rFonts w:ascii="黑体" w:hAnsi="黑体" w:eastAsia="黑体" w:cs="黑体"/>
          <w:color w:val="auto"/>
          <w:spacing w:val="-4"/>
          <w:sz w:val="31"/>
          <w:szCs w:val="31"/>
          <w:highlight w:val="none"/>
        </w:rPr>
        <w:t>附件</w:t>
      </w:r>
      <w:r>
        <w:rPr>
          <w:rFonts w:ascii="黑体" w:hAnsi="黑体" w:eastAsia="黑体" w:cs="黑体"/>
          <w:color w:val="auto"/>
          <w:spacing w:val="-70"/>
          <w:sz w:val="31"/>
          <w:szCs w:val="31"/>
          <w:highlight w:val="none"/>
        </w:rPr>
        <w:t xml:space="preserve"> </w:t>
      </w:r>
      <w:r>
        <w:rPr>
          <w:rFonts w:ascii="黑体" w:hAnsi="黑体" w:eastAsia="黑体" w:cs="黑体"/>
          <w:color w:val="auto"/>
          <w:spacing w:val="-4"/>
          <w:sz w:val="31"/>
          <w:szCs w:val="31"/>
          <w:highlight w:val="none"/>
        </w:rPr>
        <w:t>4</w:t>
      </w:r>
    </w:p>
    <w:p w14:paraId="316DB7DE">
      <w:pPr>
        <w:spacing w:before="311" w:line="188" w:lineRule="auto"/>
        <w:ind w:left="1307"/>
        <w:rPr>
          <w:rFonts w:ascii="微软雅黑" w:hAnsi="微软雅黑" w:eastAsia="微软雅黑" w:cs="微软雅黑"/>
          <w:color w:val="auto"/>
          <w:sz w:val="35"/>
          <w:szCs w:val="35"/>
          <w:highlight w:val="none"/>
        </w:rPr>
      </w:pPr>
      <w:r>
        <w:rPr>
          <w:rFonts w:ascii="微软雅黑" w:hAnsi="微软雅黑" w:eastAsia="微软雅黑" w:cs="微软雅黑"/>
          <w:color w:val="auto"/>
          <w:spacing w:val="9"/>
          <w:sz w:val="35"/>
          <w:szCs w:val="35"/>
          <w:highlight w:val="none"/>
        </w:rPr>
        <w:t>崇左市金融机构线上“政采贷”业务办理联络表</w:t>
      </w:r>
    </w:p>
    <w:p w14:paraId="532F5565">
      <w:pPr>
        <w:spacing w:line="68" w:lineRule="exact"/>
        <w:rPr>
          <w:color w:val="auto"/>
          <w:highlight w:val="none"/>
        </w:rPr>
      </w:pPr>
    </w:p>
    <w:tbl>
      <w:tblPr>
        <w:tblStyle w:val="14"/>
        <w:tblW w:w="8318" w:type="dxa"/>
        <w:tblInd w:w="5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7"/>
        <w:gridCol w:w="3513"/>
        <w:gridCol w:w="2128"/>
      </w:tblGrid>
      <w:tr w14:paraId="1C151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677" w:type="dxa"/>
            <w:vAlign w:val="top"/>
          </w:tcPr>
          <w:p w14:paraId="313B209E">
            <w:pPr>
              <w:pStyle w:val="15"/>
              <w:spacing w:before="101" w:line="227" w:lineRule="auto"/>
              <w:ind w:left="713"/>
              <w:rPr>
                <w:color w:val="auto"/>
                <w:highlight w:val="none"/>
              </w:rPr>
            </w:pPr>
            <w:r>
              <w:rPr>
                <w:b/>
                <w:bCs/>
                <w:color w:val="auto"/>
                <w:spacing w:val="6"/>
                <w:highlight w:val="none"/>
              </w:rPr>
              <w:t>金融机构名称</w:t>
            </w:r>
          </w:p>
        </w:tc>
        <w:tc>
          <w:tcPr>
            <w:tcW w:w="3513" w:type="dxa"/>
            <w:vAlign w:val="top"/>
          </w:tcPr>
          <w:p w14:paraId="43A5331E">
            <w:pPr>
              <w:pStyle w:val="15"/>
              <w:spacing w:before="101" w:line="237" w:lineRule="auto"/>
              <w:ind w:left="1550"/>
              <w:rPr>
                <w:color w:val="auto"/>
                <w:highlight w:val="none"/>
              </w:rPr>
            </w:pPr>
            <w:r>
              <w:rPr>
                <w:b/>
                <w:bCs/>
                <w:color w:val="auto"/>
                <w:spacing w:val="3"/>
                <w:highlight w:val="none"/>
              </w:rPr>
              <w:t>地址</w:t>
            </w:r>
          </w:p>
        </w:tc>
        <w:tc>
          <w:tcPr>
            <w:tcW w:w="2128" w:type="dxa"/>
            <w:vAlign w:val="top"/>
          </w:tcPr>
          <w:p w14:paraId="5777ED3B">
            <w:pPr>
              <w:pStyle w:val="15"/>
              <w:spacing w:before="100" w:line="228" w:lineRule="auto"/>
              <w:ind w:left="437"/>
              <w:rPr>
                <w:color w:val="auto"/>
                <w:highlight w:val="none"/>
              </w:rPr>
            </w:pPr>
            <w:r>
              <w:rPr>
                <w:b/>
                <w:bCs/>
                <w:color w:val="auto"/>
                <w:spacing w:val="7"/>
                <w:highlight w:val="none"/>
              </w:rPr>
              <w:t>业务咨询电话</w:t>
            </w:r>
          </w:p>
        </w:tc>
      </w:tr>
      <w:tr w14:paraId="302AA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8318" w:type="dxa"/>
            <w:gridSpan w:val="3"/>
            <w:vAlign w:val="top"/>
          </w:tcPr>
          <w:p w14:paraId="46615A59">
            <w:pPr>
              <w:pStyle w:val="15"/>
              <w:spacing w:before="78" w:line="227" w:lineRule="auto"/>
              <w:ind w:left="120"/>
              <w:rPr>
                <w:color w:val="auto"/>
                <w:highlight w:val="none"/>
              </w:rPr>
            </w:pPr>
            <w:r>
              <w:rPr>
                <w:b/>
                <w:bCs/>
                <w:color w:val="auto"/>
                <w:spacing w:val="7"/>
                <w:highlight w:val="none"/>
              </w:rPr>
              <w:t>崇左市本级及江州区</w:t>
            </w:r>
          </w:p>
        </w:tc>
      </w:tr>
      <w:tr w14:paraId="42121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1C02C4AD">
            <w:pPr>
              <w:pStyle w:val="15"/>
              <w:spacing w:before="226" w:line="228" w:lineRule="auto"/>
              <w:ind w:left="119"/>
              <w:rPr>
                <w:color w:val="auto"/>
                <w:highlight w:val="none"/>
              </w:rPr>
            </w:pPr>
            <w:r>
              <w:rPr>
                <w:color w:val="auto"/>
                <w:spacing w:val="8"/>
                <w:highlight w:val="none"/>
              </w:rPr>
              <w:t>工商银行崇左分行</w:t>
            </w:r>
          </w:p>
        </w:tc>
        <w:tc>
          <w:tcPr>
            <w:tcW w:w="3513" w:type="dxa"/>
            <w:vAlign w:val="top"/>
          </w:tcPr>
          <w:p w14:paraId="1BAAC832">
            <w:pPr>
              <w:pStyle w:val="15"/>
              <w:spacing w:before="61" w:line="275" w:lineRule="auto"/>
              <w:ind w:left="113" w:right="63" w:firstLine="3"/>
              <w:rPr>
                <w:color w:val="auto"/>
                <w:highlight w:val="none"/>
              </w:rPr>
            </w:pPr>
            <w:r>
              <w:rPr>
                <w:color w:val="auto"/>
                <w:spacing w:val="6"/>
                <w:highlight w:val="none"/>
              </w:rPr>
              <w:t>崇左市骆越大道</w:t>
            </w:r>
            <w:r>
              <w:rPr>
                <w:color w:val="auto"/>
                <w:spacing w:val="-37"/>
                <w:highlight w:val="none"/>
              </w:rPr>
              <w:t xml:space="preserve"> </w:t>
            </w:r>
            <w:r>
              <w:rPr>
                <w:color w:val="auto"/>
                <w:spacing w:val="6"/>
                <w:highlight w:val="none"/>
              </w:rPr>
              <w:t>6</w:t>
            </w:r>
            <w:r>
              <w:rPr>
                <w:color w:val="auto"/>
                <w:spacing w:val="-33"/>
                <w:highlight w:val="none"/>
              </w:rPr>
              <w:t xml:space="preserve"> </w:t>
            </w:r>
            <w:r>
              <w:rPr>
                <w:color w:val="auto"/>
                <w:spacing w:val="6"/>
                <w:highlight w:val="none"/>
              </w:rPr>
              <w:t>号（东盟国际城）</w:t>
            </w:r>
            <w:r>
              <w:rPr>
                <w:color w:val="auto"/>
                <w:highlight w:val="none"/>
              </w:rPr>
              <w:t xml:space="preserve"> </w:t>
            </w:r>
            <w:r>
              <w:rPr>
                <w:color w:val="auto"/>
                <w:spacing w:val="1"/>
                <w:highlight w:val="none"/>
              </w:rPr>
              <w:t>裙楼</w:t>
            </w:r>
            <w:r>
              <w:rPr>
                <w:color w:val="auto"/>
                <w:spacing w:val="-35"/>
                <w:highlight w:val="none"/>
              </w:rPr>
              <w:t xml:space="preserve"> </w:t>
            </w:r>
            <w:r>
              <w:rPr>
                <w:color w:val="auto"/>
                <w:spacing w:val="1"/>
                <w:highlight w:val="none"/>
              </w:rPr>
              <w:t>2</w:t>
            </w:r>
            <w:r>
              <w:rPr>
                <w:color w:val="auto"/>
                <w:spacing w:val="-33"/>
                <w:highlight w:val="none"/>
              </w:rPr>
              <w:t xml:space="preserve"> </w:t>
            </w:r>
            <w:r>
              <w:rPr>
                <w:color w:val="auto"/>
                <w:spacing w:val="1"/>
                <w:highlight w:val="none"/>
              </w:rPr>
              <w:t>号楼</w:t>
            </w:r>
          </w:p>
        </w:tc>
        <w:tc>
          <w:tcPr>
            <w:tcW w:w="2128" w:type="dxa"/>
            <w:vAlign w:val="top"/>
          </w:tcPr>
          <w:p w14:paraId="2C1CD7B6">
            <w:pPr>
              <w:pStyle w:val="15"/>
              <w:spacing w:before="92" w:line="190" w:lineRule="auto"/>
              <w:ind w:left="439"/>
              <w:rPr>
                <w:color w:val="auto"/>
                <w:highlight w:val="none"/>
              </w:rPr>
            </w:pPr>
            <w:r>
              <w:rPr>
                <w:color w:val="auto"/>
                <w:spacing w:val="4"/>
                <w:highlight w:val="none"/>
              </w:rPr>
              <w:t>0771-7820436</w:t>
            </w:r>
          </w:p>
          <w:p w14:paraId="102643AD">
            <w:pPr>
              <w:pStyle w:val="15"/>
              <w:spacing w:before="125" w:line="190" w:lineRule="auto"/>
              <w:ind w:left="439"/>
              <w:rPr>
                <w:color w:val="auto"/>
                <w:highlight w:val="none"/>
              </w:rPr>
            </w:pPr>
            <w:r>
              <w:rPr>
                <w:color w:val="auto"/>
                <w:spacing w:val="4"/>
                <w:highlight w:val="none"/>
              </w:rPr>
              <w:t>0771-7820439</w:t>
            </w:r>
          </w:p>
        </w:tc>
      </w:tr>
      <w:tr w14:paraId="4F1E6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677" w:type="dxa"/>
            <w:vAlign w:val="top"/>
          </w:tcPr>
          <w:p w14:paraId="18D44B4F">
            <w:pPr>
              <w:pStyle w:val="15"/>
              <w:spacing w:before="60" w:line="228" w:lineRule="auto"/>
              <w:ind w:left="116"/>
              <w:rPr>
                <w:color w:val="auto"/>
                <w:highlight w:val="none"/>
              </w:rPr>
            </w:pPr>
            <w:r>
              <w:rPr>
                <w:color w:val="auto"/>
                <w:spacing w:val="8"/>
                <w:highlight w:val="none"/>
              </w:rPr>
              <w:t>农业银行崇左分行</w:t>
            </w:r>
          </w:p>
        </w:tc>
        <w:tc>
          <w:tcPr>
            <w:tcW w:w="3513" w:type="dxa"/>
            <w:vAlign w:val="top"/>
          </w:tcPr>
          <w:p w14:paraId="370F284C">
            <w:pPr>
              <w:pStyle w:val="15"/>
              <w:spacing w:before="60" w:line="227" w:lineRule="auto"/>
              <w:ind w:left="114"/>
              <w:rPr>
                <w:color w:val="auto"/>
                <w:highlight w:val="none"/>
              </w:rPr>
            </w:pPr>
            <w:r>
              <w:rPr>
                <w:color w:val="auto"/>
                <w:spacing w:val="5"/>
                <w:highlight w:val="none"/>
              </w:rPr>
              <w:t>江州区友谊大道</w:t>
            </w:r>
            <w:r>
              <w:rPr>
                <w:color w:val="auto"/>
                <w:spacing w:val="-29"/>
                <w:highlight w:val="none"/>
              </w:rPr>
              <w:t xml:space="preserve"> </w:t>
            </w:r>
            <w:r>
              <w:rPr>
                <w:color w:val="auto"/>
                <w:spacing w:val="5"/>
                <w:highlight w:val="none"/>
              </w:rPr>
              <w:t>26</w:t>
            </w:r>
            <w:r>
              <w:rPr>
                <w:color w:val="auto"/>
                <w:spacing w:val="-33"/>
                <w:highlight w:val="none"/>
              </w:rPr>
              <w:t xml:space="preserve"> </w:t>
            </w:r>
            <w:r>
              <w:rPr>
                <w:color w:val="auto"/>
                <w:spacing w:val="5"/>
                <w:highlight w:val="none"/>
              </w:rPr>
              <w:t>号</w:t>
            </w:r>
          </w:p>
        </w:tc>
        <w:tc>
          <w:tcPr>
            <w:tcW w:w="2128" w:type="dxa"/>
            <w:vAlign w:val="top"/>
          </w:tcPr>
          <w:p w14:paraId="38E86284">
            <w:pPr>
              <w:pStyle w:val="15"/>
              <w:spacing w:before="92" w:line="190" w:lineRule="auto"/>
              <w:ind w:left="439"/>
              <w:rPr>
                <w:color w:val="auto"/>
                <w:highlight w:val="none"/>
              </w:rPr>
            </w:pPr>
            <w:r>
              <w:rPr>
                <w:color w:val="auto"/>
                <w:spacing w:val="4"/>
                <w:highlight w:val="none"/>
              </w:rPr>
              <w:t>0771-7917212</w:t>
            </w:r>
          </w:p>
        </w:tc>
      </w:tr>
      <w:tr w14:paraId="5E7D32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677" w:type="dxa"/>
            <w:vAlign w:val="top"/>
          </w:tcPr>
          <w:p w14:paraId="58555ED5">
            <w:pPr>
              <w:pStyle w:val="15"/>
              <w:spacing w:before="60" w:line="227" w:lineRule="auto"/>
              <w:ind w:left="116"/>
              <w:rPr>
                <w:color w:val="auto"/>
                <w:highlight w:val="none"/>
              </w:rPr>
            </w:pPr>
            <w:r>
              <w:rPr>
                <w:color w:val="auto"/>
                <w:spacing w:val="8"/>
                <w:highlight w:val="none"/>
              </w:rPr>
              <w:t>农业银行江州支行</w:t>
            </w:r>
          </w:p>
        </w:tc>
        <w:tc>
          <w:tcPr>
            <w:tcW w:w="3513" w:type="dxa"/>
            <w:vAlign w:val="top"/>
          </w:tcPr>
          <w:p w14:paraId="4A23BD0B">
            <w:pPr>
              <w:pStyle w:val="15"/>
              <w:spacing w:before="60" w:line="227" w:lineRule="auto"/>
              <w:ind w:left="114"/>
              <w:rPr>
                <w:color w:val="auto"/>
                <w:highlight w:val="none"/>
              </w:rPr>
            </w:pPr>
            <w:r>
              <w:rPr>
                <w:color w:val="auto"/>
                <w:spacing w:val="5"/>
                <w:highlight w:val="none"/>
              </w:rPr>
              <w:t>江州区江南路</w:t>
            </w:r>
            <w:r>
              <w:rPr>
                <w:color w:val="auto"/>
                <w:spacing w:val="-35"/>
                <w:highlight w:val="none"/>
              </w:rPr>
              <w:t xml:space="preserve"> </w:t>
            </w:r>
            <w:r>
              <w:rPr>
                <w:color w:val="auto"/>
                <w:spacing w:val="5"/>
                <w:highlight w:val="none"/>
              </w:rPr>
              <w:t>48</w:t>
            </w:r>
            <w:r>
              <w:rPr>
                <w:color w:val="auto"/>
                <w:spacing w:val="-33"/>
                <w:highlight w:val="none"/>
              </w:rPr>
              <w:t xml:space="preserve"> </w:t>
            </w:r>
            <w:r>
              <w:rPr>
                <w:color w:val="auto"/>
                <w:spacing w:val="5"/>
                <w:highlight w:val="none"/>
              </w:rPr>
              <w:t>号</w:t>
            </w:r>
          </w:p>
        </w:tc>
        <w:tc>
          <w:tcPr>
            <w:tcW w:w="2128" w:type="dxa"/>
            <w:vAlign w:val="top"/>
          </w:tcPr>
          <w:p w14:paraId="34434BAB">
            <w:pPr>
              <w:pStyle w:val="15"/>
              <w:spacing w:before="92" w:line="190" w:lineRule="auto"/>
              <w:ind w:left="439"/>
              <w:rPr>
                <w:color w:val="auto"/>
                <w:highlight w:val="none"/>
              </w:rPr>
            </w:pPr>
            <w:r>
              <w:rPr>
                <w:color w:val="auto"/>
                <w:spacing w:val="4"/>
                <w:highlight w:val="none"/>
              </w:rPr>
              <w:t>0771-7917054</w:t>
            </w:r>
          </w:p>
        </w:tc>
      </w:tr>
      <w:tr w14:paraId="7DE1A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677" w:type="dxa"/>
            <w:vAlign w:val="top"/>
          </w:tcPr>
          <w:p w14:paraId="76B8DDF5">
            <w:pPr>
              <w:pStyle w:val="15"/>
              <w:spacing w:before="60" w:line="228" w:lineRule="auto"/>
              <w:ind w:left="119"/>
              <w:rPr>
                <w:color w:val="auto"/>
                <w:highlight w:val="none"/>
              </w:rPr>
            </w:pPr>
            <w:r>
              <w:rPr>
                <w:color w:val="auto"/>
                <w:spacing w:val="7"/>
                <w:highlight w:val="none"/>
              </w:rPr>
              <w:t>建行崇左分行</w:t>
            </w:r>
          </w:p>
        </w:tc>
        <w:tc>
          <w:tcPr>
            <w:tcW w:w="3513" w:type="dxa"/>
            <w:vAlign w:val="top"/>
          </w:tcPr>
          <w:p w14:paraId="06D58F5B">
            <w:pPr>
              <w:pStyle w:val="15"/>
              <w:spacing w:before="60" w:line="227" w:lineRule="auto"/>
              <w:ind w:left="116"/>
              <w:rPr>
                <w:color w:val="auto"/>
                <w:highlight w:val="none"/>
              </w:rPr>
            </w:pPr>
            <w:r>
              <w:rPr>
                <w:color w:val="auto"/>
                <w:spacing w:val="6"/>
                <w:highlight w:val="none"/>
              </w:rPr>
              <w:t>崇左市江州区江南路</w:t>
            </w:r>
            <w:r>
              <w:rPr>
                <w:color w:val="auto"/>
                <w:spacing w:val="-21"/>
                <w:highlight w:val="none"/>
              </w:rPr>
              <w:t xml:space="preserve"> </w:t>
            </w:r>
            <w:r>
              <w:rPr>
                <w:color w:val="auto"/>
                <w:spacing w:val="6"/>
                <w:highlight w:val="none"/>
              </w:rPr>
              <w:t>73</w:t>
            </w:r>
            <w:r>
              <w:rPr>
                <w:color w:val="auto"/>
                <w:spacing w:val="-33"/>
                <w:highlight w:val="none"/>
              </w:rPr>
              <w:t xml:space="preserve"> </w:t>
            </w:r>
            <w:r>
              <w:rPr>
                <w:color w:val="auto"/>
                <w:spacing w:val="6"/>
                <w:highlight w:val="none"/>
              </w:rPr>
              <w:t>号建行大厦</w:t>
            </w:r>
          </w:p>
        </w:tc>
        <w:tc>
          <w:tcPr>
            <w:tcW w:w="2128" w:type="dxa"/>
            <w:vAlign w:val="top"/>
          </w:tcPr>
          <w:p w14:paraId="7982BAA3">
            <w:pPr>
              <w:pStyle w:val="15"/>
              <w:spacing w:before="92" w:line="190" w:lineRule="auto"/>
              <w:ind w:left="439"/>
              <w:rPr>
                <w:color w:val="auto"/>
                <w:highlight w:val="none"/>
              </w:rPr>
            </w:pPr>
            <w:r>
              <w:rPr>
                <w:color w:val="auto"/>
                <w:spacing w:val="4"/>
                <w:highlight w:val="none"/>
              </w:rPr>
              <w:t>0771-7831103</w:t>
            </w:r>
          </w:p>
        </w:tc>
      </w:tr>
      <w:tr w14:paraId="3DCF9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194C056C">
            <w:pPr>
              <w:pStyle w:val="15"/>
              <w:spacing w:before="225" w:line="228" w:lineRule="auto"/>
              <w:ind w:left="136"/>
              <w:rPr>
                <w:color w:val="auto"/>
                <w:highlight w:val="none"/>
              </w:rPr>
            </w:pPr>
            <w:r>
              <w:rPr>
                <w:color w:val="auto"/>
                <w:spacing w:val="6"/>
                <w:highlight w:val="none"/>
              </w:rPr>
              <w:t>中国银行崇左分行</w:t>
            </w:r>
          </w:p>
        </w:tc>
        <w:tc>
          <w:tcPr>
            <w:tcW w:w="3513" w:type="dxa"/>
            <w:vAlign w:val="top"/>
          </w:tcPr>
          <w:p w14:paraId="20809741">
            <w:pPr>
              <w:pStyle w:val="15"/>
              <w:spacing w:before="225" w:line="227" w:lineRule="auto"/>
              <w:ind w:left="116"/>
              <w:rPr>
                <w:color w:val="auto"/>
                <w:highlight w:val="none"/>
              </w:rPr>
            </w:pPr>
            <w:r>
              <w:rPr>
                <w:color w:val="auto"/>
                <w:spacing w:val="8"/>
                <w:highlight w:val="none"/>
              </w:rPr>
              <w:t>崇左市江州区龙胤大厦五楼</w:t>
            </w:r>
          </w:p>
        </w:tc>
        <w:tc>
          <w:tcPr>
            <w:tcW w:w="2128" w:type="dxa"/>
            <w:vAlign w:val="top"/>
          </w:tcPr>
          <w:p w14:paraId="64F25205">
            <w:pPr>
              <w:pStyle w:val="15"/>
              <w:spacing w:before="92" w:line="190" w:lineRule="auto"/>
              <w:ind w:left="439"/>
              <w:rPr>
                <w:color w:val="auto"/>
                <w:highlight w:val="none"/>
              </w:rPr>
            </w:pPr>
            <w:r>
              <w:rPr>
                <w:color w:val="auto"/>
                <w:spacing w:val="4"/>
                <w:highlight w:val="none"/>
              </w:rPr>
              <w:t>0771-7928650</w:t>
            </w:r>
          </w:p>
          <w:p w14:paraId="4850B901">
            <w:pPr>
              <w:pStyle w:val="15"/>
              <w:spacing w:before="125" w:line="190" w:lineRule="auto"/>
              <w:ind w:left="439"/>
              <w:rPr>
                <w:color w:val="auto"/>
                <w:highlight w:val="none"/>
              </w:rPr>
            </w:pPr>
            <w:r>
              <w:rPr>
                <w:color w:val="auto"/>
                <w:spacing w:val="4"/>
                <w:highlight w:val="none"/>
              </w:rPr>
              <w:t>0771-7920613</w:t>
            </w:r>
          </w:p>
        </w:tc>
      </w:tr>
      <w:tr w14:paraId="0E69F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677" w:type="dxa"/>
            <w:vAlign w:val="top"/>
          </w:tcPr>
          <w:p w14:paraId="44C428EC">
            <w:pPr>
              <w:pStyle w:val="15"/>
              <w:spacing w:before="60" w:line="228" w:lineRule="auto"/>
              <w:ind w:left="120"/>
              <w:rPr>
                <w:color w:val="auto"/>
                <w:highlight w:val="none"/>
              </w:rPr>
            </w:pPr>
            <w:r>
              <w:rPr>
                <w:color w:val="auto"/>
                <w:spacing w:val="8"/>
                <w:highlight w:val="none"/>
              </w:rPr>
              <w:t>崇左农商行授信审批部</w:t>
            </w:r>
          </w:p>
        </w:tc>
        <w:tc>
          <w:tcPr>
            <w:tcW w:w="3513" w:type="dxa"/>
            <w:vAlign w:val="top"/>
          </w:tcPr>
          <w:p w14:paraId="2C5A3E44">
            <w:pPr>
              <w:pStyle w:val="15"/>
              <w:spacing w:before="60" w:line="228" w:lineRule="auto"/>
              <w:ind w:left="116"/>
              <w:rPr>
                <w:color w:val="auto"/>
                <w:highlight w:val="none"/>
              </w:rPr>
            </w:pPr>
            <w:r>
              <w:rPr>
                <w:color w:val="auto"/>
                <w:spacing w:val="3"/>
                <w:highlight w:val="none"/>
              </w:rPr>
              <w:t>崇左市城西路</w:t>
            </w:r>
            <w:r>
              <w:rPr>
                <w:color w:val="auto"/>
                <w:spacing w:val="-17"/>
                <w:highlight w:val="none"/>
              </w:rPr>
              <w:t xml:space="preserve"> </w:t>
            </w:r>
            <w:r>
              <w:rPr>
                <w:color w:val="auto"/>
                <w:spacing w:val="3"/>
                <w:highlight w:val="none"/>
              </w:rPr>
              <w:t>109</w:t>
            </w:r>
            <w:r>
              <w:rPr>
                <w:color w:val="auto"/>
                <w:spacing w:val="-33"/>
                <w:highlight w:val="none"/>
              </w:rPr>
              <w:t xml:space="preserve"> </w:t>
            </w:r>
            <w:r>
              <w:rPr>
                <w:color w:val="auto"/>
                <w:spacing w:val="3"/>
                <w:highlight w:val="none"/>
              </w:rPr>
              <w:t>号</w:t>
            </w:r>
          </w:p>
        </w:tc>
        <w:tc>
          <w:tcPr>
            <w:tcW w:w="2128" w:type="dxa"/>
            <w:vAlign w:val="top"/>
          </w:tcPr>
          <w:p w14:paraId="2E45CED0">
            <w:pPr>
              <w:pStyle w:val="15"/>
              <w:spacing w:before="92" w:line="190" w:lineRule="auto"/>
              <w:ind w:left="439"/>
              <w:rPr>
                <w:color w:val="auto"/>
                <w:highlight w:val="none"/>
              </w:rPr>
            </w:pPr>
            <w:r>
              <w:rPr>
                <w:color w:val="auto"/>
                <w:spacing w:val="4"/>
                <w:highlight w:val="none"/>
              </w:rPr>
              <w:t>0771-7925660</w:t>
            </w:r>
          </w:p>
        </w:tc>
      </w:tr>
      <w:tr w14:paraId="3287B4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460FE6BE">
            <w:pPr>
              <w:pStyle w:val="15"/>
              <w:spacing w:before="61" w:line="275" w:lineRule="auto"/>
              <w:ind w:left="119" w:right="254" w:firstLine="17"/>
              <w:rPr>
                <w:color w:val="auto"/>
                <w:highlight w:val="none"/>
              </w:rPr>
            </w:pPr>
            <w:r>
              <w:rPr>
                <w:color w:val="auto"/>
                <w:spacing w:val="7"/>
                <w:highlight w:val="none"/>
              </w:rPr>
              <w:t>中国邮政储蓄银行崇左市</w:t>
            </w:r>
            <w:r>
              <w:rPr>
                <w:color w:val="auto"/>
                <w:spacing w:val="3"/>
                <w:highlight w:val="none"/>
              </w:rPr>
              <w:t xml:space="preserve"> 分行</w:t>
            </w:r>
          </w:p>
        </w:tc>
        <w:tc>
          <w:tcPr>
            <w:tcW w:w="3513" w:type="dxa"/>
            <w:vAlign w:val="top"/>
          </w:tcPr>
          <w:p w14:paraId="2604F3DD">
            <w:pPr>
              <w:pStyle w:val="15"/>
              <w:spacing w:before="61" w:line="275" w:lineRule="auto"/>
              <w:ind w:left="112" w:right="256" w:firstLine="4"/>
              <w:rPr>
                <w:color w:val="auto"/>
                <w:highlight w:val="none"/>
              </w:rPr>
            </w:pPr>
            <w:r>
              <w:rPr>
                <w:color w:val="auto"/>
                <w:spacing w:val="6"/>
                <w:highlight w:val="none"/>
              </w:rPr>
              <w:t>崇左市江州区骆越大道</w:t>
            </w:r>
            <w:r>
              <w:rPr>
                <w:color w:val="auto"/>
                <w:spacing w:val="-23"/>
                <w:highlight w:val="none"/>
              </w:rPr>
              <w:t xml:space="preserve"> </w:t>
            </w:r>
            <w:r>
              <w:rPr>
                <w:color w:val="auto"/>
                <w:spacing w:val="6"/>
                <w:highlight w:val="none"/>
              </w:rPr>
              <w:t>2</w:t>
            </w:r>
            <w:r>
              <w:rPr>
                <w:color w:val="auto"/>
                <w:spacing w:val="-33"/>
                <w:highlight w:val="none"/>
              </w:rPr>
              <w:t xml:space="preserve"> </w:t>
            </w:r>
            <w:r>
              <w:rPr>
                <w:color w:val="auto"/>
                <w:spacing w:val="6"/>
                <w:highlight w:val="none"/>
              </w:rPr>
              <w:t>号中国邮</w:t>
            </w:r>
            <w:r>
              <w:rPr>
                <w:color w:val="auto"/>
                <w:highlight w:val="none"/>
              </w:rPr>
              <w:t xml:space="preserve"> </w:t>
            </w:r>
            <w:r>
              <w:rPr>
                <w:color w:val="auto"/>
                <w:spacing w:val="9"/>
                <w:highlight w:val="none"/>
              </w:rPr>
              <w:t>政储蓄银行崇左市分行</w:t>
            </w:r>
          </w:p>
        </w:tc>
        <w:tc>
          <w:tcPr>
            <w:tcW w:w="2128" w:type="dxa"/>
            <w:vAlign w:val="top"/>
          </w:tcPr>
          <w:p w14:paraId="137FC33F">
            <w:pPr>
              <w:pStyle w:val="15"/>
              <w:spacing w:before="257" w:line="190" w:lineRule="auto"/>
              <w:ind w:left="439"/>
              <w:rPr>
                <w:color w:val="auto"/>
                <w:highlight w:val="none"/>
              </w:rPr>
            </w:pPr>
            <w:r>
              <w:rPr>
                <w:color w:val="auto"/>
                <w:spacing w:val="4"/>
                <w:highlight w:val="none"/>
              </w:rPr>
              <w:t>0771-7968699</w:t>
            </w:r>
          </w:p>
        </w:tc>
      </w:tr>
      <w:tr w14:paraId="4E6EC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2677" w:type="dxa"/>
            <w:vAlign w:val="top"/>
          </w:tcPr>
          <w:p w14:paraId="0FF5E2D0">
            <w:pPr>
              <w:spacing w:line="324" w:lineRule="auto"/>
              <w:rPr>
                <w:rFonts w:ascii="Arial"/>
                <w:color w:val="auto"/>
                <w:sz w:val="21"/>
                <w:highlight w:val="none"/>
              </w:rPr>
            </w:pPr>
          </w:p>
          <w:p w14:paraId="5C054B6B">
            <w:pPr>
              <w:pStyle w:val="15"/>
              <w:spacing w:before="65" w:line="228" w:lineRule="auto"/>
              <w:ind w:left="118"/>
              <w:rPr>
                <w:color w:val="auto"/>
                <w:highlight w:val="none"/>
              </w:rPr>
            </w:pPr>
            <w:r>
              <w:rPr>
                <w:color w:val="auto"/>
                <w:spacing w:val="9"/>
                <w:highlight w:val="none"/>
              </w:rPr>
              <w:t>桂林银行崇左分行营业部</w:t>
            </w:r>
          </w:p>
        </w:tc>
        <w:tc>
          <w:tcPr>
            <w:tcW w:w="3513" w:type="dxa"/>
            <w:vAlign w:val="top"/>
          </w:tcPr>
          <w:p w14:paraId="40FC1D3A">
            <w:pPr>
              <w:pStyle w:val="15"/>
              <w:spacing w:before="60" w:line="285" w:lineRule="auto"/>
              <w:ind w:left="115" w:right="253" w:hanging="2"/>
              <w:jc w:val="both"/>
              <w:rPr>
                <w:color w:val="auto"/>
                <w:highlight w:val="none"/>
              </w:rPr>
            </w:pPr>
            <w:r>
              <w:rPr>
                <w:color w:val="auto"/>
                <w:spacing w:val="9"/>
                <w:highlight w:val="none"/>
              </w:rPr>
              <w:t>广西壮族自治区崇左市江州区友谊</w:t>
            </w:r>
            <w:r>
              <w:rPr>
                <w:color w:val="auto"/>
                <w:spacing w:val="4"/>
                <w:highlight w:val="none"/>
              </w:rPr>
              <w:t xml:space="preserve"> </w:t>
            </w:r>
            <w:r>
              <w:rPr>
                <w:color w:val="auto"/>
                <w:highlight w:val="none"/>
              </w:rPr>
              <w:t>大道中段龙胤</w:t>
            </w:r>
            <w:r>
              <w:rPr>
                <w:color w:val="auto"/>
                <w:spacing w:val="-8"/>
                <w:highlight w:val="none"/>
              </w:rPr>
              <w:t xml:space="preserve"> </w:t>
            </w:r>
            <w:r>
              <w:rPr>
                <w:color w:val="auto"/>
                <w:highlight w:val="none"/>
              </w:rPr>
              <w:t>·财富广场</w:t>
            </w:r>
            <w:r>
              <w:rPr>
                <w:color w:val="auto"/>
                <w:spacing w:val="-21"/>
                <w:highlight w:val="none"/>
              </w:rPr>
              <w:t xml:space="preserve"> </w:t>
            </w:r>
            <w:r>
              <w:rPr>
                <w:color w:val="auto"/>
                <w:highlight w:val="none"/>
              </w:rPr>
              <w:t>101</w:t>
            </w:r>
            <w:r>
              <w:rPr>
                <w:color w:val="auto"/>
                <w:spacing w:val="-37"/>
                <w:highlight w:val="none"/>
              </w:rPr>
              <w:t xml:space="preserve"> </w:t>
            </w:r>
            <w:r>
              <w:rPr>
                <w:color w:val="auto"/>
                <w:highlight w:val="none"/>
              </w:rPr>
              <w:t xml:space="preserve">商铺 </w:t>
            </w:r>
            <w:r>
              <w:rPr>
                <w:color w:val="auto"/>
                <w:spacing w:val="7"/>
                <w:highlight w:val="none"/>
              </w:rPr>
              <w:t>（龙胤大厦六楼营业部）</w:t>
            </w:r>
          </w:p>
        </w:tc>
        <w:tc>
          <w:tcPr>
            <w:tcW w:w="2128" w:type="dxa"/>
            <w:vAlign w:val="top"/>
          </w:tcPr>
          <w:p w14:paraId="2D7DBCA6">
            <w:pPr>
              <w:spacing w:line="355" w:lineRule="auto"/>
              <w:rPr>
                <w:rFonts w:ascii="Arial"/>
                <w:color w:val="auto"/>
                <w:sz w:val="21"/>
                <w:highlight w:val="none"/>
              </w:rPr>
            </w:pPr>
          </w:p>
          <w:p w14:paraId="0D321275">
            <w:pPr>
              <w:pStyle w:val="15"/>
              <w:spacing w:before="65" w:line="190" w:lineRule="auto"/>
              <w:ind w:left="439"/>
              <w:rPr>
                <w:color w:val="auto"/>
                <w:highlight w:val="none"/>
              </w:rPr>
            </w:pPr>
            <w:r>
              <w:rPr>
                <w:color w:val="auto"/>
                <w:spacing w:val="4"/>
                <w:highlight w:val="none"/>
              </w:rPr>
              <w:t>0771-7916636</w:t>
            </w:r>
          </w:p>
        </w:tc>
      </w:tr>
      <w:tr w14:paraId="6C7D0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677" w:type="dxa"/>
            <w:vAlign w:val="top"/>
          </w:tcPr>
          <w:p w14:paraId="6702472A">
            <w:pPr>
              <w:pStyle w:val="15"/>
              <w:spacing w:before="61" w:line="227" w:lineRule="auto"/>
              <w:ind w:left="118"/>
              <w:rPr>
                <w:color w:val="auto"/>
                <w:highlight w:val="none"/>
              </w:rPr>
            </w:pPr>
            <w:r>
              <w:rPr>
                <w:color w:val="auto"/>
                <w:spacing w:val="8"/>
                <w:highlight w:val="none"/>
              </w:rPr>
              <w:t>桂林银行江州支行</w:t>
            </w:r>
          </w:p>
        </w:tc>
        <w:tc>
          <w:tcPr>
            <w:tcW w:w="3513" w:type="dxa"/>
            <w:vAlign w:val="top"/>
          </w:tcPr>
          <w:p w14:paraId="23919C78">
            <w:pPr>
              <w:pStyle w:val="15"/>
              <w:spacing w:before="61" w:line="227" w:lineRule="auto"/>
              <w:ind w:left="116"/>
              <w:rPr>
                <w:color w:val="auto"/>
                <w:highlight w:val="none"/>
              </w:rPr>
            </w:pPr>
            <w:r>
              <w:rPr>
                <w:color w:val="auto"/>
                <w:spacing w:val="7"/>
                <w:highlight w:val="none"/>
              </w:rPr>
              <w:t>崇左市江州区建设路</w:t>
            </w:r>
            <w:r>
              <w:rPr>
                <w:color w:val="auto"/>
                <w:spacing w:val="-37"/>
                <w:highlight w:val="none"/>
              </w:rPr>
              <w:t xml:space="preserve"> </w:t>
            </w:r>
            <w:r>
              <w:rPr>
                <w:color w:val="auto"/>
                <w:spacing w:val="7"/>
                <w:highlight w:val="none"/>
              </w:rPr>
              <w:t>41</w:t>
            </w:r>
            <w:r>
              <w:rPr>
                <w:color w:val="auto"/>
                <w:spacing w:val="-33"/>
                <w:highlight w:val="none"/>
              </w:rPr>
              <w:t xml:space="preserve"> </w:t>
            </w:r>
            <w:r>
              <w:rPr>
                <w:color w:val="auto"/>
                <w:spacing w:val="7"/>
                <w:highlight w:val="none"/>
              </w:rPr>
              <w:t>号桂林银行</w:t>
            </w:r>
          </w:p>
        </w:tc>
        <w:tc>
          <w:tcPr>
            <w:tcW w:w="2128" w:type="dxa"/>
            <w:vAlign w:val="top"/>
          </w:tcPr>
          <w:p w14:paraId="151124D6">
            <w:pPr>
              <w:pStyle w:val="15"/>
              <w:spacing w:before="93" w:line="190" w:lineRule="auto"/>
              <w:ind w:left="439"/>
              <w:rPr>
                <w:color w:val="auto"/>
                <w:highlight w:val="none"/>
              </w:rPr>
            </w:pPr>
            <w:r>
              <w:rPr>
                <w:color w:val="auto"/>
                <w:spacing w:val="4"/>
                <w:highlight w:val="none"/>
              </w:rPr>
              <w:t>0771-7988895</w:t>
            </w:r>
          </w:p>
        </w:tc>
      </w:tr>
      <w:tr w14:paraId="70CD7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002A882E">
            <w:pPr>
              <w:pStyle w:val="15"/>
              <w:spacing w:before="226" w:line="228" w:lineRule="auto"/>
              <w:ind w:left="116"/>
              <w:rPr>
                <w:color w:val="auto"/>
                <w:highlight w:val="none"/>
              </w:rPr>
            </w:pPr>
            <w:r>
              <w:rPr>
                <w:color w:val="auto"/>
                <w:spacing w:val="9"/>
                <w:highlight w:val="none"/>
              </w:rPr>
              <w:t>广西北部湾银行崇左分行</w:t>
            </w:r>
          </w:p>
        </w:tc>
        <w:tc>
          <w:tcPr>
            <w:tcW w:w="3513" w:type="dxa"/>
            <w:vAlign w:val="top"/>
          </w:tcPr>
          <w:p w14:paraId="5C8869B4">
            <w:pPr>
              <w:pStyle w:val="15"/>
              <w:spacing w:before="61" w:line="275" w:lineRule="auto"/>
              <w:ind w:left="113" w:right="253" w:firstLine="3"/>
              <w:rPr>
                <w:color w:val="auto"/>
                <w:highlight w:val="none"/>
              </w:rPr>
            </w:pPr>
            <w:r>
              <w:rPr>
                <w:color w:val="auto"/>
                <w:spacing w:val="9"/>
                <w:highlight w:val="none"/>
              </w:rPr>
              <w:t>崇左市友谊大道中段西侧龙胤财富</w:t>
            </w:r>
            <w:r>
              <w:rPr>
                <w:color w:val="auto"/>
                <w:spacing w:val="1"/>
                <w:highlight w:val="none"/>
              </w:rPr>
              <w:t xml:space="preserve"> </w:t>
            </w:r>
            <w:r>
              <w:rPr>
                <w:color w:val="auto"/>
                <w:spacing w:val="5"/>
                <w:highlight w:val="none"/>
              </w:rPr>
              <w:t>广场三期财富中心</w:t>
            </w:r>
            <w:r>
              <w:rPr>
                <w:color w:val="auto"/>
                <w:spacing w:val="-18"/>
                <w:highlight w:val="none"/>
              </w:rPr>
              <w:t xml:space="preserve"> </w:t>
            </w:r>
            <w:r>
              <w:rPr>
                <w:color w:val="auto"/>
                <w:spacing w:val="5"/>
                <w:highlight w:val="none"/>
              </w:rPr>
              <w:t>122</w:t>
            </w:r>
            <w:r>
              <w:rPr>
                <w:color w:val="auto"/>
                <w:spacing w:val="-33"/>
                <w:highlight w:val="none"/>
              </w:rPr>
              <w:t xml:space="preserve"> </w:t>
            </w:r>
            <w:r>
              <w:rPr>
                <w:color w:val="auto"/>
                <w:spacing w:val="5"/>
                <w:highlight w:val="none"/>
              </w:rPr>
              <w:t>号商铺</w:t>
            </w:r>
          </w:p>
        </w:tc>
        <w:tc>
          <w:tcPr>
            <w:tcW w:w="2128" w:type="dxa"/>
            <w:vAlign w:val="top"/>
          </w:tcPr>
          <w:p w14:paraId="28743B92">
            <w:pPr>
              <w:pStyle w:val="15"/>
              <w:spacing w:before="258" w:line="190" w:lineRule="auto"/>
              <w:ind w:left="439"/>
              <w:rPr>
                <w:color w:val="auto"/>
                <w:highlight w:val="none"/>
              </w:rPr>
            </w:pPr>
            <w:r>
              <w:rPr>
                <w:color w:val="auto"/>
                <w:spacing w:val="4"/>
                <w:highlight w:val="none"/>
              </w:rPr>
              <w:t>0771-7960855</w:t>
            </w:r>
          </w:p>
        </w:tc>
      </w:tr>
      <w:tr w14:paraId="472CD6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2677" w:type="dxa"/>
            <w:vAlign w:val="top"/>
          </w:tcPr>
          <w:p w14:paraId="31BF4C71">
            <w:pPr>
              <w:pStyle w:val="15"/>
              <w:spacing w:before="227" w:line="291" w:lineRule="auto"/>
              <w:ind w:left="115" w:right="254"/>
              <w:rPr>
                <w:color w:val="auto"/>
                <w:highlight w:val="none"/>
              </w:rPr>
            </w:pPr>
            <w:r>
              <w:rPr>
                <w:color w:val="auto"/>
                <w:spacing w:val="9"/>
                <w:highlight w:val="none"/>
              </w:rPr>
              <w:t>广西北部湾银行崇左市中</w:t>
            </w:r>
            <w:r>
              <w:rPr>
                <w:color w:val="auto"/>
                <w:highlight w:val="none"/>
              </w:rPr>
              <w:t xml:space="preserve"> </w:t>
            </w:r>
            <w:r>
              <w:rPr>
                <w:color w:val="auto"/>
                <w:spacing w:val="8"/>
                <w:highlight w:val="none"/>
              </w:rPr>
              <w:t>泰产业园支行</w:t>
            </w:r>
          </w:p>
        </w:tc>
        <w:tc>
          <w:tcPr>
            <w:tcW w:w="3513" w:type="dxa"/>
            <w:vAlign w:val="top"/>
          </w:tcPr>
          <w:p w14:paraId="15A3CFBB">
            <w:pPr>
              <w:pStyle w:val="15"/>
              <w:spacing w:before="60" w:line="285" w:lineRule="auto"/>
              <w:ind w:left="113" w:right="253"/>
              <w:jc w:val="both"/>
              <w:rPr>
                <w:color w:val="auto"/>
                <w:highlight w:val="none"/>
              </w:rPr>
            </w:pPr>
            <w:r>
              <w:rPr>
                <w:color w:val="auto"/>
                <w:spacing w:val="9"/>
                <w:highlight w:val="none"/>
              </w:rPr>
              <w:t>广西壮族自治区崇左市江州区中泰</w:t>
            </w:r>
            <w:r>
              <w:rPr>
                <w:color w:val="auto"/>
                <w:spacing w:val="4"/>
                <w:highlight w:val="none"/>
              </w:rPr>
              <w:t xml:space="preserve"> </w:t>
            </w:r>
            <w:r>
              <w:rPr>
                <w:color w:val="auto"/>
                <w:spacing w:val="9"/>
                <w:highlight w:val="none"/>
              </w:rPr>
              <w:t>产业园企业总部基地企业服务中心</w:t>
            </w:r>
            <w:r>
              <w:rPr>
                <w:color w:val="auto"/>
                <w:spacing w:val="4"/>
                <w:highlight w:val="none"/>
              </w:rPr>
              <w:t xml:space="preserve"> 一楼</w:t>
            </w:r>
          </w:p>
        </w:tc>
        <w:tc>
          <w:tcPr>
            <w:tcW w:w="2128" w:type="dxa"/>
            <w:vAlign w:val="top"/>
          </w:tcPr>
          <w:p w14:paraId="43687BDE">
            <w:pPr>
              <w:spacing w:line="356" w:lineRule="auto"/>
              <w:rPr>
                <w:rFonts w:ascii="Arial"/>
                <w:color w:val="auto"/>
                <w:sz w:val="21"/>
                <w:highlight w:val="none"/>
              </w:rPr>
            </w:pPr>
          </w:p>
          <w:p w14:paraId="56BBCC1D">
            <w:pPr>
              <w:pStyle w:val="15"/>
              <w:spacing w:before="65" w:line="190" w:lineRule="auto"/>
              <w:ind w:left="439"/>
              <w:rPr>
                <w:color w:val="auto"/>
                <w:highlight w:val="none"/>
              </w:rPr>
            </w:pPr>
            <w:r>
              <w:rPr>
                <w:color w:val="auto"/>
                <w:spacing w:val="4"/>
                <w:highlight w:val="none"/>
              </w:rPr>
              <w:t>0771-7821126</w:t>
            </w:r>
          </w:p>
        </w:tc>
      </w:tr>
      <w:tr w14:paraId="2F3AD7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677" w:type="dxa"/>
            <w:vAlign w:val="top"/>
          </w:tcPr>
          <w:p w14:paraId="66745BE1">
            <w:pPr>
              <w:pStyle w:val="15"/>
              <w:spacing w:before="62" w:line="274" w:lineRule="auto"/>
              <w:ind w:left="116" w:right="254"/>
              <w:rPr>
                <w:color w:val="auto"/>
                <w:highlight w:val="none"/>
              </w:rPr>
            </w:pPr>
            <w:r>
              <w:rPr>
                <w:color w:val="auto"/>
                <w:spacing w:val="9"/>
                <w:highlight w:val="none"/>
              </w:rPr>
              <w:t>广西北部湾银行崇左市丽</w:t>
            </w:r>
            <w:r>
              <w:rPr>
                <w:color w:val="auto"/>
                <w:highlight w:val="none"/>
              </w:rPr>
              <w:t xml:space="preserve"> </w:t>
            </w:r>
            <w:r>
              <w:rPr>
                <w:color w:val="auto"/>
                <w:spacing w:val="6"/>
                <w:highlight w:val="none"/>
              </w:rPr>
              <w:t>江支行</w:t>
            </w:r>
          </w:p>
        </w:tc>
        <w:tc>
          <w:tcPr>
            <w:tcW w:w="3513" w:type="dxa"/>
            <w:vAlign w:val="top"/>
          </w:tcPr>
          <w:p w14:paraId="7207181E">
            <w:pPr>
              <w:pStyle w:val="15"/>
              <w:spacing w:before="62" w:line="274" w:lineRule="auto"/>
              <w:ind w:left="114" w:right="253" w:firstLine="2"/>
              <w:rPr>
                <w:color w:val="auto"/>
                <w:highlight w:val="none"/>
              </w:rPr>
            </w:pPr>
            <w:r>
              <w:rPr>
                <w:color w:val="auto"/>
                <w:spacing w:val="9"/>
                <w:highlight w:val="none"/>
              </w:rPr>
              <w:t>崇左市江州区丽江路丽江明珠滨江</w:t>
            </w:r>
            <w:r>
              <w:rPr>
                <w:color w:val="auto"/>
                <w:spacing w:val="1"/>
                <w:highlight w:val="none"/>
              </w:rPr>
              <w:t xml:space="preserve"> </w:t>
            </w:r>
            <w:r>
              <w:rPr>
                <w:color w:val="auto"/>
                <w:spacing w:val="4"/>
                <w:highlight w:val="none"/>
              </w:rPr>
              <w:t>花苑三期</w:t>
            </w:r>
            <w:r>
              <w:rPr>
                <w:color w:val="auto"/>
                <w:spacing w:val="-24"/>
                <w:highlight w:val="none"/>
              </w:rPr>
              <w:t xml:space="preserve"> </w:t>
            </w:r>
            <w:r>
              <w:rPr>
                <w:color w:val="auto"/>
                <w:spacing w:val="4"/>
                <w:highlight w:val="none"/>
              </w:rPr>
              <w:t>106-109</w:t>
            </w:r>
            <w:r>
              <w:rPr>
                <w:color w:val="auto"/>
                <w:spacing w:val="-33"/>
                <w:highlight w:val="none"/>
              </w:rPr>
              <w:t xml:space="preserve"> </w:t>
            </w:r>
            <w:r>
              <w:rPr>
                <w:color w:val="auto"/>
                <w:spacing w:val="4"/>
                <w:highlight w:val="none"/>
              </w:rPr>
              <w:t>号商铺</w:t>
            </w:r>
          </w:p>
        </w:tc>
        <w:tc>
          <w:tcPr>
            <w:tcW w:w="2128" w:type="dxa"/>
            <w:vAlign w:val="top"/>
          </w:tcPr>
          <w:p w14:paraId="787337C1">
            <w:pPr>
              <w:pStyle w:val="15"/>
              <w:spacing w:before="259" w:line="190" w:lineRule="auto"/>
              <w:ind w:left="439"/>
              <w:rPr>
                <w:color w:val="auto"/>
                <w:highlight w:val="none"/>
              </w:rPr>
            </w:pPr>
            <w:r>
              <w:rPr>
                <w:color w:val="auto"/>
                <w:spacing w:val="4"/>
                <w:highlight w:val="none"/>
              </w:rPr>
              <w:t>0771-7831866</w:t>
            </w:r>
          </w:p>
        </w:tc>
      </w:tr>
      <w:tr w14:paraId="05D85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318" w:type="dxa"/>
            <w:gridSpan w:val="3"/>
            <w:vAlign w:val="top"/>
          </w:tcPr>
          <w:p w14:paraId="20342AD8">
            <w:pPr>
              <w:pStyle w:val="15"/>
              <w:spacing w:before="73" w:line="228" w:lineRule="auto"/>
              <w:ind w:left="115"/>
              <w:rPr>
                <w:color w:val="auto"/>
                <w:highlight w:val="none"/>
              </w:rPr>
            </w:pPr>
            <w:r>
              <w:rPr>
                <w:b/>
                <w:bCs/>
                <w:color w:val="auto"/>
                <w:spacing w:val="6"/>
                <w:highlight w:val="none"/>
              </w:rPr>
              <w:t>扶绥县</w:t>
            </w:r>
          </w:p>
        </w:tc>
      </w:tr>
      <w:tr w14:paraId="016E63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2677" w:type="dxa"/>
            <w:vAlign w:val="top"/>
          </w:tcPr>
          <w:p w14:paraId="2792EEEE">
            <w:pPr>
              <w:pStyle w:val="15"/>
              <w:spacing w:before="87" w:line="228" w:lineRule="auto"/>
              <w:ind w:left="119"/>
              <w:rPr>
                <w:color w:val="auto"/>
                <w:highlight w:val="none"/>
              </w:rPr>
            </w:pPr>
            <w:r>
              <w:rPr>
                <w:color w:val="auto"/>
                <w:spacing w:val="8"/>
                <w:highlight w:val="none"/>
              </w:rPr>
              <w:t>工商银行扶绥县支行</w:t>
            </w:r>
          </w:p>
        </w:tc>
        <w:tc>
          <w:tcPr>
            <w:tcW w:w="3513" w:type="dxa"/>
            <w:vAlign w:val="top"/>
          </w:tcPr>
          <w:p w14:paraId="4A398DB0">
            <w:pPr>
              <w:pStyle w:val="15"/>
              <w:spacing w:before="87" w:line="228" w:lineRule="auto"/>
              <w:ind w:left="111"/>
              <w:rPr>
                <w:color w:val="auto"/>
                <w:highlight w:val="none"/>
              </w:rPr>
            </w:pPr>
            <w:r>
              <w:rPr>
                <w:color w:val="auto"/>
                <w:spacing w:val="7"/>
                <w:highlight w:val="none"/>
              </w:rPr>
              <w:t>扶绥县新宁镇同正大道</w:t>
            </w:r>
            <w:r>
              <w:rPr>
                <w:color w:val="auto"/>
                <w:spacing w:val="-38"/>
                <w:highlight w:val="none"/>
              </w:rPr>
              <w:t xml:space="preserve"> </w:t>
            </w:r>
            <w:r>
              <w:rPr>
                <w:color w:val="auto"/>
                <w:spacing w:val="7"/>
                <w:highlight w:val="none"/>
              </w:rPr>
              <w:t>94</w:t>
            </w:r>
            <w:r>
              <w:rPr>
                <w:color w:val="auto"/>
                <w:spacing w:val="-33"/>
                <w:highlight w:val="none"/>
              </w:rPr>
              <w:t xml:space="preserve"> </w:t>
            </w:r>
            <w:r>
              <w:rPr>
                <w:color w:val="auto"/>
                <w:spacing w:val="7"/>
                <w:highlight w:val="none"/>
              </w:rPr>
              <w:t>号</w:t>
            </w:r>
          </w:p>
        </w:tc>
        <w:tc>
          <w:tcPr>
            <w:tcW w:w="2128" w:type="dxa"/>
            <w:vAlign w:val="top"/>
          </w:tcPr>
          <w:p w14:paraId="050E98D4">
            <w:pPr>
              <w:pStyle w:val="15"/>
              <w:spacing w:before="119" w:line="190" w:lineRule="auto"/>
              <w:ind w:left="439"/>
              <w:rPr>
                <w:color w:val="auto"/>
                <w:highlight w:val="none"/>
              </w:rPr>
            </w:pPr>
            <w:r>
              <w:rPr>
                <w:color w:val="auto"/>
                <w:spacing w:val="4"/>
                <w:highlight w:val="none"/>
              </w:rPr>
              <w:t>0771-7535612</w:t>
            </w:r>
          </w:p>
        </w:tc>
      </w:tr>
      <w:tr w14:paraId="11423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2677" w:type="dxa"/>
            <w:vAlign w:val="top"/>
          </w:tcPr>
          <w:p w14:paraId="7F343F24">
            <w:pPr>
              <w:pStyle w:val="15"/>
              <w:spacing w:before="122" w:line="228" w:lineRule="auto"/>
              <w:ind w:left="116"/>
              <w:rPr>
                <w:color w:val="auto"/>
                <w:highlight w:val="none"/>
              </w:rPr>
            </w:pPr>
            <w:r>
              <w:rPr>
                <w:color w:val="auto"/>
                <w:spacing w:val="8"/>
                <w:highlight w:val="none"/>
              </w:rPr>
              <w:t>农业银行扶绥县支行</w:t>
            </w:r>
          </w:p>
        </w:tc>
        <w:tc>
          <w:tcPr>
            <w:tcW w:w="3513" w:type="dxa"/>
            <w:vAlign w:val="top"/>
          </w:tcPr>
          <w:p w14:paraId="173764A0">
            <w:pPr>
              <w:pStyle w:val="15"/>
              <w:spacing w:before="121" w:line="228" w:lineRule="auto"/>
              <w:ind w:left="111"/>
              <w:rPr>
                <w:color w:val="auto"/>
                <w:highlight w:val="none"/>
              </w:rPr>
            </w:pPr>
            <w:r>
              <w:rPr>
                <w:color w:val="auto"/>
                <w:spacing w:val="5"/>
                <w:highlight w:val="none"/>
              </w:rPr>
              <w:t>扶绥县新宁镇新华路</w:t>
            </w:r>
            <w:r>
              <w:rPr>
                <w:color w:val="auto"/>
                <w:spacing w:val="-16"/>
                <w:highlight w:val="none"/>
              </w:rPr>
              <w:t xml:space="preserve"> </w:t>
            </w:r>
            <w:r>
              <w:rPr>
                <w:color w:val="auto"/>
                <w:spacing w:val="5"/>
                <w:highlight w:val="none"/>
              </w:rPr>
              <w:t>126</w:t>
            </w:r>
            <w:r>
              <w:rPr>
                <w:color w:val="auto"/>
                <w:spacing w:val="-35"/>
                <w:highlight w:val="none"/>
              </w:rPr>
              <w:t xml:space="preserve"> </w:t>
            </w:r>
            <w:r>
              <w:rPr>
                <w:color w:val="auto"/>
                <w:spacing w:val="5"/>
                <w:highlight w:val="none"/>
              </w:rPr>
              <w:t>号</w:t>
            </w:r>
          </w:p>
        </w:tc>
        <w:tc>
          <w:tcPr>
            <w:tcW w:w="2128" w:type="dxa"/>
            <w:vAlign w:val="top"/>
          </w:tcPr>
          <w:p w14:paraId="26964B1C">
            <w:pPr>
              <w:pStyle w:val="15"/>
              <w:spacing w:before="153" w:line="190" w:lineRule="auto"/>
              <w:ind w:left="439"/>
              <w:rPr>
                <w:color w:val="auto"/>
                <w:highlight w:val="none"/>
              </w:rPr>
            </w:pPr>
            <w:r>
              <w:rPr>
                <w:color w:val="auto"/>
                <w:spacing w:val="4"/>
                <w:highlight w:val="none"/>
              </w:rPr>
              <w:t>0771-7917330</w:t>
            </w:r>
          </w:p>
        </w:tc>
      </w:tr>
      <w:tr w14:paraId="51F7C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677" w:type="dxa"/>
            <w:vAlign w:val="top"/>
          </w:tcPr>
          <w:p w14:paraId="3CD95679">
            <w:pPr>
              <w:pStyle w:val="15"/>
              <w:spacing w:before="274" w:line="228" w:lineRule="auto"/>
              <w:ind w:left="119"/>
              <w:rPr>
                <w:color w:val="auto"/>
                <w:highlight w:val="none"/>
              </w:rPr>
            </w:pPr>
            <w:r>
              <w:rPr>
                <w:color w:val="auto"/>
                <w:spacing w:val="7"/>
                <w:highlight w:val="none"/>
              </w:rPr>
              <w:t>建行扶绥支行</w:t>
            </w:r>
          </w:p>
        </w:tc>
        <w:tc>
          <w:tcPr>
            <w:tcW w:w="3513" w:type="dxa"/>
            <w:vAlign w:val="top"/>
          </w:tcPr>
          <w:p w14:paraId="4C82CC2E">
            <w:pPr>
              <w:pStyle w:val="15"/>
              <w:spacing w:before="274" w:line="228" w:lineRule="auto"/>
              <w:ind w:left="111"/>
              <w:rPr>
                <w:color w:val="auto"/>
                <w:highlight w:val="none"/>
              </w:rPr>
            </w:pPr>
            <w:r>
              <w:rPr>
                <w:color w:val="auto"/>
                <w:spacing w:val="5"/>
                <w:highlight w:val="none"/>
              </w:rPr>
              <w:t>扶绥县南密路</w:t>
            </w:r>
            <w:r>
              <w:rPr>
                <w:color w:val="auto"/>
                <w:spacing w:val="-33"/>
                <w:highlight w:val="none"/>
              </w:rPr>
              <w:t xml:space="preserve"> </w:t>
            </w:r>
            <w:r>
              <w:rPr>
                <w:color w:val="auto"/>
                <w:spacing w:val="5"/>
                <w:highlight w:val="none"/>
              </w:rPr>
              <w:t>6</w:t>
            </w:r>
            <w:r>
              <w:rPr>
                <w:color w:val="auto"/>
                <w:spacing w:val="-33"/>
                <w:highlight w:val="none"/>
              </w:rPr>
              <w:t xml:space="preserve"> </w:t>
            </w:r>
            <w:r>
              <w:rPr>
                <w:color w:val="auto"/>
                <w:spacing w:val="5"/>
                <w:highlight w:val="none"/>
              </w:rPr>
              <w:t>号</w:t>
            </w:r>
          </w:p>
        </w:tc>
        <w:tc>
          <w:tcPr>
            <w:tcW w:w="2128" w:type="dxa"/>
            <w:vAlign w:val="top"/>
          </w:tcPr>
          <w:p w14:paraId="0B5FE6FA">
            <w:pPr>
              <w:pStyle w:val="15"/>
              <w:spacing w:before="138" w:line="190" w:lineRule="auto"/>
              <w:ind w:left="439"/>
              <w:rPr>
                <w:color w:val="auto"/>
                <w:highlight w:val="none"/>
              </w:rPr>
            </w:pPr>
            <w:r>
              <w:rPr>
                <w:color w:val="auto"/>
                <w:spacing w:val="4"/>
                <w:highlight w:val="none"/>
              </w:rPr>
              <w:t>0771-7516511</w:t>
            </w:r>
          </w:p>
          <w:p w14:paraId="51603A28">
            <w:pPr>
              <w:pStyle w:val="15"/>
              <w:spacing w:before="125" w:line="190" w:lineRule="auto"/>
              <w:ind w:left="439"/>
              <w:rPr>
                <w:color w:val="auto"/>
                <w:highlight w:val="none"/>
              </w:rPr>
            </w:pPr>
            <w:r>
              <w:rPr>
                <w:color w:val="auto"/>
                <w:spacing w:val="4"/>
                <w:highlight w:val="none"/>
              </w:rPr>
              <w:t>0771-7531157</w:t>
            </w:r>
          </w:p>
        </w:tc>
      </w:tr>
      <w:tr w14:paraId="11425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71E57351">
            <w:pPr>
              <w:pStyle w:val="15"/>
              <w:spacing w:before="229" w:line="228" w:lineRule="auto"/>
              <w:ind w:left="119"/>
              <w:rPr>
                <w:color w:val="auto"/>
                <w:highlight w:val="none"/>
              </w:rPr>
            </w:pPr>
            <w:r>
              <w:rPr>
                <w:color w:val="auto"/>
                <w:spacing w:val="8"/>
                <w:highlight w:val="none"/>
              </w:rPr>
              <w:t>建行扶绥空港支行</w:t>
            </w:r>
          </w:p>
        </w:tc>
        <w:tc>
          <w:tcPr>
            <w:tcW w:w="3513" w:type="dxa"/>
            <w:vAlign w:val="top"/>
          </w:tcPr>
          <w:p w14:paraId="521E5B49">
            <w:pPr>
              <w:pStyle w:val="15"/>
              <w:spacing w:before="65" w:line="273" w:lineRule="auto"/>
              <w:ind w:left="116" w:right="150" w:hanging="5"/>
              <w:rPr>
                <w:color w:val="auto"/>
                <w:highlight w:val="none"/>
              </w:rPr>
            </w:pPr>
            <w:r>
              <w:rPr>
                <w:color w:val="auto"/>
                <w:spacing w:val="4"/>
                <w:highlight w:val="none"/>
              </w:rPr>
              <w:t>扶绥县双拥路</w:t>
            </w:r>
            <w:r>
              <w:rPr>
                <w:color w:val="auto"/>
                <w:spacing w:val="-30"/>
                <w:highlight w:val="none"/>
              </w:rPr>
              <w:t xml:space="preserve"> </w:t>
            </w:r>
            <w:r>
              <w:rPr>
                <w:color w:val="auto"/>
                <w:spacing w:val="4"/>
                <w:highlight w:val="none"/>
              </w:rPr>
              <w:t>3</w:t>
            </w:r>
            <w:r>
              <w:rPr>
                <w:color w:val="auto"/>
                <w:spacing w:val="-33"/>
                <w:highlight w:val="none"/>
              </w:rPr>
              <w:t xml:space="preserve"> </w:t>
            </w:r>
            <w:r>
              <w:rPr>
                <w:color w:val="auto"/>
                <w:spacing w:val="4"/>
                <w:highlight w:val="none"/>
              </w:rPr>
              <w:t>号东信华府</w:t>
            </w:r>
            <w:r>
              <w:rPr>
                <w:color w:val="auto"/>
                <w:spacing w:val="-24"/>
                <w:highlight w:val="none"/>
              </w:rPr>
              <w:t xml:space="preserve"> </w:t>
            </w:r>
            <w:r>
              <w:rPr>
                <w:color w:val="auto"/>
                <w:spacing w:val="4"/>
                <w:highlight w:val="none"/>
              </w:rPr>
              <w:t>18</w:t>
            </w:r>
            <w:r>
              <w:rPr>
                <w:color w:val="auto"/>
                <w:spacing w:val="-33"/>
                <w:highlight w:val="none"/>
              </w:rPr>
              <w:t xml:space="preserve"> </w:t>
            </w:r>
            <w:r>
              <w:rPr>
                <w:color w:val="auto"/>
                <w:spacing w:val="4"/>
                <w:highlight w:val="none"/>
              </w:rPr>
              <w:t>号楼</w:t>
            </w:r>
            <w:r>
              <w:rPr>
                <w:color w:val="auto"/>
                <w:highlight w:val="none"/>
              </w:rPr>
              <w:t xml:space="preserve"> </w:t>
            </w:r>
            <w:r>
              <w:rPr>
                <w:color w:val="auto"/>
                <w:spacing w:val="3"/>
                <w:highlight w:val="none"/>
              </w:rPr>
              <w:t>一层</w:t>
            </w:r>
          </w:p>
        </w:tc>
        <w:tc>
          <w:tcPr>
            <w:tcW w:w="2128" w:type="dxa"/>
            <w:vAlign w:val="top"/>
          </w:tcPr>
          <w:p w14:paraId="27B77606">
            <w:pPr>
              <w:pStyle w:val="15"/>
              <w:spacing w:before="260" w:line="190" w:lineRule="auto"/>
              <w:ind w:left="439"/>
              <w:rPr>
                <w:color w:val="auto"/>
                <w:highlight w:val="none"/>
              </w:rPr>
            </w:pPr>
            <w:r>
              <w:rPr>
                <w:color w:val="auto"/>
                <w:spacing w:val="4"/>
                <w:highlight w:val="none"/>
              </w:rPr>
              <w:t>0771-7525822</w:t>
            </w:r>
          </w:p>
        </w:tc>
      </w:tr>
      <w:tr w14:paraId="48CA02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7BEA9011">
            <w:pPr>
              <w:pStyle w:val="15"/>
              <w:spacing w:before="229" w:line="228" w:lineRule="auto"/>
              <w:ind w:left="136"/>
              <w:rPr>
                <w:color w:val="auto"/>
                <w:highlight w:val="none"/>
              </w:rPr>
            </w:pPr>
            <w:r>
              <w:rPr>
                <w:color w:val="auto"/>
                <w:spacing w:val="6"/>
                <w:highlight w:val="none"/>
              </w:rPr>
              <w:t>中国银行扶绥支行</w:t>
            </w:r>
          </w:p>
        </w:tc>
        <w:tc>
          <w:tcPr>
            <w:tcW w:w="3513" w:type="dxa"/>
            <w:vAlign w:val="top"/>
          </w:tcPr>
          <w:p w14:paraId="5283F5FB">
            <w:pPr>
              <w:pStyle w:val="15"/>
              <w:spacing w:before="65" w:line="273" w:lineRule="auto"/>
              <w:ind w:left="111" w:right="256"/>
              <w:rPr>
                <w:color w:val="auto"/>
                <w:highlight w:val="none"/>
              </w:rPr>
            </w:pPr>
            <w:r>
              <w:rPr>
                <w:color w:val="auto"/>
                <w:spacing w:val="6"/>
                <w:highlight w:val="none"/>
              </w:rPr>
              <w:t>扶绥县-扶绥大道</w:t>
            </w:r>
            <w:r>
              <w:rPr>
                <w:color w:val="auto"/>
                <w:spacing w:val="-22"/>
                <w:highlight w:val="none"/>
              </w:rPr>
              <w:t xml:space="preserve"> </w:t>
            </w:r>
            <w:r>
              <w:rPr>
                <w:color w:val="auto"/>
                <w:spacing w:val="6"/>
                <w:highlight w:val="none"/>
              </w:rPr>
              <w:t>16</w:t>
            </w:r>
            <w:r>
              <w:rPr>
                <w:color w:val="auto"/>
                <w:spacing w:val="-35"/>
                <w:highlight w:val="none"/>
              </w:rPr>
              <w:t xml:space="preserve"> </w:t>
            </w:r>
            <w:r>
              <w:rPr>
                <w:color w:val="auto"/>
                <w:spacing w:val="6"/>
                <w:highlight w:val="none"/>
              </w:rPr>
              <w:t>号山水城市广</w:t>
            </w:r>
            <w:r>
              <w:rPr>
                <w:color w:val="auto"/>
                <w:highlight w:val="none"/>
              </w:rPr>
              <w:t xml:space="preserve"> </w:t>
            </w:r>
            <w:r>
              <w:rPr>
                <w:color w:val="auto"/>
                <w:spacing w:val="8"/>
                <w:highlight w:val="none"/>
              </w:rPr>
              <w:t>场一层商铺</w:t>
            </w:r>
          </w:p>
        </w:tc>
        <w:tc>
          <w:tcPr>
            <w:tcW w:w="2128" w:type="dxa"/>
            <w:vAlign w:val="top"/>
          </w:tcPr>
          <w:p w14:paraId="595318B4">
            <w:pPr>
              <w:pStyle w:val="15"/>
              <w:spacing w:before="260" w:line="190" w:lineRule="auto"/>
              <w:ind w:left="439"/>
              <w:rPr>
                <w:color w:val="auto"/>
                <w:highlight w:val="none"/>
              </w:rPr>
            </w:pPr>
            <w:r>
              <w:rPr>
                <w:color w:val="auto"/>
                <w:spacing w:val="4"/>
                <w:highlight w:val="none"/>
              </w:rPr>
              <w:t>0771-5025887</w:t>
            </w:r>
          </w:p>
        </w:tc>
      </w:tr>
      <w:tr w14:paraId="7E887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7667E67A">
            <w:pPr>
              <w:pStyle w:val="15"/>
              <w:spacing w:before="65" w:line="273" w:lineRule="auto"/>
              <w:ind w:left="117" w:right="254" w:hanging="2"/>
              <w:rPr>
                <w:color w:val="auto"/>
                <w:highlight w:val="none"/>
              </w:rPr>
            </w:pPr>
            <w:r>
              <w:rPr>
                <w:color w:val="auto"/>
                <w:spacing w:val="9"/>
                <w:highlight w:val="none"/>
              </w:rPr>
              <w:t>扶绥农商行三农零售与乡</w:t>
            </w:r>
            <w:r>
              <w:rPr>
                <w:color w:val="auto"/>
                <w:spacing w:val="2"/>
                <w:highlight w:val="none"/>
              </w:rPr>
              <w:t xml:space="preserve"> </w:t>
            </w:r>
            <w:r>
              <w:rPr>
                <w:color w:val="auto"/>
                <w:spacing w:val="8"/>
                <w:highlight w:val="none"/>
              </w:rPr>
              <w:t>村振兴金融部</w:t>
            </w:r>
          </w:p>
        </w:tc>
        <w:tc>
          <w:tcPr>
            <w:tcW w:w="3513" w:type="dxa"/>
            <w:vAlign w:val="top"/>
          </w:tcPr>
          <w:p w14:paraId="74B2EC3A">
            <w:pPr>
              <w:pStyle w:val="15"/>
              <w:spacing w:before="228" w:line="228" w:lineRule="auto"/>
              <w:ind w:left="111"/>
              <w:rPr>
                <w:color w:val="auto"/>
                <w:highlight w:val="none"/>
              </w:rPr>
            </w:pPr>
            <w:r>
              <w:rPr>
                <w:color w:val="auto"/>
                <w:spacing w:val="6"/>
                <w:highlight w:val="none"/>
              </w:rPr>
              <w:t>扶绥县新宁镇永宁路</w:t>
            </w:r>
            <w:r>
              <w:rPr>
                <w:color w:val="auto"/>
                <w:spacing w:val="-29"/>
                <w:highlight w:val="none"/>
              </w:rPr>
              <w:t xml:space="preserve"> </w:t>
            </w:r>
            <w:r>
              <w:rPr>
                <w:color w:val="auto"/>
                <w:spacing w:val="6"/>
                <w:highlight w:val="none"/>
              </w:rPr>
              <w:t>2-1</w:t>
            </w:r>
            <w:r>
              <w:rPr>
                <w:color w:val="auto"/>
                <w:spacing w:val="-35"/>
                <w:highlight w:val="none"/>
              </w:rPr>
              <w:t xml:space="preserve"> </w:t>
            </w:r>
            <w:r>
              <w:rPr>
                <w:color w:val="auto"/>
                <w:spacing w:val="6"/>
                <w:highlight w:val="none"/>
              </w:rPr>
              <w:t>号</w:t>
            </w:r>
          </w:p>
        </w:tc>
        <w:tc>
          <w:tcPr>
            <w:tcW w:w="2128" w:type="dxa"/>
            <w:vAlign w:val="top"/>
          </w:tcPr>
          <w:p w14:paraId="557FE00E">
            <w:pPr>
              <w:pStyle w:val="15"/>
              <w:spacing w:before="260" w:line="190" w:lineRule="auto"/>
              <w:ind w:left="439"/>
              <w:rPr>
                <w:color w:val="auto"/>
                <w:highlight w:val="none"/>
              </w:rPr>
            </w:pPr>
            <w:r>
              <w:rPr>
                <w:color w:val="auto"/>
                <w:spacing w:val="4"/>
                <w:highlight w:val="none"/>
              </w:rPr>
              <w:t>0771-7533041</w:t>
            </w:r>
          </w:p>
        </w:tc>
      </w:tr>
      <w:tr w14:paraId="6AFDD1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1758A773">
            <w:pPr>
              <w:pStyle w:val="15"/>
              <w:spacing w:before="65" w:line="273" w:lineRule="auto"/>
              <w:ind w:left="117" w:right="254" w:firstLine="18"/>
              <w:rPr>
                <w:color w:val="auto"/>
                <w:highlight w:val="none"/>
              </w:rPr>
            </w:pPr>
            <w:r>
              <w:rPr>
                <w:color w:val="auto"/>
                <w:spacing w:val="7"/>
                <w:highlight w:val="none"/>
              </w:rPr>
              <w:t>中国邮政储蓄银行扶绥县</w:t>
            </w:r>
            <w:r>
              <w:rPr>
                <w:color w:val="auto"/>
                <w:spacing w:val="3"/>
                <w:highlight w:val="none"/>
              </w:rPr>
              <w:t xml:space="preserve"> </w:t>
            </w:r>
            <w:r>
              <w:rPr>
                <w:color w:val="auto"/>
                <w:spacing w:val="4"/>
                <w:highlight w:val="none"/>
              </w:rPr>
              <w:t>支行</w:t>
            </w:r>
          </w:p>
        </w:tc>
        <w:tc>
          <w:tcPr>
            <w:tcW w:w="3513" w:type="dxa"/>
            <w:vAlign w:val="top"/>
          </w:tcPr>
          <w:p w14:paraId="423F353D">
            <w:pPr>
              <w:pStyle w:val="15"/>
              <w:spacing w:before="65" w:line="273" w:lineRule="auto"/>
              <w:ind w:left="113" w:right="256" w:hanging="2"/>
              <w:rPr>
                <w:color w:val="auto"/>
                <w:highlight w:val="none"/>
              </w:rPr>
            </w:pPr>
            <w:r>
              <w:rPr>
                <w:color w:val="auto"/>
                <w:spacing w:val="6"/>
                <w:highlight w:val="none"/>
              </w:rPr>
              <w:t>扶绥县松江路</w:t>
            </w:r>
            <w:r>
              <w:rPr>
                <w:color w:val="auto"/>
                <w:spacing w:val="-24"/>
                <w:highlight w:val="none"/>
              </w:rPr>
              <w:t xml:space="preserve"> </w:t>
            </w:r>
            <w:r>
              <w:rPr>
                <w:color w:val="auto"/>
                <w:spacing w:val="6"/>
                <w:highlight w:val="none"/>
              </w:rPr>
              <w:t>138</w:t>
            </w:r>
            <w:r>
              <w:rPr>
                <w:color w:val="auto"/>
                <w:spacing w:val="-33"/>
                <w:highlight w:val="none"/>
              </w:rPr>
              <w:t xml:space="preserve"> </w:t>
            </w:r>
            <w:r>
              <w:rPr>
                <w:color w:val="auto"/>
                <w:spacing w:val="6"/>
                <w:highlight w:val="none"/>
              </w:rPr>
              <w:t>号中国邮政储蓄</w:t>
            </w:r>
            <w:r>
              <w:rPr>
                <w:color w:val="auto"/>
                <w:highlight w:val="none"/>
              </w:rPr>
              <w:t xml:space="preserve"> </w:t>
            </w:r>
            <w:r>
              <w:rPr>
                <w:color w:val="auto"/>
                <w:spacing w:val="8"/>
                <w:highlight w:val="none"/>
              </w:rPr>
              <w:t>银行扶绥县支行</w:t>
            </w:r>
          </w:p>
        </w:tc>
        <w:tc>
          <w:tcPr>
            <w:tcW w:w="2128" w:type="dxa"/>
            <w:vAlign w:val="top"/>
          </w:tcPr>
          <w:p w14:paraId="26879BAF">
            <w:pPr>
              <w:pStyle w:val="15"/>
              <w:spacing w:before="97" w:line="190" w:lineRule="auto"/>
              <w:ind w:left="439"/>
              <w:rPr>
                <w:color w:val="auto"/>
                <w:highlight w:val="none"/>
              </w:rPr>
            </w:pPr>
            <w:r>
              <w:rPr>
                <w:color w:val="auto"/>
                <w:spacing w:val="4"/>
                <w:highlight w:val="none"/>
              </w:rPr>
              <w:t>0771-7536178</w:t>
            </w:r>
          </w:p>
          <w:p w14:paraId="05797D57">
            <w:pPr>
              <w:pStyle w:val="15"/>
              <w:spacing w:before="125" w:line="190" w:lineRule="auto"/>
              <w:ind w:left="439"/>
              <w:rPr>
                <w:color w:val="auto"/>
                <w:highlight w:val="none"/>
              </w:rPr>
            </w:pPr>
            <w:r>
              <w:rPr>
                <w:color w:val="auto"/>
                <w:spacing w:val="4"/>
                <w:highlight w:val="none"/>
              </w:rPr>
              <w:t>0771-7536177</w:t>
            </w:r>
          </w:p>
        </w:tc>
      </w:tr>
      <w:tr w14:paraId="6C00B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677" w:type="dxa"/>
            <w:vAlign w:val="top"/>
          </w:tcPr>
          <w:p w14:paraId="7B734BBC">
            <w:pPr>
              <w:pStyle w:val="15"/>
              <w:spacing w:before="68" w:line="228" w:lineRule="auto"/>
              <w:ind w:left="118"/>
              <w:rPr>
                <w:color w:val="auto"/>
                <w:highlight w:val="none"/>
              </w:rPr>
            </w:pPr>
            <w:r>
              <w:rPr>
                <w:color w:val="auto"/>
                <w:spacing w:val="8"/>
                <w:highlight w:val="none"/>
              </w:rPr>
              <w:t>桂林银行崇左扶绥支行</w:t>
            </w:r>
          </w:p>
        </w:tc>
        <w:tc>
          <w:tcPr>
            <w:tcW w:w="3513" w:type="dxa"/>
            <w:vAlign w:val="top"/>
          </w:tcPr>
          <w:p w14:paraId="74B067FC">
            <w:pPr>
              <w:pStyle w:val="15"/>
              <w:spacing w:before="68" w:line="228" w:lineRule="auto"/>
              <w:ind w:left="113"/>
              <w:rPr>
                <w:color w:val="auto"/>
                <w:highlight w:val="none"/>
              </w:rPr>
            </w:pPr>
            <w:r>
              <w:rPr>
                <w:color w:val="auto"/>
                <w:spacing w:val="8"/>
                <w:highlight w:val="none"/>
              </w:rPr>
              <w:t>广西崇左市扶绥县新宁镇松江路</w:t>
            </w:r>
            <w:r>
              <w:rPr>
                <w:color w:val="auto"/>
                <w:spacing w:val="-37"/>
                <w:highlight w:val="none"/>
              </w:rPr>
              <w:t xml:space="preserve"> </w:t>
            </w:r>
            <w:r>
              <w:rPr>
                <w:color w:val="auto"/>
                <w:spacing w:val="8"/>
                <w:highlight w:val="none"/>
              </w:rPr>
              <w:t>20</w:t>
            </w:r>
          </w:p>
        </w:tc>
        <w:tc>
          <w:tcPr>
            <w:tcW w:w="2128" w:type="dxa"/>
            <w:vAlign w:val="top"/>
          </w:tcPr>
          <w:p w14:paraId="78ED7868">
            <w:pPr>
              <w:pStyle w:val="15"/>
              <w:spacing w:before="100" w:line="190" w:lineRule="auto"/>
              <w:ind w:left="439"/>
              <w:rPr>
                <w:color w:val="auto"/>
                <w:highlight w:val="none"/>
              </w:rPr>
            </w:pPr>
            <w:r>
              <w:rPr>
                <w:color w:val="auto"/>
                <w:spacing w:val="4"/>
                <w:highlight w:val="none"/>
              </w:rPr>
              <w:t>0771-7661101</w:t>
            </w:r>
          </w:p>
        </w:tc>
      </w:tr>
    </w:tbl>
    <w:p w14:paraId="64EED15B">
      <w:pPr>
        <w:pStyle w:val="2"/>
        <w:rPr>
          <w:color w:val="auto"/>
          <w:highlight w:val="none"/>
        </w:rPr>
      </w:pPr>
    </w:p>
    <w:p w14:paraId="3E7601EF">
      <w:pPr>
        <w:rPr>
          <w:color w:val="auto"/>
          <w:highlight w:val="none"/>
        </w:rPr>
        <w:sectPr>
          <w:footerReference r:id="rId67" w:type="default"/>
          <w:pgSz w:w="11906" w:h="16839"/>
          <w:pgMar w:top="1371" w:right="1785" w:bottom="882" w:left="1162" w:header="0" w:footer="720" w:gutter="0"/>
          <w:pgNumType w:fmt="decimal"/>
          <w:cols w:space="720" w:num="1"/>
        </w:sectPr>
      </w:pPr>
    </w:p>
    <w:tbl>
      <w:tblPr>
        <w:tblStyle w:val="14"/>
        <w:tblW w:w="8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7"/>
        <w:gridCol w:w="3513"/>
        <w:gridCol w:w="2128"/>
      </w:tblGrid>
      <w:tr w14:paraId="69509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677" w:type="dxa"/>
            <w:vAlign w:val="top"/>
          </w:tcPr>
          <w:p w14:paraId="0463076A">
            <w:pPr>
              <w:rPr>
                <w:rFonts w:ascii="Arial"/>
                <w:color w:val="auto"/>
                <w:sz w:val="21"/>
                <w:highlight w:val="none"/>
              </w:rPr>
            </w:pPr>
          </w:p>
        </w:tc>
        <w:tc>
          <w:tcPr>
            <w:tcW w:w="3513" w:type="dxa"/>
            <w:vAlign w:val="top"/>
          </w:tcPr>
          <w:p w14:paraId="2CBC256C">
            <w:pPr>
              <w:pStyle w:val="15"/>
              <w:spacing w:before="64" w:line="228" w:lineRule="auto"/>
              <w:ind w:left="118"/>
              <w:rPr>
                <w:color w:val="auto"/>
                <w:highlight w:val="none"/>
              </w:rPr>
            </w:pPr>
            <w:r>
              <w:rPr>
                <w:color w:val="auto"/>
                <w:spacing w:val="8"/>
                <w:highlight w:val="none"/>
              </w:rPr>
              <w:t>号（桂林银行崇左扶绥支行）</w:t>
            </w:r>
          </w:p>
        </w:tc>
        <w:tc>
          <w:tcPr>
            <w:tcW w:w="2128" w:type="dxa"/>
            <w:vAlign w:val="top"/>
          </w:tcPr>
          <w:p w14:paraId="2F5E4F81">
            <w:pPr>
              <w:rPr>
                <w:rFonts w:ascii="Arial"/>
                <w:color w:val="auto"/>
                <w:sz w:val="21"/>
                <w:highlight w:val="none"/>
              </w:rPr>
            </w:pPr>
          </w:p>
        </w:tc>
      </w:tr>
      <w:tr w14:paraId="59861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 w:hRule="atLeast"/>
        </w:trPr>
        <w:tc>
          <w:tcPr>
            <w:tcW w:w="2677" w:type="dxa"/>
            <w:vAlign w:val="top"/>
          </w:tcPr>
          <w:p w14:paraId="55726ED9">
            <w:pPr>
              <w:pStyle w:val="15"/>
              <w:spacing w:before="227" w:line="291" w:lineRule="auto"/>
              <w:ind w:left="119" w:right="254" w:hanging="3"/>
              <w:rPr>
                <w:color w:val="auto"/>
                <w:highlight w:val="none"/>
              </w:rPr>
            </w:pPr>
            <w:r>
              <w:rPr>
                <w:color w:val="auto"/>
                <w:spacing w:val="9"/>
                <w:highlight w:val="none"/>
              </w:rPr>
              <w:t>广西北部湾银行扶绥县支</w:t>
            </w:r>
            <w:r>
              <w:rPr>
                <w:color w:val="auto"/>
                <w:highlight w:val="none"/>
              </w:rPr>
              <w:t xml:space="preserve"> 行</w:t>
            </w:r>
          </w:p>
        </w:tc>
        <w:tc>
          <w:tcPr>
            <w:tcW w:w="3513" w:type="dxa"/>
            <w:vAlign w:val="top"/>
          </w:tcPr>
          <w:p w14:paraId="7E321DF2">
            <w:pPr>
              <w:pStyle w:val="15"/>
              <w:spacing w:before="60" w:line="285" w:lineRule="auto"/>
              <w:ind w:left="116" w:right="150"/>
              <w:rPr>
                <w:color w:val="auto"/>
                <w:highlight w:val="none"/>
              </w:rPr>
            </w:pPr>
            <w:r>
              <w:rPr>
                <w:color w:val="auto"/>
                <w:spacing w:val="7"/>
                <w:highlight w:val="none"/>
              </w:rPr>
              <w:t>崇左市扶绥县新宁镇同正大道</w:t>
            </w:r>
            <w:r>
              <w:rPr>
                <w:color w:val="auto"/>
                <w:spacing w:val="-30"/>
                <w:highlight w:val="none"/>
              </w:rPr>
              <w:t xml:space="preserve"> </w:t>
            </w:r>
            <w:r>
              <w:rPr>
                <w:color w:val="auto"/>
                <w:spacing w:val="7"/>
                <w:highlight w:val="none"/>
              </w:rPr>
              <w:t>333</w:t>
            </w:r>
            <w:r>
              <w:rPr>
                <w:color w:val="auto"/>
                <w:highlight w:val="none"/>
              </w:rPr>
              <w:t xml:space="preserve">  </w:t>
            </w:r>
            <w:r>
              <w:rPr>
                <w:color w:val="auto"/>
                <w:spacing w:val="1"/>
                <w:highlight w:val="none"/>
              </w:rPr>
              <w:t>号碧园</w:t>
            </w:r>
            <w:r>
              <w:rPr>
                <w:color w:val="auto"/>
                <w:spacing w:val="-20"/>
                <w:highlight w:val="none"/>
              </w:rPr>
              <w:t xml:space="preserve"> </w:t>
            </w:r>
            <w:r>
              <w:rPr>
                <w:color w:val="auto"/>
                <w:spacing w:val="1"/>
                <w:highlight w:val="none"/>
              </w:rPr>
              <w:t>·未来城商业综合体</w:t>
            </w:r>
            <w:r>
              <w:rPr>
                <w:color w:val="auto"/>
                <w:spacing w:val="-24"/>
                <w:highlight w:val="none"/>
              </w:rPr>
              <w:t xml:space="preserve"> </w:t>
            </w:r>
            <w:r>
              <w:rPr>
                <w:color w:val="auto"/>
                <w:spacing w:val="1"/>
                <w:highlight w:val="none"/>
              </w:rPr>
              <w:t>13</w:t>
            </w:r>
            <w:r>
              <w:rPr>
                <w:color w:val="auto"/>
                <w:spacing w:val="-33"/>
                <w:highlight w:val="none"/>
              </w:rPr>
              <w:t xml:space="preserve"> </w:t>
            </w:r>
            <w:r>
              <w:rPr>
                <w:color w:val="auto"/>
                <w:spacing w:val="1"/>
                <w:highlight w:val="none"/>
              </w:rPr>
              <w:t>号楼</w:t>
            </w:r>
            <w:r>
              <w:rPr>
                <w:color w:val="auto"/>
                <w:highlight w:val="none"/>
              </w:rPr>
              <w:t xml:space="preserve"> </w:t>
            </w:r>
            <w:r>
              <w:rPr>
                <w:color w:val="auto"/>
                <w:spacing w:val="3"/>
                <w:highlight w:val="none"/>
              </w:rPr>
              <w:t>一楼</w:t>
            </w:r>
            <w:r>
              <w:rPr>
                <w:color w:val="auto"/>
                <w:spacing w:val="-16"/>
                <w:highlight w:val="none"/>
              </w:rPr>
              <w:t xml:space="preserve"> </w:t>
            </w:r>
            <w:r>
              <w:rPr>
                <w:color w:val="auto"/>
                <w:spacing w:val="3"/>
                <w:highlight w:val="none"/>
              </w:rPr>
              <w:t>1050、1051</w:t>
            </w:r>
            <w:r>
              <w:rPr>
                <w:color w:val="auto"/>
                <w:spacing w:val="-36"/>
                <w:highlight w:val="none"/>
              </w:rPr>
              <w:t xml:space="preserve"> </w:t>
            </w:r>
            <w:r>
              <w:rPr>
                <w:color w:val="auto"/>
                <w:spacing w:val="3"/>
                <w:highlight w:val="none"/>
              </w:rPr>
              <w:t>号商铺</w:t>
            </w:r>
          </w:p>
        </w:tc>
        <w:tc>
          <w:tcPr>
            <w:tcW w:w="2128" w:type="dxa"/>
            <w:vAlign w:val="top"/>
          </w:tcPr>
          <w:p w14:paraId="3FFBEF5D">
            <w:pPr>
              <w:spacing w:line="357" w:lineRule="auto"/>
              <w:rPr>
                <w:rFonts w:ascii="Arial"/>
                <w:color w:val="auto"/>
                <w:sz w:val="21"/>
                <w:highlight w:val="none"/>
              </w:rPr>
            </w:pPr>
          </w:p>
          <w:p w14:paraId="4901C154">
            <w:pPr>
              <w:pStyle w:val="15"/>
              <w:spacing w:before="65" w:line="190" w:lineRule="auto"/>
              <w:ind w:left="439"/>
              <w:rPr>
                <w:color w:val="auto"/>
                <w:highlight w:val="none"/>
              </w:rPr>
            </w:pPr>
            <w:r>
              <w:rPr>
                <w:color w:val="auto"/>
                <w:spacing w:val="4"/>
                <w:highlight w:val="none"/>
              </w:rPr>
              <w:t>0771-7500768</w:t>
            </w:r>
          </w:p>
        </w:tc>
      </w:tr>
      <w:tr w14:paraId="4C9B2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677" w:type="dxa"/>
            <w:vAlign w:val="top"/>
          </w:tcPr>
          <w:p w14:paraId="080C47C8">
            <w:pPr>
              <w:pStyle w:val="15"/>
              <w:spacing w:before="64" w:line="227" w:lineRule="auto"/>
              <w:ind w:left="115"/>
              <w:rPr>
                <w:color w:val="auto"/>
                <w:highlight w:val="none"/>
              </w:rPr>
            </w:pPr>
            <w:r>
              <w:rPr>
                <w:color w:val="auto"/>
                <w:spacing w:val="9"/>
                <w:highlight w:val="none"/>
              </w:rPr>
              <w:t>扶绥深通村镇银行业发部</w:t>
            </w:r>
          </w:p>
        </w:tc>
        <w:tc>
          <w:tcPr>
            <w:tcW w:w="3513" w:type="dxa"/>
            <w:vAlign w:val="top"/>
          </w:tcPr>
          <w:p w14:paraId="4138D9D2">
            <w:pPr>
              <w:pStyle w:val="15"/>
              <w:spacing w:before="64" w:line="228" w:lineRule="auto"/>
              <w:ind w:left="111"/>
              <w:rPr>
                <w:color w:val="auto"/>
                <w:highlight w:val="none"/>
              </w:rPr>
            </w:pPr>
            <w:r>
              <w:rPr>
                <w:color w:val="auto"/>
                <w:spacing w:val="5"/>
                <w:highlight w:val="none"/>
              </w:rPr>
              <w:t>扶绥县大景城</w:t>
            </w:r>
            <w:r>
              <w:rPr>
                <w:color w:val="auto"/>
                <w:spacing w:val="-17"/>
                <w:highlight w:val="none"/>
              </w:rPr>
              <w:t xml:space="preserve"> </w:t>
            </w:r>
            <w:r>
              <w:rPr>
                <w:color w:val="auto"/>
                <w:spacing w:val="5"/>
                <w:highlight w:val="none"/>
              </w:rPr>
              <w:t>1</w:t>
            </w:r>
            <w:r>
              <w:rPr>
                <w:color w:val="auto"/>
                <w:spacing w:val="-33"/>
                <w:highlight w:val="none"/>
              </w:rPr>
              <w:t xml:space="preserve"> </w:t>
            </w:r>
            <w:r>
              <w:rPr>
                <w:color w:val="auto"/>
                <w:spacing w:val="5"/>
                <w:highlight w:val="none"/>
              </w:rPr>
              <w:t>号楼正门旁</w:t>
            </w:r>
          </w:p>
        </w:tc>
        <w:tc>
          <w:tcPr>
            <w:tcW w:w="2128" w:type="dxa"/>
            <w:vAlign w:val="top"/>
          </w:tcPr>
          <w:p w14:paraId="628B924F">
            <w:pPr>
              <w:pStyle w:val="15"/>
              <w:spacing w:before="96" w:line="190" w:lineRule="auto"/>
              <w:ind w:left="439"/>
              <w:rPr>
                <w:color w:val="auto"/>
                <w:highlight w:val="none"/>
              </w:rPr>
            </w:pPr>
            <w:r>
              <w:rPr>
                <w:color w:val="auto"/>
                <w:spacing w:val="4"/>
                <w:highlight w:val="none"/>
              </w:rPr>
              <w:t>0771-7525678</w:t>
            </w:r>
          </w:p>
        </w:tc>
      </w:tr>
      <w:tr w14:paraId="61859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2677" w:type="dxa"/>
            <w:vAlign w:val="top"/>
          </w:tcPr>
          <w:p w14:paraId="14983CC1">
            <w:pPr>
              <w:pStyle w:val="15"/>
              <w:spacing w:before="130" w:line="228" w:lineRule="auto"/>
              <w:ind w:left="127"/>
              <w:rPr>
                <w:color w:val="auto"/>
                <w:highlight w:val="none"/>
              </w:rPr>
            </w:pPr>
            <w:r>
              <w:rPr>
                <w:b/>
                <w:bCs/>
                <w:color w:val="auto"/>
                <w:spacing w:val="2"/>
                <w:highlight w:val="none"/>
              </w:rPr>
              <w:t>宁明县</w:t>
            </w:r>
          </w:p>
        </w:tc>
        <w:tc>
          <w:tcPr>
            <w:tcW w:w="3513" w:type="dxa"/>
            <w:vAlign w:val="top"/>
          </w:tcPr>
          <w:p w14:paraId="1AD383CA">
            <w:pPr>
              <w:rPr>
                <w:rFonts w:ascii="Arial"/>
                <w:color w:val="auto"/>
                <w:sz w:val="21"/>
                <w:highlight w:val="none"/>
              </w:rPr>
            </w:pPr>
          </w:p>
        </w:tc>
        <w:tc>
          <w:tcPr>
            <w:tcW w:w="2128" w:type="dxa"/>
            <w:vAlign w:val="top"/>
          </w:tcPr>
          <w:p w14:paraId="7737573E">
            <w:pPr>
              <w:rPr>
                <w:rFonts w:ascii="Arial"/>
                <w:color w:val="auto"/>
                <w:sz w:val="21"/>
                <w:highlight w:val="none"/>
              </w:rPr>
            </w:pPr>
          </w:p>
        </w:tc>
      </w:tr>
      <w:tr w14:paraId="0A43F6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2677" w:type="dxa"/>
            <w:vAlign w:val="top"/>
          </w:tcPr>
          <w:p w14:paraId="1B011536">
            <w:pPr>
              <w:pStyle w:val="15"/>
              <w:spacing w:before="79" w:line="228" w:lineRule="auto"/>
              <w:ind w:left="119"/>
              <w:rPr>
                <w:color w:val="auto"/>
                <w:highlight w:val="none"/>
              </w:rPr>
            </w:pPr>
            <w:r>
              <w:rPr>
                <w:color w:val="auto"/>
                <w:spacing w:val="8"/>
                <w:highlight w:val="none"/>
              </w:rPr>
              <w:t>工商银行宁明县支行</w:t>
            </w:r>
          </w:p>
        </w:tc>
        <w:tc>
          <w:tcPr>
            <w:tcW w:w="3513" w:type="dxa"/>
            <w:vAlign w:val="top"/>
          </w:tcPr>
          <w:p w14:paraId="1FD6317A">
            <w:pPr>
              <w:pStyle w:val="15"/>
              <w:spacing w:before="79" w:line="228" w:lineRule="auto"/>
              <w:ind w:left="124"/>
              <w:rPr>
                <w:color w:val="auto"/>
                <w:highlight w:val="none"/>
              </w:rPr>
            </w:pPr>
            <w:r>
              <w:rPr>
                <w:color w:val="auto"/>
                <w:spacing w:val="5"/>
                <w:highlight w:val="none"/>
              </w:rPr>
              <w:t>宁明县城中镇兴远街</w:t>
            </w:r>
            <w:r>
              <w:rPr>
                <w:color w:val="auto"/>
                <w:spacing w:val="-29"/>
                <w:highlight w:val="none"/>
              </w:rPr>
              <w:t xml:space="preserve"> </w:t>
            </w:r>
            <w:r>
              <w:rPr>
                <w:color w:val="auto"/>
                <w:spacing w:val="5"/>
                <w:highlight w:val="none"/>
              </w:rPr>
              <w:t>70</w:t>
            </w:r>
            <w:r>
              <w:rPr>
                <w:color w:val="auto"/>
                <w:spacing w:val="-33"/>
                <w:highlight w:val="none"/>
              </w:rPr>
              <w:t xml:space="preserve"> </w:t>
            </w:r>
            <w:r>
              <w:rPr>
                <w:color w:val="auto"/>
                <w:spacing w:val="5"/>
                <w:highlight w:val="none"/>
              </w:rPr>
              <w:t>号</w:t>
            </w:r>
          </w:p>
        </w:tc>
        <w:tc>
          <w:tcPr>
            <w:tcW w:w="2128" w:type="dxa"/>
            <w:vAlign w:val="top"/>
          </w:tcPr>
          <w:p w14:paraId="7478FC5C">
            <w:pPr>
              <w:pStyle w:val="15"/>
              <w:spacing w:before="111" w:line="190" w:lineRule="auto"/>
              <w:ind w:left="439"/>
              <w:rPr>
                <w:color w:val="auto"/>
                <w:highlight w:val="none"/>
              </w:rPr>
            </w:pPr>
            <w:r>
              <w:rPr>
                <w:color w:val="auto"/>
                <w:spacing w:val="4"/>
                <w:highlight w:val="none"/>
              </w:rPr>
              <w:t>0771-8620729</w:t>
            </w:r>
          </w:p>
        </w:tc>
      </w:tr>
      <w:tr w14:paraId="18ED7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677" w:type="dxa"/>
            <w:vAlign w:val="top"/>
          </w:tcPr>
          <w:p w14:paraId="49CFA964">
            <w:pPr>
              <w:pStyle w:val="15"/>
              <w:spacing w:before="62" w:line="228" w:lineRule="auto"/>
              <w:ind w:left="116"/>
              <w:rPr>
                <w:color w:val="auto"/>
                <w:highlight w:val="none"/>
              </w:rPr>
            </w:pPr>
            <w:r>
              <w:rPr>
                <w:color w:val="auto"/>
                <w:spacing w:val="8"/>
                <w:highlight w:val="none"/>
              </w:rPr>
              <w:t>农业银行宁明县支行</w:t>
            </w:r>
          </w:p>
        </w:tc>
        <w:tc>
          <w:tcPr>
            <w:tcW w:w="3513" w:type="dxa"/>
            <w:vAlign w:val="top"/>
          </w:tcPr>
          <w:p w14:paraId="7A3CB293">
            <w:pPr>
              <w:pStyle w:val="15"/>
              <w:spacing w:before="62" w:line="228" w:lineRule="auto"/>
              <w:ind w:left="124"/>
              <w:rPr>
                <w:color w:val="auto"/>
                <w:highlight w:val="none"/>
              </w:rPr>
            </w:pPr>
            <w:r>
              <w:rPr>
                <w:color w:val="auto"/>
                <w:spacing w:val="4"/>
                <w:highlight w:val="none"/>
              </w:rPr>
              <w:t>宁明县城中镇明阳街</w:t>
            </w:r>
            <w:r>
              <w:rPr>
                <w:color w:val="auto"/>
                <w:spacing w:val="-17"/>
                <w:highlight w:val="none"/>
              </w:rPr>
              <w:t xml:space="preserve"> </w:t>
            </w:r>
            <w:r>
              <w:rPr>
                <w:color w:val="auto"/>
                <w:spacing w:val="4"/>
                <w:highlight w:val="none"/>
              </w:rPr>
              <w:t>11</w:t>
            </w:r>
            <w:r>
              <w:rPr>
                <w:color w:val="auto"/>
                <w:spacing w:val="-33"/>
                <w:highlight w:val="none"/>
              </w:rPr>
              <w:t xml:space="preserve"> </w:t>
            </w:r>
            <w:r>
              <w:rPr>
                <w:color w:val="auto"/>
                <w:spacing w:val="4"/>
                <w:highlight w:val="none"/>
              </w:rPr>
              <w:t>号</w:t>
            </w:r>
          </w:p>
        </w:tc>
        <w:tc>
          <w:tcPr>
            <w:tcW w:w="2128" w:type="dxa"/>
            <w:vAlign w:val="top"/>
          </w:tcPr>
          <w:p w14:paraId="0A0BEBDE">
            <w:pPr>
              <w:pStyle w:val="15"/>
              <w:spacing w:before="94" w:line="190" w:lineRule="auto"/>
              <w:ind w:left="439"/>
              <w:rPr>
                <w:color w:val="auto"/>
                <w:highlight w:val="none"/>
              </w:rPr>
            </w:pPr>
            <w:r>
              <w:rPr>
                <w:color w:val="auto"/>
                <w:spacing w:val="4"/>
                <w:highlight w:val="none"/>
              </w:rPr>
              <w:t>0771-7917093</w:t>
            </w:r>
          </w:p>
        </w:tc>
      </w:tr>
      <w:tr w14:paraId="21C26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2677" w:type="dxa"/>
            <w:vAlign w:val="top"/>
          </w:tcPr>
          <w:p w14:paraId="44DF76A3">
            <w:pPr>
              <w:pStyle w:val="15"/>
              <w:spacing w:before="270" w:line="228" w:lineRule="auto"/>
              <w:ind w:left="119"/>
              <w:rPr>
                <w:color w:val="auto"/>
                <w:highlight w:val="none"/>
              </w:rPr>
            </w:pPr>
            <w:r>
              <w:rPr>
                <w:color w:val="auto"/>
                <w:spacing w:val="7"/>
                <w:highlight w:val="none"/>
              </w:rPr>
              <w:t>建行宁明支行</w:t>
            </w:r>
          </w:p>
        </w:tc>
        <w:tc>
          <w:tcPr>
            <w:tcW w:w="3513" w:type="dxa"/>
            <w:vAlign w:val="top"/>
          </w:tcPr>
          <w:p w14:paraId="7D67616F">
            <w:pPr>
              <w:pStyle w:val="15"/>
              <w:spacing w:before="62" w:line="291" w:lineRule="auto"/>
              <w:ind w:left="124" w:right="150"/>
              <w:rPr>
                <w:color w:val="auto"/>
                <w:highlight w:val="none"/>
              </w:rPr>
            </w:pPr>
            <w:r>
              <w:rPr>
                <w:color w:val="auto"/>
                <w:spacing w:val="6"/>
                <w:highlight w:val="none"/>
              </w:rPr>
              <w:t>宁明县城中镇兴宁大道</w:t>
            </w:r>
            <w:r>
              <w:rPr>
                <w:color w:val="auto"/>
                <w:spacing w:val="-31"/>
                <w:highlight w:val="none"/>
              </w:rPr>
              <w:t xml:space="preserve"> </w:t>
            </w:r>
            <w:r>
              <w:rPr>
                <w:color w:val="auto"/>
                <w:spacing w:val="6"/>
                <w:highlight w:val="none"/>
              </w:rPr>
              <w:t>77</w:t>
            </w:r>
            <w:r>
              <w:rPr>
                <w:color w:val="auto"/>
                <w:spacing w:val="-33"/>
                <w:highlight w:val="none"/>
              </w:rPr>
              <w:t xml:space="preserve"> </w:t>
            </w:r>
            <w:r>
              <w:rPr>
                <w:color w:val="auto"/>
                <w:spacing w:val="6"/>
                <w:highlight w:val="none"/>
              </w:rPr>
              <w:t>号明江财</w:t>
            </w:r>
            <w:r>
              <w:rPr>
                <w:color w:val="auto"/>
                <w:highlight w:val="none"/>
              </w:rPr>
              <w:t xml:space="preserve"> </w:t>
            </w:r>
            <w:r>
              <w:rPr>
                <w:color w:val="auto"/>
                <w:spacing w:val="2"/>
                <w:highlight w:val="none"/>
              </w:rPr>
              <w:t>富广场一层</w:t>
            </w:r>
            <w:r>
              <w:rPr>
                <w:color w:val="auto"/>
                <w:spacing w:val="-17"/>
                <w:highlight w:val="none"/>
              </w:rPr>
              <w:t xml:space="preserve"> </w:t>
            </w:r>
            <w:r>
              <w:rPr>
                <w:color w:val="auto"/>
                <w:spacing w:val="2"/>
                <w:highlight w:val="none"/>
              </w:rPr>
              <w:t>1-13</w:t>
            </w:r>
            <w:r>
              <w:rPr>
                <w:color w:val="auto"/>
                <w:spacing w:val="-36"/>
                <w:highlight w:val="none"/>
              </w:rPr>
              <w:t xml:space="preserve"> </w:t>
            </w:r>
            <w:r>
              <w:rPr>
                <w:color w:val="auto"/>
                <w:spacing w:val="2"/>
                <w:highlight w:val="none"/>
              </w:rPr>
              <w:t>号</w:t>
            </w:r>
          </w:p>
        </w:tc>
        <w:tc>
          <w:tcPr>
            <w:tcW w:w="2128" w:type="dxa"/>
            <w:vAlign w:val="top"/>
          </w:tcPr>
          <w:p w14:paraId="718AF28F">
            <w:pPr>
              <w:pStyle w:val="15"/>
              <w:spacing w:before="302" w:line="190" w:lineRule="auto"/>
              <w:ind w:left="439"/>
              <w:rPr>
                <w:color w:val="auto"/>
                <w:highlight w:val="none"/>
              </w:rPr>
            </w:pPr>
            <w:r>
              <w:rPr>
                <w:color w:val="auto"/>
                <w:spacing w:val="4"/>
                <w:highlight w:val="none"/>
              </w:rPr>
              <w:t>0771-8629006</w:t>
            </w:r>
          </w:p>
        </w:tc>
      </w:tr>
      <w:tr w14:paraId="39F6E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677" w:type="dxa"/>
            <w:vAlign w:val="top"/>
          </w:tcPr>
          <w:p w14:paraId="11AE0AF4">
            <w:pPr>
              <w:pStyle w:val="15"/>
              <w:spacing w:before="62" w:line="274" w:lineRule="auto"/>
              <w:ind w:left="117" w:right="254" w:firstLine="9"/>
              <w:rPr>
                <w:color w:val="auto"/>
                <w:highlight w:val="none"/>
              </w:rPr>
            </w:pPr>
            <w:r>
              <w:rPr>
                <w:color w:val="auto"/>
                <w:spacing w:val="8"/>
                <w:highlight w:val="none"/>
              </w:rPr>
              <w:t>宁明农商行三农零售与乡</w:t>
            </w:r>
            <w:r>
              <w:rPr>
                <w:color w:val="auto"/>
                <w:spacing w:val="1"/>
                <w:highlight w:val="none"/>
              </w:rPr>
              <w:t xml:space="preserve"> </w:t>
            </w:r>
            <w:r>
              <w:rPr>
                <w:color w:val="auto"/>
                <w:spacing w:val="8"/>
                <w:highlight w:val="none"/>
              </w:rPr>
              <w:t>村振兴金融部</w:t>
            </w:r>
          </w:p>
        </w:tc>
        <w:tc>
          <w:tcPr>
            <w:tcW w:w="3513" w:type="dxa"/>
            <w:vAlign w:val="top"/>
          </w:tcPr>
          <w:p w14:paraId="0C298CAC">
            <w:pPr>
              <w:pStyle w:val="15"/>
              <w:spacing w:before="227" w:line="228" w:lineRule="auto"/>
              <w:ind w:left="124"/>
              <w:rPr>
                <w:color w:val="auto"/>
                <w:highlight w:val="none"/>
              </w:rPr>
            </w:pPr>
            <w:r>
              <w:rPr>
                <w:color w:val="auto"/>
                <w:spacing w:val="5"/>
                <w:highlight w:val="none"/>
              </w:rPr>
              <w:t>宁明县城中镇明阳街</w:t>
            </w:r>
            <w:r>
              <w:rPr>
                <w:color w:val="auto"/>
                <w:spacing w:val="-29"/>
                <w:highlight w:val="none"/>
              </w:rPr>
              <w:t xml:space="preserve"> </w:t>
            </w:r>
            <w:r>
              <w:rPr>
                <w:color w:val="auto"/>
                <w:spacing w:val="5"/>
                <w:highlight w:val="none"/>
              </w:rPr>
              <w:t>3</w:t>
            </w:r>
            <w:r>
              <w:rPr>
                <w:color w:val="auto"/>
                <w:spacing w:val="-33"/>
                <w:highlight w:val="none"/>
              </w:rPr>
              <w:t xml:space="preserve"> </w:t>
            </w:r>
            <w:r>
              <w:rPr>
                <w:color w:val="auto"/>
                <w:spacing w:val="5"/>
                <w:highlight w:val="none"/>
              </w:rPr>
              <w:t>号</w:t>
            </w:r>
          </w:p>
        </w:tc>
        <w:tc>
          <w:tcPr>
            <w:tcW w:w="2128" w:type="dxa"/>
            <w:vAlign w:val="top"/>
          </w:tcPr>
          <w:p w14:paraId="7ACAF7D0">
            <w:pPr>
              <w:pStyle w:val="15"/>
              <w:spacing w:before="259" w:line="190" w:lineRule="auto"/>
              <w:ind w:left="439"/>
              <w:rPr>
                <w:color w:val="auto"/>
                <w:highlight w:val="none"/>
              </w:rPr>
            </w:pPr>
            <w:r>
              <w:rPr>
                <w:color w:val="auto"/>
                <w:spacing w:val="4"/>
                <w:highlight w:val="none"/>
              </w:rPr>
              <w:t>0771-8628166</w:t>
            </w:r>
          </w:p>
        </w:tc>
      </w:tr>
      <w:tr w14:paraId="7AB7E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677" w:type="dxa"/>
            <w:vAlign w:val="top"/>
          </w:tcPr>
          <w:p w14:paraId="1789D4C5">
            <w:pPr>
              <w:pStyle w:val="15"/>
              <w:spacing w:before="118" w:line="228" w:lineRule="auto"/>
              <w:ind w:left="118"/>
              <w:rPr>
                <w:color w:val="auto"/>
                <w:highlight w:val="none"/>
              </w:rPr>
            </w:pPr>
            <w:r>
              <w:rPr>
                <w:color w:val="auto"/>
                <w:spacing w:val="8"/>
                <w:highlight w:val="none"/>
              </w:rPr>
              <w:t>桂林银行崇左宁明支行</w:t>
            </w:r>
          </w:p>
        </w:tc>
        <w:tc>
          <w:tcPr>
            <w:tcW w:w="3513" w:type="dxa"/>
            <w:vAlign w:val="top"/>
          </w:tcPr>
          <w:p w14:paraId="04450CF6">
            <w:pPr>
              <w:pStyle w:val="15"/>
              <w:spacing w:before="118" w:line="228" w:lineRule="auto"/>
              <w:ind w:left="124"/>
              <w:rPr>
                <w:color w:val="auto"/>
                <w:highlight w:val="none"/>
              </w:rPr>
            </w:pPr>
            <w:r>
              <w:rPr>
                <w:color w:val="auto"/>
                <w:spacing w:val="6"/>
                <w:highlight w:val="none"/>
              </w:rPr>
              <w:t>宁明县城中镇兴宁大道中</w:t>
            </w:r>
            <w:r>
              <w:rPr>
                <w:color w:val="auto"/>
                <w:spacing w:val="-33"/>
                <w:highlight w:val="none"/>
              </w:rPr>
              <w:t xml:space="preserve"> </w:t>
            </w:r>
            <w:r>
              <w:rPr>
                <w:color w:val="auto"/>
                <w:spacing w:val="6"/>
                <w:highlight w:val="none"/>
              </w:rPr>
              <w:t>70</w:t>
            </w:r>
            <w:r>
              <w:rPr>
                <w:color w:val="auto"/>
                <w:spacing w:val="-33"/>
                <w:highlight w:val="none"/>
              </w:rPr>
              <w:t xml:space="preserve"> </w:t>
            </w:r>
            <w:r>
              <w:rPr>
                <w:color w:val="auto"/>
                <w:spacing w:val="6"/>
                <w:highlight w:val="none"/>
              </w:rPr>
              <w:t>号</w:t>
            </w:r>
          </w:p>
        </w:tc>
        <w:tc>
          <w:tcPr>
            <w:tcW w:w="2128" w:type="dxa"/>
            <w:vAlign w:val="top"/>
          </w:tcPr>
          <w:p w14:paraId="77BF89E2">
            <w:pPr>
              <w:pStyle w:val="15"/>
              <w:spacing w:before="150" w:line="190" w:lineRule="auto"/>
              <w:ind w:left="439"/>
              <w:rPr>
                <w:color w:val="auto"/>
                <w:highlight w:val="none"/>
              </w:rPr>
            </w:pPr>
            <w:r>
              <w:rPr>
                <w:color w:val="auto"/>
                <w:spacing w:val="4"/>
                <w:highlight w:val="none"/>
              </w:rPr>
              <w:t>0771-8630787</w:t>
            </w:r>
          </w:p>
        </w:tc>
      </w:tr>
      <w:tr w14:paraId="61A4C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677" w:type="dxa"/>
            <w:vAlign w:val="top"/>
          </w:tcPr>
          <w:p w14:paraId="1301DD61">
            <w:pPr>
              <w:pStyle w:val="15"/>
              <w:spacing w:before="228" w:line="228" w:lineRule="auto"/>
              <w:ind w:left="116"/>
              <w:rPr>
                <w:color w:val="auto"/>
                <w:highlight w:val="none"/>
              </w:rPr>
            </w:pPr>
            <w:r>
              <w:rPr>
                <w:color w:val="auto"/>
                <w:spacing w:val="9"/>
                <w:highlight w:val="none"/>
              </w:rPr>
              <w:t>广西北部湾银行宁明支行</w:t>
            </w:r>
          </w:p>
        </w:tc>
        <w:tc>
          <w:tcPr>
            <w:tcW w:w="3513" w:type="dxa"/>
            <w:vAlign w:val="top"/>
          </w:tcPr>
          <w:p w14:paraId="1C49E42E">
            <w:pPr>
              <w:pStyle w:val="15"/>
              <w:spacing w:before="64" w:line="273" w:lineRule="auto"/>
              <w:ind w:left="117" w:right="202" w:hanging="1"/>
              <w:rPr>
                <w:color w:val="auto"/>
                <w:highlight w:val="none"/>
              </w:rPr>
            </w:pPr>
            <w:r>
              <w:rPr>
                <w:color w:val="auto"/>
                <w:spacing w:val="7"/>
                <w:highlight w:val="none"/>
              </w:rPr>
              <w:t>崇左市宁明县城中镇兴宁大道中</w:t>
            </w:r>
            <w:r>
              <w:rPr>
                <w:color w:val="auto"/>
                <w:spacing w:val="-25"/>
                <w:highlight w:val="none"/>
              </w:rPr>
              <w:t xml:space="preserve"> </w:t>
            </w:r>
            <w:r>
              <w:rPr>
                <w:color w:val="auto"/>
                <w:spacing w:val="7"/>
                <w:highlight w:val="none"/>
              </w:rPr>
              <w:t>79</w:t>
            </w:r>
            <w:r>
              <w:rPr>
                <w:color w:val="auto"/>
                <w:highlight w:val="none"/>
              </w:rPr>
              <w:t xml:space="preserve"> </w:t>
            </w:r>
            <w:r>
              <w:rPr>
                <w:color w:val="auto"/>
                <w:spacing w:val="5"/>
                <w:highlight w:val="none"/>
              </w:rPr>
              <w:t>号（明都大酒店）A</w:t>
            </w:r>
            <w:r>
              <w:rPr>
                <w:color w:val="auto"/>
                <w:spacing w:val="-33"/>
                <w:highlight w:val="none"/>
              </w:rPr>
              <w:t xml:space="preserve"> </w:t>
            </w:r>
            <w:r>
              <w:rPr>
                <w:color w:val="auto"/>
                <w:spacing w:val="5"/>
                <w:highlight w:val="none"/>
              </w:rPr>
              <w:t>幢楼</w:t>
            </w:r>
            <w:r>
              <w:rPr>
                <w:color w:val="auto"/>
                <w:spacing w:val="-22"/>
                <w:highlight w:val="none"/>
              </w:rPr>
              <w:t xml:space="preserve"> </w:t>
            </w:r>
            <w:r>
              <w:rPr>
                <w:color w:val="auto"/>
                <w:spacing w:val="5"/>
                <w:highlight w:val="none"/>
              </w:rPr>
              <w:t>1</w:t>
            </w:r>
            <w:r>
              <w:rPr>
                <w:color w:val="auto"/>
                <w:spacing w:val="-38"/>
                <w:highlight w:val="none"/>
              </w:rPr>
              <w:t xml:space="preserve"> </w:t>
            </w:r>
            <w:r>
              <w:rPr>
                <w:color w:val="auto"/>
                <w:spacing w:val="5"/>
                <w:highlight w:val="none"/>
              </w:rPr>
              <w:t>楼铺面</w:t>
            </w:r>
          </w:p>
        </w:tc>
        <w:tc>
          <w:tcPr>
            <w:tcW w:w="2128" w:type="dxa"/>
            <w:vAlign w:val="top"/>
          </w:tcPr>
          <w:p w14:paraId="5BE5AE88">
            <w:pPr>
              <w:pStyle w:val="15"/>
              <w:spacing w:before="260" w:line="190" w:lineRule="auto"/>
              <w:ind w:left="439"/>
              <w:rPr>
                <w:color w:val="auto"/>
                <w:highlight w:val="none"/>
              </w:rPr>
            </w:pPr>
            <w:r>
              <w:rPr>
                <w:color w:val="auto"/>
                <w:spacing w:val="4"/>
                <w:highlight w:val="none"/>
              </w:rPr>
              <w:t>0771-8622237</w:t>
            </w:r>
          </w:p>
        </w:tc>
      </w:tr>
      <w:tr w14:paraId="20216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8318" w:type="dxa"/>
            <w:gridSpan w:val="3"/>
            <w:vAlign w:val="top"/>
          </w:tcPr>
          <w:p w14:paraId="67E67375">
            <w:pPr>
              <w:pStyle w:val="15"/>
              <w:spacing w:before="88" w:line="228" w:lineRule="auto"/>
              <w:ind w:left="119"/>
              <w:rPr>
                <w:color w:val="auto"/>
                <w:highlight w:val="none"/>
              </w:rPr>
            </w:pPr>
            <w:r>
              <w:rPr>
                <w:b/>
                <w:bCs/>
                <w:color w:val="auto"/>
                <w:spacing w:val="4"/>
                <w:highlight w:val="none"/>
              </w:rPr>
              <w:t>大新县</w:t>
            </w:r>
          </w:p>
        </w:tc>
      </w:tr>
      <w:tr w14:paraId="539BF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677" w:type="dxa"/>
            <w:vAlign w:val="top"/>
          </w:tcPr>
          <w:p w14:paraId="56545E9E">
            <w:pPr>
              <w:pStyle w:val="15"/>
              <w:spacing w:before="95" w:line="228" w:lineRule="auto"/>
              <w:ind w:left="119"/>
              <w:rPr>
                <w:color w:val="auto"/>
                <w:highlight w:val="none"/>
              </w:rPr>
            </w:pPr>
            <w:r>
              <w:rPr>
                <w:color w:val="auto"/>
                <w:spacing w:val="8"/>
                <w:highlight w:val="none"/>
              </w:rPr>
              <w:t>工商银行大新县支行</w:t>
            </w:r>
          </w:p>
        </w:tc>
        <w:tc>
          <w:tcPr>
            <w:tcW w:w="3513" w:type="dxa"/>
            <w:vAlign w:val="top"/>
          </w:tcPr>
          <w:p w14:paraId="60B83E52">
            <w:pPr>
              <w:pStyle w:val="15"/>
              <w:spacing w:before="94" w:line="228" w:lineRule="auto"/>
              <w:ind w:left="115"/>
              <w:rPr>
                <w:color w:val="auto"/>
                <w:highlight w:val="none"/>
              </w:rPr>
            </w:pPr>
            <w:r>
              <w:rPr>
                <w:color w:val="auto"/>
                <w:spacing w:val="6"/>
                <w:highlight w:val="none"/>
              </w:rPr>
              <w:t>大新县桃城镇民生街</w:t>
            </w:r>
            <w:r>
              <w:rPr>
                <w:color w:val="auto"/>
                <w:spacing w:val="-32"/>
                <w:highlight w:val="none"/>
              </w:rPr>
              <w:t xml:space="preserve"> </w:t>
            </w:r>
            <w:r>
              <w:rPr>
                <w:color w:val="auto"/>
                <w:spacing w:val="6"/>
                <w:highlight w:val="none"/>
              </w:rPr>
              <w:t>98</w:t>
            </w:r>
            <w:r>
              <w:rPr>
                <w:color w:val="auto"/>
                <w:spacing w:val="-33"/>
                <w:highlight w:val="none"/>
              </w:rPr>
              <w:t xml:space="preserve"> </w:t>
            </w:r>
            <w:r>
              <w:rPr>
                <w:color w:val="auto"/>
                <w:spacing w:val="6"/>
                <w:highlight w:val="none"/>
              </w:rPr>
              <w:t>号</w:t>
            </w:r>
          </w:p>
        </w:tc>
        <w:tc>
          <w:tcPr>
            <w:tcW w:w="2128" w:type="dxa"/>
            <w:vAlign w:val="top"/>
          </w:tcPr>
          <w:p w14:paraId="0ED7F058">
            <w:pPr>
              <w:pStyle w:val="15"/>
              <w:spacing w:before="126" w:line="190" w:lineRule="auto"/>
              <w:ind w:left="439"/>
              <w:rPr>
                <w:color w:val="auto"/>
                <w:highlight w:val="none"/>
              </w:rPr>
            </w:pPr>
            <w:r>
              <w:rPr>
                <w:color w:val="auto"/>
                <w:spacing w:val="4"/>
                <w:highlight w:val="none"/>
              </w:rPr>
              <w:t>0771-3628078</w:t>
            </w:r>
          </w:p>
        </w:tc>
      </w:tr>
      <w:tr w14:paraId="58AE4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677" w:type="dxa"/>
            <w:vAlign w:val="top"/>
          </w:tcPr>
          <w:p w14:paraId="59CE9EFA">
            <w:pPr>
              <w:pStyle w:val="15"/>
              <w:spacing w:before="128" w:line="228" w:lineRule="auto"/>
              <w:ind w:left="116"/>
              <w:rPr>
                <w:color w:val="auto"/>
                <w:highlight w:val="none"/>
              </w:rPr>
            </w:pPr>
            <w:r>
              <w:rPr>
                <w:color w:val="auto"/>
                <w:spacing w:val="8"/>
                <w:highlight w:val="none"/>
              </w:rPr>
              <w:t>农业银行大新县支行</w:t>
            </w:r>
          </w:p>
        </w:tc>
        <w:tc>
          <w:tcPr>
            <w:tcW w:w="3513" w:type="dxa"/>
            <w:vAlign w:val="top"/>
          </w:tcPr>
          <w:p w14:paraId="757F2281">
            <w:pPr>
              <w:pStyle w:val="15"/>
              <w:spacing w:before="127" w:line="228" w:lineRule="auto"/>
              <w:ind w:left="115"/>
              <w:rPr>
                <w:color w:val="auto"/>
                <w:highlight w:val="none"/>
              </w:rPr>
            </w:pPr>
            <w:r>
              <w:rPr>
                <w:color w:val="auto"/>
                <w:spacing w:val="6"/>
                <w:highlight w:val="none"/>
              </w:rPr>
              <w:t>大新县桃城镇伦理路</w:t>
            </w:r>
            <w:r>
              <w:rPr>
                <w:color w:val="auto"/>
                <w:spacing w:val="-33"/>
                <w:highlight w:val="none"/>
              </w:rPr>
              <w:t xml:space="preserve"> </w:t>
            </w:r>
            <w:r>
              <w:rPr>
                <w:color w:val="auto"/>
                <w:spacing w:val="6"/>
                <w:highlight w:val="none"/>
              </w:rPr>
              <w:t>223</w:t>
            </w:r>
            <w:r>
              <w:rPr>
                <w:color w:val="auto"/>
                <w:spacing w:val="-35"/>
                <w:highlight w:val="none"/>
              </w:rPr>
              <w:t xml:space="preserve"> </w:t>
            </w:r>
            <w:r>
              <w:rPr>
                <w:color w:val="auto"/>
                <w:spacing w:val="6"/>
                <w:highlight w:val="none"/>
              </w:rPr>
              <w:t>号</w:t>
            </w:r>
          </w:p>
        </w:tc>
        <w:tc>
          <w:tcPr>
            <w:tcW w:w="2128" w:type="dxa"/>
            <w:vAlign w:val="top"/>
          </w:tcPr>
          <w:p w14:paraId="61A19E53">
            <w:pPr>
              <w:pStyle w:val="15"/>
              <w:spacing w:before="159" w:line="190" w:lineRule="auto"/>
              <w:ind w:left="439"/>
              <w:rPr>
                <w:color w:val="auto"/>
                <w:highlight w:val="none"/>
              </w:rPr>
            </w:pPr>
            <w:r>
              <w:rPr>
                <w:color w:val="auto"/>
                <w:spacing w:val="4"/>
                <w:highlight w:val="none"/>
              </w:rPr>
              <w:t>0771-7917015</w:t>
            </w:r>
          </w:p>
        </w:tc>
      </w:tr>
      <w:tr w14:paraId="2E63E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677" w:type="dxa"/>
            <w:vAlign w:val="top"/>
          </w:tcPr>
          <w:p w14:paraId="4D97AB4A">
            <w:pPr>
              <w:pStyle w:val="15"/>
              <w:spacing w:before="111" w:line="228" w:lineRule="auto"/>
              <w:ind w:left="119"/>
              <w:rPr>
                <w:color w:val="auto"/>
                <w:highlight w:val="none"/>
              </w:rPr>
            </w:pPr>
            <w:r>
              <w:rPr>
                <w:color w:val="auto"/>
                <w:spacing w:val="7"/>
                <w:highlight w:val="none"/>
              </w:rPr>
              <w:t>建行大新支行</w:t>
            </w:r>
          </w:p>
        </w:tc>
        <w:tc>
          <w:tcPr>
            <w:tcW w:w="3513" w:type="dxa"/>
            <w:vAlign w:val="top"/>
          </w:tcPr>
          <w:p w14:paraId="0FB182BC">
            <w:pPr>
              <w:pStyle w:val="15"/>
              <w:spacing w:before="110" w:line="228" w:lineRule="auto"/>
              <w:ind w:left="115"/>
              <w:rPr>
                <w:color w:val="auto"/>
                <w:highlight w:val="none"/>
              </w:rPr>
            </w:pPr>
            <w:r>
              <w:rPr>
                <w:color w:val="auto"/>
                <w:spacing w:val="4"/>
                <w:highlight w:val="none"/>
              </w:rPr>
              <w:t>大新县民生街</w:t>
            </w:r>
            <w:r>
              <w:rPr>
                <w:color w:val="auto"/>
                <w:spacing w:val="-29"/>
                <w:highlight w:val="none"/>
              </w:rPr>
              <w:t xml:space="preserve"> </w:t>
            </w:r>
            <w:r>
              <w:rPr>
                <w:color w:val="auto"/>
                <w:spacing w:val="4"/>
                <w:highlight w:val="none"/>
              </w:rPr>
              <w:t>7</w:t>
            </w:r>
            <w:r>
              <w:rPr>
                <w:color w:val="auto"/>
                <w:spacing w:val="-33"/>
                <w:highlight w:val="none"/>
              </w:rPr>
              <w:t xml:space="preserve"> </w:t>
            </w:r>
            <w:r>
              <w:rPr>
                <w:color w:val="auto"/>
                <w:spacing w:val="4"/>
                <w:highlight w:val="none"/>
              </w:rPr>
              <w:t>号</w:t>
            </w:r>
          </w:p>
        </w:tc>
        <w:tc>
          <w:tcPr>
            <w:tcW w:w="2128" w:type="dxa"/>
            <w:vAlign w:val="top"/>
          </w:tcPr>
          <w:p w14:paraId="7081B41D">
            <w:pPr>
              <w:pStyle w:val="15"/>
              <w:spacing w:before="142" w:line="190" w:lineRule="auto"/>
              <w:ind w:left="439"/>
              <w:rPr>
                <w:color w:val="auto"/>
                <w:highlight w:val="none"/>
              </w:rPr>
            </w:pPr>
            <w:r>
              <w:rPr>
                <w:color w:val="auto"/>
                <w:spacing w:val="4"/>
                <w:highlight w:val="none"/>
              </w:rPr>
              <w:t>0771-3689766</w:t>
            </w:r>
          </w:p>
        </w:tc>
      </w:tr>
      <w:tr w14:paraId="33EDB1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0421F2C9">
            <w:pPr>
              <w:pStyle w:val="15"/>
              <w:spacing w:before="65" w:line="273" w:lineRule="auto"/>
              <w:ind w:left="117" w:right="254" w:firstLine="1"/>
              <w:rPr>
                <w:color w:val="auto"/>
                <w:highlight w:val="none"/>
              </w:rPr>
            </w:pPr>
            <w:r>
              <w:rPr>
                <w:color w:val="auto"/>
                <w:spacing w:val="8"/>
                <w:highlight w:val="none"/>
              </w:rPr>
              <w:t>大新农商行三农零售与乡</w:t>
            </w:r>
            <w:r>
              <w:rPr>
                <w:color w:val="auto"/>
                <w:spacing w:val="9"/>
                <w:highlight w:val="none"/>
              </w:rPr>
              <w:t xml:space="preserve"> </w:t>
            </w:r>
            <w:r>
              <w:rPr>
                <w:color w:val="auto"/>
                <w:spacing w:val="8"/>
                <w:highlight w:val="none"/>
              </w:rPr>
              <w:t>村振兴金融部</w:t>
            </w:r>
          </w:p>
        </w:tc>
        <w:tc>
          <w:tcPr>
            <w:tcW w:w="3513" w:type="dxa"/>
            <w:vAlign w:val="top"/>
          </w:tcPr>
          <w:p w14:paraId="7EEDA7EE">
            <w:pPr>
              <w:pStyle w:val="15"/>
              <w:spacing w:before="230" w:line="228" w:lineRule="auto"/>
              <w:ind w:left="115"/>
              <w:rPr>
                <w:color w:val="auto"/>
                <w:highlight w:val="none"/>
              </w:rPr>
            </w:pPr>
            <w:r>
              <w:rPr>
                <w:color w:val="auto"/>
                <w:spacing w:val="4"/>
                <w:highlight w:val="none"/>
              </w:rPr>
              <w:t>大新县城养利路</w:t>
            </w:r>
            <w:r>
              <w:rPr>
                <w:color w:val="auto"/>
                <w:spacing w:val="-19"/>
                <w:highlight w:val="none"/>
              </w:rPr>
              <w:t xml:space="preserve"> </w:t>
            </w:r>
            <w:r>
              <w:rPr>
                <w:color w:val="auto"/>
                <w:spacing w:val="4"/>
                <w:highlight w:val="none"/>
              </w:rPr>
              <w:t>131</w:t>
            </w:r>
            <w:r>
              <w:rPr>
                <w:color w:val="auto"/>
                <w:spacing w:val="-35"/>
                <w:highlight w:val="none"/>
              </w:rPr>
              <w:t xml:space="preserve"> </w:t>
            </w:r>
            <w:r>
              <w:rPr>
                <w:color w:val="auto"/>
                <w:spacing w:val="4"/>
                <w:highlight w:val="none"/>
              </w:rPr>
              <w:t>号</w:t>
            </w:r>
          </w:p>
        </w:tc>
        <w:tc>
          <w:tcPr>
            <w:tcW w:w="2128" w:type="dxa"/>
            <w:vAlign w:val="top"/>
          </w:tcPr>
          <w:p w14:paraId="750A39CE">
            <w:pPr>
              <w:pStyle w:val="15"/>
              <w:spacing w:before="262" w:line="190" w:lineRule="auto"/>
              <w:ind w:left="439"/>
              <w:rPr>
                <w:color w:val="auto"/>
                <w:highlight w:val="none"/>
              </w:rPr>
            </w:pPr>
            <w:r>
              <w:rPr>
                <w:color w:val="auto"/>
                <w:spacing w:val="4"/>
                <w:highlight w:val="none"/>
              </w:rPr>
              <w:t>0771-3623887</w:t>
            </w:r>
          </w:p>
        </w:tc>
      </w:tr>
      <w:tr w14:paraId="1C78E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6CEAC160">
            <w:pPr>
              <w:pStyle w:val="15"/>
              <w:spacing w:before="230" w:line="228" w:lineRule="auto"/>
              <w:ind w:left="118"/>
              <w:rPr>
                <w:color w:val="auto"/>
                <w:highlight w:val="none"/>
              </w:rPr>
            </w:pPr>
            <w:r>
              <w:rPr>
                <w:color w:val="auto"/>
                <w:spacing w:val="8"/>
                <w:highlight w:val="none"/>
              </w:rPr>
              <w:t>桂林银行崇左大新支行</w:t>
            </w:r>
          </w:p>
        </w:tc>
        <w:tc>
          <w:tcPr>
            <w:tcW w:w="3513" w:type="dxa"/>
            <w:vAlign w:val="top"/>
          </w:tcPr>
          <w:p w14:paraId="64787B59">
            <w:pPr>
              <w:pStyle w:val="15"/>
              <w:spacing w:before="65" w:line="273" w:lineRule="auto"/>
              <w:ind w:left="113" w:right="256" w:firstLine="3"/>
              <w:rPr>
                <w:color w:val="auto"/>
                <w:highlight w:val="none"/>
              </w:rPr>
            </w:pPr>
            <w:r>
              <w:rPr>
                <w:color w:val="auto"/>
                <w:spacing w:val="6"/>
                <w:highlight w:val="none"/>
              </w:rPr>
              <w:t>崇左市大新县桃城镇民生街</w:t>
            </w:r>
            <w:r>
              <w:rPr>
                <w:color w:val="auto"/>
                <w:spacing w:val="-23"/>
                <w:highlight w:val="none"/>
              </w:rPr>
              <w:t xml:space="preserve"> </w:t>
            </w:r>
            <w:r>
              <w:rPr>
                <w:color w:val="auto"/>
                <w:spacing w:val="6"/>
                <w:highlight w:val="none"/>
              </w:rPr>
              <w:t>7</w:t>
            </w:r>
            <w:r>
              <w:rPr>
                <w:color w:val="auto"/>
                <w:spacing w:val="-33"/>
                <w:highlight w:val="none"/>
              </w:rPr>
              <w:t xml:space="preserve"> </w:t>
            </w:r>
            <w:r>
              <w:rPr>
                <w:color w:val="auto"/>
                <w:spacing w:val="6"/>
                <w:highlight w:val="none"/>
              </w:rPr>
              <w:t>号东</w:t>
            </w:r>
            <w:r>
              <w:rPr>
                <w:color w:val="auto"/>
                <w:highlight w:val="none"/>
              </w:rPr>
              <w:t xml:space="preserve"> </w:t>
            </w:r>
            <w:r>
              <w:rPr>
                <w:color w:val="auto"/>
                <w:spacing w:val="5"/>
                <w:highlight w:val="none"/>
              </w:rPr>
              <w:t>盟商业广场</w:t>
            </w:r>
            <w:r>
              <w:rPr>
                <w:color w:val="auto"/>
                <w:spacing w:val="-17"/>
                <w:highlight w:val="none"/>
              </w:rPr>
              <w:t xml:space="preserve"> </w:t>
            </w:r>
            <w:r>
              <w:rPr>
                <w:color w:val="auto"/>
                <w:spacing w:val="5"/>
                <w:highlight w:val="none"/>
              </w:rPr>
              <w:t>1</w:t>
            </w:r>
            <w:r>
              <w:rPr>
                <w:color w:val="auto"/>
                <w:spacing w:val="-39"/>
                <w:highlight w:val="none"/>
              </w:rPr>
              <w:t xml:space="preserve"> </w:t>
            </w:r>
            <w:r>
              <w:rPr>
                <w:color w:val="auto"/>
                <w:spacing w:val="5"/>
                <w:highlight w:val="none"/>
              </w:rPr>
              <w:t>楼桂林银行</w:t>
            </w:r>
          </w:p>
        </w:tc>
        <w:tc>
          <w:tcPr>
            <w:tcW w:w="2128" w:type="dxa"/>
            <w:vAlign w:val="top"/>
          </w:tcPr>
          <w:p w14:paraId="6F725DE1">
            <w:pPr>
              <w:pStyle w:val="15"/>
              <w:spacing w:before="262" w:line="190" w:lineRule="auto"/>
              <w:ind w:left="439"/>
              <w:rPr>
                <w:color w:val="auto"/>
                <w:highlight w:val="none"/>
              </w:rPr>
            </w:pPr>
            <w:r>
              <w:rPr>
                <w:color w:val="auto"/>
                <w:spacing w:val="4"/>
                <w:highlight w:val="none"/>
              </w:rPr>
              <w:t>0771-3621996</w:t>
            </w:r>
          </w:p>
        </w:tc>
      </w:tr>
      <w:tr w14:paraId="6CAE8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1B19A732">
            <w:pPr>
              <w:pStyle w:val="15"/>
              <w:spacing w:before="230" w:line="228" w:lineRule="auto"/>
              <w:ind w:left="116"/>
              <w:rPr>
                <w:color w:val="auto"/>
                <w:highlight w:val="none"/>
              </w:rPr>
            </w:pPr>
            <w:r>
              <w:rPr>
                <w:color w:val="auto"/>
                <w:spacing w:val="9"/>
                <w:highlight w:val="none"/>
              </w:rPr>
              <w:t>广西北部湾银行大新支行</w:t>
            </w:r>
          </w:p>
        </w:tc>
        <w:tc>
          <w:tcPr>
            <w:tcW w:w="3513" w:type="dxa"/>
            <w:vAlign w:val="top"/>
          </w:tcPr>
          <w:p w14:paraId="0D142D56">
            <w:pPr>
              <w:pStyle w:val="15"/>
              <w:spacing w:before="65" w:line="273" w:lineRule="auto"/>
              <w:ind w:left="112" w:right="106" w:firstLine="4"/>
              <w:rPr>
                <w:color w:val="auto"/>
                <w:highlight w:val="none"/>
              </w:rPr>
            </w:pPr>
            <w:r>
              <w:rPr>
                <w:color w:val="auto"/>
                <w:spacing w:val="5"/>
                <w:highlight w:val="none"/>
              </w:rPr>
              <w:t>崇左市大新县桃城镇伦理路</w:t>
            </w:r>
            <w:r>
              <w:rPr>
                <w:color w:val="auto"/>
                <w:spacing w:val="-38"/>
                <w:highlight w:val="none"/>
              </w:rPr>
              <w:t xml:space="preserve"> </w:t>
            </w:r>
            <w:r>
              <w:rPr>
                <w:color w:val="auto"/>
                <w:spacing w:val="5"/>
                <w:highlight w:val="none"/>
              </w:rPr>
              <w:t>230</w:t>
            </w:r>
            <w:r>
              <w:rPr>
                <w:color w:val="auto"/>
                <w:spacing w:val="-37"/>
                <w:highlight w:val="none"/>
              </w:rPr>
              <w:t xml:space="preserve"> </w:t>
            </w:r>
            <w:r>
              <w:rPr>
                <w:color w:val="auto"/>
                <w:spacing w:val="5"/>
                <w:highlight w:val="none"/>
              </w:rPr>
              <w:t>号</w:t>
            </w:r>
            <w:r>
              <w:rPr>
                <w:color w:val="auto"/>
                <w:spacing w:val="-26"/>
                <w:highlight w:val="none"/>
              </w:rPr>
              <w:t xml:space="preserve"> </w:t>
            </w:r>
            <w:r>
              <w:rPr>
                <w:color w:val="auto"/>
                <w:spacing w:val="5"/>
                <w:highlight w:val="none"/>
              </w:rPr>
              <w:t>1</w:t>
            </w:r>
            <w:r>
              <w:rPr>
                <w:color w:val="auto"/>
                <w:highlight w:val="none"/>
              </w:rPr>
              <w:t xml:space="preserve"> </w:t>
            </w:r>
            <w:r>
              <w:rPr>
                <w:color w:val="auto"/>
                <w:spacing w:val="7"/>
                <w:highlight w:val="none"/>
              </w:rPr>
              <w:t>楼铺面</w:t>
            </w:r>
          </w:p>
        </w:tc>
        <w:tc>
          <w:tcPr>
            <w:tcW w:w="2128" w:type="dxa"/>
            <w:vAlign w:val="top"/>
          </w:tcPr>
          <w:p w14:paraId="19AB0F29">
            <w:pPr>
              <w:pStyle w:val="15"/>
              <w:spacing w:before="262" w:line="190" w:lineRule="auto"/>
              <w:ind w:left="439"/>
              <w:rPr>
                <w:color w:val="auto"/>
                <w:highlight w:val="none"/>
              </w:rPr>
            </w:pPr>
            <w:r>
              <w:rPr>
                <w:color w:val="auto"/>
                <w:spacing w:val="4"/>
                <w:highlight w:val="none"/>
              </w:rPr>
              <w:t>0771-3628366</w:t>
            </w:r>
          </w:p>
        </w:tc>
      </w:tr>
      <w:tr w14:paraId="5EA4C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0C596734">
            <w:pPr>
              <w:pStyle w:val="15"/>
              <w:spacing w:before="65" w:line="273" w:lineRule="auto"/>
              <w:ind w:left="115" w:right="254" w:firstLine="4"/>
              <w:rPr>
                <w:color w:val="auto"/>
                <w:highlight w:val="none"/>
              </w:rPr>
            </w:pPr>
            <w:r>
              <w:rPr>
                <w:color w:val="auto"/>
                <w:spacing w:val="8"/>
                <w:highlight w:val="none"/>
              </w:rPr>
              <w:t xml:space="preserve">崇左大新长江村镇银行营 </w:t>
            </w:r>
            <w:r>
              <w:rPr>
                <w:color w:val="auto"/>
                <w:spacing w:val="5"/>
                <w:highlight w:val="none"/>
              </w:rPr>
              <w:t>业部</w:t>
            </w:r>
          </w:p>
        </w:tc>
        <w:tc>
          <w:tcPr>
            <w:tcW w:w="3513" w:type="dxa"/>
            <w:vAlign w:val="top"/>
          </w:tcPr>
          <w:p w14:paraId="18CAFFB0">
            <w:pPr>
              <w:pStyle w:val="15"/>
              <w:spacing w:before="230" w:line="228" w:lineRule="auto"/>
              <w:ind w:left="115"/>
              <w:rPr>
                <w:color w:val="auto"/>
                <w:highlight w:val="none"/>
              </w:rPr>
            </w:pPr>
            <w:r>
              <w:rPr>
                <w:color w:val="auto"/>
                <w:spacing w:val="6"/>
                <w:highlight w:val="none"/>
              </w:rPr>
              <w:t>大新县桃城镇德天大道</w:t>
            </w:r>
            <w:r>
              <w:rPr>
                <w:color w:val="auto"/>
                <w:spacing w:val="-30"/>
                <w:highlight w:val="none"/>
              </w:rPr>
              <w:t xml:space="preserve"> </w:t>
            </w:r>
            <w:r>
              <w:rPr>
                <w:color w:val="auto"/>
                <w:spacing w:val="6"/>
                <w:highlight w:val="none"/>
              </w:rPr>
              <w:t>74-1</w:t>
            </w:r>
            <w:r>
              <w:rPr>
                <w:color w:val="auto"/>
                <w:spacing w:val="-33"/>
                <w:highlight w:val="none"/>
              </w:rPr>
              <w:t xml:space="preserve"> </w:t>
            </w:r>
            <w:r>
              <w:rPr>
                <w:color w:val="auto"/>
                <w:spacing w:val="6"/>
                <w:highlight w:val="none"/>
              </w:rPr>
              <w:t>号</w:t>
            </w:r>
          </w:p>
        </w:tc>
        <w:tc>
          <w:tcPr>
            <w:tcW w:w="2128" w:type="dxa"/>
            <w:vAlign w:val="top"/>
          </w:tcPr>
          <w:p w14:paraId="0979B326">
            <w:pPr>
              <w:pStyle w:val="15"/>
              <w:spacing w:before="262" w:line="190" w:lineRule="auto"/>
              <w:ind w:left="439"/>
              <w:rPr>
                <w:color w:val="auto"/>
                <w:highlight w:val="none"/>
              </w:rPr>
            </w:pPr>
            <w:r>
              <w:rPr>
                <w:color w:val="auto"/>
                <w:spacing w:val="4"/>
                <w:highlight w:val="none"/>
              </w:rPr>
              <w:t>0771-3698002</w:t>
            </w:r>
          </w:p>
        </w:tc>
      </w:tr>
      <w:tr w14:paraId="0932C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627A733A">
            <w:pPr>
              <w:pStyle w:val="15"/>
              <w:spacing w:before="65" w:line="273" w:lineRule="auto"/>
              <w:ind w:left="116" w:right="254" w:firstLine="3"/>
              <w:rPr>
                <w:color w:val="auto"/>
                <w:highlight w:val="none"/>
              </w:rPr>
            </w:pPr>
            <w:r>
              <w:rPr>
                <w:color w:val="auto"/>
                <w:spacing w:val="8"/>
                <w:highlight w:val="none"/>
              </w:rPr>
              <w:t xml:space="preserve">崇左大新长江村镇银行百 </w:t>
            </w:r>
            <w:r>
              <w:rPr>
                <w:color w:val="auto"/>
                <w:spacing w:val="6"/>
                <w:highlight w:val="none"/>
              </w:rPr>
              <w:t>汇支行</w:t>
            </w:r>
          </w:p>
        </w:tc>
        <w:tc>
          <w:tcPr>
            <w:tcW w:w="3513" w:type="dxa"/>
            <w:vAlign w:val="top"/>
          </w:tcPr>
          <w:p w14:paraId="27284675">
            <w:pPr>
              <w:pStyle w:val="15"/>
              <w:spacing w:before="230" w:line="228" w:lineRule="auto"/>
              <w:ind w:left="115"/>
              <w:rPr>
                <w:color w:val="auto"/>
                <w:highlight w:val="none"/>
              </w:rPr>
            </w:pPr>
            <w:r>
              <w:rPr>
                <w:color w:val="auto"/>
                <w:spacing w:val="6"/>
                <w:highlight w:val="none"/>
              </w:rPr>
              <w:t>大新县桃城镇伦那路</w:t>
            </w:r>
            <w:r>
              <w:rPr>
                <w:color w:val="auto"/>
                <w:spacing w:val="-32"/>
                <w:highlight w:val="none"/>
              </w:rPr>
              <w:t xml:space="preserve"> </w:t>
            </w:r>
            <w:r>
              <w:rPr>
                <w:color w:val="auto"/>
                <w:spacing w:val="6"/>
                <w:highlight w:val="none"/>
              </w:rPr>
              <w:t>8</w:t>
            </w:r>
            <w:r>
              <w:rPr>
                <w:color w:val="auto"/>
                <w:spacing w:val="-33"/>
                <w:highlight w:val="none"/>
              </w:rPr>
              <w:t xml:space="preserve"> </w:t>
            </w:r>
            <w:r>
              <w:rPr>
                <w:color w:val="auto"/>
                <w:spacing w:val="6"/>
                <w:highlight w:val="none"/>
              </w:rPr>
              <w:t>号</w:t>
            </w:r>
          </w:p>
        </w:tc>
        <w:tc>
          <w:tcPr>
            <w:tcW w:w="2128" w:type="dxa"/>
            <w:vAlign w:val="top"/>
          </w:tcPr>
          <w:p w14:paraId="010A3BF7">
            <w:pPr>
              <w:pStyle w:val="15"/>
              <w:spacing w:before="262" w:line="190" w:lineRule="auto"/>
              <w:ind w:left="439"/>
              <w:rPr>
                <w:color w:val="auto"/>
                <w:highlight w:val="none"/>
              </w:rPr>
            </w:pPr>
            <w:r>
              <w:rPr>
                <w:color w:val="auto"/>
                <w:spacing w:val="4"/>
                <w:highlight w:val="none"/>
              </w:rPr>
              <w:t>0771-3626199</w:t>
            </w:r>
          </w:p>
        </w:tc>
      </w:tr>
      <w:tr w14:paraId="08DE1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677" w:type="dxa"/>
            <w:vAlign w:val="top"/>
          </w:tcPr>
          <w:p w14:paraId="4768C7CA">
            <w:pPr>
              <w:pStyle w:val="15"/>
              <w:spacing w:before="74" w:line="227" w:lineRule="auto"/>
              <w:ind w:left="118"/>
              <w:rPr>
                <w:color w:val="auto"/>
                <w:highlight w:val="none"/>
              </w:rPr>
            </w:pPr>
            <w:r>
              <w:rPr>
                <w:b/>
                <w:bCs/>
                <w:color w:val="auto"/>
                <w:spacing w:val="5"/>
                <w:highlight w:val="none"/>
              </w:rPr>
              <w:t>龙州县</w:t>
            </w:r>
          </w:p>
        </w:tc>
        <w:tc>
          <w:tcPr>
            <w:tcW w:w="3513" w:type="dxa"/>
            <w:vAlign w:val="top"/>
          </w:tcPr>
          <w:p w14:paraId="27E5D41E">
            <w:pPr>
              <w:rPr>
                <w:rFonts w:ascii="Arial"/>
                <w:color w:val="auto"/>
                <w:sz w:val="21"/>
                <w:highlight w:val="none"/>
              </w:rPr>
            </w:pPr>
          </w:p>
        </w:tc>
        <w:tc>
          <w:tcPr>
            <w:tcW w:w="2128" w:type="dxa"/>
            <w:vAlign w:val="top"/>
          </w:tcPr>
          <w:p w14:paraId="3EF01E95">
            <w:pPr>
              <w:rPr>
                <w:rFonts w:ascii="Arial"/>
                <w:color w:val="auto"/>
                <w:sz w:val="21"/>
                <w:highlight w:val="none"/>
              </w:rPr>
            </w:pPr>
          </w:p>
        </w:tc>
      </w:tr>
      <w:tr w14:paraId="40FBDD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2677" w:type="dxa"/>
            <w:vAlign w:val="top"/>
          </w:tcPr>
          <w:p w14:paraId="47CB612F">
            <w:pPr>
              <w:pStyle w:val="15"/>
              <w:spacing w:before="112" w:line="227" w:lineRule="auto"/>
              <w:ind w:left="119"/>
              <w:rPr>
                <w:color w:val="auto"/>
                <w:highlight w:val="none"/>
              </w:rPr>
            </w:pPr>
            <w:r>
              <w:rPr>
                <w:color w:val="auto"/>
                <w:spacing w:val="8"/>
                <w:highlight w:val="none"/>
              </w:rPr>
              <w:t>工商银行龙州县支行</w:t>
            </w:r>
          </w:p>
        </w:tc>
        <w:tc>
          <w:tcPr>
            <w:tcW w:w="3513" w:type="dxa"/>
            <w:vAlign w:val="top"/>
          </w:tcPr>
          <w:p w14:paraId="33DD4F06">
            <w:pPr>
              <w:pStyle w:val="15"/>
              <w:spacing w:before="112" w:line="227" w:lineRule="auto"/>
              <w:ind w:left="115"/>
              <w:rPr>
                <w:color w:val="auto"/>
                <w:highlight w:val="none"/>
              </w:rPr>
            </w:pPr>
            <w:r>
              <w:rPr>
                <w:color w:val="auto"/>
                <w:spacing w:val="5"/>
                <w:highlight w:val="none"/>
              </w:rPr>
              <w:t>龙州县龙江街</w:t>
            </w:r>
            <w:r>
              <w:rPr>
                <w:color w:val="auto"/>
                <w:spacing w:val="-36"/>
                <w:highlight w:val="none"/>
              </w:rPr>
              <w:t xml:space="preserve"> </w:t>
            </w:r>
            <w:r>
              <w:rPr>
                <w:color w:val="auto"/>
                <w:spacing w:val="5"/>
                <w:highlight w:val="none"/>
              </w:rPr>
              <w:t>60</w:t>
            </w:r>
            <w:r>
              <w:rPr>
                <w:color w:val="auto"/>
                <w:spacing w:val="-33"/>
                <w:highlight w:val="none"/>
              </w:rPr>
              <w:t xml:space="preserve"> </w:t>
            </w:r>
            <w:r>
              <w:rPr>
                <w:color w:val="auto"/>
                <w:spacing w:val="5"/>
                <w:highlight w:val="none"/>
              </w:rPr>
              <w:t>号</w:t>
            </w:r>
          </w:p>
        </w:tc>
        <w:tc>
          <w:tcPr>
            <w:tcW w:w="2128" w:type="dxa"/>
            <w:vAlign w:val="top"/>
          </w:tcPr>
          <w:p w14:paraId="50A1DB1B">
            <w:pPr>
              <w:pStyle w:val="15"/>
              <w:spacing w:before="144" w:line="190" w:lineRule="auto"/>
              <w:ind w:left="439"/>
              <w:rPr>
                <w:color w:val="auto"/>
                <w:highlight w:val="none"/>
              </w:rPr>
            </w:pPr>
            <w:r>
              <w:rPr>
                <w:color w:val="auto"/>
                <w:spacing w:val="4"/>
                <w:highlight w:val="none"/>
              </w:rPr>
              <w:t>0771-8868619</w:t>
            </w:r>
          </w:p>
        </w:tc>
      </w:tr>
      <w:tr w14:paraId="6F671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677" w:type="dxa"/>
            <w:vAlign w:val="top"/>
          </w:tcPr>
          <w:p w14:paraId="5EE3BE37">
            <w:pPr>
              <w:pStyle w:val="15"/>
              <w:spacing w:before="171" w:line="227" w:lineRule="auto"/>
              <w:ind w:left="116"/>
              <w:rPr>
                <w:color w:val="auto"/>
                <w:highlight w:val="none"/>
              </w:rPr>
            </w:pPr>
            <w:r>
              <w:rPr>
                <w:color w:val="auto"/>
                <w:spacing w:val="8"/>
                <w:highlight w:val="none"/>
              </w:rPr>
              <w:t>农业银行龙州县支行</w:t>
            </w:r>
          </w:p>
        </w:tc>
        <w:tc>
          <w:tcPr>
            <w:tcW w:w="3513" w:type="dxa"/>
            <w:vAlign w:val="top"/>
          </w:tcPr>
          <w:p w14:paraId="52AD9861">
            <w:pPr>
              <w:pStyle w:val="15"/>
              <w:spacing w:before="171" w:line="227" w:lineRule="auto"/>
              <w:ind w:left="115"/>
              <w:rPr>
                <w:color w:val="auto"/>
                <w:highlight w:val="none"/>
              </w:rPr>
            </w:pPr>
            <w:r>
              <w:rPr>
                <w:color w:val="auto"/>
                <w:spacing w:val="6"/>
                <w:highlight w:val="none"/>
              </w:rPr>
              <w:t>龙州县龙州镇康平街</w:t>
            </w:r>
            <w:r>
              <w:rPr>
                <w:color w:val="auto"/>
                <w:spacing w:val="-32"/>
                <w:highlight w:val="none"/>
              </w:rPr>
              <w:t xml:space="preserve"> </w:t>
            </w:r>
            <w:r>
              <w:rPr>
                <w:color w:val="auto"/>
                <w:spacing w:val="6"/>
                <w:highlight w:val="none"/>
              </w:rPr>
              <w:t>26</w:t>
            </w:r>
            <w:r>
              <w:rPr>
                <w:color w:val="auto"/>
                <w:spacing w:val="-33"/>
                <w:highlight w:val="none"/>
              </w:rPr>
              <w:t xml:space="preserve"> </w:t>
            </w:r>
            <w:r>
              <w:rPr>
                <w:color w:val="auto"/>
                <w:spacing w:val="6"/>
                <w:highlight w:val="none"/>
              </w:rPr>
              <w:t>号</w:t>
            </w:r>
          </w:p>
        </w:tc>
        <w:tc>
          <w:tcPr>
            <w:tcW w:w="2128" w:type="dxa"/>
            <w:vAlign w:val="top"/>
          </w:tcPr>
          <w:p w14:paraId="227CE382">
            <w:pPr>
              <w:pStyle w:val="15"/>
              <w:spacing w:before="203" w:line="190" w:lineRule="auto"/>
              <w:ind w:left="439"/>
              <w:rPr>
                <w:color w:val="auto"/>
                <w:highlight w:val="none"/>
              </w:rPr>
            </w:pPr>
            <w:r>
              <w:rPr>
                <w:color w:val="auto"/>
                <w:spacing w:val="4"/>
                <w:highlight w:val="none"/>
              </w:rPr>
              <w:t>0771-8812504</w:t>
            </w:r>
          </w:p>
        </w:tc>
      </w:tr>
      <w:tr w14:paraId="641B5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794D68C6">
            <w:pPr>
              <w:pStyle w:val="15"/>
              <w:spacing w:before="229" w:line="227" w:lineRule="auto"/>
              <w:ind w:left="119"/>
              <w:rPr>
                <w:color w:val="auto"/>
                <w:highlight w:val="none"/>
              </w:rPr>
            </w:pPr>
            <w:r>
              <w:rPr>
                <w:color w:val="auto"/>
                <w:spacing w:val="7"/>
                <w:highlight w:val="none"/>
              </w:rPr>
              <w:t>建行龙州支行</w:t>
            </w:r>
          </w:p>
        </w:tc>
        <w:tc>
          <w:tcPr>
            <w:tcW w:w="3513" w:type="dxa"/>
            <w:vAlign w:val="top"/>
          </w:tcPr>
          <w:p w14:paraId="38A5D9AC">
            <w:pPr>
              <w:pStyle w:val="15"/>
              <w:spacing w:before="63" w:line="274" w:lineRule="auto"/>
              <w:ind w:left="128" w:right="105" w:hanging="13"/>
              <w:rPr>
                <w:color w:val="auto"/>
                <w:highlight w:val="none"/>
              </w:rPr>
            </w:pPr>
            <w:r>
              <w:rPr>
                <w:color w:val="auto"/>
                <w:spacing w:val="6"/>
                <w:highlight w:val="none"/>
              </w:rPr>
              <w:t>龙州县龙夏路</w:t>
            </w:r>
            <w:r>
              <w:rPr>
                <w:color w:val="auto"/>
                <w:spacing w:val="-50"/>
                <w:highlight w:val="none"/>
              </w:rPr>
              <w:t xml:space="preserve"> </w:t>
            </w:r>
            <w:r>
              <w:rPr>
                <w:color w:val="auto"/>
                <w:spacing w:val="6"/>
                <w:highlight w:val="none"/>
              </w:rPr>
              <w:t>2</w:t>
            </w:r>
            <w:r>
              <w:rPr>
                <w:color w:val="auto"/>
                <w:spacing w:val="-50"/>
                <w:highlight w:val="none"/>
              </w:rPr>
              <w:t xml:space="preserve"> </w:t>
            </w:r>
            <w:r>
              <w:rPr>
                <w:color w:val="auto"/>
                <w:spacing w:val="6"/>
                <w:highlight w:val="none"/>
              </w:rPr>
              <w:t>号龙州商业广场</w:t>
            </w:r>
            <w:r>
              <w:rPr>
                <w:color w:val="auto"/>
                <w:spacing w:val="-57"/>
                <w:highlight w:val="none"/>
              </w:rPr>
              <w:t xml:space="preserve"> </w:t>
            </w:r>
            <w:r>
              <w:rPr>
                <w:color w:val="auto"/>
                <w:spacing w:val="6"/>
                <w:highlight w:val="none"/>
              </w:rPr>
              <w:t>D</w:t>
            </w:r>
            <w:r>
              <w:rPr>
                <w:color w:val="auto"/>
                <w:spacing w:val="-53"/>
                <w:highlight w:val="none"/>
              </w:rPr>
              <w:t xml:space="preserve"> </w:t>
            </w:r>
            <w:r>
              <w:rPr>
                <w:color w:val="auto"/>
                <w:spacing w:val="6"/>
                <w:highlight w:val="none"/>
              </w:rPr>
              <w:t>栋</w:t>
            </w:r>
            <w:r>
              <w:rPr>
                <w:color w:val="auto"/>
                <w:highlight w:val="none"/>
              </w:rPr>
              <w:t xml:space="preserve"> </w:t>
            </w:r>
            <w:r>
              <w:rPr>
                <w:color w:val="auto"/>
                <w:spacing w:val="-10"/>
                <w:highlight w:val="none"/>
              </w:rPr>
              <w:t>1</w:t>
            </w:r>
            <w:r>
              <w:rPr>
                <w:color w:val="auto"/>
                <w:spacing w:val="-36"/>
                <w:highlight w:val="none"/>
              </w:rPr>
              <w:t xml:space="preserve"> </w:t>
            </w:r>
            <w:r>
              <w:rPr>
                <w:color w:val="auto"/>
                <w:spacing w:val="-10"/>
                <w:highlight w:val="none"/>
              </w:rPr>
              <w:t>号</w:t>
            </w:r>
          </w:p>
        </w:tc>
        <w:tc>
          <w:tcPr>
            <w:tcW w:w="2128" w:type="dxa"/>
            <w:vAlign w:val="top"/>
          </w:tcPr>
          <w:p w14:paraId="54CBB809">
            <w:pPr>
              <w:pStyle w:val="15"/>
              <w:spacing w:before="261" w:line="190" w:lineRule="auto"/>
              <w:ind w:left="439"/>
              <w:rPr>
                <w:color w:val="auto"/>
                <w:highlight w:val="none"/>
              </w:rPr>
            </w:pPr>
            <w:r>
              <w:rPr>
                <w:color w:val="auto"/>
                <w:spacing w:val="4"/>
                <w:highlight w:val="none"/>
              </w:rPr>
              <w:t>0771-8820525</w:t>
            </w:r>
          </w:p>
        </w:tc>
      </w:tr>
      <w:tr w14:paraId="1C3C5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75258AD6">
            <w:pPr>
              <w:pStyle w:val="15"/>
              <w:spacing w:before="63" w:line="274" w:lineRule="auto"/>
              <w:ind w:left="118" w:right="254"/>
              <w:rPr>
                <w:color w:val="auto"/>
                <w:highlight w:val="none"/>
              </w:rPr>
            </w:pPr>
            <w:r>
              <w:rPr>
                <w:color w:val="auto"/>
                <w:spacing w:val="9"/>
                <w:highlight w:val="none"/>
              </w:rPr>
              <w:t>龙州农商行公司机构金融</w:t>
            </w:r>
            <w:r>
              <w:rPr>
                <w:color w:val="auto"/>
                <w:highlight w:val="none"/>
              </w:rPr>
              <w:t xml:space="preserve"> 部</w:t>
            </w:r>
          </w:p>
        </w:tc>
        <w:tc>
          <w:tcPr>
            <w:tcW w:w="3513" w:type="dxa"/>
            <w:vAlign w:val="top"/>
          </w:tcPr>
          <w:p w14:paraId="14F4652B">
            <w:pPr>
              <w:pStyle w:val="15"/>
              <w:spacing w:before="229" w:line="227" w:lineRule="auto"/>
              <w:ind w:left="115"/>
              <w:rPr>
                <w:color w:val="auto"/>
                <w:highlight w:val="none"/>
              </w:rPr>
            </w:pPr>
            <w:r>
              <w:rPr>
                <w:color w:val="auto"/>
                <w:spacing w:val="5"/>
                <w:highlight w:val="none"/>
              </w:rPr>
              <w:t>龙州县龙州镇独山路</w:t>
            </w:r>
            <w:r>
              <w:rPr>
                <w:color w:val="auto"/>
                <w:spacing w:val="-19"/>
                <w:highlight w:val="none"/>
              </w:rPr>
              <w:t xml:space="preserve"> </w:t>
            </w:r>
            <w:r>
              <w:rPr>
                <w:color w:val="auto"/>
                <w:spacing w:val="5"/>
                <w:highlight w:val="none"/>
              </w:rPr>
              <w:t>172</w:t>
            </w:r>
            <w:r>
              <w:rPr>
                <w:color w:val="auto"/>
                <w:spacing w:val="-35"/>
                <w:highlight w:val="none"/>
              </w:rPr>
              <w:t xml:space="preserve"> </w:t>
            </w:r>
            <w:r>
              <w:rPr>
                <w:color w:val="auto"/>
                <w:spacing w:val="5"/>
                <w:highlight w:val="none"/>
              </w:rPr>
              <w:t>号</w:t>
            </w:r>
          </w:p>
        </w:tc>
        <w:tc>
          <w:tcPr>
            <w:tcW w:w="2128" w:type="dxa"/>
            <w:vAlign w:val="top"/>
          </w:tcPr>
          <w:p w14:paraId="38D464B1">
            <w:pPr>
              <w:pStyle w:val="15"/>
              <w:spacing w:before="261" w:line="190" w:lineRule="auto"/>
              <w:ind w:left="439"/>
              <w:rPr>
                <w:color w:val="auto"/>
                <w:highlight w:val="none"/>
              </w:rPr>
            </w:pPr>
            <w:r>
              <w:rPr>
                <w:color w:val="auto"/>
                <w:spacing w:val="4"/>
                <w:highlight w:val="none"/>
              </w:rPr>
              <w:t>0771-8813013</w:t>
            </w:r>
          </w:p>
        </w:tc>
      </w:tr>
      <w:tr w14:paraId="05D1E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46DFBCAE">
            <w:pPr>
              <w:pStyle w:val="15"/>
              <w:spacing w:before="229" w:line="227" w:lineRule="auto"/>
              <w:ind w:left="118"/>
              <w:rPr>
                <w:color w:val="auto"/>
                <w:highlight w:val="none"/>
              </w:rPr>
            </w:pPr>
            <w:r>
              <w:rPr>
                <w:color w:val="auto"/>
                <w:spacing w:val="8"/>
                <w:highlight w:val="none"/>
              </w:rPr>
              <w:t>桂林银行崇左龙州支行</w:t>
            </w:r>
          </w:p>
        </w:tc>
        <w:tc>
          <w:tcPr>
            <w:tcW w:w="3513" w:type="dxa"/>
            <w:vAlign w:val="top"/>
          </w:tcPr>
          <w:p w14:paraId="228C9D93">
            <w:pPr>
              <w:pStyle w:val="15"/>
              <w:spacing w:before="63" w:line="274" w:lineRule="auto"/>
              <w:ind w:left="116" w:right="105" w:hanging="1"/>
              <w:rPr>
                <w:color w:val="auto"/>
                <w:highlight w:val="none"/>
              </w:rPr>
            </w:pPr>
            <w:r>
              <w:rPr>
                <w:color w:val="auto"/>
                <w:spacing w:val="-4"/>
                <w:highlight w:val="none"/>
              </w:rPr>
              <w:t>龙州县龙州镇同顾大道</w:t>
            </w:r>
            <w:r>
              <w:rPr>
                <w:color w:val="auto"/>
                <w:spacing w:val="-13"/>
                <w:highlight w:val="none"/>
              </w:rPr>
              <w:t xml:space="preserve"> </w:t>
            </w:r>
            <w:r>
              <w:rPr>
                <w:color w:val="auto"/>
                <w:spacing w:val="-4"/>
                <w:highlight w:val="none"/>
              </w:rPr>
              <w:t>1</w:t>
            </w:r>
            <w:r>
              <w:rPr>
                <w:color w:val="auto"/>
                <w:spacing w:val="-33"/>
                <w:highlight w:val="none"/>
              </w:rPr>
              <w:t xml:space="preserve"> </w:t>
            </w:r>
            <w:r>
              <w:rPr>
                <w:color w:val="auto"/>
                <w:spacing w:val="-4"/>
                <w:highlight w:val="none"/>
              </w:rPr>
              <w:t>号同顾 ·中</w:t>
            </w:r>
            <w:r>
              <w:rPr>
                <w:color w:val="auto"/>
                <w:highlight w:val="none"/>
              </w:rPr>
              <w:t xml:space="preserve"> </w:t>
            </w:r>
            <w:r>
              <w:rPr>
                <w:color w:val="auto"/>
                <w:spacing w:val="1"/>
                <w:highlight w:val="none"/>
              </w:rPr>
              <w:t>央公园</w:t>
            </w:r>
            <w:r>
              <w:rPr>
                <w:color w:val="auto"/>
                <w:spacing w:val="-26"/>
                <w:highlight w:val="none"/>
              </w:rPr>
              <w:t xml:space="preserve"> </w:t>
            </w:r>
            <w:r>
              <w:rPr>
                <w:color w:val="auto"/>
                <w:spacing w:val="1"/>
                <w:highlight w:val="none"/>
              </w:rPr>
              <w:t>20</w:t>
            </w:r>
            <w:r>
              <w:rPr>
                <w:color w:val="auto"/>
                <w:spacing w:val="-38"/>
                <w:highlight w:val="none"/>
              </w:rPr>
              <w:t xml:space="preserve"> </w:t>
            </w:r>
            <w:r>
              <w:rPr>
                <w:color w:val="auto"/>
                <w:spacing w:val="1"/>
                <w:highlight w:val="none"/>
              </w:rPr>
              <w:t>栋</w:t>
            </w:r>
            <w:r>
              <w:rPr>
                <w:color w:val="auto"/>
                <w:spacing w:val="-24"/>
                <w:highlight w:val="none"/>
              </w:rPr>
              <w:t xml:space="preserve"> </w:t>
            </w:r>
            <w:r>
              <w:rPr>
                <w:color w:val="auto"/>
                <w:spacing w:val="1"/>
                <w:highlight w:val="none"/>
              </w:rPr>
              <w:t>10</w:t>
            </w:r>
            <w:r>
              <w:rPr>
                <w:color w:val="auto"/>
                <w:spacing w:val="-35"/>
                <w:highlight w:val="none"/>
              </w:rPr>
              <w:t xml:space="preserve"> </w:t>
            </w:r>
            <w:r>
              <w:rPr>
                <w:color w:val="auto"/>
                <w:spacing w:val="1"/>
                <w:highlight w:val="none"/>
              </w:rPr>
              <w:t>号—13</w:t>
            </w:r>
            <w:r>
              <w:rPr>
                <w:color w:val="auto"/>
                <w:spacing w:val="-36"/>
                <w:highlight w:val="none"/>
              </w:rPr>
              <w:t xml:space="preserve"> </w:t>
            </w:r>
            <w:r>
              <w:rPr>
                <w:color w:val="auto"/>
                <w:spacing w:val="1"/>
                <w:highlight w:val="none"/>
              </w:rPr>
              <w:t>号房</w:t>
            </w:r>
          </w:p>
        </w:tc>
        <w:tc>
          <w:tcPr>
            <w:tcW w:w="2128" w:type="dxa"/>
            <w:vAlign w:val="top"/>
          </w:tcPr>
          <w:p w14:paraId="7E5819C6">
            <w:pPr>
              <w:pStyle w:val="15"/>
              <w:spacing w:before="261" w:line="190" w:lineRule="auto"/>
              <w:ind w:left="439"/>
              <w:rPr>
                <w:color w:val="auto"/>
                <w:highlight w:val="none"/>
              </w:rPr>
            </w:pPr>
            <w:r>
              <w:rPr>
                <w:color w:val="auto"/>
                <w:spacing w:val="4"/>
                <w:highlight w:val="none"/>
              </w:rPr>
              <w:t>0771-8871021</w:t>
            </w:r>
          </w:p>
        </w:tc>
      </w:tr>
      <w:tr w14:paraId="4D758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2677" w:type="dxa"/>
            <w:vAlign w:val="top"/>
          </w:tcPr>
          <w:p w14:paraId="0489D4C4">
            <w:pPr>
              <w:pStyle w:val="15"/>
              <w:spacing w:before="229" w:line="227" w:lineRule="auto"/>
              <w:ind w:left="116"/>
              <w:rPr>
                <w:color w:val="auto"/>
                <w:highlight w:val="none"/>
              </w:rPr>
            </w:pPr>
            <w:r>
              <w:rPr>
                <w:color w:val="auto"/>
                <w:spacing w:val="9"/>
                <w:highlight w:val="none"/>
              </w:rPr>
              <w:t>广西北部湾银行龙州支行</w:t>
            </w:r>
          </w:p>
        </w:tc>
        <w:tc>
          <w:tcPr>
            <w:tcW w:w="3513" w:type="dxa"/>
            <w:vAlign w:val="top"/>
          </w:tcPr>
          <w:p w14:paraId="4DFF25A2">
            <w:pPr>
              <w:pStyle w:val="15"/>
              <w:spacing w:before="65" w:line="274" w:lineRule="auto"/>
              <w:ind w:left="117" w:right="107" w:hanging="1"/>
              <w:rPr>
                <w:color w:val="auto"/>
                <w:highlight w:val="none"/>
              </w:rPr>
            </w:pPr>
            <w:r>
              <w:rPr>
                <w:color w:val="auto"/>
                <w:spacing w:val="6"/>
                <w:highlight w:val="none"/>
              </w:rPr>
              <w:t>崇左市龙州县龙州镇龙夏路</w:t>
            </w:r>
            <w:r>
              <w:rPr>
                <w:color w:val="auto"/>
                <w:spacing w:val="-23"/>
                <w:highlight w:val="none"/>
              </w:rPr>
              <w:t xml:space="preserve"> </w:t>
            </w:r>
            <w:r>
              <w:rPr>
                <w:color w:val="auto"/>
                <w:spacing w:val="6"/>
                <w:highlight w:val="none"/>
              </w:rPr>
              <w:t>1</w:t>
            </w:r>
            <w:r>
              <w:rPr>
                <w:color w:val="auto"/>
                <w:spacing w:val="-33"/>
                <w:highlight w:val="none"/>
              </w:rPr>
              <w:t xml:space="preserve"> </w:t>
            </w:r>
            <w:r>
              <w:rPr>
                <w:color w:val="auto"/>
                <w:spacing w:val="6"/>
                <w:highlight w:val="none"/>
              </w:rPr>
              <w:t>号、3</w:t>
            </w:r>
            <w:r>
              <w:rPr>
                <w:color w:val="auto"/>
                <w:highlight w:val="none"/>
              </w:rPr>
              <w:t xml:space="preserve"> </w:t>
            </w:r>
            <w:r>
              <w:rPr>
                <w:color w:val="auto"/>
                <w:spacing w:val="7"/>
                <w:highlight w:val="none"/>
              </w:rPr>
              <w:t>号、5</w:t>
            </w:r>
            <w:r>
              <w:rPr>
                <w:color w:val="auto"/>
                <w:spacing w:val="-31"/>
                <w:highlight w:val="none"/>
              </w:rPr>
              <w:t xml:space="preserve"> </w:t>
            </w:r>
            <w:r>
              <w:rPr>
                <w:color w:val="auto"/>
                <w:spacing w:val="7"/>
                <w:highlight w:val="none"/>
              </w:rPr>
              <w:t>号（南湖商务酒店）一楼铺面</w:t>
            </w:r>
          </w:p>
        </w:tc>
        <w:tc>
          <w:tcPr>
            <w:tcW w:w="2128" w:type="dxa"/>
            <w:vAlign w:val="top"/>
          </w:tcPr>
          <w:p w14:paraId="702E8272">
            <w:pPr>
              <w:pStyle w:val="15"/>
              <w:spacing w:before="261" w:line="190" w:lineRule="auto"/>
              <w:ind w:left="439"/>
              <w:rPr>
                <w:color w:val="auto"/>
                <w:highlight w:val="none"/>
              </w:rPr>
            </w:pPr>
            <w:r>
              <w:rPr>
                <w:color w:val="auto"/>
                <w:spacing w:val="4"/>
                <w:highlight w:val="none"/>
              </w:rPr>
              <w:t>0771-8811533</w:t>
            </w:r>
          </w:p>
        </w:tc>
      </w:tr>
    </w:tbl>
    <w:p w14:paraId="2D9637F8">
      <w:pPr>
        <w:pStyle w:val="2"/>
        <w:rPr>
          <w:color w:val="auto"/>
          <w:highlight w:val="none"/>
        </w:rPr>
      </w:pPr>
    </w:p>
    <w:p w14:paraId="3C606A97">
      <w:pPr>
        <w:rPr>
          <w:color w:val="auto"/>
          <w:highlight w:val="none"/>
        </w:rPr>
        <w:sectPr>
          <w:footerReference r:id="rId68" w:type="default"/>
          <w:pgSz w:w="11906" w:h="16839"/>
          <w:pgMar w:top="1134" w:right="1785" w:bottom="882" w:left="1715" w:header="0" w:footer="720" w:gutter="0"/>
          <w:pgNumType w:fmt="decimal"/>
          <w:cols w:space="720" w:num="1"/>
        </w:sectPr>
      </w:pPr>
    </w:p>
    <w:tbl>
      <w:tblPr>
        <w:tblStyle w:val="14"/>
        <w:tblW w:w="8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7"/>
        <w:gridCol w:w="3513"/>
        <w:gridCol w:w="2128"/>
      </w:tblGrid>
      <w:tr w14:paraId="55F51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677" w:type="dxa"/>
            <w:vAlign w:val="top"/>
          </w:tcPr>
          <w:p w14:paraId="1C979513">
            <w:pPr>
              <w:pStyle w:val="15"/>
              <w:spacing w:before="141" w:line="228" w:lineRule="auto"/>
              <w:ind w:left="120"/>
              <w:rPr>
                <w:color w:val="auto"/>
                <w:highlight w:val="none"/>
              </w:rPr>
            </w:pPr>
            <w:r>
              <w:rPr>
                <w:b/>
                <w:bCs/>
                <w:color w:val="auto"/>
                <w:spacing w:val="4"/>
                <w:highlight w:val="none"/>
              </w:rPr>
              <w:t>天等县</w:t>
            </w:r>
          </w:p>
        </w:tc>
        <w:tc>
          <w:tcPr>
            <w:tcW w:w="3513" w:type="dxa"/>
            <w:vAlign w:val="top"/>
          </w:tcPr>
          <w:p w14:paraId="1F6005C7">
            <w:pPr>
              <w:rPr>
                <w:rFonts w:ascii="Arial"/>
                <w:color w:val="auto"/>
                <w:sz w:val="21"/>
                <w:highlight w:val="none"/>
              </w:rPr>
            </w:pPr>
          </w:p>
        </w:tc>
        <w:tc>
          <w:tcPr>
            <w:tcW w:w="2128" w:type="dxa"/>
            <w:vAlign w:val="top"/>
          </w:tcPr>
          <w:p w14:paraId="10A2B61D">
            <w:pPr>
              <w:rPr>
                <w:rFonts w:ascii="Arial"/>
                <w:color w:val="auto"/>
                <w:sz w:val="21"/>
                <w:highlight w:val="none"/>
              </w:rPr>
            </w:pPr>
          </w:p>
        </w:tc>
      </w:tr>
      <w:tr w14:paraId="3DAE3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677" w:type="dxa"/>
            <w:vAlign w:val="top"/>
          </w:tcPr>
          <w:p w14:paraId="35013452">
            <w:pPr>
              <w:pStyle w:val="15"/>
              <w:spacing w:before="59" w:line="228" w:lineRule="auto"/>
              <w:ind w:left="119"/>
              <w:rPr>
                <w:color w:val="auto"/>
                <w:highlight w:val="none"/>
              </w:rPr>
            </w:pPr>
            <w:r>
              <w:rPr>
                <w:color w:val="auto"/>
                <w:spacing w:val="8"/>
                <w:highlight w:val="none"/>
              </w:rPr>
              <w:t>工商银行天等县支行</w:t>
            </w:r>
          </w:p>
        </w:tc>
        <w:tc>
          <w:tcPr>
            <w:tcW w:w="3513" w:type="dxa"/>
            <w:vAlign w:val="top"/>
          </w:tcPr>
          <w:p w14:paraId="23BA378D">
            <w:pPr>
              <w:pStyle w:val="15"/>
              <w:spacing w:before="59" w:line="228" w:lineRule="auto"/>
              <w:ind w:left="117"/>
              <w:rPr>
                <w:color w:val="auto"/>
                <w:highlight w:val="none"/>
              </w:rPr>
            </w:pPr>
            <w:r>
              <w:rPr>
                <w:color w:val="auto"/>
                <w:spacing w:val="6"/>
                <w:highlight w:val="none"/>
              </w:rPr>
              <w:t>天等县天等镇朝阳东路</w:t>
            </w:r>
            <w:r>
              <w:rPr>
                <w:color w:val="auto"/>
                <w:spacing w:val="-32"/>
                <w:highlight w:val="none"/>
              </w:rPr>
              <w:t xml:space="preserve"> </w:t>
            </w:r>
            <w:r>
              <w:rPr>
                <w:color w:val="auto"/>
                <w:spacing w:val="6"/>
                <w:highlight w:val="none"/>
              </w:rPr>
              <w:t>054</w:t>
            </w:r>
            <w:r>
              <w:rPr>
                <w:color w:val="auto"/>
                <w:spacing w:val="-33"/>
                <w:highlight w:val="none"/>
              </w:rPr>
              <w:t xml:space="preserve"> </w:t>
            </w:r>
            <w:r>
              <w:rPr>
                <w:color w:val="auto"/>
                <w:spacing w:val="6"/>
                <w:highlight w:val="none"/>
              </w:rPr>
              <w:t>号</w:t>
            </w:r>
          </w:p>
        </w:tc>
        <w:tc>
          <w:tcPr>
            <w:tcW w:w="2128" w:type="dxa"/>
            <w:vAlign w:val="top"/>
          </w:tcPr>
          <w:p w14:paraId="7502B131">
            <w:pPr>
              <w:pStyle w:val="15"/>
              <w:spacing w:before="91" w:line="190" w:lineRule="auto"/>
              <w:ind w:left="439"/>
              <w:rPr>
                <w:color w:val="auto"/>
                <w:highlight w:val="none"/>
              </w:rPr>
            </w:pPr>
            <w:r>
              <w:rPr>
                <w:color w:val="auto"/>
                <w:spacing w:val="4"/>
                <w:highlight w:val="none"/>
              </w:rPr>
              <w:t>0771-3532211</w:t>
            </w:r>
          </w:p>
        </w:tc>
      </w:tr>
      <w:tr w14:paraId="1AD0A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2677" w:type="dxa"/>
            <w:vAlign w:val="top"/>
          </w:tcPr>
          <w:p w14:paraId="7EE4BDF9">
            <w:pPr>
              <w:pStyle w:val="15"/>
              <w:spacing w:before="93" w:line="228" w:lineRule="auto"/>
              <w:ind w:left="116"/>
              <w:rPr>
                <w:color w:val="auto"/>
                <w:highlight w:val="none"/>
              </w:rPr>
            </w:pPr>
            <w:r>
              <w:rPr>
                <w:color w:val="auto"/>
                <w:spacing w:val="8"/>
                <w:highlight w:val="none"/>
              </w:rPr>
              <w:t>农业银行天等县支行</w:t>
            </w:r>
          </w:p>
        </w:tc>
        <w:tc>
          <w:tcPr>
            <w:tcW w:w="3513" w:type="dxa"/>
            <w:vAlign w:val="top"/>
          </w:tcPr>
          <w:p w14:paraId="1CFDDD84">
            <w:pPr>
              <w:pStyle w:val="15"/>
              <w:spacing w:before="93" w:line="228" w:lineRule="auto"/>
              <w:ind w:left="223"/>
              <w:rPr>
                <w:color w:val="auto"/>
                <w:highlight w:val="none"/>
              </w:rPr>
            </w:pPr>
            <w:r>
              <w:rPr>
                <w:color w:val="auto"/>
                <w:spacing w:val="6"/>
                <w:highlight w:val="none"/>
              </w:rPr>
              <w:t>天等县天等镇天宝北路</w:t>
            </w:r>
            <w:r>
              <w:rPr>
                <w:color w:val="auto"/>
                <w:spacing w:val="-32"/>
                <w:highlight w:val="none"/>
              </w:rPr>
              <w:t xml:space="preserve"> </w:t>
            </w:r>
            <w:r>
              <w:rPr>
                <w:color w:val="auto"/>
                <w:spacing w:val="6"/>
                <w:highlight w:val="none"/>
              </w:rPr>
              <w:t>007</w:t>
            </w:r>
            <w:r>
              <w:rPr>
                <w:color w:val="auto"/>
                <w:spacing w:val="-33"/>
                <w:highlight w:val="none"/>
              </w:rPr>
              <w:t xml:space="preserve"> </w:t>
            </w:r>
            <w:r>
              <w:rPr>
                <w:color w:val="auto"/>
                <w:spacing w:val="6"/>
                <w:highlight w:val="none"/>
              </w:rPr>
              <w:t>号</w:t>
            </w:r>
          </w:p>
        </w:tc>
        <w:tc>
          <w:tcPr>
            <w:tcW w:w="2128" w:type="dxa"/>
            <w:vAlign w:val="top"/>
          </w:tcPr>
          <w:p w14:paraId="6FD1A724">
            <w:pPr>
              <w:pStyle w:val="15"/>
              <w:spacing w:before="125" w:line="190" w:lineRule="auto"/>
              <w:ind w:left="439"/>
              <w:rPr>
                <w:color w:val="auto"/>
                <w:highlight w:val="none"/>
              </w:rPr>
            </w:pPr>
            <w:r>
              <w:rPr>
                <w:color w:val="auto"/>
                <w:spacing w:val="4"/>
                <w:highlight w:val="none"/>
              </w:rPr>
              <w:t>0771-7917046</w:t>
            </w:r>
          </w:p>
        </w:tc>
      </w:tr>
      <w:tr w14:paraId="78FF4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677" w:type="dxa"/>
            <w:vAlign w:val="top"/>
          </w:tcPr>
          <w:p w14:paraId="4DF71F3C">
            <w:pPr>
              <w:pStyle w:val="15"/>
              <w:spacing w:before="60" w:line="275" w:lineRule="auto"/>
              <w:ind w:left="119" w:right="254" w:firstLine="1"/>
              <w:rPr>
                <w:color w:val="auto"/>
                <w:highlight w:val="none"/>
              </w:rPr>
            </w:pPr>
            <w:r>
              <w:rPr>
                <w:color w:val="auto"/>
                <w:spacing w:val="8"/>
                <w:highlight w:val="none"/>
              </w:rPr>
              <w:t>天等农商行公司机构金融</w:t>
            </w:r>
            <w:r>
              <w:rPr>
                <w:color w:val="auto"/>
                <w:spacing w:val="7"/>
                <w:highlight w:val="none"/>
              </w:rPr>
              <w:t xml:space="preserve"> </w:t>
            </w:r>
            <w:r>
              <w:rPr>
                <w:color w:val="auto"/>
                <w:highlight w:val="none"/>
              </w:rPr>
              <w:t>部</w:t>
            </w:r>
          </w:p>
        </w:tc>
        <w:tc>
          <w:tcPr>
            <w:tcW w:w="3513" w:type="dxa"/>
            <w:vAlign w:val="top"/>
          </w:tcPr>
          <w:p w14:paraId="0600D9A1">
            <w:pPr>
              <w:pStyle w:val="15"/>
              <w:spacing w:before="225" w:line="228" w:lineRule="auto"/>
              <w:ind w:left="117"/>
              <w:rPr>
                <w:color w:val="auto"/>
                <w:highlight w:val="none"/>
              </w:rPr>
            </w:pPr>
            <w:r>
              <w:rPr>
                <w:color w:val="auto"/>
                <w:spacing w:val="6"/>
                <w:highlight w:val="none"/>
              </w:rPr>
              <w:t>天等县天等镇仕民路</w:t>
            </w:r>
            <w:r>
              <w:rPr>
                <w:color w:val="auto"/>
                <w:spacing w:val="-34"/>
                <w:highlight w:val="none"/>
              </w:rPr>
              <w:t xml:space="preserve"> </w:t>
            </w:r>
            <w:r>
              <w:rPr>
                <w:color w:val="auto"/>
                <w:spacing w:val="6"/>
                <w:highlight w:val="none"/>
              </w:rPr>
              <w:t>48</w:t>
            </w:r>
            <w:r>
              <w:rPr>
                <w:color w:val="auto"/>
                <w:spacing w:val="-33"/>
                <w:highlight w:val="none"/>
              </w:rPr>
              <w:t xml:space="preserve"> </w:t>
            </w:r>
            <w:r>
              <w:rPr>
                <w:color w:val="auto"/>
                <w:spacing w:val="6"/>
                <w:highlight w:val="none"/>
              </w:rPr>
              <w:t>号</w:t>
            </w:r>
          </w:p>
        </w:tc>
        <w:tc>
          <w:tcPr>
            <w:tcW w:w="2128" w:type="dxa"/>
            <w:vAlign w:val="top"/>
          </w:tcPr>
          <w:p w14:paraId="44555682">
            <w:pPr>
              <w:pStyle w:val="15"/>
              <w:spacing w:before="257" w:line="190" w:lineRule="auto"/>
              <w:ind w:left="439"/>
              <w:rPr>
                <w:color w:val="auto"/>
                <w:highlight w:val="none"/>
              </w:rPr>
            </w:pPr>
            <w:r>
              <w:rPr>
                <w:color w:val="auto"/>
                <w:spacing w:val="4"/>
                <w:highlight w:val="none"/>
              </w:rPr>
              <w:t>0771-3521361</w:t>
            </w:r>
          </w:p>
        </w:tc>
      </w:tr>
      <w:tr w14:paraId="67F9B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677" w:type="dxa"/>
            <w:vAlign w:val="top"/>
          </w:tcPr>
          <w:p w14:paraId="083893A6">
            <w:pPr>
              <w:pStyle w:val="15"/>
              <w:spacing w:before="226" w:line="228" w:lineRule="auto"/>
              <w:ind w:left="118"/>
              <w:rPr>
                <w:color w:val="auto"/>
                <w:highlight w:val="none"/>
              </w:rPr>
            </w:pPr>
            <w:r>
              <w:rPr>
                <w:color w:val="auto"/>
                <w:spacing w:val="8"/>
                <w:highlight w:val="none"/>
              </w:rPr>
              <w:t>桂林银行崇左天等支行</w:t>
            </w:r>
          </w:p>
        </w:tc>
        <w:tc>
          <w:tcPr>
            <w:tcW w:w="3513" w:type="dxa"/>
            <w:vAlign w:val="top"/>
          </w:tcPr>
          <w:p w14:paraId="114AF8BC">
            <w:pPr>
              <w:pStyle w:val="15"/>
              <w:spacing w:before="62" w:line="274" w:lineRule="auto"/>
              <w:ind w:left="117" w:right="253" w:hanging="4"/>
              <w:rPr>
                <w:color w:val="auto"/>
                <w:highlight w:val="none"/>
              </w:rPr>
            </w:pPr>
            <w:r>
              <w:rPr>
                <w:color w:val="auto"/>
                <w:spacing w:val="9"/>
                <w:highlight w:val="none"/>
              </w:rPr>
              <w:t>广西崇左市天等县天等镇天宝北路</w:t>
            </w:r>
            <w:r>
              <w:rPr>
                <w:color w:val="auto"/>
                <w:spacing w:val="4"/>
                <w:highlight w:val="none"/>
              </w:rPr>
              <w:t xml:space="preserve"> </w:t>
            </w:r>
            <w:r>
              <w:rPr>
                <w:color w:val="auto"/>
                <w:spacing w:val="2"/>
                <w:highlight w:val="none"/>
              </w:rPr>
              <w:t>天府中央城</w:t>
            </w:r>
            <w:r>
              <w:rPr>
                <w:color w:val="auto"/>
                <w:spacing w:val="-35"/>
                <w:highlight w:val="none"/>
              </w:rPr>
              <w:t xml:space="preserve"> </w:t>
            </w:r>
            <w:r>
              <w:rPr>
                <w:color w:val="auto"/>
                <w:spacing w:val="2"/>
                <w:highlight w:val="none"/>
              </w:rPr>
              <w:t>5</w:t>
            </w:r>
            <w:r>
              <w:rPr>
                <w:color w:val="auto"/>
                <w:spacing w:val="-33"/>
                <w:highlight w:val="none"/>
              </w:rPr>
              <w:t xml:space="preserve"> </w:t>
            </w:r>
            <w:r>
              <w:rPr>
                <w:color w:val="auto"/>
                <w:spacing w:val="2"/>
                <w:highlight w:val="none"/>
              </w:rPr>
              <w:t>号楼</w:t>
            </w:r>
            <w:r>
              <w:rPr>
                <w:color w:val="auto"/>
                <w:spacing w:val="-24"/>
                <w:highlight w:val="none"/>
              </w:rPr>
              <w:t xml:space="preserve"> </w:t>
            </w:r>
            <w:r>
              <w:rPr>
                <w:color w:val="auto"/>
                <w:spacing w:val="2"/>
                <w:highlight w:val="none"/>
              </w:rPr>
              <w:t>115</w:t>
            </w:r>
            <w:r>
              <w:rPr>
                <w:color w:val="auto"/>
                <w:spacing w:val="-33"/>
                <w:highlight w:val="none"/>
              </w:rPr>
              <w:t xml:space="preserve"> </w:t>
            </w:r>
            <w:r>
              <w:rPr>
                <w:color w:val="auto"/>
                <w:spacing w:val="2"/>
                <w:highlight w:val="none"/>
              </w:rPr>
              <w:t>号</w:t>
            </w:r>
          </w:p>
        </w:tc>
        <w:tc>
          <w:tcPr>
            <w:tcW w:w="2128" w:type="dxa"/>
            <w:vAlign w:val="top"/>
          </w:tcPr>
          <w:p w14:paraId="093A1314">
            <w:pPr>
              <w:pStyle w:val="15"/>
              <w:spacing w:before="258" w:line="190" w:lineRule="auto"/>
              <w:ind w:left="439"/>
              <w:rPr>
                <w:color w:val="auto"/>
                <w:highlight w:val="none"/>
              </w:rPr>
            </w:pPr>
            <w:r>
              <w:rPr>
                <w:color w:val="auto"/>
                <w:spacing w:val="4"/>
                <w:highlight w:val="none"/>
              </w:rPr>
              <w:t>0771-3522157</w:t>
            </w:r>
          </w:p>
        </w:tc>
      </w:tr>
      <w:tr w14:paraId="40B2D2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1DEBA940">
            <w:pPr>
              <w:pStyle w:val="15"/>
              <w:spacing w:before="227" w:line="228" w:lineRule="auto"/>
              <w:ind w:left="116"/>
              <w:rPr>
                <w:color w:val="auto"/>
                <w:highlight w:val="none"/>
              </w:rPr>
            </w:pPr>
            <w:r>
              <w:rPr>
                <w:color w:val="auto"/>
                <w:spacing w:val="9"/>
                <w:highlight w:val="none"/>
              </w:rPr>
              <w:t>广西北部湾银行天等支行</w:t>
            </w:r>
          </w:p>
        </w:tc>
        <w:tc>
          <w:tcPr>
            <w:tcW w:w="3513" w:type="dxa"/>
            <w:vAlign w:val="top"/>
          </w:tcPr>
          <w:p w14:paraId="43D082E7">
            <w:pPr>
              <w:pStyle w:val="15"/>
              <w:spacing w:before="63" w:line="274" w:lineRule="auto"/>
              <w:ind w:left="116" w:right="253"/>
              <w:rPr>
                <w:color w:val="auto"/>
                <w:highlight w:val="none"/>
              </w:rPr>
            </w:pPr>
            <w:r>
              <w:rPr>
                <w:color w:val="auto"/>
                <w:spacing w:val="6"/>
                <w:highlight w:val="none"/>
              </w:rPr>
              <w:t>崇左市天等县天宝南路</w:t>
            </w:r>
            <w:r>
              <w:rPr>
                <w:color w:val="auto"/>
                <w:spacing w:val="-27"/>
                <w:highlight w:val="none"/>
              </w:rPr>
              <w:t xml:space="preserve"> </w:t>
            </w:r>
            <w:r>
              <w:rPr>
                <w:color w:val="auto"/>
                <w:spacing w:val="6"/>
                <w:highlight w:val="none"/>
              </w:rPr>
              <w:t>002</w:t>
            </w:r>
            <w:r>
              <w:rPr>
                <w:color w:val="auto"/>
                <w:spacing w:val="-33"/>
                <w:highlight w:val="none"/>
              </w:rPr>
              <w:t xml:space="preserve"> </w:t>
            </w:r>
            <w:r>
              <w:rPr>
                <w:color w:val="auto"/>
                <w:spacing w:val="6"/>
                <w:highlight w:val="none"/>
              </w:rPr>
              <w:t>号天富</w:t>
            </w:r>
            <w:r>
              <w:rPr>
                <w:color w:val="auto"/>
                <w:highlight w:val="none"/>
              </w:rPr>
              <w:t xml:space="preserve"> </w:t>
            </w:r>
            <w:r>
              <w:rPr>
                <w:color w:val="auto"/>
                <w:spacing w:val="4"/>
                <w:highlight w:val="none"/>
              </w:rPr>
              <w:t>商业广场</w:t>
            </w:r>
            <w:r>
              <w:rPr>
                <w:color w:val="auto"/>
                <w:spacing w:val="-25"/>
                <w:highlight w:val="none"/>
              </w:rPr>
              <w:t xml:space="preserve"> </w:t>
            </w:r>
            <w:r>
              <w:rPr>
                <w:color w:val="auto"/>
                <w:spacing w:val="4"/>
                <w:highlight w:val="none"/>
              </w:rPr>
              <w:t>28</w:t>
            </w:r>
            <w:r>
              <w:rPr>
                <w:color w:val="auto"/>
                <w:spacing w:val="-38"/>
                <w:highlight w:val="none"/>
              </w:rPr>
              <w:t xml:space="preserve"> </w:t>
            </w:r>
            <w:r>
              <w:rPr>
                <w:color w:val="auto"/>
                <w:spacing w:val="4"/>
                <w:highlight w:val="none"/>
              </w:rPr>
              <w:t>栋一层商铺</w:t>
            </w:r>
            <w:r>
              <w:rPr>
                <w:color w:val="auto"/>
                <w:spacing w:val="-38"/>
                <w:highlight w:val="none"/>
              </w:rPr>
              <w:t xml:space="preserve"> </w:t>
            </w:r>
            <w:r>
              <w:rPr>
                <w:color w:val="auto"/>
                <w:spacing w:val="4"/>
                <w:highlight w:val="none"/>
              </w:rPr>
              <w:t>6-17</w:t>
            </w:r>
            <w:r>
              <w:rPr>
                <w:color w:val="auto"/>
                <w:spacing w:val="-35"/>
                <w:highlight w:val="none"/>
              </w:rPr>
              <w:t xml:space="preserve"> </w:t>
            </w:r>
            <w:r>
              <w:rPr>
                <w:color w:val="auto"/>
                <w:spacing w:val="4"/>
                <w:highlight w:val="none"/>
              </w:rPr>
              <w:t>号</w:t>
            </w:r>
          </w:p>
        </w:tc>
        <w:tc>
          <w:tcPr>
            <w:tcW w:w="2128" w:type="dxa"/>
            <w:vAlign w:val="top"/>
          </w:tcPr>
          <w:p w14:paraId="6EFC488A">
            <w:pPr>
              <w:pStyle w:val="15"/>
              <w:spacing w:before="259" w:line="190" w:lineRule="auto"/>
              <w:ind w:left="439"/>
              <w:rPr>
                <w:color w:val="auto"/>
                <w:highlight w:val="none"/>
              </w:rPr>
            </w:pPr>
            <w:r>
              <w:rPr>
                <w:color w:val="auto"/>
                <w:spacing w:val="4"/>
                <w:highlight w:val="none"/>
              </w:rPr>
              <w:t>0771-3528688</w:t>
            </w:r>
          </w:p>
        </w:tc>
      </w:tr>
      <w:tr w14:paraId="13446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318" w:type="dxa"/>
            <w:gridSpan w:val="3"/>
            <w:vAlign w:val="top"/>
          </w:tcPr>
          <w:p w14:paraId="702087FD">
            <w:pPr>
              <w:pStyle w:val="15"/>
              <w:spacing w:before="64" w:line="228" w:lineRule="auto"/>
              <w:ind w:left="120"/>
              <w:rPr>
                <w:color w:val="auto"/>
                <w:highlight w:val="none"/>
              </w:rPr>
            </w:pPr>
            <w:r>
              <w:rPr>
                <w:b/>
                <w:bCs/>
                <w:color w:val="auto"/>
                <w:spacing w:val="4"/>
                <w:highlight w:val="none"/>
              </w:rPr>
              <w:t>凭祥市</w:t>
            </w:r>
          </w:p>
        </w:tc>
      </w:tr>
      <w:tr w14:paraId="2E921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677" w:type="dxa"/>
            <w:vAlign w:val="top"/>
          </w:tcPr>
          <w:p w14:paraId="2DBF3CAD">
            <w:pPr>
              <w:pStyle w:val="15"/>
              <w:spacing w:before="118" w:line="228" w:lineRule="auto"/>
              <w:ind w:left="119"/>
              <w:rPr>
                <w:color w:val="auto"/>
                <w:highlight w:val="none"/>
              </w:rPr>
            </w:pPr>
            <w:r>
              <w:rPr>
                <w:color w:val="auto"/>
                <w:spacing w:val="8"/>
                <w:highlight w:val="none"/>
              </w:rPr>
              <w:t>工商银行凭祥分行</w:t>
            </w:r>
          </w:p>
        </w:tc>
        <w:tc>
          <w:tcPr>
            <w:tcW w:w="3513" w:type="dxa"/>
            <w:vAlign w:val="top"/>
          </w:tcPr>
          <w:p w14:paraId="428C3922">
            <w:pPr>
              <w:pStyle w:val="15"/>
              <w:spacing w:before="118" w:line="228" w:lineRule="auto"/>
              <w:ind w:left="117"/>
              <w:rPr>
                <w:color w:val="auto"/>
                <w:highlight w:val="none"/>
              </w:rPr>
            </w:pPr>
            <w:r>
              <w:rPr>
                <w:color w:val="auto"/>
                <w:spacing w:val="4"/>
                <w:highlight w:val="none"/>
              </w:rPr>
              <w:t>凭祥市新华路</w:t>
            </w:r>
            <w:r>
              <w:rPr>
                <w:color w:val="auto"/>
                <w:spacing w:val="-31"/>
                <w:highlight w:val="none"/>
              </w:rPr>
              <w:t xml:space="preserve"> </w:t>
            </w:r>
            <w:r>
              <w:rPr>
                <w:color w:val="auto"/>
                <w:spacing w:val="4"/>
                <w:highlight w:val="none"/>
              </w:rPr>
              <w:t>5</w:t>
            </w:r>
            <w:r>
              <w:rPr>
                <w:color w:val="auto"/>
                <w:spacing w:val="-33"/>
                <w:highlight w:val="none"/>
              </w:rPr>
              <w:t xml:space="preserve"> </w:t>
            </w:r>
            <w:r>
              <w:rPr>
                <w:color w:val="auto"/>
                <w:spacing w:val="4"/>
                <w:highlight w:val="none"/>
              </w:rPr>
              <w:t>号</w:t>
            </w:r>
          </w:p>
        </w:tc>
        <w:tc>
          <w:tcPr>
            <w:tcW w:w="2128" w:type="dxa"/>
            <w:vAlign w:val="top"/>
          </w:tcPr>
          <w:p w14:paraId="4C44A8D4">
            <w:pPr>
              <w:pStyle w:val="15"/>
              <w:spacing w:before="150" w:line="190" w:lineRule="auto"/>
              <w:ind w:left="439"/>
              <w:rPr>
                <w:color w:val="auto"/>
                <w:highlight w:val="none"/>
              </w:rPr>
            </w:pPr>
            <w:r>
              <w:rPr>
                <w:color w:val="auto"/>
                <w:spacing w:val="4"/>
                <w:highlight w:val="none"/>
              </w:rPr>
              <w:t>0771-8529259</w:t>
            </w:r>
          </w:p>
        </w:tc>
      </w:tr>
      <w:tr w14:paraId="3AB56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677" w:type="dxa"/>
            <w:vAlign w:val="top"/>
          </w:tcPr>
          <w:p w14:paraId="754A3BE2">
            <w:pPr>
              <w:pStyle w:val="15"/>
              <w:spacing w:before="64" w:line="228" w:lineRule="auto"/>
              <w:ind w:left="116"/>
              <w:rPr>
                <w:color w:val="auto"/>
                <w:highlight w:val="none"/>
              </w:rPr>
            </w:pPr>
            <w:r>
              <w:rPr>
                <w:color w:val="auto"/>
                <w:spacing w:val="8"/>
                <w:highlight w:val="none"/>
              </w:rPr>
              <w:t>农业银行凭祥支行</w:t>
            </w:r>
          </w:p>
        </w:tc>
        <w:tc>
          <w:tcPr>
            <w:tcW w:w="3513" w:type="dxa"/>
            <w:vAlign w:val="top"/>
          </w:tcPr>
          <w:p w14:paraId="77536932">
            <w:pPr>
              <w:pStyle w:val="15"/>
              <w:spacing w:before="64" w:line="228" w:lineRule="auto"/>
              <w:ind w:left="117"/>
              <w:rPr>
                <w:color w:val="auto"/>
                <w:highlight w:val="none"/>
              </w:rPr>
            </w:pPr>
            <w:r>
              <w:rPr>
                <w:color w:val="auto"/>
                <w:spacing w:val="5"/>
                <w:highlight w:val="none"/>
              </w:rPr>
              <w:t>凭祥市北大路</w:t>
            </w:r>
            <w:r>
              <w:rPr>
                <w:color w:val="auto"/>
                <w:spacing w:val="-37"/>
                <w:highlight w:val="none"/>
              </w:rPr>
              <w:t xml:space="preserve"> </w:t>
            </w:r>
            <w:r>
              <w:rPr>
                <w:color w:val="auto"/>
                <w:spacing w:val="5"/>
                <w:highlight w:val="none"/>
              </w:rPr>
              <w:t>216</w:t>
            </w:r>
            <w:r>
              <w:rPr>
                <w:color w:val="auto"/>
                <w:spacing w:val="-33"/>
                <w:highlight w:val="none"/>
              </w:rPr>
              <w:t xml:space="preserve"> </w:t>
            </w:r>
            <w:r>
              <w:rPr>
                <w:color w:val="auto"/>
                <w:spacing w:val="5"/>
                <w:highlight w:val="none"/>
              </w:rPr>
              <w:t>号</w:t>
            </w:r>
          </w:p>
        </w:tc>
        <w:tc>
          <w:tcPr>
            <w:tcW w:w="2128" w:type="dxa"/>
            <w:vAlign w:val="top"/>
          </w:tcPr>
          <w:p w14:paraId="7CD00D0B">
            <w:pPr>
              <w:pStyle w:val="15"/>
              <w:spacing w:before="96" w:line="190" w:lineRule="auto"/>
              <w:ind w:left="439"/>
              <w:rPr>
                <w:color w:val="auto"/>
                <w:highlight w:val="none"/>
              </w:rPr>
            </w:pPr>
            <w:r>
              <w:rPr>
                <w:color w:val="auto"/>
                <w:spacing w:val="4"/>
                <w:highlight w:val="none"/>
              </w:rPr>
              <w:t>0771-7917258</w:t>
            </w:r>
          </w:p>
        </w:tc>
      </w:tr>
      <w:tr w14:paraId="70C88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677" w:type="dxa"/>
            <w:vAlign w:val="top"/>
          </w:tcPr>
          <w:p w14:paraId="2CBAF5CD">
            <w:pPr>
              <w:pStyle w:val="15"/>
              <w:spacing w:before="227" w:line="228" w:lineRule="auto"/>
              <w:ind w:left="119"/>
              <w:rPr>
                <w:color w:val="auto"/>
                <w:highlight w:val="none"/>
              </w:rPr>
            </w:pPr>
            <w:r>
              <w:rPr>
                <w:color w:val="auto"/>
                <w:spacing w:val="7"/>
                <w:highlight w:val="none"/>
              </w:rPr>
              <w:t>建行凭祥支行</w:t>
            </w:r>
          </w:p>
        </w:tc>
        <w:tc>
          <w:tcPr>
            <w:tcW w:w="3513" w:type="dxa"/>
            <w:vAlign w:val="top"/>
          </w:tcPr>
          <w:p w14:paraId="0D3EF543">
            <w:pPr>
              <w:pStyle w:val="15"/>
              <w:spacing w:before="227" w:line="228" w:lineRule="auto"/>
              <w:ind w:left="117"/>
              <w:rPr>
                <w:color w:val="auto"/>
                <w:highlight w:val="none"/>
              </w:rPr>
            </w:pPr>
            <w:r>
              <w:rPr>
                <w:color w:val="auto"/>
                <w:spacing w:val="3"/>
                <w:highlight w:val="none"/>
              </w:rPr>
              <w:t>凭祥市屏山路</w:t>
            </w:r>
            <w:r>
              <w:rPr>
                <w:color w:val="auto"/>
                <w:spacing w:val="-18"/>
                <w:highlight w:val="none"/>
              </w:rPr>
              <w:t xml:space="preserve"> </w:t>
            </w:r>
            <w:r>
              <w:rPr>
                <w:color w:val="auto"/>
                <w:spacing w:val="3"/>
                <w:highlight w:val="none"/>
              </w:rPr>
              <w:t>138</w:t>
            </w:r>
            <w:r>
              <w:rPr>
                <w:color w:val="auto"/>
                <w:spacing w:val="-33"/>
                <w:highlight w:val="none"/>
              </w:rPr>
              <w:t xml:space="preserve"> </w:t>
            </w:r>
            <w:r>
              <w:rPr>
                <w:color w:val="auto"/>
                <w:spacing w:val="3"/>
                <w:highlight w:val="none"/>
              </w:rPr>
              <w:t>号</w:t>
            </w:r>
          </w:p>
        </w:tc>
        <w:tc>
          <w:tcPr>
            <w:tcW w:w="2128" w:type="dxa"/>
            <w:vAlign w:val="top"/>
          </w:tcPr>
          <w:p w14:paraId="189F1828">
            <w:pPr>
              <w:pStyle w:val="15"/>
              <w:spacing w:before="95" w:line="190" w:lineRule="auto"/>
              <w:ind w:left="439"/>
              <w:rPr>
                <w:color w:val="auto"/>
                <w:highlight w:val="none"/>
              </w:rPr>
            </w:pPr>
            <w:r>
              <w:rPr>
                <w:color w:val="auto"/>
                <w:spacing w:val="4"/>
                <w:highlight w:val="none"/>
              </w:rPr>
              <w:t>0771-8525068</w:t>
            </w:r>
          </w:p>
          <w:p w14:paraId="7CE3A270">
            <w:pPr>
              <w:pStyle w:val="15"/>
              <w:spacing w:before="125" w:line="190" w:lineRule="auto"/>
              <w:ind w:left="439"/>
              <w:rPr>
                <w:color w:val="auto"/>
                <w:highlight w:val="none"/>
              </w:rPr>
            </w:pPr>
            <w:r>
              <w:rPr>
                <w:color w:val="auto"/>
                <w:spacing w:val="4"/>
                <w:highlight w:val="none"/>
              </w:rPr>
              <w:t>0771-8536852</w:t>
            </w:r>
          </w:p>
        </w:tc>
      </w:tr>
      <w:tr w14:paraId="3D116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677" w:type="dxa"/>
            <w:vAlign w:val="top"/>
          </w:tcPr>
          <w:p w14:paraId="000EBBD1">
            <w:pPr>
              <w:pStyle w:val="15"/>
              <w:spacing w:before="227" w:line="228" w:lineRule="auto"/>
              <w:ind w:left="119"/>
              <w:rPr>
                <w:color w:val="auto"/>
                <w:highlight w:val="none"/>
              </w:rPr>
            </w:pPr>
            <w:r>
              <w:rPr>
                <w:color w:val="auto"/>
                <w:spacing w:val="8"/>
                <w:highlight w:val="none"/>
              </w:rPr>
              <w:t>建行凭祥中区支行</w:t>
            </w:r>
          </w:p>
        </w:tc>
        <w:tc>
          <w:tcPr>
            <w:tcW w:w="3513" w:type="dxa"/>
            <w:vAlign w:val="top"/>
          </w:tcPr>
          <w:p w14:paraId="1FF857D6">
            <w:pPr>
              <w:pStyle w:val="15"/>
              <w:spacing w:before="64" w:line="273" w:lineRule="auto"/>
              <w:ind w:left="115" w:right="202" w:firstLine="2"/>
              <w:rPr>
                <w:color w:val="auto"/>
                <w:highlight w:val="none"/>
              </w:rPr>
            </w:pPr>
            <w:r>
              <w:rPr>
                <w:color w:val="auto"/>
                <w:spacing w:val="5"/>
                <w:highlight w:val="none"/>
              </w:rPr>
              <w:t>凭祥市金象大道香格里拉</w:t>
            </w:r>
            <w:r>
              <w:rPr>
                <w:color w:val="auto"/>
                <w:spacing w:val="-33"/>
                <w:highlight w:val="none"/>
              </w:rPr>
              <w:t xml:space="preserve"> </w:t>
            </w:r>
            <w:r>
              <w:rPr>
                <w:color w:val="auto"/>
                <w:spacing w:val="5"/>
                <w:highlight w:val="none"/>
              </w:rPr>
              <w:t>3</w:t>
            </w:r>
            <w:r>
              <w:rPr>
                <w:color w:val="auto"/>
                <w:spacing w:val="-30"/>
                <w:highlight w:val="none"/>
              </w:rPr>
              <w:t xml:space="preserve"> </w:t>
            </w:r>
            <w:r>
              <w:rPr>
                <w:color w:val="auto"/>
                <w:spacing w:val="5"/>
                <w:highlight w:val="none"/>
              </w:rPr>
              <w:t>幢</w:t>
            </w:r>
            <w:r>
              <w:rPr>
                <w:color w:val="auto"/>
                <w:spacing w:val="-35"/>
                <w:highlight w:val="none"/>
              </w:rPr>
              <w:t xml:space="preserve"> </w:t>
            </w:r>
            <w:r>
              <w:rPr>
                <w:color w:val="auto"/>
                <w:spacing w:val="5"/>
                <w:highlight w:val="none"/>
              </w:rPr>
              <w:t>3-01</w:t>
            </w:r>
            <w:r>
              <w:rPr>
                <w:color w:val="auto"/>
                <w:highlight w:val="none"/>
              </w:rPr>
              <w:t xml:space="preserve"> </w:t>
            </w:r>
            <w:r>
              <w:rPr>
                <w:color w:val="auto"/>
                <w:spacing w:val="2"/>
                <w:highlight w:val="none"/>
              </w:rPr>
              <w:t>至</w:t>
            </w:r>
            <w:r>
              <w:rPr>
                <w:color w:val="auto"/>
                <w:spacing w:val="-29"/>
                <w:highlight w:val="none"/>
              </w:rPr>
              <w:t xml:space="preserve"> </w:t>
            </w:r>
            <w:r>
              <w:rPr>
                <w:color w:val="auto"/>
                <w:spacing w:val="2"/>
                <w:highlight w:val="none"/>
              </w:rPr>
              <w:t>3-03</w:t>
            </w:r>
            <w:r>
              <w:rPr>
                <w:color w:val="auto"/>
                <w:spacing w:val="-35"/>
                <w:highlight w:val="none"/>
              </w:rPr>
              <w:t xml:space="preserve"> </w:t>
            </w:r>
            <w:r>
              <w:rPr>
                <w:color w:val="auto"/>
                <w:spacing w:val="2"/>
                <w:highlight w:val="none"/>
              </w:rPr>
              <w:t>号商铺</w:t>
            </w:r>
          </w:p>
        </w:tc>
        <w:tc>
          <w:tcPr>
            <w:tcW w:w="2128" w:type="dxa"/>
            <w:vAlign w:val="top"/>
          </w:tcPr>
          <w:p w14:paraId="355C1C67">
            <w:pPr>
              <w:pStyle w:val="15"/>
              <w:spacing w:before="259" w:line="190" w:lineRule="auto"/>
              <w:ind w:left="439"/>
              <w:rPr>
                <w:color w:val="auto"/>
                <w:highlight w:val="none"/>
              </w:rPr>
            </w:pPr>
            <w:r>
              <w:rPr>
                <w:color w:val="auto"/>
                <w:spacing w:val="4"/>
                <w:highlight w:val="none"/>
              </w:rPr>
              <w:t>0771-8551161</w:t>
            </w:r>
          </w:p>
        </w:tc>
      </w:tr>
      <w:tr w14:paraId="53DF0E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677" w:type="dxa"/>
            <w:vAlign w:val="top"/>
          </w:tcPr>
          <w:p w14:paraId="45532A36">
            <w:pPr>
              <w:pStyle w:val="15"/>
              <w:spacing w:before="64" w:line="228" w:lineRule="auto"/>
              <w:ind w:left="119"/>
              <w:rPr>
                <w:color w:val="auto"/>
                <w:highlight w:val="none"/>
              </w:rPr>
            </w:pPr>
            <w:r>
              <w:rPr>
                <w:color w:val="auto"/>
                <w:spacing w:val="8"/>
                <w:highlight w:val="none"/>
              </w:rPr>
              <w:t>建行凭祥浦寨支行</w:t>
            </w:r>
          </w:p>
        </w:tc>
        <w:tc>
          <w:tcPr>
            <w:tcW w:w="3513" w:type="dxa"/>
            <w:vAlign w:val="top"/>
          </w:tcPr>
          <w:p w14:paraId="215D90CA">
            <w:pPr>
              <w:pStyle w:val="15"/>
              <w:spacing w:before="64" w:line="228" w:lineRule="auto"/>
              <w:ind w:left="117"/>
              <w:rPr>
                <w:color w:val="auto"/>
                <w:highlight w:val="none"/>
              </w:rPr>
            </w:pPr>
            <w:r>
              <w:rPr>
                <w:color w:val="auto"/>
                <w:spacing w:val="7"/>
                <w:highlight w:val="none"/>
              </w:rPr>
              <w:t>凭祥市浦寨商业城万泰一楼</w:t>
            </w:r>
            <w:r>
              <w:rPr>
                <w:color w:val="auto"/>
                <w:spacing w:val="-39"/>
                <w:highlight w:val="none"/>
              </w:rPr>
              <w:t xml:space="preserve"> </w:t>
            </w:r>
            <w:r>
              <w:rPr>
                <w:color w:val="auto"/>
                <w:spacing w:val="7"/>
                <w:highlight w:val="none"/>
              </w:rPr>
              <w:t>8-9</w:t>
            </w:r>
            <w:r>
              <w:rPr>
                <w:color w:val="auto"/>
                <w:spacing w:val="-33"/>
                <w:highlight w:val="none"/>
              </w:rPr>
              <w:t xml:space="preserve"> </w:t>
            </w:r>
            <w:r>
              <w:rPr>
                <w:color w:val="auto"/>
                <w:spacing w:val="7"/>
                <w:highlight w:val="none"/>
              </w:rPr>
              <w:t>号</w:t>
            </w:r>
          </w:p>
        </w:tc>
        <w:tc>
          <w:tcPr>
            <w:tcW w:w="2128" w:type="dxa"/>
            <w:vAlign w:val="top"/>
          </w:tcPr>
          <w:p w14:paraId="60B6539A">
            <w:pPr>
              <w:pStyle w:val="15"/>
              <w:spacing w:before="96" w:line="190" w:lineRule="auto"/>
              <w:ind w:left="439"/>
              <w:rPr>
                <w:color w:val="auto"/>
                <w:highlight w:val="none"/>
              </w:rPr>
            </w:pPr>
            <w:r>
              <w:rPr>
                <w:color w:val="auto"/>
                <w:spacing w:val="4"/>
                <w:highlight w:val="none"/>
              </w:rPr>
              <w:t>0771-8561665</w:t>
            </w:r>
          </w:p>
        </w:tc>
      </w:tr>
      <w:tr w14:paraId="092AB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677" w:type="dxa"/>
            <w:vAlign w:val="top"/>
          </w:tcPr>
          <w:p w14:paraId="6ECBE12B">
            <w:pPr>
              <w:pStyle w:val="15"/>
              <w:spacing w:before="64" w:line="228" w:lineRule="auto"/>
              <w:ind w:left="136"/>
              <w:rPr>
                <w:color w:val="auto"/>
                <w:highlight w:val="none"/>
              </w:rPr>
            </w:pPr>
            <w:r>
              <w:rPr>
                <w:color w:val="auto"/>
                <w:spacing w:val="6"/>
                <w:highlight w:val="none"/>
              </w:rPr>
              <w:t>中国银行凭祥支行</w:t>
            </w:r>
          </w:p>
        </w:tc>
        <w:tc>
          <w:tcPr>
            <w:tcW w:w="3513" w:type="dxa"/>
            <w:vAlign w:val="top"/>
          </w:tcPr>
          <w:p w14:paraId="0C64B2E1">
            <w:pPr>
              <w:pStyle w:val="15"/>
              <w:spacing w:before="64" w:line="228" w:lineRule="auto"/>
              <w:ind w:left="117"/>
              <w:rPr>
                <w:color w:val="auto"/>
                <w:highlight w:val="none"/>
              </w:rPr>
            </w:pPr>
            <w:r>
              <w:rPr>
                <w:color w:val="auto"/>
                <w:spacing w:val="3"/>
                <w:highlight w:val="none"/>
              </w:rPr>
              <w:t>凭祥市-北环路</w:t>
            </w:r>
            <w:r>
              <w:rPr>
                <w:color w:val="auto"/>
                <w:spacing w:val="-15"/>
                <w:highlight w:val="none"/>
              </w:rPr>
              <w:t xml:space="preserve"> </w:t>
            </w:r>
            <w:r>
              <w:rPr>
                <w:color w:val="auto"/>
                <w:spacing w:val="3"/>
                <w:highlight w:val="none"/>
              </w:rPr>
              <w:t>112</w:t>
            </w:r>
            <w:r>
              <w:rPr>
                <w:color w:val="auto"/>
                <w:spacing w:val="-33"/>
                <w:highlight w:val="none"/>
              </w:rPr>
              <w:t xml:space="preserve"> </w:t>
            </w:r>
            <w:r>
              <w:rPr>
                <w:color w:val="auto"/>
                <w:spacing w:val="3"/>
                <w:highlight w:val="none"/>
              </w:rPr>
              <w:t>号</w:t>
            </w:r>
          </w:p>
        </w:tc>
        <w:tc>
          <w:tcPr>
            <w:tcW w:w="2128" w:type="dxa"/>
            <w:vAlign w:val="top"/>
          </w:tcPr>
          <w:p w14:paraId="53515FE0">
            <w:pPr>
              <w:pStyle w:val="15"/>
              <w:spacing w:before="96" w:line="190" w:lineRule="auto"/>
              <w:ind w:left="439"/>
              <w:rPr>
                <w:color w:val="auto"/>
                <w:highlight w:val="none"/>
              </w:rPr>
            </w:pPr>
            <w:r>
              <w:rPr>
                <w:color w:val="auto"/>
                <w:spacing w:val="4"/>
                <w:highlight w:val="none"/>
              </w:rPr>
              <w:t>0771-8520356</w:t>
            </w:r>
          </w:p>
        </w:tc>
      </w:tr>
      <w:tr w14:paraId="727E4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2677" w:type="dxa"/>
            <w:vAlign w:val="top"/>
          </w:tcPr>
          <w:p w14:paraId="68E1714F">
            <w:pPr>
              <w:pStyle w:val="15"/>
              <w:spacing w:before="64" w:line="228" w:lineRule="auto"/>
              <w:ind w:left="120"/>
              <w:rPr>
                <w:color w:val="auto"/>
                <w:highlight w:val="none"/>
              </w:rPr>
            </w:pPr>
            <w:r>
              <w:rPr>
                <w:color w:val="auto"/>
                <w:spacing w:val="8"/>
                <w:highlight w:val="none"/>
              </w:rPr>
              <w:t>凭祥农商行业务拓展部</w:t>
            </w:r>
          </w:p>
        </w:tc>
        <w:tc>
          <w:tcPr>
            <w:tcW w:w="3513" w:type="dxa"/>
            <w:vAlign w:val="top"/>
          </w:tcPr>
          <w:p w14:paraId="7940B189">
            <w:pPr>
              <w:pStyle w:val="15"/>
              <w:spacing w:before="64" w:line="228" w:lineRule="auto"/>
              <w:ind w:left="117"/>
              <w:rPr>
                <w:color w:val="auto"/>
                <w:highlight w:val="none"/>
              </w:rPr>
            </w:pPr>
            <w:r>
              <w:rPr>
                <w:color w:val="auto"/>
                <w:spacing w:val="4"/>
                <w:highlight w:val="none"/>
              </w:rPr>
              <w:t>凭祥市友谊关大道</w:t>
            </w:r>
            <w:r>
              <w:rPr>
                <w:color w:val="auto"/>
                <w:spacing w:val="-17"/>
                <w:highlight w:val="none"/>
              </w:rPr>
              <w:t xml:space="preserve"> </w:t>
            </w:r>
            <w:r>
              <w:rPr>
                <w:color w:val="auto"/>
                <w:spacing w:val="4"/>
                <w:highlight w:val="none"/>
              </w:rPr>
              <w:t>13</w:t>
            </w:r>
            <w:r>
              <w:rPr>
                <w:color w:val="auto"/>
                <w:spacing w:val="-33"/>
                <w:highlight w:val="none"/>
              </w:rPr>
              <w:t xml:space="preserve"> </w:t>
            </w:r>
            <w:r>
              <w:rPr>
                <w:color w:val="auto"/>
                <w:spacing w:val="4"/>
                <w:highlight w:val="none"/>
              </w:rPr>
              <w:t>号</w:t>
            </w:r>
          </w:p>
        </w:tc>
        <w:tc>
          <w:tcPr>
            <w:tcW w:w="2128" w:type="dxa"/>
            <w:vAlign w:val="top"/>
          </w:tcPr>
          <w:p w14:paraId="540EB923">
            <w:pPr>
              <w:pStyle w:val="15"/>
              <w:spacing w:before="96" w:line="190" w:lineRule="auto"/>
              <w:ind w:left="439"/>
              <w:rPr>
                <w:color w:val="auto"/>
                <w:highlight w:val="none"/>
              </w:rPr>
            </w:pPr>
            <w:r>
              <w:rPr>
                <w:color w:val="auto"/>
                <w:spacing w:val="4"/>
                <w:highlight w:val="none"/>
              </w:rPr>
              <w:t>0771-8535667</w:t>
            </w:r>
          </w:p>
        </w:tc>
      </w:tr>
      <w:tr w14:paraId="6A1FD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2677" w:type="dxa"/>
            <w:vAlign w:val="top"/>
          </w:tcPr>
          <w:p w14:paraId="0E6EA9A7">
            <w:pPr>
              <w:pStyle w:val="15"/>
              <w:spacing w:before="64" w:line="273" w:lineRule="auto"/>
              <w:ind w:left="119" w:right="254" w:hanging="1"/>
              <w:rPr>
                <w:color w:val="auto"/>
                <w:highlight w:val="none"/>
              </w:rPr>
            </w:pPr>
            <w:r>
              <w:rPr>
                <w:color w:val="auto"/>
                <w:spacing w:val="9"/>
                <w:highlight w:val="none"/>
              </w:rPr>
              <w:t>桂林银行广西自贸试验区</w:t>
            </w:r>
            <w:r>
              <w:rPr>
                <w:color w:val="auto"/>
                <w:highlight w:val="none"/>
              </w:rPr>
              <w:t xml:space="preserve"> </w:t>
            </w:r>
            <w:r>
              <w:rPr>
                <w:color w:val="auto"/>
                <w:spacing w:val="8"/>
                <w:highlight w:val="none"/>
              </w:rPr>
              <w:t>崇左片区凭祥支行</w:t>
            </w:r>
          </w:p>
        </w:tc>
        <w:tc>
          <w:tcPr>
            <w:tcW w:w="3513" w:type="dxa"/>
            <w:vAlign w:val="top"/>
          </w:tcPr>
          <w:p w14:paraId="46CE2EAB">
            <w:pPr>
              <w:pStyle w:val="15"/>
              <w:spacing w:before="229" w:line="228" w:lineRule="auto"/>
              <w:ind w:left="117"/>
              <w:rPr>
                <w:color w:val="auto"/>
                <w:highlight w:val="none"/>
              </w:rPr>
            </w:pPr>
            <w:r>
              <w:rPr>
                <w:color w:val="auto"/>
                <w:spacing w:val="6"/>
                <w:highlight w:val="none"/>
              </w:rPr>
              <w:t>凭祥市北大路一支</w:t>
            </w:r>
            <w:r>
              <w:rPr>
                <w:color w:val="auto"/>
                <w:spacing w:val="-39"/>
                <w:highlight w:val="none"/>
              </w:rPr>
              <w:t xml:space="preserve"> </w:t>
            </w:r>
            <w:r>
              <w:rPr>
                <w:color w:val="auto"/>
                <w:spacing w:val="6"/>
                <w:highlight w:val="none"/>
              </w:rPr>
              <w:t>40</w:t>
            </w:r>
            <w:r>
              <w:rPr>
                <w:color w:val="auto"/>
                <w:spacing w:val="-33"/>
                <w:highlight w:val="none"/>
              </w:rPr>
              <w:t xml:space="preserve"> </w:t>
            </w:r>
            <w:r>
              <w:rPr>
                <w:color w:val="auto"/>
                <w:spacing w:val="6"/>
                <w:highlight w:val="none"/>
              </w:rPr>
              <w:t>号</w:t>
            </w:r>
          </w:p>
        </w:tc>
        <w:tc>
          <w:tcPr>
            <w:tcW w:w="2128" w:type="dxa"/>
            <w:vAlign w:val="top"/>
          </w:tcPr>
          <w:p w14:paraId="57F6F8FD">
            <w:pPr>
              <w:pStyle w:val="15"/>
              <w:spacing w:before="261" w:line="190" w:lineRule="auto"/>
              <w:ind w:left="439"/>
              <w:rPr>
                <w:color w:val="auto"/>
                <w:highlight w:val="none"/>
              </w:rPr>
            </w:pPr>
            <w:r>
              <w:rPr>
                <w:color w:val="auto"/>
                <w:spacing w:val="4"/>
                <w:highlight w:val="none"/>
              </w:rPr>
              <w:t>0771-8520550</w:t>
            </w:r>
          </w:p>
        </w:tc>
      </w:tr>
      <w:tr w14:paraId="3467F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2677" w:type="dxa"/>
            <w:vAlign w:val="top"/>
          </w:tcPr>
          <w:p w14:paraId="64F7DC55">
            <w:pPr>
              <w:pStyle w:val="15"/>
              <w:spacing w:before="65" w:line="275" w:lineRule="auto"/>
              <w:ind w:left="116" w:right="254"/>
              <w:rPr>
                <w:color w:val="auto"/>
                <w:highlight w:val="none"/>
              </w:rPr>
            </w:pPr>
            <w:r>
              <w:rPr>
                <w:color w:val="auto"/>
                <w:spacing w:val="9"/>
                <w:highlight w:val="none"/>
              </w:rPr>
              <w:t>广西北部湾银行广西自贸</w:t>
            </w:r>
            <w:r>
              <w:rPr>
                <w:color w:val="auto"/>
                <w:highlight w:val="none"/>
              </w:rPr>
              <w:t xml:space="preserve"> </w:t>
            </w:r>
            <w:r>
              <w:rPr>
                <w:color w:val="auto"/>
                <w:spacing w:val="9"/>
                <w:highlight w:val="none"/>
              </w:rPr>
              <w:t>试验区崇左片区凭祥支行</w:t>
            </w:r>
          </w:p>
        </w:tc>
        <w:tc>
          <w:tcPr>
            <w:tcW w:w="3513" w:type="dxa"/>
            <w:vAlign w:val="top"/>
          </w:tcPr>
          <w:p w14:paraId="264FF839">
            <w:pPr>
              <w:pStyle w:val="15"/>
              <w:spacing w:before="230" w:line="228" w:lineRule="auto"/>
              <w:ind w:left="117"/>
              <w:rPr>
                <w:color w:val="auto"/>
                <w:highlight w:val="none"/>
              </w:rPr>
            </w:pPr>
            <w:r>
              <w:rPr>
                <w:color w:val="auto"/>
                <w:spacing w:val="5"/>
                <w:highlight w:val="none"/>
              </w:rPr>
              <w:t>凭祥市北大路一支</w:t>
            </w:r>
            <w:r>
              <w:rPr>
                <w:color w:val="auto"/>
                <w:spacing w:val="-27"/>
                <w:highlight w:val="none"/>
              </w:rPr>
              <w:t xml:space="preserve"> </w:t>
            </w:r>
            <w:r>
              <w:rPr>
                <w:color w:val="auto"/>
                <w:spacing w:val="5"/>
                <w:highlight w:val="none"/>
              </w:rPr>
              <w:t>60-1</w:t>
            </w:r>
            <w:r>
              <w:rPr>
                <w:color w:val="auto"/>
                <w:spacing w:val="-33"/>
                <w:highlight w:val="none"/>
              </w:rPr>
              <w:t xml:space="preserve"> </w:t>
            </w:r>
            <w:r>
              <w:rPr>
                <w:color w:val="auto"/>
                <w:spacing w:val="5"/>
                <w:highlight w:val="none"/>
              </w:rPr>
              <w:t>号</w:t>
            </w:r>
          </w:p>
        </w:tc>
        <w:tc>
          <w:tcPr>
            <w:tcW w:w="2128" w:type="dxa"/>
            <w:vAlign w:val="top"/>
          </w:tcPr>
          <w:p w14:paraId="25DDA05E">
            <w:pPr>
              <w:pStyle w:val="15"/>
              <w:spacing w:before="262" w:line="190" w:lineRule="auto"/>
              <w:ind w:left="439"/>
              <w:rPr>
                <w:color w:val="auto"/>
                <w:highlight w:val="none"/>
              </w:rPr>
            </w:pPr>
            <w:r>
              <w:rPr>
                <w:color w:val="auto"/>
                <w:spacing w:val="4"/>
                <w:highlight w:val="none"/>
              </w:rPr>
              <w:t>0771-8556667</w:t>
            </w:r>
          </w:p>
        </w:tc>
      </w:tr>
    </w:tbl>
    <w:p w14:paraId="5B33C27F">
      <w:pPr>
        <w:pStyle w:val="2"/>
        <w:rPr>
          <w:color w:val="auto"/>
          <w:highlight w:val="none"/>
        </w:rPr>
      </w:pPr>
    </w:p>
    <w:p w14:paraId="6869BFE2">
      <w:pPr>
        <w:rPr>
          <w:color w:val="auto"/>
          <w:highlight w:val="none"/>
        </w:rPr>
        <w:sectPr>
          <w:footerReference r:id="rId69" w:type="default"/>
          <w:pgSz w:w="11906" w:h="16839"/>
          <w:pgMar w:top="1134" w:right="1785" w:bottom="882" w:left="1715" w:header="0" w:footer="720" w:gutter="0"/>
          <w:pgNumType w:fmt="decimal"/>
          <w:cols w:space="720" w:num="1"/>
        </w:sectPr>
      </w:pPr>
    </w:p>
    <w:p w14:paraId="087F4785">
      <w:pPr>
        <w:spacing w:before="56" w:line="220" w:lineRule="auto"/>
        <w:ind w:left="4040"/>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质疑函（格式）</w:t>
      </w:r>
    </w:p>
    <w:p w14:paraId="2BDA3061">
      <w:pPr>
        <w:spacing w:before="239" w:line="227" w:lineRule="auto"/>
        <w:ind w:left="42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一、质疑供应商基本信息：</w:t>
      </w:r>
    </w:p>
    <w:p w14:paraId="558445A7">
      <w:pPr>
        <w:spacing w:before="166" w:line="227" w:lineRule="auto"/>
        <w:ind w:left="418"/>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质疑供应商：</w:t>
      </w:r>
      <w:r>
        <w:rPr>
          <w:rFonts w:ascii="宋体" w:hAnsi="宋体" w:eastAsia="宋体" w:cs="宋体"/>
          <w:color w:val="auto"/>
          <w:sz w:val="20"/>
          <w:szCs w:val="20"/>
          <w:highlight w:val="none"/>
          <w:u w:val="single" w:color="auto"/>
        </w:rPr>
        <w:t xml:space="preserve">                                         </w:t>
      </w:r>
    </w:p>
    <w:p w14:paraId="0EB68897">
      <w:pPr>
        <w:spacing w:before="170" w:line="367" w:lineRule="auto"/>
        <w:ind w:left="417" w:right="1505"/>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地址：</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68"/>
          <w:sz w:val="20"/>
          <w:szCs w:val="20"/>
          <w:highlight w:val="none"/>
        </w:rPr>
        <w:t xml:space="preserve"> </w:t>
      </w:r>
      <w:r>
        <w:rPr>
          <w:rFonts w:ascii="宋体" w:hAnsi="宋体" w:eastAsia="宋体" w:cs="宋体"/>
          <w:color w:val="auto"/>
          <w:spacing w:val="5"/>
          <w:sz w:val="20"/>
          <w:szCs w:val="20"/>
          <w:highlight w:val="none"/>
        </w:rPr>
        <w:t>邮编：</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16"/>
          <w:sz w:val="20"/>
          <w:szCs w:val="20"/>
          <w:highlight w:val="none"/>
        </w:rPr>
        <w:t xml:space="preserve"> </w:t>
      </w:r>
      <w:r>
        <w:rPr>
          <w:rFonts w:ascii="宋体" w:hAnsi="宋体" w:eastAsia="宋体" w:cs="宋体"/>
          <w:color w:val="auto"/>
          <w:spacing w:val="6"/>
          <w:sz w:val="20"/>
          <w:szCs w:val="20"/>
          <w:highlight w:val="none"/>
        </w:rPr>
        <w:t>联系人：</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6"/>
          <w:sz w:val="20"/>
          <w:szCs w:val="20"/>
          <w:highlight w:val="none"/>
        </w:rPr>
        <w:t>联</w:t>
      </w:r>
      <w:r>
        <w:rPr>
          <w:rFonts w:ascii="宋体" w:hAnsi="宋体" w:eastAsia="宋体" w:cs="宋体"/>
          <w:color w:val="auto"/>
          <w:spacing w:val="5"/>
          <w:sz w:val="20"/>
          <w:szCs w:val="20"/>
          <w:highlight w:val="none"/>
        </w:rPr>
        <w:t>系电话：</w:t>
      </w:r>
      <w:r>
        <w:rPr>
          <w:rFonts w:ascii="宋体" w:hAnsi="宋体" w:eastAsia="宋体" w:cs="宋体"/>
          <w:color w:val="auto"/>
          <w:sz w:val="20"/>
          <w:szCs w:val="20"/>
          <w:highlight w:val="none"/>
          <w:u w:val="single" w:color="auto"/>
        </w:rPr>
        <w:t xml:space="preserve">                  </w:t>
      </w:r>
    </w:p>
    <w:p w14:paraId="6EF320B4">
      <w:pPr>
        <w:spacing w:before="32" w:line="367" w:lineRule="auto"/>
        <w:ind w:left="417" w:right="5705" w:hanging="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授权代表：</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15"/>
          <w:sz w:val="20"/>
          <w:szCs w:val="20"/>
          <w:highlight w:val="none"/>
        </w:rPr>
        <w:t xml:space="preserve"> </w:t>
      </w:r>
      <w:r>
        <w:rPr>
          <w:rFonts w:ascii="宋体" w:hAnsi="宋体" w:eastAsia="宋体" w:cs="宋体"/>
          <w:color w:val="auto"/>
          <w:spacing w:val="8"/>
          <w:sz w:val="20"/>
          <w:szCs w:val="20"/>
          <w:highlight w:val="none"/>
        </w:rPr>
        <w:t>联系电话：</w:t>
      </w:r>
      <w:r>
        <w:rPr>
          <w:rFonts w:ascii="宋体" w:hAnsi="宋体" w:eastAsia="宋体" w:cs="宋体"/>
          <w:color w:val="auto"/>
          <w:sz w:val="20"/>
          <w:szCs w:val="20"/>
          <w:highlight w:val="none"/>
          <w:u w:val="single" w:color="auto"/>
        </w:rPr>
        <w:t xml:space="preserve">                        </w:t>
      </w:r>
    </w:p>
    <w:p w14:paraId="3165B05E">
      <w:pPr>
        <w:spacing w:before="31" w:line="228" w:lineRule="auto"/>
        <w:ind w:left="417"/>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地址：</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3"/>
          <w:sz w:val="20"/>
          <w:szCs w:val="20"/>
          <w:highlight w:val="none"/>
        </w:rPr>
        <w:t xml:space="preserve"> </w:t>
      </w:r>
      <w:r>
        <w:rPr>
          <w:rFonts w:ascii="宋体" w:hAnsi="宋体" w:eastAsia="宋体" w:cs="宋体"/>
          <w:color w:val="auto"/>
          <w:spacing w:val="4"/>
          <w:sz w:val="20"/>
          <w:szCs w:val="20"/>
          <w:highlight w:val="none"/>
        </w:rPr>
        <w:t>邮编：</w:t>
      </w:r>
      <w:r>
        <w:rPr>
          <w:rFonts w:ascii="宋体" w:hAnsi="宋体" w:eastAsia="宋体" w:cs="宋体"/>
          <w:color w:val="auto"/>
          <w:sz w:val="20"/>
          <w:szCs w:val="20"/>
          <w:highlight w:val="none"/>
          <w:u w:val="single" w:color="auto"/>
        </w:rPr>
        <w:t xml:space="preserve">                   </w:t>
      </w:r>
    </w:p>
    <w:p w14:paraId="70AD531C">
      <w:pPr>
        <w:spacing w:before="167" w:line="227" w:lineRule="auto"/>
        <w:ind w:left="420"/>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二、质疑项目基本情况：</w:t>
      </w:r>
    </w:p>
    <w:p w14:paraId="12A4EE4A">
      <w:pPr>
        <w:tabs>
          <w:tab w:val="left" w:pos="5992"/>
        </w:tabs>
        <w:spacing w:before="167" w:line="375" w:lineRule="auto"/>
        <w:ind w:left="435" w:right="3480" w:firstLine="1"/>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质疑项目的名称：</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质疑项目的编号：</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采购人名称：</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6"/>
          <w:sz w:val="20"/>
          <w:szCs w:val="20"/>
          <w:highlight w:val="none"/>
        </w:rPr>
        <w:t>质疑事项：</w:t>
      </w:r>
    </w:p>
    <w:p w14:paraId="7E776799">
      <w:pPr>
        <w:spacing w:before="30" w:line="227" w:lineRule="auto"/>
        <w:ind w:left="354"/>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□采购文件   采购文件获取日期：</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6EB5EAD5">
      <w:pPr>
        <w:spacing w:before="167" w:line="227" w:lineRule="auto"/>
        <w:ind w:left="354"/>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□采购过程</w:t>
      </w:r>
    </w:p>
    <w:p w14:paraId="06035EE4">
      <w:pPr>
        <w:spacing w:before="170" w:line="228" w:lineRule="auto"/>
        <w:ind w:left="354"/>
        <w:rPr>
          <w:rFonts w:ascii="宋体" w:hAnsi="宋体" w:eastAsia="宋体" w:cs="宋体"/>
          <w:color w:val="auto"/>
          <w:sz w:val="20"/>
          <w:szCs w:val="20"/>
          <w:highlight w:val="none"/>
        </w:rPr>
      </w:pPr>
      <w:r>
        <w:rPr>
          <w:rFonts w:ascii="宋体" w:hAnsi="宋体" w:eastAsia="宋体" w:cs="宋体"/>
          <w:color w:val="auto"/>
          <w:spacing w:val="3"/>
          <w:sz w:val="20"/>
          <w:szCs w:val="20"/>
          <w:highlight w:val="none"/>
        </w:rPr>
        <w:t>□成交结果</w:t>
      </w:r>
    </w:p>
    <w:p w14:paraId="528F9B2D">
      <w:pPr>
        <w:spacing w:before="165" w:line="228" w:lineRule="auto"/>
        <w:ind w:left="436"/>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三、质疑事项具体内容</w:t>
      </w:r>
    </w:p>
    <w:p w14:paraId="176C4C83">
      <w:pPr>
        <w:spacing w:before="169" w:line="371" w:lineRule="auto"/>
        <w:ind w:left="436" w:right="540"/>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质疑事项</w:t>
      </w:r>
      <w:r>
        <w:rPr>
          <w:rFonts w:ascii="宋体" w:hAnsi="宋体" w:eastAsia="宋体" w:cs="宋体"/>
          <w:color w:val="auto"/>
          <w:spacing w:val="-15"/>
          <w:sz w:val="20"/>
          <w:szCs w:val="20"/>
          <w:highlight w:val="none"/>
        </w:rPr>
        <w:t xml:space="preserve"> </w:t>
      </w:r>
      <w:r>
        <w:rPr>
          <w:rFonts w:ascii="宋体" w:hAnsi="宋体" w:eastAsia="宋体" w:cs="宋体"/>
          <w:color w:val="auto"/>
          <w:spacing w:val="2"/>
          <w:sz w:val="20"/>
          <w:szCs w:val="20"/>
          <w:highlight w:val="none"/>
        </w:rPr>
        <w:t>1：</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事实依据：</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7"/>
          <w:sz w:val="20"/>
          <w:szCs w:val="20"/>
          <w:highlight w:val="none"/>
        </w:rPr>
        <w:t xml:space="preserve">  </w:t>
      </w:r>
      <w:r>
        <w:rPr>
          <w:rFonts w:ascii="宋体" w:hAnsi="宋体" w:eastAsia="宋体" w:cs="宋体"/>
          <w:color w:val="auto"/>
          <w:spacing w:val="4"/>
          <w:sz w:val="20"/>
          <w:szCs w:val="20"/>
          <w:highlight w:val="none"/>
        </w:rPr>
        <w:t>法律依据：</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42EF768F">
      <w:pPr>
        <w:spacing w:before="35" w:line="381" w:lineRule="auto"/>
        <w:ind w:left="449" w:right="8048" w:hanging="12"/>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质疑事项</w:t>
      </w:r>
      <w:r>
        <w:rPr>
          <w:rFonts w:ascii="宋体" w:hAnsi="宋体" w:eastAsia="宋体" w:cs="宋体"/>
          <w:color w:val="auto"/>
          <w:spacing w:val="-33"/>
          <w:sz w:val="20"/>
          <w:szCs w:val="20"/>
          <w:highlight w:val="none"/>
        </w:rPr>
        <w:t xml:space="preserve"> </w:t>
      </w:r>
      <w:r>
        <w:rPr>
          <w:rFonts w:ascii="宋体" w:hAnsi="宋体" w:eastAsia="宋体" w:cs="宋体"/>
          <w:color w:val="auto"/>
          <w:spacing w:val="4"/>
          <w:sz w:val="20"/>
          <w:szCs w:val="20"/>
          <w:highlight w:val="none"/>
        </w:rPr>
        <w:t>2</w:t>
      </w:r>
      <w:r>
        <w:rPr>
          <w:rFonts w:ascii="宋体" w:hAnsi="宋体" w:eastAsia="宋体" w:cs="宋体"/>
          <w:color w:val="auto"/>
          <w:sz w:val="20"/>
          <w:szCs w:val="20"/>
          <w:highlight w:val="none"/>
        </w:rPr>
        <w:t xml:space="preserve"> </w:t>
      </w:r>
      <w:r>
        <w:rPr>
          <w:rFonts w:ascii="宋体" w:hAnsi="宋体" w:eastAsia="宋体" w:cs="宋体"/>
          <w:color w:val="auto"/>
          <w:spacing w:val="-2"/>
          <w:sz w:val="20"/>
          <w:szCs w:val="20"/>
          <w:highlight w:val="none"/>
        </w:rPr>
        <w:t>……</w:t>
      </w:r>
    </w:p>
    <w:p w14:paraId="79EB5552">
      <w:pPr>
        <w:spacing w:line="228" w:lineRule="auto"/>
        <w:ind w:left="456"/>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四、与质疑事项相关的质疑请求：</w:t>
      </w:r>
    </w:p>
    <w:p w14:paraId="7B3A1424">
      <w:pPr>
        <w:spacing w:before="168" w:line="228"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请求：</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52D21566">
      <w:pPr>
        <w:pStyle w:val="2"/>
        <w:spacing w:line="256" w:lineRule="auto"/>
        <w:rPr>
          <w:color w:val="auto"/>
          <w:highlight w:val="none"/>
        </w:rPr>
      </w:pPr>
    </w:p>
    <w:p w14:paraId="5E10CB51">
      <w:pPr>
        <w:pStyle w:val="2"/>
        <w:spacing w:line="256" w:lineRule="auto"/>
        <w:rPr>
          <w:color w:val="auto"/>
          <w:highlight w:val="none"/>
        </w:rPr>
      </w:pPr>
    </w:p>
    <w:p w14:paraId="6F8ED858">
      <w:pPr>
        <w:spacing w:before="66" w:line="227" w:lineRule="auto"/>
        <w:ind w:left="43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签字（签章</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公章：</w:t>
      </w:r>
    </w:p>
    <w:p w14:paraId="39C879C7">
      <w:pPr>
        <w:pStyle w:val="2"/>
        <w:spacing w:line="256" w:lineRule="auto"/>
        <w:rPr>
          <w:color w:val="auto"/>
          <w:highlight w:val="none"/>
        </w:rPr>
      </w:pPr>
    </w:p>
    <w:p w14:paraId="435EA86F">
      <w:pPr>
        <w:pStyle w:val="2"/>
        <w:spacing w:line="256" w:lineRule="auto"/>
        <w:rPr>
          <w:color w:val="auto"/>
          <w:highlight w:val="none"/>
        </w:rPr>
      </w:pPr>
    </w:p>
    <w:p w14:paraId="3FF4C819">
      <w:pPr>
        <w:spacing w:before="65" w:line="228" w:lineRule="auto"/>
        <w:ind w:left="47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日期：</w:t>
      </w:r>
    </w:p>
    <w:p w14:paraId="12AE81D4">
      <w:pPr>
        <w:pStyle w:val="2"/>
        <w:spacing w:line="256" w:lineRule="auto"/>
        <w:rPr>
          <w:color w:val="auto"/>
          <w:highlight w:val="none"/>
        </w:rPr>
      </w:pPr>
    </w:p>
    <w:p w14:paraId="57514A2D">
      <w:pPr>
        <w:pStyle w:val="2"/>
        <w:spacing w:line="256" w:lineRule="auto"/>
        <w:rPr>
          <w:color w:val="auto"/>
          <w:highlight w:val="none"/>
        </w:rPr>
      </w:pPr>
    </w:p>
    <w:p w14:paraId="78CCBC76">
      <w:pPr>
        <w:spacing w:before="65" w:line="228" w:lineRule="auto"/>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说明：</w:t>
      </w:r>
    </w:p>
    <w:p w14:paraId="7D8D7AC7">
      <w:pPr>
        <w:spacing w:before="168" w:line="227" w:lineRule="auto"/>
        <w:ind w:left="348"/>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1.供应商提出质疑时，应提交质疑函和必要的证明</w:t>
      </w:r>
      <w:r>
        <w:rPr>
          <w:rFonts w:ascii="宋体" w:hAnsi="宋体" w:eastAsia="宋体" w:cs="宋体"/>
          <w:b/>
          <w:bCs/>
          <w:color w:val="auto"/>
          <w:spacing w:val="6"/>
          <w:sz w:val="20"/>
          <w:szCs w:val="20"/>
          <w:highlight w:val="none"/>
        </w:rPr>
        <w:t>材料。</w:t>
      </w:r>
    </w:p>
    <w:p w14:paraId="7C7E1772">
      <w:pPr>
        <w:spacing w:before="166" w:line="373" w:lineRule="auto"/>
        <w:ind w:left="38" w:firstLine="297"/>
        <w:jc w:val="both"/>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2.质疑供应商若委托代理人进行质疑的，质疑函应按要求列明“授权代表</w:t>
      </w:r>
      <w:r>
        <w:rPr>
          <w:rFonts w:ascii="宋体" w:hAnsi="宋体" w:eastAsia="宋体" w:cs="宋体"/>
          <w:color w:val="auto"/>
          <w:spacing w:val="-52"/>
          <w:sz w:val="20"/>
          <w:szCs w:val="20"/>
          <w:highlight w:val="none"/>
        </w:rPr>
        <w:t xml:space="preserve"> </w:t>
      </w:r>
      <w:r>
        <w:rPr>
          <w:rFonts w:ascii="宋体" w:hAnsi="宋体" w:eastAsia="宋体" w:cs="宋体"/>
          <w:b/>
          <w:bCs/>
          <w:color w:val="auto"/>
          <w:spacing w:val="9"/>
          <w:sz w:val="20"/>
          <w:szCs w:val="20"/>
          <w:highlight w:val="none"/>
        </w:rPr>
        <w:t>”的有关内容，并在附件</w:t>
      </w:r>
      <w:r>
        <w:rPr>
          <w:rFonts w:ascii="宋体" w:hAnsi="宋体" w:eastAsia="宋体" w:cs="宋体"/>
          <w:color w:val="auto"/>
          <w:sz w:val="20"/>
          <w:szCs w:val="20"/>
          <w:highlight w:val="none"/>
        </w:rPr>
        <w:t xml:space="preserve"> </w:t>
      </w:r>
      <w:r>
        <w:rPr>
          <w:rFonts w:ascii="宋体" w:hAnsi="宋体" w:eastAsia="宋体" w:cs="宋体"/>
          <w:b/>
          <w:bCs/>
          <w:color w:val="auto"/>
          <w:spacing w:val="8"/>
          <w:sz w:val="20"/>
          <w:szCs w:val="20"/>
          <w:highlight w:val="none"/>
        </w:rPr>
        <w:t>中提交由质疑供应商签署的授权委托书。授权委托书应载</w:t>
      </w:r>
      <w:r>
        <w:rPr>
          <w:rFonts w:ascii="宋体" w:hAnsi="宋体" w:eastAsia="宋体" w:cs="宋体"/>
          <w:b/>
          <w:bCs/>
          <w:color w:val="auto"/>
          <w:spacing w:val="7"/>
          <w:sz w:val="20"/>
          <w:szCs w:val="20"/>
          <w:highlight w:val="none"/>
        </w:rPr>
        <w:t>明代理人的姓名或者名称、代理事项、具体权</w:t>
      </w:r>
      <w:r>
        <w:rPr>
          <w:rFonts w:ascii="宋体" w:hAnsi="宋体" w:eastAsia="宋体" w:cs="宋体"/>
          <w:color w:val="auto"/>
          <w:sz w:val="20"/>
          <w:szCs w:val="20"/>
          <w:highlight w:val="none"/>
        </w:rPr>
        <w:t xml:space="preserve"> </w:t>
      </w:r>
      <w:r>
        <w:rPr>
          <w:rFonts w:ascii="宋体" w:hAnsi="宋体" w:eastAsia="宋体" w:cs="宋体"/>
          <w:b/>
          <w:bCs/>
          <w:color w:val="auto"/>
          <w:spacing w:val="5"/>
          <w:sz w:val="20"/>
          <w:szCs w:val="20"/>
          <w:highlight w:val="none"/>
        </w:rPr>
        <w:t>限、期限和相关事项。</w:t>
      </w:r>
    </w:p>
    <w:p w14:paraId="68414D1E">
      <w:pPr>
        <w:spacing w:line="373" w:lineRule="auto"/>
        <w:rPr>
          <w:rFonts w:ascii="宋体" w:hAnsi="宋体" w:eastAsia="宋体" w:cs="宋体"/>
          <w:color w:val="auto"/>
          <w:sz w:val="20"/>
          <w:szCs w:val="20"/>
          <w:highlight w:val="none"/>
        </w:rPr>
        <w:sectPr>
          <w:footerReference r:id="rId70" w:type="default"/>
          <w:pgSz w:w="11906" w:h="16839"/>
          <w:pgMar w:top="1268" w:right="1288" w:bottom="882" w:left="1143" w:header="0" w:footer="720" w:gutter="0"/>
          <w:pgNumType w:fmt="decimal"/>
          <w:cols w:space="720" w:num="1"/>
        </w:sectPr>
      </w:pPr>
    </w:p>
    <w:p w14:paraId="1CED734F">
      <w:pPr>
        <w:spacing w:before="41" w:line="367" w:lineRule="auto"/>
        <w:ind w:left="306" w:right="2648" w:firstLine="5"/>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3.质疑函的质疑事项应具体、明确，并有必要的事实依</w:t>
      </w:r>
      <w:r>
        <w:rPr>
          <w:rFonts w:ascii="宋体" w:hAnsi="宋体" w:eastAsia="宋体" w:cs="宋体"/>
          <w:b/>
          <w:bCs/>
          <w:color w:val="auto"/>
          <w:spacing w:val="6"/>
          <w:sz w:val="20"/>
          <w:szCs w:val="20"/>
          <w:highlight w:val="none"/>
        </w:rPr>
        <w:t>据和法律依据。</w:t>
      </w:r>
      <w:r>
        <w:rPr>
          <w:rFonts w:ascii="宋体" w:hAnsi="宋体" w:eastAsia="宋体" w:cs="宋体"/>
          <w:color w:val="auto"/>
          <w:sz w:val="20"/>
          <w:szCs w:val="20"/>
          <w:highlight w:val="none"/>
        </w:rPr>
        <w:t xml:space="preserve"> </w:t>
      </w:r>
      <w:r>
        <w:rPr>
          <w:rFonts w:ascii="宋体" w:hAnsi="宋体" w:eastAsia="宋体" w:cs="宋体"/>
          <w:b/>
          <w:bCs/>
          <w:color w:val="auto"/>
          <w:spacing w:val="7"/>
          <w:sz w:val="20"/>
          <w:szCs w:val="20"/>
          <w:highlight w:val="none"/>
        </w:rPr>
        <w:t>4.质疑函的质疑请求应与质疑事项相关。</w:t>
      </w:r>
    </w:p>
    <w:p w14:paraId="318994E7">
      <w:pPr>
        <w:spacing w:before="31" w:line="368" w:lineRule="auto"/>
        <w:ind w:firstLine="311"/>
        <w:rPr>
          <w:rFonts w:ascii="宋体" w:hAnsi="宋体" w:eastAsia="宋体" w:cs="宋体"/>
          <w:color w:val="auto"/>
          <w:sz w:val="20"/>
          <w:szCs w:val="20"/>
          <w:highlight w:val="none"/>
        </w:rPr>
      </w:pPr>
      <w:r>
        <w:rPr>
          <w:rFonts w:ascii="宋体" w:hAnsi="宋体" w:eastAsia="宋体" w:cs="宋体"/>
          <w:b/>
          <w:bCs/>
          <w:color w:val="auto"/>
          <w:spacing w:val="10"/>
          <w:sz w:val="20"/>
          <w:szCs w:val="20"/>
          <w:highlight w:val="none"/>
        </w:rPr>
        <w:t>5.质疑供应商为法人或者其他组织的，质疑函应由法定代表人、主要负责人，或者其授权代表签字</w:t>
      </w:r>
      <w:r>
        <w:rPr>
          <w:rFonts w:ascii="宋体" w:hAnsi="宋体" w:eastAsia="宋体" w:cs="宋体"/>
          <w:color w:val="auto"/>
          <w:sz w:val="20"/>
          <w:szCs w:val="20"/>
          <w:highlight w:val="none"/>
        </w:rPr>
        <w:t xml:space="preserve"> </w:t>
      </w:r>
      <w:r>
        <w:rPr>
          <w:rFonts w:ascii="宋体" w:hAnsi="宋体" w:eastAsia="宋体" w:cs="宋体"/>
          <w:b/>
          <w:bCs/>
          <w:color w:val="auto"/>
          <w:spacing w:val="6"/>
          <w:sz w:val="20"/>
          <w:szCs w:val="20"/>
          <w:highlight w:val="none"/>
        </w:rPr>
        <w:t>或者盖章，并加盖公章。</w:t>
      </w:r>
    </w:p>
    <w:p w14:paraId="3857EF8F">
      <w:pPr>
        <w:spacing w:line="368" w:lineRule="auto"/>
        <w:rPr>
          <w:rFonts w:ascii="宋体" w:hAnsi="宋体" w:eastAsia="宋体" w:cs="宋体"/>
          <w:color w:val="auto"/>
          <w:sz w:val="20"/>
          <w:szCs w:val="20"/>
          <w:highlight w:val="none"/>
        </w:rPr>
        <w:sectPr>
          <w:footerReference r:id="rId71" w:type="default"/>
          <w:pgSz w:w="11906" w:h="16839"/>
          <w:pgMar w:top="1195" w:right="1290" w:bottom="882" w:left="1169" w:header="0" w:footer="720" w:gutter="0"/>
          <w:pgNumType w:fmt="decimal"/>
          <w:cols w:space="720" w:num="1"/>
        </w:sectPr>
      </w:pPr>
    </w:p>
    <w:p w14:paraId="27D8C30A">
      <w:pPr>
        <w:spacing w:before="56" w:line="219" w:lineRule="auto"/>
        <w:ind w:left="3347"/>
        <w:rPr>
          <w:rFonts w:ascii="宋体" w:hAnsi="宋体" w:eastAsia="宋体" w:cs="宋体"/>
          <w:color w:val="auto"/>
          <w:sz w:val="28"/>
          <w:szCs w:val="28"/>
          <w:highlight w:val="none"/>
        </w:rPr>
      </w:pPr>
      <w:r>
        <w:rPr>
          <w:rFonts w:ascii="宋体" w:hAnsi="宋体" w:eastAsia="宋体" w:cs="宋体"/>
          <w:b/>
          <w:bCs/>
          <w:color w:val="auto"/>
          <w:spacing w:val="-4"/>
          <w:sz w:val="28"/>
          <w:szCs w:val="28"/>
          <w:highlight w:val="none"/>
        </w:rPr>
        <w:t>投诉书（格式）</w:t>
      </w:r>
    </w:p>
    <w:p w14:paraId="7C6DE031">
      <w:pPr>
        <w:spacing w:before="170" w:line="227" w:lineRule="auto"/>
        <w:ind w:left="4"/>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一、投诉相关主体基本情况：</w:t>
      </w:r>
    </w:p>
    <w:p w14:paraId="39E064BF">
      <w:pPr>
        <w:tabs>
          <w:tab w:val="left" w:pos="8390"/>
        </w:tabs>
        <w:spacing w:before="91" w:line="308" w:lineRule="auto"/>
        <w:ind w:right="667"/>
        <w:jc w:val="both"/>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供应商：</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地址：</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68"/>
          <w:sz w:val="20"/>
          <w:szCs w:val="20"/>
          <w:highlight w:val="none"/>
        </w:rPr>
        <w:t xml:space="preserve"> </w:t>
      </w:r>
      <w:r>
        <w:rPr>
          <w:rFonts w:ascii="宋体" w:hAnsi="宋体" w:eastAsia="宋体" w:cs="宋体"/>
          <w:color w:val="auto"/>
          <w:spacing w:val="5"/>
          <w:sz w:val="20"/>
          <w:szCs w:val="20"/>
          <w:highlight w:val="none"/>
        </w:rPr>
        <w:t>邮编：</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法定代表人/主要负责人：</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8"/>
          <w:sz w:val="20"/>
          <w:szCs w:val="20"/>
          <w:highlight w:val="none"/>
        </w:rPr>
        <w:t>联系电话：</w:t>
      </w:r>
      <w:r>
        <w:rPr>
          <w:rFonts w:ascii="宋体" w:hAnsi="宋体" w:eastAsia="宋体" w:cs="宋体"/>
          <w:color w:val="auto"/>
          <w:sz w:val="20"/>
          <w:szCs w:val="20"/>
          <w:highlight w:val="none"/>
          <w:u w:val="single" w:color="auto"/>
        </w:rPr>
        <w:t xml:space="preserve">                                            </w:t>
      </w:r>
    </w:p>
    <w:p w14:paraId="29CBC571">
      <w:pPr>
        <w:spacing w:before="28" w:line="305" w:lineRule="auto"/>
        <w:ind w:right="667"/>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授权代表：</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5"/>
          <w:sz w:val="20"/>
          <w:szCs w:val="20"/>
          <w:highlight w:val="none"/>
        </w:rPr>
        <w:t>联系电话：</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地址：</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52F52D8F">
      <w:pPr>
        <w:spacing w:before="21" w:line="298" w:lineRule="auto"/>
        <w:ind w:right="7490" w:firstLine="15"/>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邮编：</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1"/>
          <w:sz w:val="20"/>
          <w:szCs w:val="20"/>
          <w:highlight w:val="none"/>
        </w:rPr>
        <w:t>被投诉人</w:t>
      </w:r>
      <w:r>
        <w:rPr>
          <w:rFonts w:ascii="宋体" w:hAnsi="宋体" w:eastAsia="宋体" w:cs="宋体"/>
          <w:color w:val="auto"/>
          <w:spacing w:val="-18"/>
          <w:sz w:val="20"/>
          <w:szCs w:val="20"/>
          <w:highlight w:val="none"/>
        </w:rPr>
        <w:t xml:space="preserve"> </w:t>
      </w:r>
      <w:r>
        <w:rPr>
          <w:rFonts w:ascii="宋体" w:hAnsi="宋体" w:eastAsia="宋体" w:cs="宋体"/>
          <w:color w:val="auto"/>
          <w:spacing w:val="1"/>
          <w:sz w:val="20"/>
          <w:szCs w:val="20"/>
          <w:highlight w:val="none"/>
        </w:rPr>
        <w:t>1：</w:t>
      </w:r>
    </w:p>
    <w:p w14:paraId="6D537A4B">
      <w:pPr>
        <w:spacing w:before="34" w:line="300" w:lineRule="auto"/>
        <w:ind w:left="15" w:right="2135" w:hanging="15"/>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rPr>
        <w:t>地址：</w:t>
      </w:r>
      <w:r>
        <w:rPr>
          <w:rFonts w:ascii="宋体" w:hAnsi="宋体" w:eastAsia="宋体" w:cs="宋体"/>
          <w:color w:val="auto"/>
          <w:sz w:val="20"/>
          <w:szCs w:val="20"/>
          <w:highlight w:val="none"/>
          <w:u w:val="single" w:color="auto"/>
        </w:rPr>
        <w:t xml:space="preserve">                                                               </w:t>
      </w:r>
      <w:r>
        <w:rPr>
          <w:rFonts w:ascii="宋体" w:hAnsi="宋体" w:eastAsia="宋体" w:cs="宋体"/>
          <w:color w:val="auto"/>
          <w:spacing w:val="1"/>
          <w:sz w:val="20"/>
          <w:szCs w:val="20"/>
          <w:highlight w:val="none"/>
        </w:rPr>
        <w:t xml:space="preserve"> </w:t>
      </w:r>
      <w:r>
        <w:rPr>
          <w:rFonts w:ascii="宋体" w:hAnsi="宋体" w:eastAsia="宋体" w:cs="宋体"/>
          <w:color w:val="auto"/>
          <w:spacing w:val="2"/>
          <w:sz w:val="20"/>
          <w:szCs w:val="20"/>
          <w:highlight w:val="none"/>
        </w:rPr>
        <w:t>邮编：</w:t>
      </w:r>
      <w:r>
        <w:rPr>
          <w:rFonts w:ascii="宋体" w:hAnsi="宋体" w:eastAsia="宋体" w:cs="宋体"/>
          <w:color w:val="auto"/>
          <w:sz w:val="20"/>
          <w:szCs w:val="20"/>
          <w:highlight w:val="none"/>
          <w:u w:val="single" w:color="auto"/>
        </w:rPr>
        <w:t xml:space="preserve">          </w:t>
      </w:r>
    </w:p>
    <w:p w14:paraId="30F6BF57">
      <w:pPr>
        <w:spacing w:before="32" w:line="300" w:lineRule="auto"/>
        <w:ind w:right="455"/>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联系人：</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5"/>
          <w:sz w:val="20"/>
          <w:szCs w:val="20"/>
          <w:highlight w:val="none"/>
        </w:rPr>
        <w:t>联系电话：</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3"/>
          <w:sz w:val="20"/>
          <w:szCs w:val="20"/>
          <w:highlight w:val="none"/>
        </w:rPr>
        <w:t>被投诉人</w:t>
      </w:r>
      <w:r>
        <w:rPr>
          <w:rFonts w:ascii="宋体" w:hAnsi="宋体" w:eastAsia="宋体" w:cs="宋体"/>
          <w:color w:val="auto"/>
          <w:spacing w:val="-30"/>
          <w:sz w:val="20"/>
          <w:szCs w:val="20"/>
          <w:highlight w:val="none"/>
        </w:rPr>
        <w:t xml:space="preserve"> </w:t>
      </w:r>
      <w:r>
        <w:rPr>
          <w:rFonts w:ascii="宋体" w:hAnsi="宋体" w:eastAsia="宋体" w:cs="宋体"/>
          <w:color w:val="auto"/>
          <w:spacing w:val="3"/>
          <w:sz w:val="20"/>
          <w:szCs w:val="20"/>
          <w:highlight w:val="none"/>
        </w:rPr>
        <w:t>2：</w:t>
      </w:r>
    </w:p>
    <w:p w14:paraId="06A7AFCE">
      <w:pPr>
        <w:spacing w:before="31" w:line="324" w:lineRule="exact"/>
        <w:ind w:left="14"/>
        <w:rPr>
          <w:rFonts w:ascii="宋体" w:hAnsi="宋体" w:eastAsia="宋体" w:cs="宋体"/>
          <w:color w:val="auto"/>
          <w:sz w:val="20"/>
          <w:szCs w:val="20"/>
          <w:highlight w:val="none"/>
        </w:rPr>
      </w:pPr>
      <w:r>
        <w:rPr>
          <w:rFonts w:ascii="宋体" w:hAnsi="宋体" w:eastAsia="宋体" w:cs="宋体"/>
          <w:color w:val="auto"/>
          <w:spacing w:val="-2"/>
          <w:position w:val="2"/>
          <w:sz w:val="20"/>
          <w:szCs w:val="20"/>
          <w:highlight w:val="none"/>
        </w:rPr>
        <w:t>……</w:t>
      </w:r>
    </w:p>
    <w:p w14:paraId="51BF632A">
      <w:pPr>
        <w:spacing w:before="19" w:line="304" w:lineRule="auto"/>
        <w:ind w:right="350"/>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相关供应商：</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地址：</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pacing w:val="-75"/>
          <w:sz w:val="20"/>
          <w:szCs w:val="20"/>
          <w:highlight w:val="none"/>
        </w:rPr>
        <w:t xml:space="preserve"> </w:t>
      </w:r>
      <w:r>
        <w:rPr>
          <w:rFonts w:ascii="宋体" w:hAnsi="宋体" w:eastAsia="宋体" w:cs="宋体"/>
          <w:color w:val="auto"/>
          <w:spacing w:val="3"/>
          <w:sz w:val="20"/>
          <w:szCs w:val="20"/>
          <w:highlight w:val="none"/>
        </w:rPr>
        <w:t>邮编：</w:t>
      </w:r>
      <w:r>
        <w:rPr>
          <w:rFonts w:ascii="宋体" w:hAnsi="宋体" w:eastAsia="宋体" w:cs="宋体"/>
          <w:color w:val="auto"/>
          <w:spacing w:val="3"/>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4"/>
          <w:sz w:val="20"/>
          <w:szCs w:val="20"/>
          <w:highlight w:val="none"/>
        </w:rPr>
        <w:t>联系人：</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4"/>
          <w:sz w:val="20"/>
          <w:szCs w:val="20"/>
          <w:highlight w:val="none"/>
        </w:rPr>
        <w:t>联系电话：</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3"/>
          <w:sz w:val="20"/>
          <w:szCs w:val="20"/>
          <w:highlight w:val="none"/>
          <w:u w:val="single" w:color="auto"/>
        </w:rPr>
        <w:t xml:space="preserve">   </w:t>
      </w:r>
    </w:p>
    <w:p w14:paraId="10E62C47">
      <w:pPr>
        <w:spacing w:before="30" w:line="227" w:lineRule="auto"/>
        <w:ind w:left="4"/>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二、投诉项目基本情况：</w:t>
      </w:r>
    </w:p>
    <w:p w14:paraId="774889F9">
      <w:pPr>
        <w:spacing w:before="165" w:line="368" w:lineRule="auto"/>
        <w:ind w:left="19" w:right="331"/>
        <w:rPr>
          <w:rFonts w:ascii="宋体" w:hAnsi="宋体" w:eastAsia="宋体" w:cs="宋体"/>
          <w:color w:val="auto"/>
          <w:sz w:val="20"/>
          <w:szCs w:val="20"/>
          <w:highlight w:val="none"/>
        </w:rPr>
      </w:pPr>
      <w:r>
        <w:rPr>
          <w:rFonts w:ascii="宋体" w:hAnsi="宋体" w:eastAsia="宋体" w:cs="宋体"/>
          <w:color w:val="auto"/>
          <w:spacing w:val="6"/>
          <w:sz w:val="20"/>
          <w:szCs w:val="20"/>
          <w:highlight w:val="none"/>
        </w:rPr>
        <w:t>采购项目的名称：</w:t>
      </w:r>
      <w:r>
        <w:rPr>
          <w:rFonts w:ascii="宋体" w:hAnsi="宋体" w:eastAsia="宋体" w:cs="宋体"/>
          <w:color w:val="auto"/>
          <w:spacing w:val="6"/>
          <w:sz w:val="20"/>
          <w:szCs w:val="20"/>
          <w:highlight w:val="none"/>
          <w:u w:val="single" w:color="auto"/>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采购项目的编号：</w:t>
      </w:r>
      <w:r>
        <w:rPr>
          <w:rFonts w:ascii="宋体" w:hAnsi="宋体" w:eastAsia="宋体" w:cs="宋体"/>
          <w:color w:val="auto"/>
          <w:sz w:val="20"/>
          <w:szCs w:val="20"/>
          <w:highlight w:val="none"/>
          <w:u w:val="single" w:color="auto"/>
        </w:rPr>
        <w:t xml:space="preserve">                                             </w:t>
      </w:r>
    </w:p>
    <w:p w14:paraId="25ADC8F4">
      <w:pPr>
        <w:tabs>
          <w:tab w:val="left" w:pos="8830"/>
        </w:tabs>
        <w:spacing w:before="31" w:line="374" w:lineRule="auto"/>
        <w:ind w:left="19" w:right="228"/>
        <w:jc w:val="both"/>
        <w:rPr>
          <w:rFonts w:ascii="宋体" w:hAnsi="宋体" w:eastAsia="宋体" w:cs="宋体"/>
          <w:color w:val="auto"/>
          <w:sz w:val="20"/>
          <w:szCs w:val="20"/>
          <w:highlight w:val="none"/>
        </w:rPr>
      </w:pPr>
      <w:r>
        <w:rPr>
          <w:rFonts w:ascii="宋体" w:hAnsi="宋体" w:eastAsia="宋体" w:cs="宋体"/>
          <w:color w:val="auto"/>
          <w:spacing w:val="8"/>
          <w:sz w:val="20"/>
          <w:szCs w:val="20"/>
          <w:highlight w:val="none"/>
        </w:rPr>
        <w:t>采购人名称：</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代理机构名称：</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招标文件公告：</w:t>
      </w:r>
      <w:r>
        <w:rPr>
          <w:rFonts w:ascii="宋体" w:hAnsi="宋体" w:eastAsia="宋体" w:cs="宋体"/>
          <w:color w:val="auto"/>
          <w:spacing w:val="9"/>
          <w:sz w:val="20"/>
          <w:szCs w:val="20"/>
          <w:highlight w:val="none"/>
          <w:u w:val="single" w:color="auto"/>
        </w:rPr>
        <w:t>是/否</w:t>
      </w:r>
      <w:r>
        <w:rPr>
          <w:rFonts w:ascii="宋体" w:hAnsi="宋体" w:eastAsia="宋体" w:cs="宋体"/>
          <w:color w:val="auto"/>
          <w:spacing w:val="9"/>
          <w:sz w:val="20"/>
          <w:szCs w:val="20"/>
          <w:highlight w:val="none"/>
        </w:rPr>
        <w:t>公告期限：</w:t>
      </w:r>
      <w:r>
        <w:rPr>
          <w:rFonts w:ascii="宋体" w:hAnsi="宋体" w:eastAsia="宋体" w:cs="宋体"/>
          <w:color w:val="auto"/>
          <w:sz w:val="20"/>
          <w:szCs w:val="20"/>
          <w:highlight w:val="none"/>
          <w:u w:val="single" w:color="auto"/>
        </w:rPr>
        <w:tab/>
      </w:r>
      <w:r>
        <w:rPr>
          <w:rFonts w:ascii="宋体" w:hAnsi="宋体" w:eastAsia="宋体" w:cs="宋体"/>
          <w:color w:val="auto"/>
          <w:sz w:val="20"/>
          <w:szCs w:val="20"/>
          <w:highlight w:val="none"/>
        </w:rPr>
        <w:t xml:space="preserve"> </w:t>
      </w:r>
      <w:r>
        <w:rPr>
          <w:rFonts w:ascii="宋体" w:hAnsi="宋体" w:eastAsia="宋体" w:cs="宋体"/>
          <w:color w:val="auto"/>
          <w:spacing w:val="9"/>
          <w:sz w:val="20"/>
          <w:szCs w:val="20"/>
          <w:highlight w:val="none"/>
        </w:rPr>
        <w:t>采购结果公告：</w:t>
      </w:r>
      <w:r>
        <w:rPr>
          <w:rFonts w:ascii="宋体" w:hAnsi="宋体" w:eastAsia="宋体" w:cs="宋体"/>
          <w:color w:val="auto"/>
          <w:spacing w:val="9"/>
          <w:sz w:val="20"/>
          <w:szCs w:val="20"/>
          <w:highlight w:val="none"/>
          <w:u w:val="single" w:color="auto"/>
        </w:rPr>
        <w:t>是/否</w:t>
      </w:r>
      <w:r>
        <w:rPr>
          <w:rFonts w:ascii="宋体" w:hAnsi="宋体" w:eastAsia="宋体" w:cs="宋体"/>
          <w:color w:val="auto"/>
          <w:spacing w:val="9"/>
          <w:sz w:val="20"/>
          <w:szCs w:val="20"/>
          <w:highlight w:val="none"/>
        </w:rPr>
        <w:t>公告期限：</w:t>
      </w:r>
      <w:r>
        <w:rPr>
          <w:rFonts w:ascii="宋体" w:hAnsi="宋体" w:eastAsia="宋体" w:cs="宋体"/>
          <w:color w:val="auto"/>
          <w:sz w:val="20"/>
          <w:szCs w:val="20"/>
          <w:highlight w:val="none"/>
          <w:u w:val="single" w:color="auto"/>
        </w:rPr>
        <w:t xml:space="preserve">                                                          </w:t>
      </w:r>
    </w:p>
    <w:p w14:paraId="75CC6127">
      <w:pPr>
        <w:spacing w:before="35" w:line="227" w:lineRule="auto"/>
        <w:ind w:left="2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三、质疑基本情况</w:t>
      </w:r>
    </w:p>
    <w:p w14:paraId="40955269">
      <w:pPr>
        <w:spacing w:before="166" w:line="228" w:lineRule="auto"/>
        <w:ind w:left="3"/>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投诉人于</w:t>
      </w:r>
      <w:r>
        <w:rPr>
          <w:rFonts w:ascii="宋体" w:hAnsi="宋体" w:eastAsia="宋体" w:cs="宋体"/>
          <w:color w:val="auto"/>
          <w:spacing w:val="-99"/>
          <w:sz w:val="20"/>
          <w:szCs w:val="20"/>
          <w:highlight w:val="none"/>
        </w:rPr>
        <w:t xml:space="preserve"> </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9"/>
          <w:sz w:val="20"/>
          <w:szCs w:val="20"/>
          <w:highlight w:val="none"/>
        </w:rPr>
        <w:t xml:space="preserve"> </w:t>
      </w:r>
      <w:r>
        <w:rPr>
          <w:rFonts w:ascii="宋体" w:hAnsi="宋体" w:eastAsia="宋体" w:cs="宋体"/>
          <w:color w:val="auto"/>
          <w:spacing w:val="5"/>
          <w:sz w:val="20"/>
          <w:szCs w:val="20"/>
          <w:highlight w:val="none"/>
        </w:rPr>
        <w:t>年</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5"/>
          <w:sz w:val="20"/>
          <w:szCs w:val="20"/>
          <w:highlight w:val="none"/>
        </w:rPr>
        <w:t>月</w:t>
      </w:r>
      <w:r>
        <w:rPr>
          <w:rFonts w:ascii="宋体" w:hAnsi="宋体" w:eastAsia="宋体" w:cs="宋体"/>
          <w:color w:val="auto"/>
          <w:spacing w:val="5"/>
          <w:sz w:val="20"/>
          <w:szCs w:val="20"/>
          <w:highlight w:val="none"/>
          <w:u w:val="single" w:color="auto"/>
        </w:rPr>
        <w:t xml:space="preserve">   </w:t>
      </w:r>
      <w:r>
        <w:rPr>
          <w:rFonts w:ascii="宋体" w:hAnsi="宋体" w:eastAsia="宋体" w:cs="宋体"/>
          <w:color w:val="auto"/>
          <w:spacing w:val="-55"/>
          <w:sz w:val="20"/>
          <w:szCs w:val="20"/>
          <w:highlight w:val="none"/>
        </w:rPr>
        <w:t xml:space="preserve"> </w:t>
      </w:r>
      <w:r>
        <w:rPr>
          <w:rFonts w:ascii="宋体" w:hAnsi="宋体" w:eastAsia="宋体" w:cs="宋体"/>
          <w:color w:val="auto"/>
          <w:spacing w:val="5"/>
          <w:sz w:val="20"/>
          <w:szCs w:val="20"/>
          <w:highlight w:val="none"/>
        </w:rPr>
        <w:t>日，向</w:t>
      </w:r>
      <w:r>
        <w:rPr>
          <w:rFonts w:ascii="宋体" w:hAnsi="宋体" w:eastAsia="宋体" w:cs="宋体"/>
          <w:color w:val="auto"/>
          <w:spacing w:val="-98"/>
          <w:sz w:val="20"/>
          <w:szCs w:val="20"/>
          <w:highlight w:val="none"/>
        </w:rPr>
        <w:t xml:space="preserve"> </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pacing w:val="-90"/>
          <w:sz w:val="20"/>
          <w:szCs w:val="20"/>
          <w:highlight w:val="none"/>
        </w:rPr>
        <w:t xml:space="preserve"> </w:t>
      </w:r>
      <w:r>
        <w:rPr>
          <w:rFonts w:ascii="宋体" w:hAnsi="宋体" w:eastAsia="宋体" w:cs="宋体"/>
          <w:color w:val="auto"/>
          <w:spacing w:val="5"/>
          <w:sz w:val="20"/>
          <w:szCs w:val="20"/>
          <w:highlight w:val="none"/>
        </w:rPr>
        <w:t>提出质疑，质</w:t>
      </w:r>
      <w:r>
        <w:rPr>
          <w:rFonts w:ascii="宋体" w:hAnsi="宋体" w:eastAsia="宋体" w:cs="宋体"/>
          <w:color w:val="auto"/>
          <w:spacing w:val="4"/>
          <w:sz w:val="20"/>
          <w:szCs w:val="20"/>
          <w:highlight w:val="none"/>
        </w:rPr>
        <w:t>疑事项为：</w:t>
      </w:r>
    </w:p>
    <w:p w14:paraId="5C03472D">
      <w:pPr>
        <w:pStyle w:val="2"/>
        <w:tabs>
          <w:tab w:val="left" w:pos="9059"/>
        </w:tabs>
        <w:spacing w:before="174"/>
        <w:ind w:left="234"/>
        <w:rPr>
          <w:color w:val="auto"/>
          <w:highlight w:val="none"/>
        </w:rPr>
      </w:pPr>
      <w:r>
        <w:rPr>
          <w:color w:val="auto"/>
          <w:highlight w:val="none"/>
          <w:u w:val="single" w:color="auto"/>
        </w:rPr>
        <w:tab/>
      </w:r>
    </w:p>
    <w:p w14:paraId="66612939">
      <w:pPr>
        <w:pStyle w:val="2"/>
        <w:tabs>
          <w:tab w:val="left" w:pos="9059"/>
        </w:tabs>
        <w:spacing w:before="172"/>
        <w:ind w:left="234"/>
        <w:rPr>
          <w:color w:val="auto"/>
          <w:highlight w:val="none"/>
        </w:rPr>
      </w:pPr>
      <w:r>
        <w:rPr>
          <w:color w:val="auto"/>
          <w:highlight w:val="none"/>
          <w:u w:val="single" w:color="auto"/>
        </w:rPr>
        <w:tab/>
      </w:r>
    </w:p>
    <w:p w14:paraId="752B9631">
      <w:pPr>
        <w:spacing w:before="165" w:line="227" w:lineRule="auto"/>
        <w:rPr>
          <w:rFonts w:ascii="宋体" w:hAnsi="宋体" w:eastAsia="宋体" w:cs="宋体"/>
          <w:color w:val="auto"/>
          <w:sz w:val="20"/>
          <w:szCs w:val="20"/>
          <w:highlight w:val="none"/>
        </w:rPr>
      </w:pPr>
      <w:r>
        <w:rPr>
          <w:rFonts w:ascii="宋体" w:hAnsi="宋体" w:eastAsia="宋体" w:cs="宋体"/>
          <w:color w:val="auto"/>
          <w:spacing w:val="7"/>
          <w:sz w:val="20"/>
          <w:szCs w:val="20"/>
          <w:highlight w:val="none"/>
          <w:u w:val="single" w:color="auto"/>
        </w:rPr>
        <w:t>采购人/代理机构</w:t>
      </w:r>
      <w:r>
        <w:rPr>
          <w:rFonts w:ascii="宋体" w:hAnsi="宋体" w:eastAsia="宋体" w:cs="宋体"/>
          <w:color w:val="auto"/>
          <w:spacing w:val="7"/>
          <w:sz w:val="20"/>
          <w:szCs w:val="20"/>
          <w:highlight w:val="none"/>
        </w:rPr>
        <w:t>于</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91"/>
          <w:sz w:val="20"/>
          <w:szCs w:val="20"/>
          <w:highlight w:val="none"/>
        </w:rPr>
        <w:t xml:space="preserve"> </w:t>
      </w:r>
      <w:r>
        <w:rPr>
          <w:rFonts w:ascii="宋体" w:hAnsi="宋体" w:eastAsia="宋体" w:cs="宋体"/>
          <w:color w:val="auto"/>
          <w:spacing w:val="7"/>
          <w:sz w:val="20"/>
          <w:szCs w:val="20"/>
          <w:highlight w:val="none"/>
        </w:rPr>
        <w:t>年</w:t>
      </w:r>
      <w:r>
        <w:rPr>
          <w:rFonts w:ascii="宋体" w:hAnsi="宋体" w:eastAsia="宋体" w:cs="宋体"/>
          <w:color w:val="auto"/>
          <w:spacing w:val="7"/>
          <w:sz w:val="20"/>
          <w:szCs w:val="20"/>
          <w:highlight w:val="none"/>
          <w:u w:val="single" w:color="auto"/>
        </w:rPr>
        <w:t xml:space="preserve">   </w:t>
      </w:r>
      <w:r>
        <w:rPr>
          <w:rFonts w:ascii="宋体" w:hAnsi="宋体" w:eastAsia="宋体" w:cs="宋体"/>
          <w:color w:val="auto"/>
          <w:spacing w:val="-86"/>
          <w:sz w:val="20"/>
          <w:szCs w:val="20"/>
          <w:highlight w:val="none"/>
        </w:rPr>
        <w:t xml:space="preserve"> </w:t>
      </w:r>
      <w:r>
        <w:rPr>
          <w:rFonts w:ascii="宋体" w:hAnsi="宋体" w:eastAsia="宋体" w:cs="宋体"/>
          <w:color w:val="auto"/>
          <w:spacing w:val="7"/>
          <w:sz w:val="20"/>
          <w:szCs w:val="20"/>
          <w:highlight w:val="none"/>
        </w:rPr>
        <w:t>月</w:t>
      </w:r>
      <w:r>
        <w:rPr>
          <w:rFonts w:ascii="宋体" w:hAnsi="宋体" w:eastAsia="宋体" w:cs="宋体"/>
          <w:color w:val="auto"/>
          <w:spacing w:val="-97"/>
          <w:sz w:val="20"/>
          <w:szCs w:val="20"/>
          <w:highlight w:val="none"/>
        </w:rPr>
        <w:t xml:space="preserve"> </w:t>
      </w:r>
      <w:r>
        <w:rPr>
          <w:rFonts w:ascii="宋体" w:hAnsi="宋体" w:eastAsia="宋体" w:cs="宋体"/>
          <w:color w:val="auto"/>
          <w:spacing w:val="4"/>
          <w:sz w:val="20"/>
          <w:szCs w:val="20"/>
          <w:highlight w:val="none"/>
          <w:u w:val="single" w:color="auto"/>
        </w:rPr>
        <w:t xml:space="preserve">   </w:t>
      </w:r>
      <w:r>
        <w:rPr>
          <w:rFonts w:ascii="宋体" w:hAnsi="宋体" w:eastAsia="宋体" w:cs="宋体"/>
          <w:color w:val="auto"/>
          <w:spacing w:val="-54"/>
          <w:sz w:val="20"/>
          <w:szCs w:val="20"/>
          <w:highlight w:val="none"/>
        </w:rPr>
        <w:t xml:space="preserve"> </w:t>
      </w:r>
      <w:r>
        <w:rPr>
          <w:rFonts w:ascii="宋体" w:hAnsi="宋体" w:eastAsia="宋体" w:cs="宋体"/>
          <w:color w:val="auto"/>
          <w:spacing w:val="7"/>
          <w:sz w:val="20"/>
          <w:szCs w:val="20"/>
          <w:highlight w:val="none"/>
        </w:rPr>
        <w:t>日，就质疑事项作出了答复/没有在法定期限</w:t>
      </w:r>
      <w:r>
        <w:rPr>
          <w:rFonts w:ascii="宋体" w:hAnsi="宋体" w:eastAsia="宋体" w:cs="宋体"/>
          <w:color w:val="auto"/>
          <w:spacing w:val="6"/>
          <w:sz w:val="20"/>
          <w:szCs w:val="20"/>
          <w:highlight w:val="none"/>
        </w:rPr>
        <w:t>内作出答复。</w:t>
      </w:r>
    </w:p>
    <w:p w14:paraId="512B0888">
      <w:pPr>
        <w:spacing w:before="169" w:line="228" w:lineRule="auto"/>
        <w:ind w:left="39"/>
        <w:rPr>
          <w:rFonts w:ascii="宋体" w:hAnsi="宋体" w:eastAsia="宋体" w:cs="宋体"/>
          <w:color w:val="auto"/>
          <w:sz w:val="20"/>
          <w:szCs w:val="20"/>
          <w:highlight w:val="none"/>
        </w:rPr>
      </w:pPr>
      <w:r>
        <w:rPr>
          <w:rFonts w:ascii="宋体" w:hAnsi="宋体" w:eastAsia="宋体" w:cs="宋体"/>
          <w:b/>
          <w:bCs/>
          <w:color w:val="auto"/>
          <w:spacing w:val="5"/>
          <w:sz w:val="20"/>
          <w:szCs w:val="20"/>
          <w:highlight w:val="none"/>
        </w:rPr>
        <w:t>四、投诉事项具体内容</w:t>
      </w:r>
    </w:p>
    <w:p w14:paraId="3004DBB1">
      <w:pPr>
        <w:spacing w:before="167" w:line="368" w:lineRule="auto"/>
        <w:ind w:firstLine="21"/>
        <w:rPr>
          <w:rFonts w:ascii="宋体" w:hAnsi="宋体" w:eastAsia="宋体" w:cs="宋体"/>
          <w:color w:val="auto"/>
          <w:sz w:val="20"/>
          <w:szCs w:val="20"/>
          <w:highlight w:val="none"/>
        </w:rPr>
      </w:pPr>
      <w:r>
        <w:rPr>
          <w:rFonts w:ascii="宋体" w:hAnsi="宋体" w:eastAsia="宋体" w:cs="宋体"/>
          <w:color w:val="auto"/>
          <w:spacing w:val="2"/>
          <w:sz w:val="20"/>
          <w:szCs w:val="20"/>
          <w:highlight w:val="none"/>
        </w:rPr>
        <w:t>投诉事项</w:t>
      </w:r>
      <w:r>
        <w:rPr>
          <w:rFonts w:ascii="宋体" w:hAnsi="宋体" w:eastAsia="宋体" w:cs="宋体"/>
          <w:color w:val="auto"/>
          <w:spacing w:val="-21"/>
          <w:sz w:val="20"/>
          <w:szCs w:val="20"/>
          <w:highlight w:val="none"/>
        </w:rPr>
        <w:t xml:space="preserve"> </w:t>
      </w:r>
      <w:r>
        <w:rPr>
          <w:rFonts w:ascii="宋体" w:hAnsi="宋体" w:eastAsia="宋体" w:cs="宋体"/>
          <w:color w:val="auto"/>
          <w:spacing w:val="2"/>
          <w:sz w:val="20"/>
          <w:szCs w:val="20"/>
          <w:highlight w:val="none"/>
        </w:rPr>
        <w:t>1：</w:t>
      </w:r>
      <w:r>
        <w:rPr>
          <w:rFonts w:ascii="宋体" w:hAnsi="宋体" w:eastAsia="宋体" w:cs="宋体"/>
          <w:color w:val="auto"/>
          <w:spacing w:val="2"/>
          <w:sz w:val="20"/>
          <w:szCs w:val="20"/>
          <w:highlight w:val="none"/>
          <w:u w:val="single" w:color="auto"/>
        </w:rPr>
        <w:t xml:space="preserve">                                                                    </w:t>
      </w:r>
      <w:r>
        <w:rPr>
          <w:rFonts w:ascii="宋体" w:hAnsi="宋体" w:eastAsia="宋体" w:cs="宋体"/>
          <w:color w:val="auto"/>
          <w:spacing w:val="1"/>
          <w:sz w:val="20"/>
          <w:szCs w:val="20"/>
          <w:highlight w:val="none"/>
          <w:u w:val="single" w:color="auto"/>
        </w:rPr>
        <w:t xml:space="preserve">         </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事实依据：</w:t>
      </w:r>
      <w:r>
        <w:rPr>
          <w:rFonts w:ascii="宋体" w:hAnsi="宋体" w:eastAsia="宋体" w:cs="宋体"/>
          <w:color w:val="auto"/>
          <w:spacing w:val="22"/>
          <w:sz w:val="20"/>
          <w:szCs w:val="20"/>
          <w:highlight w:val="none"/>
        </w:rPr>
        <w:t xml:space="preserve"> </w:t>
      </w:r>
      <w:r>
        <w:rPr>
          <w:rFonts w:ascii="宋体" w:hAnsi="宋体" w:eastAsia="宋体" w:cs="宋体"/>
          <w:color w:val="auto"/>
          <w:sz w:val="20"/>
          <w:szCs w:val="20"/>
          <w:highlight w:val="none"/>
          <w:u w:val="single" w:color="auto"/>
        </w:rPr>
        <w:t xml:space="preserve">                                                                                </w:t>
      </w:r>
    </w:p>
    <w:p w14:paraId="7663F9AB">
      <w:pPr>
        <w:pStyle w:val="2"/>
        <w:tabs>
          <w:tab w:val="left" w:pos="9059"/>
        </w:tabs>
        <w:spacing w:before="35"/>
        <w:ind w:left="11"/>
        <w:rPr>
          <w:color w:val="auto"/>
          <w:highlight w:val="none"/>
        </w:rPr>
      </w:pPr>
      <w:r>
        <w:rPr>
          <w:color w:val="auto"/>
          <w:highlight w:val="none"/>
          <w:u w:val="single" w:color="auto"/>
        </w:rPr>
        <w:tab/>
      </w:r>
    </w:p>
    <w:p w14:paraId="34665A08">
      <w:pPr>
        <w:spacing w:before="166" w:line="227" w:lineRule="auto"/>
        <w:ind w:left="1"/>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法律依据：</w:t>
      </w:r>
      <w:r>
        <w:rPr>
          <w:rFonts w:ascii="宋体" w:hAnsi="宋体" w:eastAsia="宋体" w:cs="宋体"/>
          <w:color w:val="auto"/>
          <w:spacing w:val="21"/>
          <w:sz w:val="20"/>
          <w:szCs w:val="20"/>
          <w:highlight w:val="none"/>
        </w:rPr>
        <w:t xml:space="preserve"> </w:t>
      </w:r>
      <w:r>
        <w:rPr>
          <w:rFonts w:ascii="宋体" w:hAnsi="宋体" w:eastAsia="宋体" w:cs="宋体"/>
          <w:color w:val="auto"/>
          <w:sz w:val="20"/>
          <w:szCs w:val="20"/>
          <w:highlight w:val="none"/>
          <w:u w:val="single" w:color="auto"/>
        </w:rPr>
        <w:t xml:space="preserve">                                                                                </w:t>
      </w:r>
    </w:p>
    <w:p w14:paraId="22848B54">
      <w:pPr>
        <w:pStyle w:val="2"/>
        <w:tabs>
          <w:tab w:val="left" w:pos="9059"/>
        </w:tabs>
        <w:spacing w:before="175"/>
        <w:ind w:left="11"/>
        <w:rPr>
          <w:color w:val="auto"/>
          <w:highlight w:val="none"/>
        </w:rPr>
      </w:pPr>
      <w:r>
        <w:rPr>
          <w:color w:val="auto"/>
          <w:highlight w:val="none"/>
          <w:u w:val="single" w:color="auto"/>
        </w:rPr>
        <w:tab/>
      </w:r>
    </w:p>
    <w:p w14:paraId="054DEC3B">
      <w:pPr>
        <w:spacing w:before="167" w:line="228" w:lineRule="auto"/>
        <w:ind w:left="22"/>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投诉事项</w:t>
      </w:r>
      <w:r>
        <w:rPr>
          <w:rFonts w:ascii="宋体" w:hAnsi="宋体" w:eastAsia="宋体" w:cs="宋体"/>
          <w:color w:val="auto"/>
          <w:spacing w:val="-34"/>
          <w:sz w:val="20"/>
          <w:szCs w:val="20"/>
          <w:highlight w:val="none"/>
        </w:rPr>
        <w:t xml:space="preserve"> </w:t>
      </w:r>
      <w:r>
        <w:rPr>
          <w:rFonts w:ascii="宋体" w:hAnsi="宋体" w:eastAsia="宋体" w:cs="宋体"/>
          <w:color w:val="auto"/>
          <w:spacing w:val="5"/>
          <w:sz w:val="20"/>
          <w:szCs w:val="20"/>
          <w:highlight w:val="none"/>
        </w:rPr>
        <w:t>2</w:t>
      </w:r>
    </w:p>
    <w:p w14:paraId="27605BAA">
      <w:pPr>
        <w:spacing w:line="228" w:lineRule="auto"/>
        <w:rPr>
          <w:rFonts w:ascii="宋体" w:hAnsi="宋体" w:eastAsia="宋体" w:cs="宋体"/>
          <w:color w:val="auto"/>
          <w:sz w:val="20"/>
          <w:szCs w:val="20"/>
          <w:highlight w:val="none"/>
        </w:rPr>
        <w:sectPr>
          <w:footerReference r:id="rId72" w:type="default"/>
          <w:pgSz w:w="11906" w:h="16839"/>
          <w:pgMar w:top="1268" w:right="1285" w:bottom="882" w:left="1560" w:header="0" w:footer="720" w:gutter="0"/>
          <w:pgNumType w:fmt="decimal"/>
          <w:cols w:space="720" w:num="1"/>
        </w:sectPr>
      </w:pPr>
    </w:p>
    <w:p w14:paraId="7DB25218">
      <w:pPr>
        <w:spacing w:before="41" w:line="324" w:lineRule="exact"/>
        <w:ind w:left="449"/>
        <w:rPr>
          <w:rFonts w:ascii="宋体" w:hAnsi="宋体" w:eastAsia="宋体" w:cs="宋体"/>
          <w:color w:val="auto"/>
          <w:sz w:val="20"/>
          <w:szCs w:val="20"/>
          <w:highlight w:val="none"/>
        </w:rPr>
      </w:pPr>
      <w:r>
        <w:rPr>
          <w:rFonts w:ascii="宋体" w:hAnsi="宋体" w:eastAsia="宋体" w:cs="宋体"/>
          <w:color w:val="auto"/>
          <w:spacing w:val="-2"/>
          <w:position w:val="2"/>
          <w:sz w:val="20"/>
          <w:szCs w:val="20"/>
          <w:highlight w:val="none"/>
        </w:rPr>
        <w:t>……</w:t>
      </w:r>
    </w:p>
    <w:p w14:paraId="711B5002">
      <w:pPr>
        <w:spacing w:before="89" w:line="228" w:lineRule="auto"/>
        <w:ind w:left="440"/>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五、与投诉事项相关的投诉请求：</w:t>
      </w:r>
    </w:p>
    <w:p w14:paraId="1F5B07E9">
      <w:pPr>
        <w:spacing w:before="165" w:line="228" w:lineRule="auto"/>
        <w:ind w:left="435"/>
        <w:rPr>
          <w:rFonts w:ascii="宋体" w:hAnsi="宋体" w:eastAsia="宋体" w:cs="宋体"/>
          <w:color w:val="auto"/>
          <w:sz w:val="20"/>
          <w:szCs w:val="20"/>
          <w:highlight w:val="none"/>
        </w:rPr>
      </w:pPr>
      <w:r>
        <w:rPr>
          <w:rFonts w:ascii="宋体" w:hAnsi="宋体" w:eastAsia="宋体" w:cs="宋体"/>
          <w:color w:val="auto"/>
          <w:spacing w:val="4"/>
          <w:sz w:val="20"/>
          <w:szCs w:val="20"/>
          <w:highlight w:val="none"/>
        </w:rPr>
        <w:t>请求：</w:t>
      </w:r>
      <w:r>
        <w:rPr>
          <w:rFonts w:ascii="宋体" w:hAnsi="宋体" w:eastAsia="宋体" w:cs="宋体"/>
          <w:color w:val="auto"/>
          <w:spacing w:val="4"/>
          <w:sz w:val="20"/>
          <w:szCs w:val="20"/>
          <w:highlight w:val="none"/>
          <w:u w:val="single" w:color="auto"/>
        </w:rPr>
        <w:t xml:space="preserve">                                                                                 </w:t>
      </w:r>
    </w:p>
    <w:p w14:paraId="0BF21305">
      <w:pPr>
        <w:pStyle w:val="2"/>
        <w:spacing w:line="256" w:lineRule="auto"/>
        <w:rPr>
          <w:color w:val="auto"/>
          <w:highlight w:val="none"/>
        </w:rPr>
      </w:pPr>
    </w:p>
    <w:p w14:paraId="77D46186">
      <w:pPr>
        <w:pStyle w:val="2"/>
        <w:spacing w:line="256" w:lineRule="auto"/>
        <w:rPr>
          <w:color w:val="auto"/>
          <w:highlight w:val="none"/>
        </w:rPr>
      </w:pPr>
    </w:p>
    <w:p w14:paraId="55A20464">
      <w:pPr>
        <w:spacing w:before="65" w:line="227" w:lineRule="auto"/>
        <w:ind w:left="436"/>
        <w:rPr>
          <w:rFonts w:ascii="宋体" w:hAnsi="宋体" w:eastAsia="宋体" w:cs="宋体"/>
          <w:color w:val="auto"/>
          <w:sz w:val="20"/>
          <w:szCs w:val="20"/>
          <w:highlight w:val="none"/>
        </w:rPr>
      </w:pPr>
      <w:r>
        <w:rPr>
          <w:rFonts w:ascii="宋体" w:hAnsi="宋体" w:eastAsia="宋体" w:cs="宋体"/>
          <w:color w:val="auto"/>
          <w:spacing w:val="5"/>
          <w:sz w:val="20"/>
          <w:szCs w:val="20"/>
          <w:highlight w:val="none"/>
        </w:rPr>
        <w:t>签字（签章</w:t>
      </w:r>
      <w:r>
        <w:rPr>
          <w:rFonts w:ascii="宋体" w:hAnsi="宋体" w:eastAsia="宋体" w:cs="宋体"/>
          <w:color w:val="auto"/>
          <w:spacing w:val="8"/>
          <w:sz w:val="20"/>
          <w:szCs w:val="20"/>
          <w:highlight w:val="none"/>
        </w:rPr>
        <w:t>）：</w:t>
      </w:r>
      <w:r>
        <w:rPr>
          <w:rFonts w:ascii="宋体" w:hAnsi="宋体" w:eastAsia="宋体" w:cs="宋体"/>
          <w:color w:val="auto"/>
          <w:sz w:val="20"/>
          <w:szCs w:val="20"/>
          <w:highlight w:val="none"/>
        </w:rPr>
        <w:t xml:space="preserve">                                         </w:t>
      </w:r>
      <w:r>
        <w:rPr>
          <w:rFonts w:ascii="宋体" w:hAnsi="宋体" w:eastAsia="宋体" w:cs="宋体"/>
          <w:color w:val="auto"/>
          <w:spacing w:val="5"/>
          <w:sz w:val="20"/>
          <w:szCs w:val="20"/>
          <w:highlight w:val="none"/>
        </w:rPr>
        <w:t>公章：</w:t>
      </w:r>
    </w:p>
    <w:p w14:paraId="5E04BDDE">
      <w:pPr>
        <w:pStyle w:val="2"/>
        <w:spacing w:line="257" w:lineRule="auto"/>
        <w:rPr>
          <w:color w:val="auto"/>
          <w:highlight w:val="none"/>
        </w:rPr>
      </w:pPr>
    </w:p>
    <w:p w14:paraId="58C5E221">
      <w:pPr>
        <w:pStyle w:val="2"/>
        <w:spacing w:line="257" w:lineRule="auto"/>
        <w:rPr>
          <w:color w:val="auto"/>
          <w:highlight w:val="none"/>
        </w:rPr>
      </w:pPr>
    </w:p>
    <w:p w14:paraId="3FD98291">
      <w:pPr>
        <w:spacing w:before="65" w:line="228" w:lineRule="auto"/>
        <w:ind w:left="472"/>
        <w:rPr>
          <w:rFonts w:ascii="宋体" w:hAnsi="宋体" w:eastAsia="宋体" w:cs="宋体"/>
          <w:color w:val="auto"/>
          <w:sz w:val="20"/>
          <w:szCs w:val="20"/>
          <w:highlight w:val="none"/>
        </w:rPr>
      </w:pPr>
      <w:r>
        <w:rPr>
          <w:rFonts w:ascii="宋体" w:hAnsi="宋体" w:eastAsia="宋体" w:cs="宋体"/>
          <w:color w:val="auto"/>
          <w:spacing w:val="-9"/>
          <w:sz w:val="20"/>
          <w:szCs w:val="20"/>
          <w:highlight w:val="none"/>
        </w:rPr>
        <w:t>日期：</w:t>
      </w:r>
    </w:p>
    <w:p w14:paraId="507FBE4C">
      <w:pPr>
        <w:pStyle w:val="2"/>
        <w:spacing w:line="259" w:lineRule="auto"/>
        <w:rPr>
          <w:color w:val="auto"/>
          <w:highlight w:val="none"/>
        </w:rPr>
      </w:pPr>
    </w:p>
    <w:p w14:paraId="56902B0B">
      <w:pPr>
        <w:pStyle w:val="2"/>
        <w:spacing w:line="260" w:lineRule="auto"/>
        <w:rPr>
          <w:color w:val="auto"/>
          <w:highlight w:val="none"/>
        </w:rPr>
      </w:pPr>
    </w:p>
    <w:p w14:paraId="01DD4D1A">
      <w:pPr>
        <w:pStyle w:val="2"/>
        <w:spacing w:line="260" w:lineRule="auto"/>
        <w:rPr>
          <w:color w:val="auto"/>
          <w:highlight w:val="none"/>
        </w:rPr>
      </w:pPr>
    </w:p>
    <w:p w14:paraId="6030CE2B">
      <w:pPr>
        <w:spacing w:before="65" w:line="228" w:lineRule="auto"/>
        <w:rPr>
          <w:rFonts w:ascii="宋体" w:hAnsi="宋体" w:eastAsia="宋体" w:cs="宋体"/>
          <w:color w:val="auto"/>
          <w:sz w:val="20"/>
          <w:szCs w:val="20"/>
          <w:highlight w:val="none"/>
        </w:rPr>
      </w:pPr>
      <w:r>
        <w:rPr>
          <w:rFonts w:ascii="宋体" w:hAnsi="宋体" w:eastAsia="宋体" w:cs="宋体"/>
          <w:b/>
          <w:bCs/>
          <w:color w:val="auto"/>
          <w:spacing w:val="1"/>
          <w:sz w:val="20"/>
          <w:szCs w:val="20"/>
          <w:highlight w:val="none"/>
        </w:rPr>
        <w:t>说明：</w:t>
      </w:r>
    </w:p>
    <w:p w14:paraId="141E4A62">
      <w:pPr>
        <w:spacing w:before="165" w:line="368" w:lineRule="auto"/>
        <w:ind w:left="23" w:right="4" w:firstLine="325"/>
        <w:rPr>
          <w:rFonts w:ascii="宋体" w:hAnsi="宋体" w:eastAsia="宋体" w:cs="宋体"/>
          <w:color w:val="auto"/>
          <w:sz w:val="20"/>
          <w:szCs w:val="20"/>
          <w:highlight w:val="none"/>
        </w:rPr>
      </w:pPr>
      <w:r>
        <w:rPr>
          <w:rFonts w:ascii="宋体" w:hAnsi="宋体" w:eastAsia="宋体" w:cs="宋体"/>
          <w:b/>
          <w:bCs/>
          <w:color w:val="auto"/>
          <w:spacing w:val="10"/>
          <w:sz w:val="20"/>
          <w:szCs w:val="20"/>
          <w:highlight w:val="none"/>
        </w:rPr>
        <w:t>1.投诉人提起投诉时，应当提交投诉书和必要的证明材料，并按照被投诉</w:t>
      </w:r>
      <w:r>
        <w:rPr>
          <w:rFonts w:ascii="宋体" w:hAnsi="宋体" w:eastAsia="宋体" w:cs="宋体"/>
          <w:b/>
          <w:bCs/>
          <w:color w:val="auto"/>
          <w:spacing w:val="9"/>
          <w:sz w:val="20"/>
          <w:szCs w:val="20"/>
          <w:highlight w:val="none"/>
        </w:rPr>
        <w:t>人和与投诉事项有关的供</w:t>
      </w:r>
      <w:r>
        <w:rPr>
          <w:rFonts w:ascii="宋体" w:hAnsi="宋体" w:eastAsia="宋体" w:cs="宋体"/>
          <w:color w:val="auto"/>
          <w:sz w:val="20"/>
          <w:szCs w:val="20"/>
          <w:highlight w:val="none"/>
        </w:rPr>
        <w:t xml:space="preserve"> </w:t>
      </w:r>
      <w:r>
        <w:rPr>
          <w:rFonts w:ascii="宋体" w:hAnsi="宋体" w:eastAsia="宋体" w:cs="宋体"/>
          <w:b/>
          <w:bCs/>
          <w:color w:val="auto"/>
          <w:spacing w:val="6"/>
          <w:sz w:val="20"/>
          <w:szCs w:val="20"/>
          <w:highlight w:val="none"/>
        </w:rPr>
        <w:t>应商数量提供投诉书副本。</w:t>
      </w:r>
    </w:p>
    <w:p w14:paraId="52135E3D">
      <w:pPr>
        <w:spacing w:before="28" w:line="373" w:lineRule="auto"/>
        <w:ind w:left="28" w:right="2" w:firstLine="307"/>
        <w:jc w:val="both"/>
        <w:rPr>
          <w:rFonts w:ascii="宋体" w:hAnsi="宋体" w:eastAsia="宋体" w:cs="宋体"/>
          <w:color w:val="auto"/>
          <w:sz w:val="20"/>
          <w:szCs w:val="20"/>
          <w:highlight w:val="none"/>
        </w:rPr>
      </w:pPr>
      <w:r>
        <w:rPr>
          <w:rFonts w:ascii="宋体" w:hAnsi="宋体" w:eastAsia="宋体" w:cs="宋体"/>
          <w:b/>
          <w:bCs/>
          <w:color w:val="auto"/>
          <w:spacing w:val="9"/>
          <w:sz w:val="20"/>
          <w:szCs w:val="20"/>
          <w:highlight w:val="none"/>
        </w:rPr>
        <w:t>2.投诉人若委托代理人进行投诉的，投诉书应按要求列明“授权代表</w:t>
      </w:r>
      <w:r>
        <w:rPr>
          <w:rFonts w:ascii="宋体" w:hAnsi="宋体" w:eastAsia="宋体" w:cs="宋体"/>
          <w:color w:val="auto"/>
          <w:spacing w:val="-52"/>
          <w:sz w:val="20"/>
          <w:szCs w:val="20"/>
          <w:highlight w:val="none"/>
        </w:rPr>
        <w:t xml:space="preserve"> </w:t>
      </w:r>
      <w:r>
        <w:rPr>
          <w:rFonts w:ascii="宋体" w:hAnsi="宋体" w:eastAsia="宋体" w:cs="宋体"/>
          <w:b/>
          <w:bCs/>
          <w:color w:val="auto"/>
          <w:spacing w:val="9"/>
          <w:sz w:val="20"/>
          <w:szCs w:val="20"/>
          <w:highlight w:val="none"/>
        </w:rPr>
        <w:t>”的有关内容，并在附件中提</w:t>
      </w:r>
      <w:r>
        <w:rPr>
          <w:rFonts w:ascii="宋体" w:hAnsi="宋体" w:eastAsia="宋体" w:cs="宋体"/>
          <w:color w:val="auto"/>
          <w:sz w:val="20"/>
          <w:szCs w:val="20"/>
          <w:highlight w:val="none"/>
        </w:rPr>
        <w:t xml:space="preserve"> </w:t>
      </w:r>
      <w:r>
        <w:rPr>
          <w:rFonts w:ascii="宋体" w:hAnsi="宋体" w:eastAsia="宋体" w:cs="宋体"/>
          <w:b/>
          <w:bCs/>
          <w:color w:val="auto"/>
          <w:spacing w:val="8"/>
          <w:sz w:val="20"/>
          <w:szCs w:val="20"/>
          <w:highlight w:val="none"/>
        </w:rPr>
        <w:t>交由投诉人签署的授权委托书。授权委托书应当载明代理人的姓名或者名称、代</w:t>
      </w:r>
      <w:r>
        <w:rPr>
          <w:rFonts w:ascii="宋体" w:hAnsi="宋体" w:eastAsia="宋体" w:cs="宋体"/>
          <w:b/>
          <w:bCs/>
          <w:color w:val="auto"/>
          <w:spacing w:val="7"/>
          <w:sz w:val="20"/>
          <w:szCs w:val="20"/>
          <w:highlight w:val="none"/>
        </w:rPr>
        <w:t>理事项、具体权限、期</w:t>
      </w:r>
      <w:r>
        <w:rPr>
          <w:rFonts w:ascii="宋体" w:hAnsi="宋体" w:eastAsia="宋体" w:cs="宋体"/>
          <w:color w:val="auto"/>
          <w:sz w:val="20"/>
          <w:szCs w:val="20"/>
          <w:highlight w:val="none"/>
        </w:rPr>
        <w:t xml:space="preserve"> </w:t>
      </w:r>
      <w:r>
        <w:rPr>
          <w:rFonts w:ascii="宋体" w:hAnsi="宋体" w:eastAsia="宋体" w:cs="宋体"/>
          <w:b/>
          <w:bCs/>
          <w:color w:val="auto"/>
          <w:spacing w:val="5"/>
          <w:sz w:val="20"/>
          <w:szCs w:val="20"/>
          <w:highlight w:val="none"/>
        </w:rPr>
        <w:t>限和相关事项。</w:t>
      </w:r>
    </w:p>
    <w:p w14:paraId="015083C0">
      <w:pPr>
        <w:spacing w:before="31" w:line="368" w:lineRule="auto"/>
        <w:ind w:left="332" w:right="2442" w:firstLine="5"/>
        <w:rPr>
          <w:rFonts w:ascii="宋体" w:hAnsi="宋体" w:eastAsia="宋体" w:cs="宋体"/>
          <w:color w:val="auto"/>
          <w:sz w:val="20"/>
          <w:szCs w:val="20"/>
          <w:highlight w:val="none"/>
        </w:rPr>
      </w:pPr>
      <w:r>
        <w:rPr>
          <w:rFonts w:ascii="宋体" w:hAnsi="宋体" w:eastAsia="宋体" w:cs="宋体"/>
          <w:b/>
          <w:bCs/>
          <w:color w:val="auto"/>
          <w:spacing w:val="7"/>
          <w:sz w:val="20"/>
          <w:szCs w:val="20"/>
          <w:highlight w:val="none"/>
        </w:rPr>
        <w:t>3.投诉书应简要列明质疑事项，质疑函、质疑答复等作为附件</w:t>
      </w:r>
      <w:r>
        <w:rPr>
          <w:rFonts w:ascii="宋体" w:hAnsi="宋体" w:eastAsia="宋体" w:cs="宋体"/>
          <w:b/>
          <w:bCs/>
          <w:color w:val="auto"/>
          <w:spacing w:val="6"/>
          <w:sz w:val="20"/>
          <w:szCs w:val="20"/>
          <w:highlight w:val="none"/>
        </w:rPr>
        <w:t>材料提供。</w:t>
      </w:r>
      <w:r>
        <w:rPr>
          <w:rFonts w:ascii="宋体" w:hAnsi="宋体" w:eastAsia="宋体" w:cs="宋体"/>
          <w:color w:val="auto"/>
          <w:sz w:val="20"/>
          <w:szCs w:val="20"/>
          <w:highlight w:val="none"/>
        </w:rPr>
        <w:t xml:space="preserve"> </w:t>
      </w:r>
      <w:r>
        <w:rPr>
          <w:rFonts w:ascii="宋体" w:hAnsi="宋体" w:eastAsia="宋体" w:cs="宋体"/>
          <w:b/>
          <w:bCs/>
          <w:color w:val="auto"/>
          <w:spacing w:val="8"/>
          <w:sz w:val="20"/>
          <w:szCs w:val="20"/>
          <w:highlight w:val="none"/>
        </w:rPr>
        <w:t>4.投诉书的投诉事项应具体、明确，并有必要的事实</w:t>
      </w:r>
      <w:r>
        <w:rPr>
          <w:rFonts w:ascii="宋体" w:hAnsi="宋体" w:eastAsia="宋体" w:cs="宋体"/>
          <w:b/>
          <w:bCs/>
          <w:color w:val="auto"/>
          <w:spacing w:val="7"/>
          <w:sz w:val="20"/>
          <w:szCs w:val="20"/>
          <w:highlight w:val="none"/>
        </w:rPr>
        <w:t>依据和法律依据。</w:t>
      </w:r>
    </w:p>
    <w:p w14:paraId="59EBEF07">
      <w:pPr>
        <w:spacing w:before="30" w:line="227" w:lineRule="auto"/>
        <w:ind w:left="337"/>
        <w:rPr>
          <w:rFonts w:ascii="宋体" w:hAnsi="宋体" w:eastAsia="宋体" w:cs="宋体"/>
          <w:color w:val="auto"/>
          <w:sz w:val="20"/>
          <w:szCs w:val="20"/>
          <w:highlight w:val="none"/>
        </w:rPr>
      </w:pPr>
      <w:r>
        <w:rPr>
          <w:rFonts w:ascii="宋体" w:hAnsi="宋体" w:eastAsia="宋体" w:cs="宋体"/>
          <w:b/>
          <w:bCs/>
          <w:color w:val="auto"/>
          <w:spacing w:val="6"/>
          <w:sz w:val="20"/>
          <w:szCs w:val="20"/>
          <w:highlight w:val="none"/>
        </w:rPr>
        <w:t>5.投诉书的投诉请求应与投诉事项相关。</w:t>
      </w:r>
    </w:p>
    <w:p w14:paraId="7D6456E6">
      <w:pPr>
        <w:spacing w:before="167" w:line="368" w:lineRule="auto"/>
        <w:ind w:left="24" w:right="4" w:firstLine="310"/>
        <w:rPr>
          <w:rFonts w:ascii="宋体" w:hAnsi="宋体" w:eastAsia="宋体" w:cs="宋体"/>
          <w:color w:val="auto"/>
          <w:sz w:val="20"/>
          <w:szCs w:val="20"/>
          <w:highlight w:val="none"/>
        </w:rPr>
      </w:pPr>
      <w:r>
        <w:rPr>
          <w:rFonts w:ascii="宋体" w:hAnsi="宋体" w:eastAsia="宋体" w:cs="宋体"/>
          <w:b/>
          <w:bCs/>
          <w:color w:val="auto"/>
          <w:spacing w:val="10"/>
          <w:sz w:val="20"/>
          <w:szCs w:val="20"/>
          <w:highlight w:val="none"/>
        </w:rPr>
        <w:t>6.投诉人为法人或者其他组织的，投诉书应由法定代表人、主要负责人，或者其授权代表签字或者</w:t>
      </w:r>
      <w:r>
        <w:rPr>
          <w:rFonts w:ascii="宋体" w:hAnsi="宋体" w:eastAsia="宋体" w:cs="宋体"/>
          <w:color w:val="auto"/>
          <w:spacing w:val="3"/>
          <w:sz w:val="20"/>
          <w:szCs w:val="20"/>
          <w:highlight w:val="none"/>
        </w:rPr>
        <w:t xml:space="preserve"> </w:t>
      </w:r>
      <w:r>
        <w:rPr>
          <w:rFonts w:ascii="宋体" w:hAnsi="宋体" w:eastAsia="宋体" w:cs="宋体"/>
          <w:b/>
          <w:bCs/>
          <w:color w:val="auto"/>
          <w:spacing w:val="6"/>
          <w:sz w:val="20"/>
          <w:szCs w:val="20"/>
          <w:highlight w:val="none"/>
        </w:rPr>
        <w:t>盖章，并加盖公章。</w:t>
      </w:r>
    </w:p>
    <w:sectPr>
      <w:footerReference r:id="rId73" w:type="default"/>
      <w:pgSz w:w="11906" w:h="16839"/>
      <w:pgMar w:top="1195" w:right="1285" w:bottom="882" w:left="1143"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auto"/>
    <w:pitch w:val="default"/>
    <w:sig w:usb0="00000287" w:usb1="00000000" w:usb2="00000000" w:usb3="00000000" w:csb0="2000009F" w:csb1="DFD70000"/>
  </w:font>
  <w:font w:name="MS Gothic">
    <w:panose1 w:val="020B0609070205080204"/>
    <w:charset w:val="80"/>
    <w:family w:val="auto"/>
    <w:pitch w:val="default"/>
    <w:sig w:usb0="E00002FF" w:usb1="6AC7FDFB" w:usb2="00000012" w:usb3="00000000" w:csb0="4002009F" w:csb1="DFD70000"/>
  </w:font>
  <w:font w:name="Segoe UI Symbol">
    <w:panose1 w:val="020B0502040204020203"/>
    <w:charset w:val="00"/>
    <w:family w:val="auto"/>
    <w:pitch w:val="default"/>
    <w:sig w:usb0="8000006F" w:usb1="1200FBEF" w:usb2="0064C000" w:usb3="00000002" w:csb0="00000001" w:csb1="4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F8B00">
    <w:pPr>
      <w:spacing w:line="176" w:lineRule="auto"/>
      <w:ind w:left="4275"/>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F1EFE">
    <w:pPr>
      <w:spacing w:line="176" w:lineRule="auto"/>
      <w:ind w:left="42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66776">
                          <w:pPr>
                            <w:pStyle w:val="7"/>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14:paraId="60266776">
                    <w:pPr>
                      <w:pStyle w:val="7"/>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F2CD9">
    <w:pPr>
      <w:spacing w:line="176" w:lineRule="auto"/>
      <w:ind w:left="42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A2ED88">
                          <w:pPr>
                            <w:pStyle w:val="7"/>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14:paraId="63A2ED88">
                    <w:pPr>
                      <w:pStyle w:val="7"/>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699DB">
    <w:pPr>
      <w:spacing w:line="176"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B25AB9">
                          <w:pPr>
                            <w:pStyle w:val="7"/>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2DB25AB9">
                    <w:pPr>
                      <w:pStyle w:val="7"/>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C696">
    <w:pPr>
      <w:spacing w:line="176" w:lineRule="auto"/>
      <w:ind w:left="42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8E653">
                          <w:pPr>
                            <w:pStyle w:val="7"/>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6E88E653">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4BAE2">
    <w:pPr>
      <w:spacing w:line="176" w:lineRule="auto"/>
      <w:ind w:left="474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56BF2">
                          <w:pPr>
                            <w:pStyle w:val="7"/>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08656BF2">
                    <w:pPr>
                      <w:pStyle w:val="7"/>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C521A">
    <w:pPr>
      <w:spacing w:line="176" w:lineRule="auto"/>
      <w:ind w:left="42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F4ED41">
                          <w:pPr>
                            <w:pStyle w:val="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7DF4ED41">
                    <w:pPr>
                      <w:pStyle w:val="7"/>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075DC">
    <w:pPr>
      <w:spacing w:line="176" w:lineRule="auto"/>
      <w:ind w:left="42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0EC79">
                          <w:pPr>
                            <w:pStyle w:val="7"/>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6760EC79">
                    <w:pPr>
                      <w:pStyle w:val="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A1925">
    <w:pPr>
      <w:spacing w:line="176" w:lineRule="auto"/>
      <w:ind w:left="46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D72F2">
                          <w:pPr>
                            <w:pStyle w:val="7"/>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14:paraId="3FAD72F2">
                    <w:pPr>
                      <w:pStyle w:val="7"/>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5D840">
    <w:pPr>
      <w:spacing w:line="176" w:lineRule="auto"/>
      <w:ind w:left="42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A28E9D">
                          <w:pPr>
                            <w:pStyle w:val="7"/>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74A28E9D">
                    <w:pPr>
                      <w:pStyle w:val="7"/>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3C506">
    <w:pPr>
      <w:spacing w:line="176" w:lineRule="auto"/>
      <w:ind w:left="49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44D8CB">
                          <w:pPr>
                            <w:pStyle w:val="7"/>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0F44D8CB">
                    <w:pPr>
                      <w:pStyle w:val="7"/>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2190F">
    <w:pPr>
      <w:spacing w:line="173" w:lineRule="auto"/>
      <w:ind w:left="4275"/>
      <w:rPr>
        <w:rFonts w:ascii="Times New Roman" w:hAnsi="Times New Roman" w:eastAsia="Times New Roman" w:cs="Times New Roman"/>
        <w:sz w:val="18"/>
        <w:szCs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D7DD8">
    <w:pPr>
      <w:spacing w:line="176" w:lineRule="auto"/>
      <w:ind w:left="47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3564D">
                          <w:pPr>
                            <w:pStyle w:val="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733564D">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846B11">
    <w:pPr>
      <w:spacing w:line="176" w:lineRule="auto"/>
      <w:ind w:left="42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7404D">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4837404D">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6C404">
    <w:pPr>
      <w:spacing w:line="176" w:lineRule="auto"/>
      <w:ind w:left="42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F4AF1">
                          <w:pPr>
                            <w:pStyle w:val="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311F4AF1">
                    <w:pPr>
                      <w:pStyle w:val="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D4A6A">
    <w:pPr>
      <w:spacing w:line="176" w:lineRule="auto"/>
      <w:ind w:left="46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37011">
                          <w:pPr>
                            <w:pStyle w:val="7"/>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14:paraId="1E637011">
                    <w:pPr>
                      <w:pStyle w:val="7"/>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D1547">
    <w:pPr>
      <w:spacing w:line="176" w:lineRule="auto"/>
      <w:ind w:left="46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81036">
                          <w:pPr>
                            <w:pStyle w:val="7"/>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14:paraId="39481036">
                    <w:pPr>
                      <w:pStyle w:val="7"/>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A87FE">
    <w:pPr>
      <w:spacing w:line="176" w:lineRule="auto"/>
      <w:ind w:left="42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F0BE00">
                          <w:pPr>
                            <w:pStyle w:val="7"/>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14:paraId="6BF0BE00">
                    <w:pPr>
                      <w:pStyle w:val="7"/>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2C500">
    <w:pPr>
      <w:spacing w:line="176" w:lineRule="auto"/>
      <w:ind w:left="42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D35A7">
                          <w:pPr>
                            <w:pStyle w:val="7"/>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14:paraId="355D35A7">
                    <w:pPr>
                      <w:pStyle w:val="7"/>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79760">
    <w:pPr>
      <w:spacing w:line="176" w:lineRule="auto"/>
      <w:ind w:left="42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D2DFAB">
                          <w:pPr>
                            <w:pStyle w:val="7"/>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14:paraId="42D2DFAB">
                    <w:pPr>
                      <w:pStyle w:val="7"/>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D0F13">
    <w:pPr>
      <w:spacing w:line="176" w:lineRule="auto"/>
      <w:ind w:left="42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77191">
                          <w:pPr>
                            <w:pStyle w:val="7"/>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14:paraId="76B77191">
                    <w:pPr>
                      <w:pStyle w:val="7"/>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ACF61">
    <w:pPr>
      <w:spacing w:line="173" w:lineRule="auto"/>
      <w:ind w:left="42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B0D3D">
                          <w:pPr>
                            <w:pStyle w:val="7"/>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14:paraId="525B0D3D">
                    <w:pPr>
                      <w:pStyle w:val="7"/>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A9FE7">
    <w:pPr>
      <w:spacing w:line="173" w:lineRule="auto"/>
      <w:ind w:left="42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2AF61F">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14:paraId="242AF61F">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BBCCE">
    <w:pPr>
      <w:spacing w:line="176" w:lineRule="auto"/>
      <w:ind w:left="44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FA0ECD">
                          <w:pPr>
                            <w:pStyle w:val="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14:paraId="78FA0ECD">
                    <w:pPr>
                      <w:pStyle w:val="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FB68E">
    <w:pPr>
      <w:spacing w:line="176" w:lineRule="auto"/>
      <w:ind w:left="421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EB999">
                          <w:pPr>
                            <w:pStyle w:val="7"/>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14:paraId="68CEB999">
                    <w:pPr>
                      <w:pStyle w:val="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AABA5">
    <w:pPr>
      <w:spacing w:line="176" w:lineRule="auto"/>
      <w:ind w:left="421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6478D">
                          <w:pPr>
                            <w:pStyle w:val="7"/>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14:paraId="4A46478D">
                    <w:pPr>
                      <w:pStyle w:val="7"/>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BB252">
    <w:pPr>
      <w:spacing w:line="173"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59D62">
                          <w:pPr>
                            <w:pStyle w:val="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14:paraId="49659D62">
                    <w:pPr>
                      <w:pStyle w:val="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C9809">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2A091">
                          <w:pPr>
                            <w:pStyle w:val="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14:paraId="70E2A091">
                    <w:pPr>
                      <w:pStyle w:val="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39FEB">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E6943">
                          <w:pPr>
                            <w:pStyle w:val="7"/>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14:paraId="1B3E6943">
                    <w:pPr>
                      <w:pStyle w:val="7"/>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21DB0">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FA367">
                          <w:pPr>
                            <w:pStyle w:val="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14:paraId="7F7FA367">
                    <w:pPr>
                      <w:pStyle w:val="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DECE">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8C75A1">
                          <w:pPr>
                            <w:pStyle w:val="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14:paraId="268C75A1">
                    <w:pPr>
                      <w:pStyle w:val="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80BD1">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FFC39">
                          <w:pPr>
                            <w:pStyle w:val="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14:paraId="791FFC39">
                    <w:pPr>
                      <w:pStyle w:val="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726F">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60F6A">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14:paraId="00D60F6A">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8A7A3">
    <w:pPr>
      <w:spacing w:line="176" w:lineRule="auto"/>
      <w:ind w:left="43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87046">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58887046">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7E141">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56698">
                          <w:pPr>
                            <w:pStyle w:val="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14:paraId="4A556698">
                    <w:pPr>
                      <w:pStyle w:val="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C01AF">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36CFB">
                          <w:pPr>
                            <w:pStyle w:val="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14:paraId="02236CFB">
                    <w:pPr>
                      <w:pStyle w:val="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24FD0">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730316">
                          <w:pPr>
                            <w:pStyle w:val="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14:paraId="6F730316">
                    <w:pPr>
                      <w:pStyle w:val="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4F0F9">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F6AD8">
                          <w:pPr>
                            <w:pStyle w:val="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14:paraId="0DDF6AD8">
                    <w:pPr>
                      <w:pStyle w:val="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C61C3">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10EA49">
                          <w:pPr>
                            <w:pStyle w:val="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0C10EA49">
                    <w:pPr>
                      <w:pStyle w:val="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58CB4">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7A0080">
                          <w:pPr>
                            <w:pStyle w:val="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14:paraId="3B7A0080">
                    <w:pPr>
                      <w:pStyle w:val="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E4D2">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293BD7">
                          <w:pPr>
                            <w:pStyle w:val="7"/>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76293BD7">
                    <w:pPr>
                      <w:pStyle w:val="7"/>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FAB5F">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5F9C12">
                          <w:pPr>
                            <w:pStyle w:val="7"/>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14:paraId="305F9C12">
                    <w:pPr>
                      <w:pStyle w:val="7"/>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EAEB1">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72447D">
                          <w:pPr>
                            <w:pStyle w:val="7"/>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5072447D">
                    <w:pPr>
                      <w:pStyle w:val="7"/>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3D50C">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8F9611">
                          <w:pPr>
                            <w:pStyle w:val="7"/>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8F9611">
                    <w:pPr>
                      <w:pStyle w:val="7"/>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5A384">
    <w:pPr>
      <w:spacing w:line="176" w:lineRule="auto"/>
      <w:ind w:left="42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32A72A">
                          <w:pPr>
                            <w:pStyle w:val="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A32A72A">
                    <w:pPr>
                      <w:pStyle w:val="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2B199">
    <w:pPr>
      <w:spacing w:line="176" w:lineRule="auto"/>
      <w:ind w:left="42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AB36A">
                          <w:pPr>
                            <w:pStyle w:val="7"/>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C8AB36A">
                    <w:pPr>
                      <w:pStyle w:val="7"/>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13661">
    <w:pPr>
      <w:spacing w:line="176" w:lineRule="auto"/>
      <w:ind w:left="42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E7AC25">
                          <w:pPr>
                            <w:pStyle w:val="7"/>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6E7AC25">
                    <w:pPr>
                      <w:pStyle w:val="7"/>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CF46">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EF537">
                          <w:pPr>
                            <w:pStyle w:val="7"/>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DBEF537">
                    <w:pPr>
                      <w:pStyle w:val="7"/>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651DD">
    <w:pPr>
      <w:spacing w:line="176" w:lineRule="auto"/>
      <w:ind w:left="48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39732">
                          <w:pPr>
                            <w:pStyle w:val="7"/>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5639732">
                    <w:pPr>
                      <w:pStyle w:val="7"/>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8505D">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83EB4">
                          <w:pPr>
                            <w:pStyle w:val="7"/>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F483EB4">
                    <w:pPr>
                      <w:pStyle w:val="7"/>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8F18">
    <w:pPr>
      <w:spacing w:line="176" w:lineRule="auto"/>
      <w:ind w:left="48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36080C">
                          <w:pPr>
                            <w:pStyle w:val="7"/>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A36080C">
                    <w:pPr>
                      <w:pStyle w:val="7"/>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24C50">
    <w:pPr>
      <w:spacing w:line="176" w:lineRule="auto"/>
      <w:ind w:left="42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7E0A7F">
                          <w:pPr>
                            <w:pStyle w:val="7"/>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F7E0A7F">
                    <w:pPr>
                      <w:pStyle w:val="7"/>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3200F">
    <w:pPr>
      <w:spacing w:line="168" w:lineRule="auto"/>
      <w:ind w:left="0"/>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D21AE">
                          <w:pPr>
                            <w:pStyle w:val="7"/>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9FD21AE">
                    <w:pPr>
                      <w:pStyle w:val="7"/>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E4E84">
    <w:pPr>
      <w:spacing w:line="176" w:lineRule="auto"/>
      <w:ind w:left="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5ED0F">
                          <w:pPr>
                            <w:pStyle w:val="7"/>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41D5ED0F">
                    <w:pPr>
                      <w:pStyle w:val="7"/>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16E85">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9DBEF">
                          <w:pPr>
                            <w:pStyle w:val="7"/>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F79DBEF">
                    <w:pPr>
                      <w:pStyle w:val="7"/>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DDE3">
    <w:pPr>
      <w:spacing w:line="176" w:lineRule="auto"/>
      <w:ind w:left="423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2EAB8">
                          <w:pPr>
                            <w:pStyle w:val="7"/>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3152EAB8">
                    <w:pPr>
                      <w:pStyle w:val="7"/>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DB1F2">
    <w:pPr>
      <w:spacing w:line="176" w:lineRule="auto"/>
      <w:ind w:left="461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5873DE">
                          <w:pPr>
                            <w:pStyle w:val="7"/>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D5873DE">
                    <w:pPr>
                      <w:pStyle w:val="7"/>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AC020">
    <w:pPr>
      <w:spacing w:line="176" w:lineRule="auto"/>
      <w:ind w:left="46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70142">
                          <w:pPr>
                            <w:pStyle w:val="7"/>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1CF70142">
                    <w:pPr>
                      <w:pStyle w:val="7"/>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5C75">
    <w:pPr>
      <w:spacing w:line="176" w:lineRule="auto"/>
      <w:ind w:left="45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A7EBE8">
                          <w:pPr>
                            <w:pStyle w:val="7"/>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50A7EBE8">
                    <w:pPr>
                      <w:pStyle w:val="7"/>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81409">
    <w:pPr>
      <w:spacing w:line="176" w:lineRule="auto"/>
      <w:ind w:left="40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FFB3B">
                          <w:pPr>
                            <w:pStyle w:val="7"/>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504FFB3B">
                    <w:pPr>
                      <w:pStyle w:val="7"/>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174A96">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4128E4">
                          <w:pPr>
                            <w:pStyle w:val="7"/>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2B4128E4">
                    <w:pPr>
                      <w:pStyle w:val="7"/>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09ED8">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5311D">
                          <w:pPr>
                            <w:pStyle w:val="7"/>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70E5311D">
                    <w:pPr>
                      <w:pStyle w:val="7"/>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F040D">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671AF">
                          <w:pPr>
                            <w:pStyle w:val="7"/>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60B671AF">
                    <w:pPr>
                      <w:pStyle w:val="7"/>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3F71E">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12E1B4">
                          <w:pPr>
                            <w:pStyle w:val="7"/>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5112E1B4">
                    <w:pPr>
                      <w:pStyle w:val="7"/>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F121B">
    <w:pPr>
      <w:spacing w:line="176" w:lineRule="auto"/>
      <w:ind w:left="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222DD6">
                          <w:pPr>
                            <w:pStyle w:val="7"/>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71222DD6">
                    <w:pPr>
                      <w:pStyle w:val="7"/>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EF7F">
    <w:pPr>
      <w:spacing w:line="176" w:lineRule="auto"/>
      <w:ind w:left="42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05322">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4D805322">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DE98E">
    <w:pPr>
      <w:spacing w:line="176" w:lineRule="auto"/>
      <w:ind w:left="42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9B734">
                          <w:pPr>
                            <w:pStyle w:val="7"/>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14:paraId="5549B734">
                    <w:pPr>
                      <w:pStyle w:val="7"/>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1C5A7">
    <w:pPr>
      <w:spacing w:line="176" w:lineRule="auto"/>
      <w:ind w:left="42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92AC67">
                          <w:pPr>
                            <w:pStyle w:val="7"/>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14:paraId="0892AC67">
                    <w:pPr>
                      <w:pStyle w:val="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4213">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trackRevisions w:val="1"/>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11760F"/>
    <w:rsid w:val="00320BE2"/>
    <w:rsid w:val="00496DA9"/>
    <w:rsid w:val="006B6D1F"/>
    <w:rsid w:val="00770308"/>
    <w:rsid w:val="0078143C"/>
    <w:rsid w:val="008F6EB2"/>
    <w:rsid w:val="00941141"/>
    <w:rsid w:val="00A87F74"/>
    <w:rsid w:val="00AE30B0"/>
    <w:rsid w:val="00B92181"/>
    <w:rsid w:val="00F22F9D"/>
    <w:rsid w:val="013E2018"/>
    <w:rsid w:val="01967DCC"/>
    <w:rsid w:val="01AA7149"/>
    <w:rsid w:val="01C506B1"/>
    <w:rsid w:val="01CF32DE"/>
    <w:rsid w:val="020042FB"/>
    <w:rsid w:val="020829C5"/>
    <w:rsid w:val="022573A2"/>
    <w:rsid w:val="02331ABF"/>
    <w:rsid w:val="02482743"/>
    <w:rsid w:val="02555ED9"/>
    <w:rsid w:val="025A704C"/>
    <w:rsid w:val="02624128"/>
    <w:rsid w:val="02661E94"/>
    <w:rsid w:val="027D2E26"/>
    <w:rsid w:val="02DA7F30"/>
    <w:rsid w:val="02F84024"/>
    <w:rsid w:val="03124681"/>
    <w:rsid w:val="03144708"/>
    <w:rsid w:val="0328714A"/>
    <w:rsid w:val="03357A55"/>
    <w:rsid w:val="0341020B"/>
    <w:rsid w:val="03544F87"/>
    <w:rsid w:val="03AE3AF3"/>
    <w:rsid w:val="03AF3671"/>
    <w:rsid w:val="03BB1D6C"/>
    <w:rsid w:val="03C86237"/>
    <w:rsid w:val="03CC3F79"/>
    <w:rsid w:val="03EF5EB9"/>
    <w:rsid w:val="03F67248"/>
    <w:rsid w:val="04175703"/>
    <w:rsid w:val="043833BC"/>
    <w:rsid w:val="04494FB1"/>
    <w:rsid w:val="044C50BA"/>
    <w:rsid w:val="0466617C"/>
    <w:rsid w:val="04825C73"/>
    <w:rsid w:val="048D195A"/>
    <w:rsid w:val="049D12CA"/>
    <w:rsid w:val="04A722F0"/>
    <w:rsid w:val="04B769D7"/>
    <w:rsid w:val="04BA415C"/>
    <w:rsid w:val="04CB22DB"/>
    <w:rsid w:val="04CD61FB"/>
    <w:rsid w:val="04DD675D"/>
    <w:rsid w:val="04E35A1E"/>
    <w:rsid w:val="04F419D9"/>
    <w:rsid w:val="04F853C7"/>
    <w:rsid w:val="05445D91"/>
    <w:rsid w:val="056D7096"/>
    <w:rsid w:val="05726DA2"/>
    <w:rsid w:val="057F5510"/>
    <w:rsid w:val="059D0343"/>
    <w:rsid w:val="05BE1FE7"/>
    <w:rsid w:val="05F648AD"/>
    <w:rsid w:val="060D2627"/>
    <w:rsid w:val="06124F29"/>
    <w:rsid w:val="062220DC"/>
    <w:rsid w:val="06255BC2"/>
    <w:rsid w:val="062F78B2"/>
    <w:rsid w:val="063876A4"/>
    <w:rsid w:val="063E0A32"/>
    <w:rsid w:val="06495287"/>
    <w:rsid w:val="066630D6"/>
    <w:rsid w:val="06826B71"/>
    <w:rsid w:val="06A25465"/>
    <w:rsid w:val="06B961DD"/>
    <w:rsid w:val="06BC02D5"/>
    <w:rsid w:val="06BD6121"/>
    <w:rsid w:val="06CE0008"/>
    <w:rsid w:val="06DD649D"/>
    <w:rsid w:val="06EE5866"/>
    <w:rsid w:val="06F31113"/>
    <w:rsid w:val="06FC1585"/>
    <w:rsid w:val="072305F9"/>
    <w:rsid w:val="073A569E"/>
    <w:rsid w:val="074D4F9A"/>
    <w:rsid w:val="07634B9C"/>
    <w:rsid w:val="0781183E"/>
    <w:rsid w:val="07961D7F"/>
    <w:rsid w:val="07D16002"/>
    <w:rsid w:val="07F33B7D"/>
    <w:rsid w:val="080D690E"/>
    <w:rsid w:val="08114650"/>
    <w:rsid w:val="0814007E"/>
    <w:rsid w:val="082E5202"/>
    <w:rsid w:val="083B347B"/>
    <w:rsid w:val="083C6C70"/>
    <w:rsid w:val="086C7AD9"/>
    <w:rsid w:val="08765D71"/>
    <w:rsid w:val="087B5F6E"/>
    <w:rsid w:val="088E0696"/>
    <w:rsid w:val="08AD10C7"/>
    <w:rsid w:val="08FA1588"/>
    <w:rsid w:val="091A2489"/>
    <w:rsid w:val="091C14FF"/>
    <w:rsid w:val="091C305C"/>
    <w:rsid w:val="093C56FD"/>
    <w:rsid w:val="09502F56"/>
    <w:rsid w:val="09811362"/>
    <w:rsid w:val="098826F0"/>
    <w:rsid w:val="09B41737"/>
    <w:rsid w:val="09C82713"/>
    <w:rsid w:val="09CB6A81"/>
    <w:rsid w:val="0A082CDC"/>
    <w:rsid w:val="0A234C86"/>
    <w:rsid w:val="0A531525"/>
    <w:rsid w:val="0A7333A0"/>
    <w:rsid w:val="0A777874"/>
    <w:rsid w:val="0A821835"/>
    <w:rsid w:val="0A856C30"/>
    <w:rsid w:val="0ABD0FC6"/>
    <w:rsid w:val="0AC27E20"/>
    <w:rsid w:val="0AE918B4"/>
    <w:rsid w:val="0AF67B2D"/>
    <w:rsid w:val="0AFD0EBC"/>
    <w:rsid w:val="0B301291"/>
    <w:rsid w:val="0B380146"/>
    <w:rsid w:val="0B3810AE"/>
    <w:rsid w:val="0B4765DB"/>
    <w:rsid w:val="0B5C5D5C"/>
    <w:rsid w:val="0B611439"/>
    <w:rsid w:val="0B732F2C"/>
    <w:rsid w:val="0BD95485"/>
    <w:rsid w:val="0BF7590B"/>
    <w:rsid w:val="0C142961"/>
    <w:rsid w:val="0C323D10"/>
    <w:rsid w:val="0C550884"/>
    <w:rsid w:val="0CCF0636"/>
    <w:rsid w:val="0CD520F0"/>
    <w:rsid w:val="0CDF4D1D"/>
    <w:rsid w:val="0CF31BCF"/>
    <w:rsid w:val="0CF62067"/>
    <w:rsid w:val="0D110C4F"/>
    <w:rsid w:val="0D116EA1"/>
    <w:rsid w:val="0D140B10"/>
    <w:rsid w:val="0D1A5D55"/>
    <w:rsid w:val="0D1C07C5"/>
    <w:rsid w:val="0D3A1F53"/>
    <w:rsid w:val="0D554FDF"/>
    <w:rsid w:val="0D7731A8"/>
    <w:rsid w:val="0D870F11"/>
    <w:rsid w:val="0DA35E8C"/>
    <w:rsid w:val="0DA970D9"/>
    <w:rsid w:val="0DBF68FD"/>
    <w:rsid w:val="0DD51C7C"/>
    <w:rsid w:val="0E106210"/>
    <w:rsid w:val="0E177E23"/>
    <w:rsid w:val="0E527771"/>
    <w:rsid w:val="0E5E6115"/>
    <w:rsid w:val="0E71409B"/>
    <w:rsid w:val="0E737AC2"/>
    <w:rsid w:val="0E743120"/>
    <w:rsid w:val="0E7E40C2"/>
    <w:rsid w:val="0E9E1035"/>
    <w:rsid w:val="0EAE2BD9"/>
    <w:rsid w:val="0EB0407F"/>
    <w:rsid w:val="0ECC42D8"/>
    <w:rsid w:val="0EDD528C"/>
    <w:rsid w:val="0EDE1004"/>
    <w:rsid w:val="0EEC1973"/>
    <w:rsid w:val="0EED198A"/>
    <w:rsid w:val="0F227143"/>
    <w:rsid w:val="0F490B74"/>
    <w:rsid w:val="0F601CC9"/>
    <w:rsid w:val="0F6C6610"/>
    <w:rsid w:val="0F76123D"/>
    <w:rsid w:val="0F803E6A"/>
    <w:rsid w:val="0FA83AEC"/>
    <w:rsid w:val="0FBA55CD"/>
    <w:rsid w:val="10042CED"/>
    <w:rsid w:val="10176755"/>
    <w:rsid w:val="102869DB"/>
    <w:rsid w:val="104906FF"/>
    <w:rsid w:val="10E30B54"/>
    <w:rsid w:val="110D2624"/>
    <w:rsid w:val="11477335"/>
    <w:rsid w:val="115A7505"/>
    <w:rsid w:val="117F262B"/>
    <w:rsid w:val="119F0F1F"/>
    <w:rsid w:val="11AB4F55"/>
    <w:rsid w:val="11AB78C4"/>
    <w:rsid w:val="11B20C52"/>
    <w:rsid w:val="11C10E95"/>
    <w:rsid w:val="11CE752D"/>
    <w:rsid w:val="11E44B84"/>
    <w:rsid w:val="11ED1C8A"/>
    <w:rsid w:val="11EF3086"/>
    <w:rsid w:val="11FA7F03"/>
    <w:rsid w:val="11FF551A"/>
    <w:rsid w:val="1211524D"/>
    <w:rsid w:val="122B4561"/>
    <w:rsid w:val="12C66037"/>
    <w:rsid w:val="12DA1AE3"/>
    <w:rsid w:val="12E070F9"/>
    <w:rsid w:val="133236CD"/>
    <w:rsid w:val="136E2957"/>
    <w:rsid w:val="13B16CE7"/>
    <w:rsid w:val="13BB13E8"/>
    <w:rsid w:val="13D8531B"/>
    <w:rsid w:val="140D6614"/>
    <w:rsid w:val="141A488D"/>
    <w:rsid w:val="14333BA0"/>
    <w:rsid w:val="144A7E60"/>
    <w:rsid w:val="14535FF1"/>
    <w:rsid w:val="145E6E6F"/>
    <w:rsid w:val="14627FE2"/>
    <w:rsid w:val="146A010D"/>
    <w:rsid w:val="14D709D0"/>
    <w:rsid w:val="14F96B98"/>
    <w:rsid w:val="150B2427"/>
    <w:rsid w:val="15146C09"/>
    <w:rsid w:val="151A11AA"/>
    <w:rsid w:val="1525173B"/>
    <w:rsid w:val="15312A9E"/>
    <w:rsid w:val="153B4ABB"/>
    <w:rsid w:val="15597637"/>
    <w:rsid w:val="157C0577"/>
    <w:rsid w:val="1586651C"/>
    <w:rsid w:val="15A765F4"/>
    <w:rsid w:val="15D936D8"/>
    <w:rsid w:val="16072429"/>
    <w:rsid w:val="163D0D06"/>
    <w:rsid w:val="163F05DA"/>
    <w:rsid w:val="16433C36"/>
    <w:rsid w:val="16556050"/>
    <w:rsid w:val="16872A06"/>
    <w:rsid w:val="16897AA8"/>
    <w:rsid w:val="169F1079"/>
    <w:rsid w:val="16AD7C3A"/>
    <w:rsid w:val="16C54E95"/>
    <w:rsid w:val="17005FBC"/>
    <w:rsid w:val="170535D2"/>
    <w:rsid w:val="171571E9"/>
    <w:rsid w:val="171C4DC0"/>
    <w:rsid w:val="173808A3"/>
    <w:rsid w:val="174F27ED"/>
    <w:rsid w:val="175D58D0"/>
    <w:rsid w:val="176F59D9"/>
    <w:rsid w:val="17AC14E3"/>
    <w:rsid w:val="17B62B1E"/>
    <w:rsid w:val="17C0399D"/>
    <w:rsid w:val="17D905BB"/>
    <w:rsid w:val="184C1050"/>
    <w:rsid w:val="184D61EF"/>
    <w:rsid w:val="185F4F64"/>
    <w:rsid w:val="187A3B4C"/>
    <w:rsid w:val="188D5986"/>
    <w:rsid w:val="18C64FE3"/>
    <w:rsid w:val="18EE62E8"/>
    <w:rsid w:val="18F91185"/>
    <w:rsid w:val="19212869"/>
    <w:rsid w:val="192D6E10"/>
    <w:rsid w:val="19616ABA"/>
    <w:rsid w:val="19742C91"/>
    <w:rsid w:val="197B7B7C"/>
    <w:rsid w:val="199532EB"/>
    <w:rsid w:val="1998697F"/>
    <w:rsid w:val="19AD1CFF"/>
    <w:rsid w:val="19AD7F51"/>
    <w:rsid w:val="19B27315"/>
    <w:rsid w:val="1A0062D3"/>
    <w:rsid w:val="1A0538E9"/>
    <w:rsid w:val="1A077661"/>
    <w:rsid w:val="1A144382"/>
    <w:rsid w:val="1A226249"/>
    <w:rsid w:val="1A4C776A"/>
    <w:rsid w:val="1ABC20EB"/>
    <w:rsid w:val="1ABE55EE"/>
    <w:rsid w:val="1AC75042"/>
    <w:rsid w:val="1AFC1190"/>
    <w:rsid w:val="1B2A7AAB"/>
    <w:rsid w:val="1B375D24"/>
    <w:rsid w:val="1B43291B"/>
    <w:rsid w:val="1B6F3710"/>
    <w:rsid w:val="1B701236"/>
    <w:rsid w:val="1BA84E74"/>
    <w:rsid w:val="1BAC0E0C"/>
    <w:rsid w:val="1BBB4BA7"/>
    <w:rsid w:val="1BBC447B"/>
    <w:rsid w:val="1BCF0653"/>
    <w:rsid w:val="1BDB6CBF"/>
    <w:rsid w:val="1C174480"/>
    <w:rsid w:val="1C2A7637"/>
    <w:rsid w:val="1C3D55BC"/>
    <w:rsid w:val="1C6E1C1A"/>
    <w:rsid w:val="1C6F7740"/>
    <w:rsid w:val="1C9444C1"/>
    <w:rsid w:val="1C9D2600"/>
    <w:rsid w:val="1CA92C52"/>
    <w:rsid w:val="1CAB46C7"/>
    <w:rsid w:val="1CAD502C"/>
    <w:rsid w:val="1CDD28FB"/>
    <w:rsid w:val="1CEB5018"/>
    <w:rsid w:val="1D083E1C"/>
    <w:rsid w:val="1D615760"/>
    <w:rsid w:val="1D69418F"/>
    <w:rsid w:val="1D862DA6"/>
    <w:rsid w:val="1DC046F7"/>
    <w:rsid w:val="1DCD471E"/>
    <w:rsid w:val="1DDE4B7D"/>
    <w:rsid w:val="1DEF0B38"/>
    <w:rsid w:val="1DF42728"/>
    <w:rsid w:val="1DF428DD"/>
    <w:rsid w:val="1E2527AC"/>
    <w:rsid w:val="1E4B57BF"/>
    <w:rsid w:val="1E5764D7"/>
    <w:rsid w:val="1E960FB4"/>
    <w:rsid w:val="1EC71AB5"/>
    <w:rsid w:val="1ED65854"/>
    <w:rsid w:val="1EEA12FF"/>
    <w:rsid w:val="1F0A2E31"/>
    <w:rsid w:val="1F1619B2"/>
    <w:rsid w:val="1F435D1C"/>
    <w:rsid w:val="1F770DE5"/>
    <w:rsid w:val="1F9F20EA"/>
    <w:rsid w:val="1FA12306"/>
    <w:rsid w:val="1FAA1CAD"/>
    <w:rsid w:val="1FB73B17"/>
    <w:rsid w:val="1FBC2C9C"/>
    <w:rsid w:val="1FBD5C8A"/>
    <w:rsid w:val="1FC250F8"/>
    <w:rsid w:val="1FF97A4C"/>
    <w:rsid w:val="202D3B58"/>
    <w:rsid w:val="205B0707"/>
    <w:rsid w:val="20854786"/>
    <w:rsid w:val="208C6B12"/>
    <w:rsid w:val="209D487B"/>
    <w:rsid w:val="20BA367F"/>
    <w:rsid w:val="20E7223F"/>
    <w:rsid w:val="20F13111"/>
    <w:rsid w:val="20F52909"/>
    <w:rsid w:val="21130FE1"/>
    <w:rsid w:val="211A2370"/>
    <w:rsid w:val="21300ADF"/>
    <w:rsid w:val="2130749E"/>
    <w:rsid w:val="213C3913"/>
    <w:rsid w:val="214E201A"/>
    <w:rsid w:val="217E28FF"/>
    <w:rsid w:val="21843C8D"/>
    <w:rsid w:val="218E2971"/>
    <w:rsid w:val="21B225A8"/>
    <w:rsid w:val="21B52994"/>
    <w:rsid w:val="21F7620D"/>
    <w:rsid w:val="225117F7"/>
    <w:rsid w:val="225A49FA"/>
    <w:rsid w:val="22673393"/>
    <w:rsid w:val="228A52D3"/>
    <w:rsid w:val="22EE2E34"/>
    <w:rsid w:val="231A0405"/>
    <w:rsid w:val="231C2E1B"/>
    <w:rsid w:val="23360FB7"/>
    <w:rsid w:val="2346744C"/>
    <w:rsid w:val="23645B24"/>
    <w:rsid w:val="2392443F"/>
    <w:rsid w:val="23A01B1A"/>
    <w:rsid w:val="23B452A1"/>
    <w:rsid w:val="23D33028"/>
    <w:rsid w:val="23DD1433"/>
    <w:rsid w:val="23E10F23"/>
    <w:rsid w:val="23F52C20"/>
    <w:rsid w:val="241C1F5B"/>
    <w:rsid w:val="243E0123"/>
    <w:rsid w:val="246758CC"/>
    <w:rsid w:val="246E2ECB"/>
    <w:rsid w:val="24934920"/>
    <w:rsid w:val="24940536"/>
    <w:rsid w:val="249A22F7"/>
    <w:rsid w:val="24A24B56"/>
    <w:rsid w:val="25070E5D"/>
    <w:rsid w:val="250C1FD0"/>
    <w:rsid w:val="252B6530"/>
    <w:rsid w:val="259124D5"/>
    <w:rsid w:val="259D0E7A"/>
    <w:rsid w:val="25B11F69"/>
    <w:rsid w:val="25FC0296"/>
    <w:rsid w:val="260B04D9"/>
    <w:rsid w:val="26233A75"/>
    <w:rsid w:val="2629095F"/>
    <w:rsid w:val="26412A64"/>
    <w:rsid w:val="26871DFD"/>
    <w:rsid w:val="268E37D0"/>
    <w:rsid w:val="26A76454"/>
    <w:rsid w:val="26DB7EAB"/>
    <w:rsid w:val="26E52AD8"/>
    <w:rsid w:val="272F6449"/>
    <w:rsid w:val="27363334"/>
    <w:rsid w:val="27724EE3"/>
    <w:rsid w:val="27734588"/>
    <w:rsid w:val="27870033"/>
    <w:rsid w:val="27A26C1B"/>
    <w:rsid w:val="27C2155A"/>
    <w:rsid w:val="27D33279"/>
    <w:rsid w:val="27D72D69"/>
    <w:rsid w:val="27DB4E6C"/>
    <w:rsid w:val="27E36863"/>
    <w:rsid w:val="2815563F"/>
    <w:rsid w:val="284B2CED"/>
    <w:rsid w:val="284D6B87"/>
    <w:rsid w:val="285A2C97"/>
    <w:rsid w:val="286A43BA"/>
    <w:rsid w:val="28C50E13"/>
    <w:rsid w:val="28E9232B"/>
    <w:rsid w:val="28F039B6"/>
    <w:rsid w:val="28F75508"/>
    <w:rsid w:val="29140BF0"/>
    <w:rsid w:val="29387837"/>
    <w:rsid w:val="294A30C6"/>
    <w:rsid w:val="295E3016"/>
    <w:rsid w:val="295E7D6B"/>
    <w:rsid w:val="29C50A14"/>
    <w:rsid w:val="29D46E34"/>
    <w:rsid w:val="2A2609B7"/>
    <w:rsid w:val="2A2B2EF8"/>
    <w:rsid w:val="2A55170C"/>
    <w:rsid w:val="2A7319B6"/>
    <w:rsid w:val="2A742AF1"/>
    <w:rsid w:val="2A790107"/>
    <w:rsid w:val="2A944F41"/>
    <w:rsid w:val="2AA607D0"/>
    <w:rsid w:val="2AB9288B"/>
    <w:rsid w:val="2AEF2177"/>
    <w:rsid w:val="2AF27EBA"/>
    <w:rsid w:val="2B1020EE"/>
    <w:rsid w:val="2B22254D"/>
    <w:rsid w:val="2B434271"/>
    <w:rsid w:val="2B724B56"/>
    <w:rsid w:val="2B906397"/>
    <w:rsid w:val="2B9845BD"/>
    <w:rsid w:val="2B9913F4"/>
    <w:rsid w:val="2C027C88"/>
    <w:rsid w:val="2C11436F"/>
    <w:rsid w:val="2C11611D"/>
    <w:rsid w:val="2C3A38C6"/>
    <w:rsid w:val="2C85580C"/>
    <w:rsid w:val="2CD31625"/>
    <w:rsid w:val="2CDE24A4"/>
    <w:rsid w:val="2CED6B8B"/>
    <w:rsid w:val="2CF41CC7"/>
    <w:rsid w:val="2D19172E"/>
    <w:rsid w:val="2D2117F9"/>
    <w:rsid w:val="2D256324"/>
    <w:rsid w:val="2D622504"/>
    <w:rsid w:val="2D73499D"/>
    <w:rsid w:val="2DA15EC9"/>
    <w:rsid w:val="2DA354EC"/>
    <w:rsid w:val="2DC21DC5"/>
    <w:rsid w:val="2DDF46D4"/>
    <w:rsid w:val="2DE735DA"/>
    <w:rsid w:val="2DF06932"/>
    <w:rsid w:val="2E0E500A"/>
    <w:rsid w:val="2E173A26"/>
    <w:rsid w:val="2E2E5EB6"/>
    <w:rsid w:val="2EC52239"/>
    <w:rsid w:val="2EF04710"/>
    <w:rsid w:val="2F0361F1"/>
    <w:rsid w:val="2F57478F"/>
    <w:rsid w:val="2F7D2448"/>
    <w:rsid w:val="2F9257C7"/>
    <w:rsid w:val="2FC242FE"/>
    <w:rsid w:val="2FD933F6"/>
    <w:rsid w:val="2FE31467"/>
    <w:rsid w:val="2FF17EA6"/>
    <w:rsid w:val="2FF70209"/>
    <w:rsid w:val="2FFA2FFA"/>
    <w:rsid w:val="30725290"/>
    <w:rsid w:val="30837BD8"/>
    <w:rsid w:val="30B71989"/>
    <w:rsid w:val="30D140CD"/>
    <w:rsid w:val="30E672D7"/>
    <w:rsid w:val="31466869"/>
    <w:rsid w:val="317C672F"/>
    <w:rsid w:val="318A2BFA"/>
    <w:rsid w:val="31994BD4"/>
    <w:rsid w:val="31A43590"/>
    <w:rsid w:val="31BB2DB3"/>
    <w:rsid w:val="31BC4D7D"/>
    <w:rsid w:val="31C679AA"/>
    <w:rsid w:val="31F14A27"/>
    <w:rsid w:val="3207424B"/>
    <w:rsid w:val="321150C9"/>
    <w:rsid w:val="32470AEB"/>
    <w:rsid w:val="3248523C"/>
    <w:rsid w:val="3251196A"/>
    <w:rsid w:val="326351F9"/>
    <w:rsid w:val="32943604"/>
    <w:rsid w:val="32A63A63"/>
    <w:rsid w:val="32AD3ED6"/>
    <w:rsid w:val="32C4038E"/>
    <w:rsid w:val="32CE04BE"/>
    <w:rsid w:val="33024A12"/>
    <w:rsid w:val="331429F5"/>
    <w:rsid w:val="33421C25"/>
    <w:rsid w:val="3344327C"/>
    <w:rsid w:val="334B6AEB"/>
    <w:rsid w:val="335A61B8"/>
    <w:rsid w:val="33BC18EF"/>
    <w:rsid w:val="33D60378"/>
    <w:rsid w:val="33ED56C2"/>
    <w:rsid w:val="34480B4A"/>
    <w:rsid w:val="34692D0C"/>
    <w:rsid w:val="34A9783B"/>
    <w:rsid w:val="34AE4E51"/>
    <w:rsid w:val="34E27153"/>
    <w:rsid w:val="351A4352"/>
    <w:rsid w:val="351D5B33"/>
    <w:rsid w:val="3579427A"/>
    <w:rsid w:val="358E6A31"/>
    <w:rsid w:val="359A761E"/>
    <w:rsid w:val="359B4383"/>
    <w:rsid w:val="35C278B3"/>
    <w:rsid w:val="35E120F0"/>
    <w:rsid w:val="35F965A0"/>
    <w:rsid w:val="36237179"/>
    <w:rsid w:val="36372206"/>
    <w:rsid w:val="366A4DA8"/>
    <w:rsid w:val="36DB3EF8"/>
    <w:rsid w:val="370F76FD"/>
    <w:rsid w:val="372C4753"/>
    <w:rsid w:val="375021F0"/>
    <w:rsid w:val="377D1FF4"/>
    <w:rsid w:val="37A4253C"/>
    <w:rsid w:val="37AE3A92"/>
    <w:rsid w:val="37BE35FD"/>
    <w:rsid w:val="37C10129"/>
    <w:rsid w:val="37DE3C9F"/>
    <w:rsid w:val="37E455AA"/>
    <w:rsid w:val="37EB2F17"/>
    <w:rsid w:val="37EF5B27"/>
    <w:rsid w:val="381B27FE"/>
    <w:rsid w:val="382471D8"/>
    <w:rsid w:val="38575800"/>
    <w:rsid w:val="386D6DD1"/>
    <w:rsid w:val="38743CBC"/>
    <w:rsid w:val="38963139"/>
    <w:rsid w:val="389B56ED"/>
    <w:rsid w:val="38BF587F"/>
    <w:rsid w:val="38CA5FD2"/>
    <w:rsid w:val="38D155B2"/>
    <w:rsid w:val="38F1355F"/>
    <w:rsid w:val="38F90665"/>
    <w:rsid w:val="39047736"/>
    <w:rsid w:val="39050DB8"/>
    <w:rsid w:val="39284554"/>
    <w:rsid w:val="3929719C"/>
    <w:rsid w:val="392E04D8"/>
    <w:rsid w:val="39355D57"/>
    <w:rsid w:val="394A2C6F"/>
    <w:rsid w:val="3951224F"/>
    <w:rsid w:val="39567866"/>
    <w:rsid w:val="396F7738"/>
    <w:rsid w:val="39700927"/>
    <w:rsid w:val="397C3770"/>
    <w:rsid w:val="399F2FBB"/>
    <w:rsid w:val="39A05497"/>
    <w:rsid w:val="39B60304"/>
    <w:rsid w:val="39E62997"/>
    <w:rsid w:val="3A0E1EEE"/>
    <w:rsid w:val="3A1F706B"/>
    <w:rsid w:val="3A381826"/>
    <w:rsid w:val="3A3F654C"/>
    <w:rsid w:val="3A540410"/>
    <w:rsid w:val="3A5D2B29"/>
    <w:rsid w:val="3A7C32FC"/>
    <w:rsid w:val="3A850402"/>
    <w:rsid w:val="3AB900AC"/>
    <w:rsid w:val="3AC52EF5"/>
    <w:rsid w:val="3AD60C5E"/>
    <w:rsid w:val="3AF47336"/>
    <w:rsid w:val="3B1D063B"/>
    <w:rsid w:val="3B326FFB"/>
    <w:rsid w:val="3B514788"/>
    <w:rsid w:val="3B626996"/>
    <w:rsid w:val="3B697D24"/>
    <w:rsid w:val="3BB52F69"/>
    <w:rsid w:val="3BB6283D"/>
    <w:rsid w:val="3BC25841"/>
    <w:rsid w:val="3BE21884"/>
    <w:rsid w:val="3BEC3EB9"/>
    <w:rsid w:val="3BF44347"/>
    <w:rsid w:val="3BFD0DE5"/>
    <w:rsid w:val="3C166AA5"/>
    <w:rsid w:val="3C43474B"/>
    <w:rsid w:val="3C4542ED"/>
    <w:rsid w:val="3C5067EE"/>
    <w:rsid w:val="3C693624"/>
    <w:rsid w:val="3C6978B0"/>
    <w:rsid w:val="3C7544A7"/>
    <w:rsid w:val="3CA737D8"/>
    <w:rsid w:val="3CAF061D"/>
    <w:rsid w:val="3CB00E13"/>
    <w:rsid w:val="3CBA304D"/>
    <w:rsid w:val="3CBC3E83"/>
    <w:rsid w:val="3CC72F54"/>
    <w:rsid w:val="3CC80A7A"/>
    <w:rsid w:val="3CDB69FF"/>
    <w:rsid w:val="3D3B749E"/>
    <w:rsid w:val="3D516CC2"/>
    <w:rsid w:val="3DC660E6"/>
    <w:rsid w:val="3DEB0EC4"/>
    <w:rsid w:val="3E725142"/>
    <w:rsid w:val="3E860BED"/>
    <w:rsid w:val="3EB47508"/>
    <w:rsid w:val="3EBA2645"/>
    <w:rsid w:val="3EBC6496"/>
    <w:rsid w:val="3ED5122D"/>
    <w:rsid w:val="3F124C2C"/>
    <w:rsid w:val="3F1A7900"/>
    <w:rsid w:val="3F710F55"/>
    <w:rsid w:val="3F843CD2"/>
    <w:rsid w:val="3FB5178A"/>
    <w:rsid w:val="3FF73B50"/>
    <w:rsid w:val="40011C8E"/>
    <w:rsid w:val="4013200C"/>
    <w:rsid w:val="401B7113"/>
    <w:rsid w:val="401E19E0"/>
    <w:rsid w:val="401F09B1"/>
    <w:rsid w:val="402E5098"/>
    <w:rsid w:val="40310196"/>
    <w:rsid w:val="404C3770"/>
    <w:rsid w:val="407B78CA"/>
    <w:rsid w:val="408A49C4"/>
    <w:rsid w:val="409311CE"/>
    <w:rsid w:val="40A869C3"/>
    <w:rsid w:val="40B7508E"/>
    <w:rsid w:val="40C05D9E"/>
    <w:rsid w:val="40C854ED"/>
    <w:rsid w:val="40D8646E"/>
    <w:rsid w:val="40DC4AF4"/>
    <w:rsid w:val="40F40090"/>
    <w:rsid w:val="41230975"/>
    <w:rsid w:val="419D07B6"/>
    <w:rsid w:val="41AF045B"/>
    <w:rsid w:val="41B617E9"/>
    <w:rsid w:val="41D640BB"/>
    <w:rsid w:val="41F36599"/>
    <w:rsid w:val="420E33D3"/>
    <w:rsid w:val="4234376D"/>
    <w:rsid w:val="42376EA6"/>
    <w:rsid w:val="4247037C"/>
    <w:rsid w:val="429513FF"/>
    <w:rsid w:val="42B51AC8"/>
    <w:rsid w:val="42B80F1A"/>
    <w:rsid w:val="42BD2E0C"/>
    <w:rsid w:val="42C972FA"/>
    <w:rsid w:val="42D31F27"/>
    <w:rsid w:val="42E303BC"/>
    <w:rsid w:val="42F75C15"/>
    <w:rsid w:val="42F933ED"/>
    <w:rsid w:val="42FC76D0"/>
    <w:rsid w:val="437E1E93"/>
    <w:rsid w:val="43985FF2"/>
    <w:rsid w:val="43C71A8C"/>
    <w:rsid w:val="43F839F3"/>
    <w:rsid w:val="43FD54AD"/>
    <w:rsid w:val="444E3F5B"/>
    <w:rsid w:val="445006D7"/>
    <w:rsid w:val="447137A5"/>
    <w:rsid w:val="44B00772"/>
    <w:rsid w:val="44B30262"/>
    <w:rsid w:val="44B85878"/>
    <w:rsid w:val="44ED5522"/>
    <w:rsid w:val="45073647"/>
    <w:rsid w:val="4510235C"/>
    <w:rsid w:val="45216F7A"/>
    <w:rsid w:val="453E0AA9"/>
    <w:rsid w:val="454D5FC1"/>
    <w:rsid w:val="4550785F"/>
    <w:rsid w:val="455235D7"/>
    <w:rsid w:val="45682DFA"/>
    <w:rsid w:val="45717F01"/>
    <w:rsid w:val="4582210E"/>
    <w:rsid w:val="45933E22"/>
    <w:rsid w:val="45965BB9"/>
    <w:rsid w:val="463A1ECC"/>
    <w:rsid w:val="4665733A"/>
    <w:rsid w:val="467557CF"/>
    <w:rsid w:val="46903E9E"/>
    <w:rsid w:val="46943C0F"/>
    <w:rsid w:val="46B4048E"/>
    <w:rsid w:val="46D1677D"/>
    <w:rsid w:val="46D94794"/>
    <w:rsid w:val="46DA12C7"/>
    <w:rsid w:val="46E44703"/>
    <w:rsid w:val="46E97663"/>
    <w:rsid w:val="47215957"/>
    <w:rsid w:val="4740402F"/>
    <w:rsid w:val="476475F1"/>
    <w:rsid w:val="478557D4"/>
    <w:rsid w:val="47B637E2"/>
    <w:rsid w:val="47CF7161"/>
    <w:rsid w:val="47E17FCC"/>
    <w:rsid w:val="47F22E4F"/>
    <w:rsid w:val="48064C60"/>
    <w:rsid w:val="48124451"/>
    <w:rsid w:val="482254E2"/>
    <w:rsid w:val="483376F0"/>
    <w:rsid w:val="489F6B33"/>
    <w:rsid w:val="48D40078"/>
    <w:rsid w:val="48E46C3C"/>
    <w:rsid w:val="48E94252"/>
    <w:rsid w:val="490851E6"/>
    <w:rsid w:val="490966A2"/>
    <w:rsid w:val="4924528A"/>
    <w:rsid w:val="49500FB1"/>
    <w:rsid w:val="49523BA5"/>
    <w:rsid w:val="49583186"/>
    <w:rsid w:val="4959275C"/>
    <w:rsid w:val="496F29A9"/>
    <w:rsid w:val="497A30FC"/>
    <w:rsid w:val="499B66D1"/>
    <w:rsid w:val="49CF3448"/>
    <w:rsid w:val="4A050C18"/>
    <w:rsid w:val="4A0F5F3A"/>
    <w:rsid w:val="4A111CB3"/>
    <w:rsid w:val="4A4D2CCE"/>
    <w:rsid w:val="4A62250E"/>
    <w:rsid w:val="4A6873F9"/>
    <w:rsid w:val="4A8E50B1"/>
    <w:rsid w:val="4A9326C8"/>
    <w:rsid w:val="4AC42881"/>
    <w:rsid w:val="4AD625B4"/>
    <w:rsid w:val="4AF07B1A"/>
    <w:rsid w:val="4B0435C5"/>
    <w:rsid w:val="4B284043"/>
    <w:rsid w:val="4B5D6588"/>
    <w:rsid w:val="4B9C1A50"/>
    <w:rsid w:val="4BA032C9"/>
    <w:rsid w:val="4BD2790E"/>
    <w:rsid w:val="4BE135FD"/>
    <w:rsid w:val="4C001A9E"/>
    <w:rsid w:val="4C0C1478"/>
    <w:rsid w:val="4C324162"/>
    <w:rsid w:val="4C830683"/>
    <w:rsid w:val="4C87000A"/>
    <w:rsid w:val="4C8979B4"/>
    <w:rsid w:val="4C8B005F"/>
    <w:rsid w:val="4CB30DFF"/>
    <w:rsid w:val="4CBF0399"/>
    <w:rsid w:val="4CC0351C"/>
    <w:rsid w:val="4CC21042"/>
    <w:rsid w:val="4CC823D1"/>
    <w:rsid w:val="4CD07C03"/>
    <w:rsid w:val="4CE16841"/>
    <w:rsid w:val="4D0972EC"/>
    <w:rsid w:val="4D2C295F"/>
    <w:rsid w:val="4D362640"/>
    <w:rsid w:val="4D524AEA"/>
    <w:rsid w:val="4D534390"/>
    <w:rsid w:val="4DB52955"/>
    <w:rsid w:val="4DBD215C"/>
    <w:rsid w:val="4DD21759"/>
    <w:rsid w:val="4DD94895"/>
    <w:rsid w:val="4DEA1F48"/>
    <w:rsid w:val="4E005F07"/>
    <w:rsid w:val="4E17716C"/>
    <w:rsid w:val="4E1F1C16"/>
    <w:rsid w:val="4E9702AC"/>
    <w:rsid w:val="4E992277"/>
    <w:rsid w:val="4EAA6232"/>
    <w:rsid w:val="4EBC7D13"/>
    <w:rsid w:val="4EDE5EDB"/>
    <w:rsid w:val="4EEE2FCC"/>
    <w:rsid w:val="4EF23735"/>
    <w:rsid w:val="4EF70D4B"/>
    <w:rsid w:val="4F277882"/>
    <w:rsid w:val="4F31425D"/>
    <w:rsid w:val="4F363F69"/>
    <w:rsid w:val="4F3F2E1E"/>
    <w:rsid w:val="4F416B96"/>
    <w:rsid w:val="4F536BBC"/>
    <w:rsid w:val="4F812B80"/>
    <w:rsid w:val="4F960564"/>
    <w:rsid w:val="4F9F38BD"/>
    <w:rsid w:val="4FD5108C"/>
    <w:rsid w:val="5003209D"/>
    <w:rsid w:val="50666188"/>
    <w:rsid w:val="50D21A70"/>
    <w:rsid w:val="50DB6B76"/>
    <w:rsid w:val="50E00F79"/>
    <w:rsid w:val="511856D5"/>
    <w:rsid w:val="51365736"/>
    <w:rsid w:val="514C35D0"/>
    <w:rsid w:val="515A3F3F"/>
    <w:rsid w:val="518867EA"/>
    <w:rsid w:val="519D5BDA"/>
    <w:rsid w:val="51EC090F"/>
    <w:rsid w:val="51F24D8E"/>
    <w:rsid w:val="5201085F"/>
    <w:rsid w:val="521F6F37"/>
    <w:rsid w:val="52383B54"/>
    <w:rsid w:val="525C5A95"/>
    <w:rsid w:val="52854FEC"/>
    <w:rsid w:val="52880638"/>
    <w:rsid w:val="528F5E6A"/>
    <w:rsid w:val="5295690B"/>
    <w:rsid w:val="52A31916"/>
    <w:rsid w:val="52BC45CC"/>
    <w:rsid w:val="52BC6534"/>
    <w:rsid w:val="52D03D8D"/>
    <w:rsid w:val="52D90E94"/>
    <w:rsid w:val="52DE06F0"/>
    <w:rsid w:val="53185E60"/>
    <w:rsid w:val="53963229"/>
    <w:rsid w:val="53E144A4"/>
    <w:rsid w:val="53E67D0C"/>
    <w:rsid w:val="53E72A34"/>
    <w:rsid w:val="53E775E0"/>
    <w:rsid w:val="53ED65D0"/>
    <w:rsid w:val="54224ABC"/>
    <w:rsid w:val="546E1AAF"/>
    <w:rsid w:val="54B24092"/>
    <w:rsid w:val="54BC0A6D"/>
    <w:rsid w:val="54D45000"/>
    <w:rsid w:val="54FE1085"/>
    <w:rsid w:val="554C3B9F"/>
    <w:rsid w:val="555667CB"/>
    <w:rsid w:val="558C53DC"/>
    <w:rsid w:val="55E71B19"/>
    <w:rsid w:val="55E738C7"/>
    <w:rsid w:val="55F14746"/>
    <w:rsid w:val="55F85AD5"/>
    <w:rsid w:val="56082D21"/>
    <w:rsid w:val="56250A66"/>
    <w:rsid w:val="563F3703"/>
    <w:rsid w:val="567C6706"/>
    <w:rsid w:val="567D2A74"/>
    <w:rsid w:val="568F468B"/>
    <w:rsid w:val="56982481"/>
    <w:rsid w:val="56F444EE"/>
    <w:rsid w:val="571921A6"/>
    <w:rsid w:val="573C7C43"/>
    <w:rsid w:val="5765719A"/>
    <w:rsid w:val="578D049F"/>
    <w:rsid w:val="5793472D"/>
    <w:rsid w:val="57975744"/>
    <w:rsid w:val="57B41ECF"/>
    <w:rsid w:val="57B74973"/>
    <w:rsid w:val="57BA5EC3"/>
    <w:rsid w:val="57D60097"/>
    <w:rsid w:val="57E91B79"/>
    <w:rsid w:val="5805272B"/>
    <w:rsid w:val="582C415B"/>
    <w:rsid w:val="589A7D65"/>
    <w:rsid w:val="58A40196"/>
    <w:rsid w:val="58A91308"/>
    <w:rsid w:val="58BF28DA"/>
    <w:rsid w:val="58E80082"/>
    <w:rsid w:val="591A6E5B"/>
    <w:rsid w:val="5935645A"/>
    <w:rsid w:val="59411541"/>
    <w:rsid w:val="59450902"/>
    <w:rsid w:val="598D237B"/>
    <w:rsid w:val="599E0097"/>
    <w:rsid w:val="59DD63C3"/>
    <w:rsid w:val="59E720E8"/>
    <w:rsid w:val="5A413124"/>
    <w:rsid w:val="5A5262DA"/>
    <w:rsid w:val="5A7140A7"/>
    <w:rsid w:val="5A951B44"/>
    <w:rsid w:val="5AA4622B"/>
    <w:rsid w:val="5AA601F5"/>
    <w:rsid w:val="5AB04BD0"/>
    <w:rsid w:val="5AC63346"/>
    <w:rsid w:val="5AD6449F"/>
    <w:rsid w:val="5AE76118"/>
    <w:rsid w:val="5B101B12"/>
    <w:rsid w:val="5B184523"/>
    <w:rsid w:val="5B307ABF"/>
    <w:rsid w:val="5B38764A"/>
    <w:rsid w:val="5B7E778A"/>
    <w:rsid w:val="5BA835D7"/>
    <w:rsid w:val="5BB16E51"/>
    <w:rsid w:val="5BC86A61"/>
    <w:rsid w:val="5C123BFD"/>
    <w:rsid w:val="5C5678DA"/>
    <w:rsid w:val="5C651676"/>
    <w:rsid w:val="5CBD395B"/>
    <w:rsid w:val="5CEC5C67"/>
    <w:rsid w:val="5CFF1E3E"/>
    <w:rsid w:val="5D303DA6"/>
    <w:rsid w:val="5D3C099D"/>
    <w:rsid w:val="5D694C13"/>
    <w:rsid w:val="5D6954A8"/>
    <w:rsid w:val="5D991942"/>
    <w:rsid w:val="5DB669A1"/>
    <w:rsid w:val="5DFB0858"/>
    <w:rsid w:val="5DFE5C52"/>
    <w:rsid w:val="5E057603"/>
    <w:rsid w:val="5E14191A"/>
    <w:rsid w:val="5E32585B"/>
    <w:rsid w:val="5E447075"/>
    <w:rsid w:val="5E5D0BCB"/>
    <w:rsid w:val="5E6721EE"/>
    <w:rsid w:val="5E7128C8"/>
    <w:rsid w:val="5E961E00"/>
    <w:rsid w:val="5EF3152F"/>
    <w:rsid w:val="5EF751A1"/>
    <w:rsid w:val="5EFC004B"/>
    <w:rsid w:val="5F0C332D"/>
    <w:rsid w:val="5F57386C"/>
    <w:rsid w:val="5F585836"/>
    <w:rsid w:val="5F857F66"/>
    <w:rsid w:val="5F9D006D"/>
    <w:rsid w:val="60011BE0"/>
    <w:rsid w:val="6022031E"/>
    <w:rsid w:val="60536729"/>
    <w:rsid w:val="605F0000"/>
    <w:rsid w:val="6065020A"/>
    <w:rsid w:val="60724A56"/>
    <w:rsid w:val="608F2ABA"/>
    <w:rsid w:val="6093615E"/>
    <w:rsid w:val="609D6BEF"/>
    <w:rsid w:val="60BB607C"/>
    <w:rsid w:val="6138147B"/>
    <w:rsid w:val="613F521A"/>
    <w:rsid w:val="61907509"/>
    <w:rsid w:val="61B473D7"/>
    <w:rsid w:val="61EA6252"/>
    <w:rsid w:val="620677CB"/>
    <w:rsid w:val="620D0B5A"/>
    <w:rsid w:val="621C6FFC"/>
    <w:rsid w:val="62265778"/>
    <w:rsid w:val="62500A46"/>
    <w:rsid w:val="626970FA"/>
    <w:rsid w:val="626D784A"/>
    <w:rsid w:val="626F711E"/>
    <w:rsid w:val="628D3A49"/>
    <w:rsid w:val="62A5030B"/>
    <w:rsid w:val="62D84CC4"/>
    <w:rsid w:val="6314609A"/>
    <w:rsid w:val="631B1054"/>
    <w:rsid w:val="631C57E4"/>
    <w:rsid w:val="6324797A"/>
    <w:rsid w:val="63416D0D"/>
    <w:rsid w:val="635F53E5"/>
    <w:rsid w:val="63660521"/>
    <w:rsid w:val="637F55ED"/>
    <w:rsid w:val="638D1F52"/>
    <w:rsid w:val="63901A42"/>
    <w:rsid w:val="63B76FCF"/>
    <w:rsid w:val="63CF67CD"/>
    <w:rsid w:val="63D336DD"/>
    <w:rsid w:val="64371CD5"/>
    <w:rsid w:val="64414AEB"/>
    <w:rsid w:val="64601415"/>
    <w:rsid w:val="648375B3"/>
    <w:rsid w:val="64844FF7"/>
    <w:rsid w:val="64964E36"/>
    <w:rsid w:val="64994927"/>
    <w:rsid w:val="64AA17FB"/>
    <w:rsid w:val="64F16511"/>
    <w:rsid w:val="64F97173"/>
    <w:rsid w:val="65034937"/>
    <w:rsid w:val="65091AAC"/>
    <w:rsid w:val="650C6EA7"/>
    <w:rsid w:val="65332685"/>
    <w:rsid w:val="654F5232"/>
    <w:rsid w:val="658B5A91"/>
    <w:rsid w:val="65907AD8"/>
    <w:rsid w:val="659D3FA3"/>
    <w:rsid w:val="65C43C25"/>
    <w:rsid w:val="65FD6839"/>
    <w:rsid w:val="65FE0EE5"/>
    <w:rsid w:val="660446B1"/>
    <w:rsid w:val="66344907"/>
    <w:rsid w:val="66780A4D"/>
    <w:rsid w:val="66A31A8D"/>
    <w:rsid w:val="66A722F9"/>
    <w:rsid w:val="66BB7142"/>
    <w:rsid w:val="66C57C55"/>
    <w:rsid w:val="66D63C10"/>
    <w:rsid w:val="677156E7"/>
    <w:rsid w:val="67931B01"/>
    <w:rsid w:val="67A05905"/>
    <w:rsid w:val="67A1421E"/>
    <w:rsid w:val="67E20FA1"/>
    <w:rsid w:val="68046A6D"/>
    <w:rsid w:val="68152516"/>
    <w:rsid w:val="68294213"/>
    <w:rsid w:val="68295FC1"/>
    <w:rsid w:val="683C5CF5"/>
    <w:rsid w:val="68B24209"/>
    <w:rsid w:val="68F25B3B"/>
    <w:rsid w:val="68F91BE9"/>
    <w:rsid w:val="68F91E38"/>
    <w:rsid w:val="696372B1"/>
    <w:rsid w:val="697D3521"/>
    <w:rsid w:val="69825989"/>
    <w:rsid w:val="698A6F34"/>
    <w:rsid w:val="699131FA"/>
    <w:rsid w:val="69B67D29"/>
    <w:rsid w:val="69ED6D3E"/>
    <w:rsid w:val="69EE301F"/>
    <w:rsid w:val="69FB056C"/>
    <w:rsid w:val="6A0445F0"/>
    <w:rsid w:val="6A484E25"/>
    <w:rsid w:val="6A4964A7"/>
    <w:rsid w:val="6A63251A"/>
    <w:rsid w:val="6AA14535"/>
    <w:rsid w:val="6B2807B2"/>
    <w:rsid w:val="6B5477F9"/>
    <w:rsid w:val="6B824AD0"/>
    <w:rsid w:val="6B8F438D"/>
    <w:rsid w:val="6B9B5244"/>
    <w:rsid w:val="6BA22313"/>
    <w:rsid w:val="6BC95AF1"/>
    <w:rsid w:val="6BF1329A"/>
    <w:rsid w:val="6BF15048"/>
    <w:rsid w:val="6C0E1756"/>
    <w:rsid w:val="6C224A45"/>
    <w:rsid w:val="6C2508E0"/>
    <w:rsid w:val="6C296590"/>
    <w:rsid w:val="6C4D3E71"/>
    <w:rsid w:val="6C787517"/>
    <w:rsid w:val="6CAD1889"/>
    <w:rsid w:val="6CFC21DE"/>
    <w:rsid w:val="6D067F4A"/>
    <w:rsid w:val="6D1E00BF"/>
    <w:rsid w:val="6D3B7744"/>
    <w:rsid w:val="6D48513C"/>
    <w:rsid w:val="6D8D43D8"/>
    <w:rsid w:val="6DAC0B3C"/>
    <w:rsid w:val="6DB36A59"/>
    <w:rsid w:val="6DC9002B"/>
    <w:rsid w:val="6DD864C0"/>
    <w:rsid w:val="6DE94229"/>
    <w:rsid w:val="6E123F24"/>
    <w:rsid w:val="6E35746E"/>
    <w:rsid w:val="6E4753F3"/>
    <w:rsid w:val="6E535B46"/>
    <w:rsid w:val="6E5673E4"/>
    <w:rsid w:val="6E7D2BC3"/>
    <w:rsid w:val="6ED126A9"/>
    <w:rsid w:val="6EE13B87"/>
    <w:rsid w:val="6EF07839"/>
    <w:rsid w:val="6EF70BC7"/>
    <w:rsid w:val="6F062BB9"/>
    <w:rsid w:val="6F1057E5"/>
    <w:rsid w:val="6F12734A"/>
    <w:rsid w:val="6F1352D6"/>
    <w:rsid w:val="6F375468"/>
    <w:rsid w:val="6F887A72"/>
    <w:rsid w:val="6FA523D2"/>
    <w:rsid w:val="6FBB0CCA"/>
    <w:rsid w:val="6FBB1BF5"/>
    <w:rsid w:val="6FCF744E"/>
    <w:rsid w:val="6FD913AA"/>
    <w:rsid w:val="6FF23135"/>
    <w:rsid w:val="70120E3B"/>
    <w:rsid w:val="702E686B"/>
    <w:rsid w:val="707149AA"/>
    <w:rsid w:val="7082498C"/>
    <w:rsid w:val="70D51366"/>
    <w:rsid w:val="7103527F"/>
    <w:rsid w:val="7104137A"/>
    <w:rsid w:val="71156FE9"/>
    <w:rsid w:val="714A76D4"/>
    <w:rsid w:val="7189187F"/>
    <w:rsid w:val="71D62D16"/>
    <w:rsid w:val="71F4319C"/>
    <w:rsid w:val="725974A3"/>
    <w:rsid w:val="727642AA"/>
    <w:rsid w:val="72AC4779"/>
    <w:rsid w:val="72AF5315"/>
    <w:rsid w:val="72CD2F80"/>
    <w:rsid w:val="72CE1C3F"/>
    <w:rsid w:val="733777E5"/>
    <w:rsid w:val="734D7008"/>
    <w:rsid w:val="73522870"/>
    <w:rsid w:val="73593BFF"/>
    <w:rsid w:val="7363682B"/>
    <w:rsid w:val="736A5E0C"/>
    <w:rsid w:val="73820D67"/>
    <w:rsid w:val="73B13A3B"/>
    <w:rsid w:val="73C53042"/>
    <w:rsid w:val="73CF3EC1"/>
    <w:rsid w:val="73EB05CF"/>
    <w:rsid w:val="74017DF2"/>
    <w:rsid w:val="74032D39"/>
    <w:rsid w:val="74251D33"/>
    <w:rsid w:val="744743D4"/>
    <w:rsid w:val="74501CB0"/>
    <w:rsid w:val="74844CAB"/>
    <w:rsid w:val="748A603A"/>
    <w:rsid w:val="749869A9"/>
    <w:rsid w:val="7499002B"/>
    <w:rsid w:val="74A72748"/>
    <w:rsid w:val="74C7103C"/>
    <w:rsid w:val="74DA2B1D"/>
    <w:rsid w:val="74E17D95"/>
    <w:rsid w:val="74F41F6E"/>
    <w:rsid w:val="75204CB3"/>
    <w:rsid w:val="757A4300"/>
    <w:rsid w:val="757C32DA"/>
    <w:rsid w:val="759C7DD3"/>
    <w:rsid w:val="75A364A2"/>
    <w:rsid w:val="75B52256"/>
    <w:rsid w:val="75BB71AF"/>
    <w:rsid w:val="75BE5F9B"/>
    <w:rsid w:val="75DB2C52"/>
    <w:rsid w:val="75DB4D9F"/>
    <w:rsid w:val="7610431D"/>
    <w:rsid w:val="76120095"/>
    <w:rsid w:val="76320737"/>
    <w:rsid w:val="76562678"/>
    <w:rsid w:val="76B850E0"/>
    <w:rsid w:val="76C07AF1"/>
    <w:rsid w:val="77100A78"/>
    <w:rsid w:val="772207AC"/>
    <w:rsid w:val="77683389"/>
    <w:rsid w:val="777728A5"/>
    <w:rsid w:val="7789082B"/>
    <w:rsid w:val="778F685E"/>
    <w:rsid w:val="77B00A4B"/>
    <w:rsid w:val="77BF5FFA"/>
    <w:rsid w:val="77C35AEB"/>
    <w:rsid w:val="77C36889"/>
    <w:rsid w:val="77C36AC2"/>
    <w:rsid w:val="77C63C23"/>
    <w:rsid w:val="77DC095A"/>
    <w:rsid w:val="77F4117B"/>
    <w:rsid w:val="77FA7033"/>
    <w:rsid w:val="7811078F"/>
    <w:rsid w:val="781F3576"/>
    <w:rsid w:val="782D7408"/>
    <w:rsid w:val="783420A1"/>
    <w:rsid w:val="785E75C1"/>
    <w:rsid w:val="78676109"/>
    <w:rsid w:val="786911A3"/>
    <w:rsid w:val="78911745"/>
    <w:rsid w:val="78917997"/>
    <w:rsid w:val="78A84CE1"/>
    <w:rsid w:val="78AC657F"/>
    <w:rsid w:val="78E26444"/>
    <w:rsid w:val="78F16688"/>
    <w:rsid w:val="78F37EAD"/>
    <w:rsid w:val="78F543CA"/>
    <w:rsid w:val="78FB5758"/>
    <w:rsid w:val="79330A4E"/>
    <w:rsid w:val="793357D8"/>
    <w:rsid w:val="79424C03"/>
    <w:rsid w:val="796238E6"/>
    <w:rsid w:val="798E3ED6"/>
    <w:rsid w:val="79FF4DD4"/>
    <w:rsid w:val="7A1C7734"/>
    <w:rsid w:val="7A1E50DA"/>
    <w:rsid w:val="7A304F8E"/>
    <w:rsid w:val="7A751E43"/>
    <w:rsid w:val="7A7C4677"/>
    <w:rsid w:val="7A935105"/>
    <w:rsid w:val="7AA634A2"/>
    <w:rsid w:val="7AB7745D"/>
    <w:rsid w:val="7AC73B44"/>
    <w:rsid w:val="7AD526A0"/>
    <w:rsid w:val="7AFE508C"/>
    <w:rsid w:val="7B2C39A7"/>
    <w:rsid w:val="7B41739F"/>
    <w:rsid w:val="7B430CF1"/>
    <w:rsid w:val="7B51165F"/>
    <w:rsid w:val="7B5724E4"/>
    <w:rsid w:val="7B770A6C"/>
    <w:rsid w:val="7B851309"/>
    <w:rsid w:val="7B9B28DB"/>
    <w:rsid w:val="7BB35C73"/>
    <w:rsid w:val="7BB62236"/>
    <w:rsid w:val="7BBD4F47"/>
    <w:rsid w:val="7BD52290"/>
    <w:rsid w:val="7BD764B9"/>
    <w:rsid w:val="7BE40725"/>
    <w:rsid w:val="7BE6624C"/>
    <w:rsid w:val="7BEB1C3C"/>
    <w:rsid w:val="7BF001E1"/>
    <w:rsid w:val="7C105077"/>
    <w:rsid w:val="7C2D5C29"/>
    <w:rsid w:val="7C6158D2"/>
    <w:rsid w:val="7CBA5DEB"/>
    <w:rsid w:val="7D42533E"/>
    <w:rsid w:val="7D4D31C4"/>
    <w:rsid w:val="7D5D078F"/>
    <w:rsid w:val="7DBA7990"/>
    <w:rsid w:val="7DD520D4"/>
    <w:rsid w:val="7DEF74BD"/>
    <w:rsid w:val="7DF52776"/>
    <w:rsid w:val="7DFD162B"/>
    <w:rsid w:val="7E21356B"/>
    <w:rsid w:val="7E2E3EDA"/>
    <w:rsid w:val="7E3C65F7"/>
    <w:rsid w:val="7E6945EB"/>
    <w:rsid w:val="7E88183C"/>
    <w:rsid w:val="7EDE2C61"/>
    <w:rsid w:val="7EE12CFA"/>
    <w:rsid w:val="7EFB0260"/>
    <w:rsid w:val="7F0C5FC9"/>
    <w:rsid w:val="7F201A75"/>
    <w:rsid w:val="7F2B605D"/>
    <w:rsid w:val="7F2D7CEE"/>
    <w:rsid w:val="7F3E639F"/>
    <w:rsid w:val="7F3E6CF5"/>
    <w:rsid w:val="7FDF548C"/>
    <w:rsid w:val="7FE707E4"/>
    <w:rsid w:val="7FF56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4"/>
    <w:basedOn w:val="1"/>
    <w:next w:val="1"/>
    <w:qFormat/>
    <w:uiPriority w:val="99"/>
    <w:pPr>
      <w:keepNext/>
      <w:keepLines/>
      <w:spacing w:line="360" w:lineRule="auto"/>
      <w:outlineLvl w:val="3"/>
    </w:pPr>
    <w:rPr>
      <w:rFonts w:ascii="Arial" w:hAnsi="Arial"/>
      <w:b/>
      <w:sz w:val="28"/>
      <w:szCs w:val="20"/>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4">
    <w:name w:val="Body Text Indent"/>
    <w:basedOn w:val="1"/>
    <w:next w:val="5"/>
    <w:qFormat/>
    <w:uiPriority w:val="99"/>
    <w:pPr>
      <w:ind w:firstLine="830" w:firstLineChars="352"/>
    </w:pPr>
    <w:rPr>
      <w:rFonts w:ascii="仿宋_GB2312" w:eastAsia="仿宋_GB2312"/>
      <w:kern w:val="0"/>
      <w:sz w:val="20"/>
      <w:szCs w:val="20"/>
    </w:rPr>
  </w:style>
  <w:style w:type="paragraph" w:styleId="5">
    <w:name w:val="Plain Text"/>
    <w:basedOn w:val="1"/>
    <w:next w:val="3"/>
    <w:qFormat/>
    <w:uiPriority w:val="99"/>
    <w:rPr>
      <w:rFonts w:ascii="宋体" w:hAnsi="Courier New"/>
      <w:kern w:val="0"/>
      <w:szCs w:val="20"/>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paragraph" w:customStyle="1" w:styleId="16">
    <w:name w:val="表格文字"/>
    <w:basedOn w:val="4"/>
    <w:next w:val="2"/>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9" Type="http://schemas.openxmlformats.org/officeDocument/2006/relationships/fontTable" Target="fontTable.xml"/><Relationship Id="rId78" Type="http://schemas.openxmlformats.org/officeDocument/2006/relationships/customXml" Target="../customXml/item1.xml"/><Relationship Id="rId77" Type="http://schemas.openxmlformats.org/officeDocument/2006/relationships/image" Target="media/image3.jpeg"/><Relationship Id="rId76" Type="http://schemas.openxmlformats.org/officeDocument/2006/relationships/image" Target="media/image2.png"/><Relationship Id="rId75" Type="http://schemas.openxmlformats.org/officeDocument/2006/relationships/image" Target="media/image1.png"/><Relationship Id="rId74" Type="http://schemas.openxmlformats.org/officeDocument/2006/relationships/theme" Target="theme/theme1.xml"/><Relationship Id="rId73" Type="http://schemas.openxmlformats.org/officeDocument/2006/relationships/footer" Target="footer68.xml"/><Relationship Id="rId72" Type="http://schemas.openxmlformats.org/officeDocument/2006/relationships/footer" Target="footer67.xml"/><Relationship Id="rId71" Type="http://schemas.openxmlformats.org/officeDocument/2006/relationships/footer" Target="footer66.xml"/><Relationship Id="rId70" Type="http://schemas.openxmlformats.org/officeDocument/2006/relationships/footer" Target="footer65.xml"/><Relationship Id="rId7" Type="http://schemas.openxmlformats.org/officeDocument/2006/relationships/footer" Target="footer3.xml"/><Relationship Id="rId69" Type="http://schemas.openxmlformats.org/officeDocument/2006/relationships/footer" Target="footer64.xml"/><Relationship Id="rId68" Type="http://schemas.openxmlformats.org/officeDocument/2006/relationships/footer" Target="footer63.xml"/><Relationship Id="rId67" Type="http://schemas.openxmlformats.org/officeDocument/2006/relationships/footer" Target="footer62.xml"/><Relationship Id="rId66" Type="http://schemas.openxmlformats.org/officeDocument/2006/relationships/footer" Target="footer61.xml"/><Relationship Id="rId65" Type="http://schemas.openxmlformats.org/officeDocument/2006/relationships/footer" Target="footer60.xml"/><Relationship Id="rId64" Type="http://schemas.openxmlformats.org/officeDocument/2006/relationships/footer" Target="footer59.xml"/><Relationship Id="rId63" Type="http://schemas.openxmlformats.org/officeDocument/2006/relationships/footer" Target="footer58.xml"/><Relationship Id="rId62" Type="http://schemas.openxmlformats.org/officeDocument/2006/relationships/footer" Target="footer57.xml"/><Relationship Id="rId61" Type="http://schemas.openxmlformats.org/officeDocument/2006/relationships/header" Target="header1.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122</Pages>
  <Words>3426</Words>
  <Characters>4243</Characters>
  <TotalTime>27</TotalTime>
  <ScaleCrop>false</ScaleCrop>
  <LinksUpToDate>false</LinksUpToDate>
  <CharactersWithSpaces>4350</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2025-04-17T10:12:00Z</dcterms:created>
  <dc:creator>卓卓</dc:creator>
  <cp:lastModifiedBy>Liang</cp:lastModifiedBy>
  <dcterms:modified xsi:type="dcterms:W3CDTF">2025-07-10T07:39:09Z</dcterms:modified>
  <dc:title>扶绥县柳桥水厂及配套管网工程设计-采购-施工（EPC）工程-电气工程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2025-05-12T16:38:04Z</vt:filetime>
  </property>
  <property fmtid="{D5CDD505-2E9C-101B-9397-08002B2CF9AE}" pid="4" name="KSOTemplateDocerSaveRecord">
    <vt:lpwstr>eyJoZGlkIjoiMzA3MGYyMmRhY2U3YWQ3ZTU1MTJkYWJlNWNkZDJmYTQiLCJ1c2VySWQiOiI4NDE0MDQxMTQifQ==</vt:lpwstr>
  </property>
  <property fmtid="{D5CDD505-2E9C-101B-9397-08002B2CF9AE}" pid="5" name="KSOProductBuildVer">
    <vt:lpwstr>2052-12.1.0.21915</vt:lpwstr>
  </property>
  <property fmtid="{D5CDD505-2E9C-101B-9397-08002B2CF9AE}" pid="6" name="ICV">
    <vt:lpwstr>A3320C2EA14F4774A93923AA94F700F7_12</vt:lpwstr>
  </property>
</Properties>
</file>