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0503">
      <w:pPr>
        <w:spacing w:before="240" w:beforeLines="100" w:after="120" w:afterLines="50" w:line="600" w:lineRule="exact"/>
        <w:rPr>
          <w:rFonts w:ascii="宋体" w:hAnsi="宋体" w:eastAsia="宋体" w:cs="Times New Roman"/>
          <w:color w:val="auto"/>
          <w:sz w:val="30"/>
          <w:szCs w:val="30"/>
          <w:highlight w:val="none"/>
        </w:rPr>
      </w:pPr>
    </w:p>
    <w:p w14:paraId="79F99301">
      <w:pPr>
        <w:spacing w:before="120" w:beforeLines="50"/>
        <w:rPr>
          <w:rFonts w:ascii="宋体" w:hAnsi="宋体" w:eastAsia="宋体" w:cs="Times New Roman"/>
          <w:color w:val="auto"/>
          <w:sz w:val="30"/>
          <w:szCs w:val="30"/>
          <w:highlight w:val="none"/>
        </w:rPr>
      </w:pPr>
    </w:p>
    <w:p w14:paraId="4C784339">
      <w:pPr>
        <w:spacing w:before="120" w:beforeLines="50"/>
        <w:rPr>
          <w:rFonts w:ascii="宋体" w:hAnsi="宋体" w:cs="宋体"/>
          <w:b/>
          <w:color w:val="auto"/>
          <w:sz w:val="48"/>
          <w:szCs w:val="48"/>
          <w:highlight w:val="none"/>
        </w:rPr>
      </w:pPr>
    </w:p>
    <w:p w14:paraId="572C0573">
      <w:pPr>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公开招标文件</w:t>
      </w:r>
    </w:p>
    <w:p w14:paraId="02786FAA">
      <w:pPr>
        <w:snapToGrid w:val="0"/>
        <w:spacing w:before="120" w:beforeLines="50" w:line="360" w:lineRule="auto"/>
        <w:rPr>
          <w:rFonts w:ascii="宋体" w:hAnsi="宋体" w:cs="宋体"/>
          <w:color w:val="auto"/>
          <w:sz w:val="30"/>
          <w:szCs w:val="72"/>
          <w:highlight w:val="none"/>
        </w:rPr>
      </w:pPr>
    </w:p>
    <w:p w14:paraId="1893E91F">
      <w:pPr>
        <w:snapToGrid w:val="0"/>
        <w:spacing w:before="120" w:beforeLines="50" w:line="360" w:lineRule="auto"/>
        <w:rPr>
          <w:rFonts w:ascii="宋体" w:hAnsi="宋体" w:cs="宋体"/>
          <w:color w:val="auto"/>
          <w:sz w:val="30"/>
          <w:szCs w:val="72"/>
          <w:highlight w:val="none"/>
        </w:rPr>
      </w:pPr>
    </w:p>
    <w:p w14:paraId="641C358F">
      <w:pPr>
        <w:snapToGrid w:val="0"/>
        <w:spacing w:before="120" w:beforeLines="50" w:line="360" w:lineRule="auto"/>
        <w:rPr>
          <w:rFonts w:ascii="宋体" w:hAnsi="宋体" w:cs="宋体"/>
          <w:color w:val="auto"/>
          <w:sz w:val="30"/>
          <w:szCs w:val="72"/>
          <w:highlight w:val="none"/>
        </w:rPr>
      </w:pPr>
    </w:p>
    <w:p w14:paraId="003AA943">
      <w:pPr>
        <w:pStyle w:val="26"/>
        <w:snapToGrid w:val="0"/>
        <w:spacing w:before="120" w:after="120"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项目编号：GGZC2025-G3-990203-YZLZ</w:t>
      </w:r>
      <w:bookmarkStart w:id="174" w:name="_GoBack"/>
      <w:bookmarkEnd w:id="174"/>
    </w:p>
    <w:p w14:paraId="69740F2D">
      <w:pPr>
        <w:tabs>
          <w:tab w:val="left" w:pos="9030"/>
        </w:tabs>
        <w:snapToGrid w:val="0"/>
        <w:spacing w:before="120" w:beforeLines="50" w:line="360" w:lineRule="auto"/>
        <w:ind w:firstLine="1145" w:firstLineChars="4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项目名称：数字减影血管造影系统（DSA）及磁共振维保服务项目</w:t>
      </w:r>
    </w:p>
    <w:p w14:paraId="104FB923">
      <w:pPr>
        <w:pStyle w:val="26"/>
        <w:snapToGrid w:val="0"/>
        <w:spacing w:before="12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 购 人：贵港市人民医院</w:t>
      </w:r>
    </w:p>
    <w:p w14:paraId="3B216793">
      <w:pPr>
        <w:pStyle w:val="26"/>
        <w:snapToGrid w:val="0"/>
        <w:spacing w:before="12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07843FAE">
      <w:pPr>
        <w:pStyle w:val="26"/>
        <w:snapToGrid w:val="0"/>
        <w:spacing w:before="120" w:after="120" w:line="360" w:lineRule="auto"/>
        <w:ind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w:t>
      </w:r>
    </w:p>
    <w:p w14:paraId="0A79217B">
      <w:pPr>
        <w:pStyle w:val="26"/>
        <w:snapToGrid w:val="0"/>
        <w:spacing w:before="120" w:after="120" w:line="360" w:lineRule="auto"/>
        <w:ind w:firstLine="841" w:firstLineChars="294"/>
        <w:rPr>
          <w:rFonts w:hAnsi="宋体" w:cs="宋体"/>
          <w:b/>
          <w:bCs/>
          <w:color w:val="auto"/>
          <w:w w:val="95"/>
          <w:sz w:val="30"/>
          <w:szCs w:val="30"/>
          <w:highlight w:val="none"/>
        </w:rPr>
      </w:pPr>
    </w:p>
    <w:p w14:paraId="2666FE47">
      <w:pPr>
        <w:pStyle w:val="26"/>
        <w:snapToGrid w:val="0"/>
        <w:spacing w:before="120" w:after="120" w:line="360" w:lineRule="auto"/>
        <w:ind w:firstLine="841" w:firstLineChars="294"/>
        <w:jc w:val="center"/>
        <w:rPr>
          <w:rFonts w:hAnsi="宋体" w:cs="宋体"/>
          <w:color w:val="auto"/>
          <w:szCs w:val="20"/>
          <w:highlight w:val="none"/>
        </w:rPr>
      </w:pPr>
      <w:r>
        <w:rPr>
          <w:rFonts w:hint="eastAsia" w:hAnsi="宋体" w:cs="宋体"/>
          <w:b/>
          <w:bCs/>
          <w:color w:val="auto"/>
          <w:w w:val="95"/>
          <w:sz w:val="30"/>
          <w:szCs w:val="30"/>
          <w:highlight w:val="none"/>
        </w:rPr>
        <w:t>2025年  月</w:t>
      </w:r>
    </w:p>
    <w:p w14:paraId="69132730">
      <w:pPr>
        <w:pStyle w:val="26"/>
        <w:spacing w:before="120" w:after="120" w:line="360" w:lineRule="auto"/>
        <w:jc w:val="center"/>
        <w:rPr>
          <w:rFonts w:hAnsi="宋体" w:cs="宋体"/>
          <w:color w:val="auto"/>
          <w:highlight w:val="none"/>
        </w:rPr>
      </w:pPr>
    </w:p>
    <w:p w14:paraId="008F52E5">
      <w:pPr>
        <w:pStyle w:val="19"/>
        <w:kinsoku w:val="0"/>
        <w:overflowPunct w:val="0"/>
        <w:spacing w:after="120"/>
        <w:rPr>
          <w:rFonts w:ascii="宋体" w:hAnsi="宋体" w:cs="宋体"/>
          <w:color w:val="auto"/>
          <w:sz w:val="40"/>
          <w:highlight w:val="none"/>
        </w:rPr>
      </w:pPr>
    </w:p>
    <w:p w14:paraId="063441B8">
      <w:pPr>
        <w:pStyle w:val="26"/>
        <w:spacing w:before="120" w:after="120" w:line="360" w:lineRule="auto"/>
        <w:jc w:val="center"/>
        <w:rPr>
          <w:rFonts w:hAnsi="宋体" w:cs="宋体"/>
          <w:color w:val="auto"/>
          <w:highlight w:val="none"/>
        </w:rPr>
        <w:sectPr>
          <w:footerReference r:id="rId5" w:type="first"/>
          <w:footerReference r:id="rId3" w:type="default"/>
          <w:footerReference r:id="rId4" w:type="even"/>
          <w:pgSz w:w="11906" w:h="16838"/>
          <w:pgMar w:top="113" w:right="57" w:bottom="850" w:left="283" w:header="851" w:footer="992" w:gutter="0"/>
          <w:pgNumType w:start="0"/>
          <w:cols w:space="0" w:num="1"/>
          <w:titlePg/>
          <w:docGrid w:linePitch="312" w:charSpace="0"/>
        </w:sectPr>
      </w:pPr>
    </w:p>
    <w:p w14:paraId="39E5FAD3">
      <w:pPr>
        <w:rPr>
          <w:rFonts w:ascii="宋体" w:hAnsi="宋体" w:cs="宋体"/>
          <w:color w:val="auto"/>
          <w:highlight w:val="none"/>
        </w:rPr>
      </w:pPr>
    </w:p>
    <w:p w14:paraId="69C8490F">
      <w:pPr>
        <w:pStyle w:val="26"/>
        <w:spacing w:before="120" w:after="120" w:line="360" w:lineRule="auto"/>
        <w:jc w:val="center"/>
        <w:rPr>
          <w:rFonts w:hAnsi="宋体" w:cs="宋体"/>
          <w:color w:val="auto"/>
          <w:sz w:val="32"/>
          <w:szCs w:val="32"/>
          <w:highlight w:val="none"/>
        </w:rPr>
      </w:pPr>
      <w:r>
        <w:rPr>
          <w:rFonts w:hint="eastAsia" w:hAnsi="宋体" w:cs="宋体"/>
          <w:color w:val="auto"/>
          <w:sz w:val="32"/>
          <w:szCs w:val="32"/>
          <w:highlight w:val="none"/>
        </w:rPr>
        <w:t>目    录</w:t>
      </w:r>
    </w:p>
    <w:p w14:paraId="10DFAC4F">
      <w:pPr>
        <w:pStyle w:val="43"/>
        <w:tabs>
          <w:tab w:val="right" w:leader="dot" w:pos="8312"/>
        </w:tabs>
        <w:rPr>
          <w:color w:val="auto"/>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"1-2" \h \z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"_Toc25790"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_Toc25790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49883A3">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"_Toc28963" </w:instrText>
      </w:r>
      <w:r>
        <w:rPr>
          <w:color w:val="auto"/>
          <w:highlight w:val="none"/>
        </w:rPr>
        <w:fldChar w:fldCharType="separate"/>
      </w:r>
      <w:r>
        <w:rPr>
          <w:rFonts w:hint="eastAsia" w:ascii="宋体"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_Toc28963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2C1673F">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"_Toc15498" </w:instrText>
      </w:r>
      <w:r>
        <w:rPr>
          <w:color w:val="auto"/>
          <w:highlight w:val="none"/>
        </w:rPr>
        <w:fldChar w:fldCharType="separate"/>
      </w:r>
      <w:r>
        <w:rPr>
          <w:rFonts w:hint="eastAsia" w:ascii="宋体"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_Toc15498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A466B69">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"_Toc966" </w:instrText>
      </w:r>
      <w:r>
        <w:rPr>
          <w:color w:val="auto"/>
          <w:highlight w:val="none"/>
        </w:rPr>
        <w:fldChar w:fldCharType="separate"/>
      </w:r>
      <w:r>
        <w:rPr>
          <w:rFonts w:hint="eastAsia" w:ascii="宋体" w:hAnsi="宋体" w:cs="宋体"/>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_Toc966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4A2ABE8">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"_Toc13100" </w:instrText>
      </w:r>
      <w:r>
        <w:rPr>
          <w:color w:val="auto"/>
          <w:highlight w:val="none"/>
        </w:rPr>
        <w:fldChar w:fldCharType="separate"/>
      </w:r>
      <w:r>
        <w:rPr>
          <w:rFonts w:hint="eastAsia" w:ascii="宋体"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_Toc13100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ACB41B3">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"_Toc32425" </w:instrText>
      </w:r>
      <w:r>
        <w:rPr>
          <w:color w:val="auto"/>
          <w:highlight w:val="none"/>
        </w:rPr>
        <w:fldChar w:fldCharType="separate"/>
      </w:r>
      <w:r>
        <w:rPr>
          <w:rFonts w:hint="eastAsia" w:ascii="宋体" w:hAnsi="宋体" w:cs="宋体"/>
          <w:bCs/>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_Toc32425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9D63F1D">
      <w:pPr>
        <w:spacing w:before="120" w:beforeLines="50" w:line="480" w:lineRule="exact"/>
        <w:rPr>
          <w:rFonts w:ascii="宋体" w:hAnsi="宋体" w:cs="宋体"/>
          <w:color w:val="auto"/>
          <w:sz w:val="24"/>
          <w:highlight w:val="none"/>
        </w:rPr>
      </w:pPr>
      <w:r>
        <w:rPr>
          <w:rFonts w:hint="eastAsia" w:ascii="宋体" w:hAnsi="宋体" w:cs="宋体"/>
          <w:bCs/>
          <w:color w:val="auto"/>
          <w:highlight w:val="none"/>
        </w:rPr>
        <w:fldChar w:fldCharType="end"/>
      </w:r>
    </w:p>
    <w:p w14:paraId="16A61743">
      <w:pPr>
        <w:spacing w:before="120" w:beforeLines="50" w:line="480" w:lineRule="exact"/>
        <w:rPr>
          <w:rFonts w:ascii="宋体" w:hAnsi="宋体" w:cs="宋体"/>
          <w:color w:val="auto"/>
          <w:sz w:val="30"/>
          <w:highlight w:val="none"/>
        </w:rPr>
      </w:pPr>
    </w:p>
    <w:p w14:paraId="295BEA9E">
      <w:pPr>
        <w:rPr>
          <w:rFonts w:ascii="宋体" w:hAnsi="宋体" w:cs="宋体"/>
          <w:color w:val="auto"/>
          <w:highlight w:val="none"/>
        </w:rPr>
      </w:pPr>
    </w:p>
    <w:p w14:paraId="652AD4F4">
      <w:pPr>
        <w:spacing w:before="120" w:beforeLines="50" w:line="480" w:lineRule="exact"/>
        <w:rPr>
          <w:rFonts w:ascii="宋体" w:hAnsi="宋体" w:cs="宋体"/>
          <w:color w:val="auto"/>
          <w:sz w:val="30"/>
          <w:highlight w:val="none"/>
        </w:rPr>
      </w:pPr>
    </w:p>
    <w:p w14:paraId="7DD82DFD">
      <w:pPr>
        <w:spacing w:before="120" w:beforeLines="50" w:line="480" w:lineRule="exact"/>
        <w:rPr>
          <w:rFonts w:ascii="宋体" w:hAnsi="宋体" w:cs="宋体"/>
          <w:color w:val="auto"/>
          <w:sz w:val="30"/>
          <w:highlight w:val="none"/>
        </w:rPr>
      </w:pPr>
    </w:p>
    <w:p w14:paraId="133E3C68">
      <w:pPr>
        <w:spacing w:before="120" w:beforeLines="50" w:line="480" w:lineRule="exact"/>
        <w:rPr>
          <w:rFonts w:ascii="宋体" w:hAnsi="宋体" w:cs="宋体"/>
          <w:color w:val="auto"/>
          <w:sz w:val="30"/>
          <w:highlight w:val="none"/>
        </w:rPr>
      </w:pPr>
    </w:p>
    <w:p w14:paraId="7ED52F10">
      <w:pPr>
        <w:pStyle w:val="17"/>
        <w:jc w:val="both"/>
        <w:rPr>
          <w:rFonts w:ascii="宋体" w:hAnsi="宋体" w:cs="宋体"/>
          <w:color w:val="auto"/>
          <w:highlight w:val="none"/>
        </w:rPr>
      </w:pPr>
      <w:bookmarkStart w:id="0" w:name="_Toc254970489"/>
      <w:bookmarkStart w:id="1" w:name="_Toc254970630"/>
    </w:p>
    <w:p w14:paraId="326A8CE3">
      <w:pPr>
        <w:pStyle w:val="17"/>
        <w:jc w:val="both"/>
        <w:rPr>
          <w:rFonts w:ascii="宋体" w:hAnsi="宋体" w:cs="宋体"/>
          <w:color w:val="auto"/>
          <w:highlight w:val="none"/>
        </w:rPr>
      </w:pPr>
    </w:p>
    <w:p w14:paraId="624A3F19">
      <w:pPr>
        <w:pStyle w:val="17"/>
        <w:jc w:val="both"/>
        <w:rPr>
          <w:rFonts w:ascii="宋体" w:hAnsi="宋体" w:cs="宋体"/>
          <w:color w:val="auto"/>
          <w:highlight w:val="none"/>
        </w:rPr>
      </w:pPr>
    </w:p>
    <w:p w14:paraId="2A34402C">
      <w:pPr>
        <w:pStyle w:val="17"/>
        <w:jc w:val="both"/>
        <w:rPr>
          <w:rFonts w:ascii="宋体" w:hAnsi="宋体" w:cs="宋体"/>
          <w:color w:val="auto"/>
          <w:highlight w:val="none"/>
        </w:rPr>
      </w:pPr>
    </w:p>
    <w:p w14:paraId="0799CDA5">
      <w:pPr>
        <w:pStyle w:val="17"/>
        <w:jc w:val="both"/>
        <w:rPr>
          <w:rFonts w:ascii="宋体" w:hAnsi="宋体" w:cs="宋体"/>
          <w:color w:val="auto"/>
          <w:highlight w:val="none"/>
        </w:rPr>
      </w:pPr>
    </w:p>
    <w:p w14:paraId="2327AF76">
      <w:pPr>
        <w:pStyle w:val="17"/>
        <w:jc w:val="both"/>
        <w:rPr>
          <w:rFonts w:ascii="宋体" w:hAnsi="宋体" w:cs="宋体"/>
          <w:color w:val="auto"/>
          <w:highlight w:val="none"/>
        </w:rPr>
      </w:pPr>
    </w:p>
    <w:p w14:paraId="3C4C4859">
      <w:pPr>
        <w:pStyle w:val="17"/>
        <w:jc w:val="both"/>
        <w:rPr>
          <w:rFonts w:ascii="宋体" w:hAnsi="宋体" w:cs="宋体"/>
          <w:color w:val="auto"/>
          <w:highlight w:val="none"/>
        </w:rPr>
      </w:pPr>
    </w:p>
    <w:p w14:paraId="583023CF">
      <w:pPr>
        <w:pStyle w:val="17"/>
        <w:jc w:val="both"/>
        <w:rPr>
          <w:rFonts w:ascii="宋体" w:hAnsi="宋体" w:cs="宋体"/>
          <w:color w:val="auto"/>
          <w:highlight w:val="none"/>
        </w:rPr>
      </w:pPr>
    </w:p>
    <w:p w14:paraId="26785932">
      <w:pPr>
        <w:pStyle w:val="17"/>
        <w:jc w:val="both"/>
        <w:rPr>
          <w:rFonts w:ascii="宋体" w:hAnsi="宋体" w:cs="宋体"/>
          <w:color w:val="auto"/>
          <w:highlight w:val="none"/>
        </w:rPr>
      </w:pPr>
    </w:p>
    <w:p w14:paraId="3BC621A1">
      <w:pPr>
        <w:pStyle w:val="17"/>
        <w:jc w:val="both"/>
        <w:rPr>
          <w:rFonts w:ascii="宋体" w:hAnsi="宋体" w:cs="宋体"/>
          <w:color w:val="auto"/>
          <w:highlight w:val="none"/>
        </w:rPr>
      </w:pPr>
    </w:p>
    <w:p w14:paraId="79C40165">
      <w:pPr>
        <w:pStyle w:val="17"/>
        <w:jc w:val="both"/>
        <w:rPr>
          <w:rFonts w:ascii="宋体" w:hAnsi="宋体" w:cs="宋体"/>
          <w:color w:val="auto"/>
          <w:highlight w:val="none"/>
        </w:rPr>
      </w:pPr>
    </w:p>
    <w:p w14:paraId="583432FC">
      <w:pPr>
        <w:pStyle w:val="17"/>
        <w:jc w:val="both"/>
        <w:rPr>
          <w:rFonts w:ascii="宋体" w:hAnsi="宋体" w:cs="宋体"/>
          <w:color w:val="auto"/>
          <w:highlight w:val="none"/>
        </w:rPr>
      </w:pPr>
    </w:p>
    <w:p w14:paraId="6E15520B">
      <w:pPr>
        <w:pStyle w:val="17"/>
        <w:jc w:val="both"/>
        <w:rPr>
          <w:rFonts w:ascii="宋体" w:hAnsi="宋体" w:cs="宋体"/>
          <w:color w:val="auto"/>
          <w:highlight w:val="none"/>
        </w:rPr>
      </w:pPr>
    </w:p>
    <w:p w14:paraId="2FA8B5DB">
      <w:pPr>
        <w:pStyle w:val="17"/>
        <w:jc w:val="both"/>
        <w:rPr>
          <w:rFonts w:ascii="宋体" w:hAnsi="宋体" w:cs="宋体"/>
          <w:color w:val="auto"/>
          <w:highlight w:val="none"/>
        </w:rPr>
      </w:pPr>
    </w:p>
    <w:p w14:paraId="1DAA9065">
      <w:pPr>
        <w:pStyle w:val="17"/>
        <w:jc w:val="both"/>
        <w:rPr>
          <w:rFonts w:ascii="宋体" w:hAnsi="宋体" w:cs="宋体"/>
          <w:color w:val="auto"/>
          <w:highlight w:val="none"/>
        </w:rPr>
      </w:pPr>
    </w:p>
    <w:p w14:paraId="007A1647">
      <w:pPr>
        <w:pStyle w:val="17"/>
        <w:jc w:val="both"/>
        <w:rPr>
          <w:rFonts w:ascii="宋体" w:hAnsi="宋体" w:cs="宋体"/>
          <w:color w:val="auto"/>
          <w:highlight w:val="none"/>
        </w:rPr>
      </w:pPr>
    </w:p>
    <w:p w14:paraId="5B295575">
      <w:pPr>
        <w:pStyle w:val="17"/>
        <w:jc w:val="both"/>
        <w:rPr>
          <w:rFonts w:ascii="宋体" w:hAnsi="宋体" w:cs="宋体"/>
          <w:color w:val="auto"/>
          <w:highlight w:val="none"/>
        </w:rPr>
      </w:pPr>
    </w:p>
    <w:p w14:paraId="10ADDDEE">
      <w:pPr>
        <w:pStyle w:val="17"/>
        <w:jc w:val="both"/>
        <w:rPr>
          <w:rFonts w:ascii="宋体" w:hAnsi="宋体" w:cs="宋体"/>
          <w:color w:val="auto"/>
          <w:highlight w:val="none"/>
        </w:rPr>
      </w:pPr>
    </w:p>
    <w:p w14:paraId="52B787D0">
      <w:pPr>
        <w:pStyle w:val="17"/>
        <w:jc w:val="both"/>
        <w:rPr>
          <w:rFonts w:ascii="宋体" w:hAnsi="宋体" w:cs="宋体"/>
          <w:color w:val="auto"/>
          <w:highlight w:val="none"/>
        </w:rPr>
      </w:pPr>
    </w:p>
    <w:p w14:paraId="53644910">
      <w:pPr>
        <w:pStyle w:val="17"/>
        <w:jc w:val="both"/>
        <w:rPr>
          <w:rFonts w:ascii="宋体" w:hAnsi="宋体" w:cs="宋体"/>
          <w:color w:val="auto"/>
          <w:highlight w:val="none"/>
        </w:rPr>
      </w:pPr>
    </w:p>
    <w:p w14:paraId="72243A55">
      <w:pPr>
        <w:pStyle w:val="17"/>
        <w:jc w:val="both"/>
        <w:rPr>
          <w:rFonts w:ascii="宋体" w:hAnsi="宋体" w:cs="宋体"/>
          <w:color w:val="auto"/>
          <w:highlight w:val="none"/>
        </w:rPr>
      </w:pPr>
    </w:p>
    <w:p w14:paraId="705C8FBC">
      <w:pPr>
        <w:pStyle w:val="17"/>
        <w:jc w:val="both"/>
        <w:rPr>
          <w:rFonts w:ascii="宋体" w:hAnsi="宋体" w:cs="宋体"/>
          <w:color w:val="auto"/>
          <w:highlight w:val="none"/>
        </w:rPr>
      </w:pPr>
    </w:p>
    <w:p w14:paraId="4F767A03">
      <w:pPr>
        <w:pStyle w:val="17"/>
        <w:jc w:val="both"/>
        <w:rPr>
          <w:rFonts w:ascii="宋体" w:hAnsi="宋体" w:cs="宋体"/>
          <w:color w:val="auto"/>
          <w:highlight w:val="none"/>
        </w:rPr>
      </w:pPr>
    </w:p>
    <w:p w14:paraId="48EC93B0">
      <w:pPr>
        <w:pStyle w:val="17"/>
        <w:jc w:val="both"/>
        <w:rPr>
          <w:rFonts w:ascii="宋体" w:hAnsi="宋体" w:cs="宋体"/>
          <w:color w:val="auto"/>
          <w:highlight w:val="none"/>
        </w:rPr>
      </w:pPr>
    </w:p>
    <w:p w14:paraId="5433C14C">
      <w:pPr>
        <w:pStyle w:val="3"/>
        <w:jc w:val="center"/>
        <w:rPr>
          <w:rFonts w:ascii="宋体" w:hAnsi="宋体" w:eastAsia="宋体" w:cs="宋体"/>
          <w:color w:val="auto"/>
          <w:highlight w:val="none"/>
        </w:rPr>
      </w:pPr>
      <w:bookmarkStart w:id="2" w:name="_Toc25790"/>
      <w:r>
        <w:rPr>
          <w:rFonts w:hint="eastAsia" w:ascii="宋体" w:hAnsi="宋体" w:eastAsia="宋体" w:cs="宋体"/>
          <w:color w:val="auto"/>
          <w:highlight w:val="none"/>
        </w:rPr>
        <w:t xml:space="preserve">第一章  </w:t>
      </w:r>
      <w:bookmarkEnd w:id="0"/>
      <w:bookmarkEnd w:id="1"/>
      <w:r>
        <w:rPr>
          <w:rFonts w:hint="eastAsia" w:ascii="宋体" w:hAnsi="宋体" w:eastAsia="宋体" w:cs="宋体"/>
          <w:color w:val="auto"/>
          <w:highlight w:val="none"/>
        </w:rPr>
        <w:t>招标公告</w:t>
      </w:r>
      <w:bookmarkEnd w:id="2"/>
    </w:p>
    <w:p w14:paraId="04B0B53B">
      <w:pPr>
        <w:pBdr>
          <w:top w:val="single" w:color="auto" w:sz="4" w:space="1"/>
          <w:left w:val="single" w:color="auto" w:sz="4" w:space="4"/>
          <w:bottom w:val="single" w:color="auto" w:sz="4" w:space="0"/>
          <w:right w:val="single" w:color="auto" w:sz="4" w:space="4"/>
        </w:pBdr>
        <w:spacing w:line="320" w:lineRule="exact"/>
        <w:rPr>
          <w:rFonts w:ascii="宋体" w:hAnsi="宋体" w:cs="宋体"/>
          <w:color w:val="auto"/>
          <w:highlight w:val="none"/>
        </w:rPr>
      </w:pPr>
      <w:r>
        <w:rPr>
          <w:rFonts w:hint="eastAsia" w:ascii="宋体" w:hAnsi="宋体" w:cs="宋体"/>
          <w:color w:val="auto"/>
          <w:highlight w:val="none"/>
        </w:rPr>
        <w:t>项目概况</w:t>
      </w:r>
    </w:p>
    <w:p w14:paraId="10C34402">
      <w:pPr>
        <w:pBdr>
          <w:top w:val="single" w:color="auto" w:sz="4" w:space="1"/>
          <w:left w:val="single" w:color="auto" w:sz="4" w:space="4"/>
          <w:bottom w:val="single" w:color="auto" w:sz="4" w:space="0"/>
          <w:right w:val="single" w:color="auto" w:sz="4" w:space="4"/>
        </w:pBdr>
        <w:spacing w:line="32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数字减影血管造影系统（DSA）及磁共振维保服务项目</w:t>
      </w:r>
      <w:r>
        <w:rPr>
          <w:rFonts w:hint="eastAsia" w:ascii="宋体" w:hAnsi="宋体" w:cs="宋体"/>
          <w:color w:val="auto"/>
          <w:highlight w:val="none"/>
        </w:rPr>
        <w:t>的潜在投标人应在</w:t>
      </w:r>
      <w:r>
        <w:rPr>
          <w:rFonts w:hint="eastAsia" w:ascii="宋体" w:hAnsi="宋体" w:cs="宋体"/>
          <w:color w:val="auto"/>
          <w:szCs w:val="21"/>
          <w:highlight w:val="none"/>
        </w:rPr>
        <w:t>广西政府采购云平台（https：//www.gcy.zfcg.gxzf.gov.cn/）</w:t>
      </w:r>
      <w:r>
        <w:rPr>
          <w:rFonts w:hint="eastAsia" w:ascii="宋体" w:hAnsi="宋体" w:cs="宋体"/>
          <w:color w:val="auto"/>
          <w:highlight w:val="none"/>
        </w:rPr>
        <w:t>获取招标文件，并于</w:t>
      </w:r>
      <w:r>
        <w:rPr>
          <w:rFonts w:hint="eastAsia" w:ascii="宋体" w:hAnsi="宋体" w:cs="宋体"/>
          <w:color w:val="auto"/>
          <w:highlight w:val="none"/>
          <w:u w:val="single"/>
        </w:rPr>
        <w:t>2025年 月 日上午9时00分</w:t>
      </w:r>
      <w:r>
        <w:rPr>
          <w:rFonts w:hint="eastAsia" w:ascii="宋体" w:hAnsi="宋体" w:cs="宋体"/>
          <w:color w:val="auto"/>
          <w:highlight w:val="none"/>
        </w:rPr>
        <w:t>（北京时间）前递交投标文件。</w:t>
      </w:r>
    </w:p>
    <w:p w14:paraId="61408A0A">
      <w:pPr>
        <w:spacing w:line="320" w:lineRule="exact"/>
        <w:rPr>
          <w:rFonts w:ascii="宋体" w:hAnsi="宋体" w:cs="宋体"/>
          <w:color w:val="auto"/>
          <w:szCs w:val="21"/>
          <w:highlight w:val="none"/>
        </w:rPr>
      </w:pPr>
    </w:p>
    <w:p w14:paraId="6F3DE57C">
      <w:pPr>
        <w:keepNext/>
        <w:keepLines/>
        <w:spacing w:line="320" w:lineRule="exact"/>
        <w:outlineLvl w:val="1"/>
        <w:rPr>
          <w:rFonts w:ascii="宋体" w:hAnsi="宋体" w:cs="宋体"/>
          <w:b/>
          <w:color w:val="auto"/>
          <w:szCs w:val="21"/>
          <w:highlight w:val="none"/>
        </w:rPr>
      </w:pPr>
      <w:bookmarkStart w:id="3" w:name="_Toc28595"/>
      <w:bookmarkStart w:id="4" w:name="_Toc35393790"/>
      <w:bookmarkStart w:id="5" w:name="_Toc44405601"/>
      <w:bookmarkStart w:id="6" w:name="_Toc29387"/>
      <w:bookmarkStart w:id="7" w:name="_Toc28359002"/>
      <w:bookmarkStart w:id="8" w:name="_Toc29193"/>
      <w:bookmarkStart w:id="9" w:name="_Toc35393621"/>
      <w:bookmarkStart w:id="10" w:name="_Toc28359079"/>
      <w:bookmarkStart w:id="11" w:name="_Toc26488"/>
      <w:bookmarkStart w:id="12" w:name="_Hlk24379207"/>
      <w:r>
        <w:rPr>
          <w:rFonts w:hint="eastAsia" w:ascii="宋体" w:hAnsi="宋体" w:cs="宋体"/>
          <w:b/>
          <w:color w:val="auto"/>
          <w:szCs w:val="21"/>
          <w:highlight w:val="none"/>
        </w:rPr>
        <w:t>一、项目基本情况</w:t>
      </w:r>
      <w:bookmarkEnd w:id="3"/>
      <w:bookmarkEnd w:id="4"/>
      <w:bookmarkEnd w:id="5"/>
      <w:bookmarkEnd w:id="6"/>
      <w:bookmarkEnd w:id="7"/>
      <w:bookmarkEnd w:id="8"/>
      <w:bookmarkEnd w:id="9"/>
      <w:bookmarkEnd w:id="10"/>
      <w:bookmarkEnd w:id="11"/>
    </w:p>
    <w:p w14:paraId="154090A7">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项目编号：GGZC2025-G3-990203-YZLZ</w:t>
      </w:r>
    </w:p>
    <w:p w14:paraId="3C9B9F1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highlight w:val="none"/>
        </w:rPr>
        <w:t>数字减影血管造影系统（DSA）及磁共振维保服务项目</w:t>
      </w:r>
    </w:p>
    <w:bookmarkEnd w:id="12"/>
    <w:p w14:paraId="663FFB5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预算总金额（元）：8085000.00</w:t>
      </w:r>
    </w:p>
    <w:p w14:paraId="56ADD914">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采购需求：</w:t>
      </w:r>
    </w:p>
    <w:p w14:paraId="0E6DF624">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标的一名称：数字减影血管造影系统（DSA）（型号UNIQFD20全保）3年全保服务</w:t>
      </w:r>
    </w:p>
    <w:p w14:paraId="2DAC9C73">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704AB9AF">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预算金额（元）：1485000.00</w:t>
      </w:r>
    </w:p>
    <w:p w14:paraId="1277AD40">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简要规格描述或项目基本概况介绍、用途：数字减影血管造影系统（DSA）（型号UNIQFD20全保）3年全保服务。具体详见招标文件。</w:t>
      </w:r>
    </w:p>
    <w:p w14:paraId="77F2F95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最高限价：1485000.00</w:t>
      </w:r>
    </w:p>
    <w:p w14:paraId="3F6B1E67">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合同履行期限：三年。</w:t>
      </w:r>
    </w:p>
    <w:p w14:paraId="502971E4">
      <w:pPr>
        <w:spacing w:line="320" w:lineRule="exact"/>
        <w:ind w:left="420" w:leftChars="200"/>
        <w:rPr>
          <w:rFonts w:ascii="宋体" w:hAnsi="宋体" w:cs="宋体"/>
          <w:color w:val="auto"/>
          <w:szCs w:val="21"/>
          <w:highlight w:val="none"/>
        </w:rPr>
      </w:pPr>
      <w:bookmarkStart w:id="13" w:name="_Toc35393622"/>
      <w:bookmarkStart w:id="14" w:name="_Toc28359003"/>
      <w:bookmarkStart w:id="15" w:name="_Toc29997"/>
      <w:bookmarkStart w:id="16" w:name="_Toc35393791"/>
      <w:bookmarkStart w:id="17" w:name="_Toc44405602"/>
      <w:bookmarkStart w:id="18" w:name="_Toc28359080"/>
      <w:bookmarkStart w:id="19" w:name="_Toc7802"/>
      <w:r>
        <w:rPr>
          <w:rFonts w:hint="eastAsia" w:ascii="宋体" w:hAnsi="宋体" w:cs="宋体"/>
          <w:color w:val="auto"/>
          <w:szCs w:val="21"/>
          <w:highlight w:val="none"/>
        </w:rPr>
        <w:t>本标项（否）接受联合体投标</w:t>
      </w:r>
    </w:p>
    <w:p w14:paraId="639F346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4945ACD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标的二名称：1台西门子飞龙DSA 3年全保服务及4台磁共振3年有限技术维保服务</w:t>
      </w:r>
    </w:p>
    <w:p w14:paraId="3CBCB76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41CBF71E">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预算金额（元）：6600000.00</w:t>
      </w:r>
    </w:p>
    <w:p w14:paraId="758CDF3D">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简要规格描述或项目基本概况介绍、用途：1台西门子飞龙DSA 3年全保服务及4台磁共振3年有限技术维保服务。具体详见招标文件。</w:t>
      </w:r>
    </w:p>
    <w:p w14:paraId="1A5B3000">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最高限价：6600000.00</w:t>
      </w:r>
    </w:p>
    <w:p w14:paraId="6EA76F5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合同履行期限：三年。</w:t>
      </w:r>
    </w:p>
    <w:p w14:paraId="2D588225">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48D0ED1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246B3AE4">
      <w:pPr>
        <w:keepNext/>
        <w:keepLines/>
        <w:spacing w:line="320" w:lineRule="exact"/>
        <w:outlineLvl w:val="1"/>
        <w:rPr>
          <w:rFonts w:ascii="宋体" w:hAnsi="宋体" w:cs="宋体"/>
          <w:b/>
          <w:color w:val="auto"/>
          <w:szCs w:val="21"/>
          <w:highlight w:val="none"/>
        </w:rPr>
      </w:pPr>
      <w:bookmarkStart w:id="20" w:name="_Toc23522"/>
      <w:bookmarkStart w:id="21" w:name="_Toc29513"/>
      <w:r>
        <w:rPr>
          <w:rFonts w:hint="eastAsia" w:ascii="宋体" w:hAnsi="宋体" w:cs="宋体"/>
          <w:b/>
          <w:color w:val="auto"/>
          <w:szCs w:val="21"/>
          <w:highlight w:val="none"/>
        </w:rPr>
        <w:t>二、投标人的资格要求：</w:t>
      </w:r>
      <w:bookmarkEnd w:id="13"/>
      <w:bookmarkEnd w:id="14"/>
      <w:bookmarkEnd w:id="15"/>
      <w:bookmarkEnd w:id="16"/>
      <w:bookmarkEnd w:id="17"/>
      <w:bookmarkEnd w:id="18"/>
      <w:bookmarkEnd w:id="19"/>
      <w:bookmarkEnd w:id="20"/>
      <w:bookmarkEnd w:id="21"/>
    </w:p>
    <w:p w14:paraId="04AE0233">
      <w:pPr>
        <w:spacing w:line="320" w:lineRule="exact"/>
        <w:ind w:firstLine="420" w:firstLineChars="200"/>
        <w:rPr>
          <w:rFonts w:ascii="宋体" w:hAnsi="宋体" w:cs="宋体"/>
          <w:color w:val="auto"/>
          <w:szCs w:val="21"/>
          <w:highlight w:val="none"/>
        </w:rPr>
      </w:pPr>
      <w:bookmarkStart w:id="22" w:name="_Toc28359081"/>
      <w:bookmarkStart w:id="23" w:name="_Toc28359004"/>
      <w:r>
        <w:rPr>
          <w:rFonts w:hint="eastAsia" w:ascii="宋体" w:hAnsi="宋体" w:cs="宋体"/>
          <w:color w:val="auto"/>
          <w:szCs w:val="21"/>
          <w:highlight w:val="none"/>
        </w:rPr>
        <w:t>1.满足《中华人民共和国政府采购法》第二十二条规定。</w:t>
      </w:r>
    </w:p>
    <w:p w14:paraId="2E47F14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无</w:t>
      </w:r>
      <w:r>
        <w:rPr>
          <w:rFonts w:hint="eastAsia" w:ascii="宋体" w:hAnsi="宋体" w:cs="宋体"/>
          <w:color w:val="auto"/>
          <w:szCs w:val="21"/>
          <w:highlight w:val="none"/>
        </w:rPr>
        <w:t>。</w:t>
      </w:r>
    </w:p>
    <w:p w14:paraId="3EBC5A7F">
      <w:pPr>
        <w:spacing w:line="3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投标人可选择任意1个标项或者2个标项投标。评标委员会按照标项一→标项二的顺序进行评审，同一投标人最多只能成为1个标项第一中标候选人，已成为标项一的第一中标候选人后不能再被推荐为标项二的中标候选人。</w:t>
      </w:r>
    </w:p>
    <w:bookmarkEnd w:id="22"/>
    <w:bookmarkEnd w:id="23"/>
    <w:p w14:paraId="5FE38DA5">
      <w:pPr>
        <w:pStyle w:val="3"/>
        <w:spacing w:before="0" w:after="0" w:line="320" w:lineRule="exact"/>
        <w:rPr>
          <w:rFonts w:ascii="宋体" w:hAnsi="宋体" w:eastAsia="宋体" w:cs="宋体"/>
          <w:bCs w:val="0"/>
          <w:color w:val="auto"/>
          <w:sz w:val="21"/>
          <w:szCs w:val="21"/>
          <w:highlight w:val="none"/>
        </w:rPr>
      </w:pPr>
      <w:bookmarkStart w:id="24" w:name="_Toc23891"/>
      <w:bookmarkStart w:id="25" w:name="_Toc4670"/>
      <w:bookmarkStart w:id="26" w:name="_Toc44405603"/>
      <w:bookmarkStart w:id="27" w:name="_Toc28319"/>
      <w:bookmarkStart w:id="28" w:name="_Toc35393623"/>
      <w:bookmarkStart w:id="29" w:name="_Toc19186"/>
      <w:bookmarkStart w:id="30" w:name="_Toc35393792"/>
      <w:r>
        <w:rPr>
          <w:rFonts w:hint="eastAsia" w:ascii="宋体" w:hAnsi="宋体" w:eastAsia="宋体" w:cs="宋体"/>
          <w:bCs w:val="0"/>
          <w:color w:val="auto"/>
          <w:sz w:val="21"/>
          <w:szCs w:val="21"/>
          <w:highlight w:val="none"/>
        </w:rPr>
        <w:t>三、获取招标文件</w:t>
      </w:r>
      <w:bookmarkEnd w:id="24"/>
      <w:bookmarkEnd w:id="25"/>
      <w:bookmarkEnd w:id="26"/>
      <w:bookmarkEnd w:id="27"/>
      <w:bookmarkEnd w:id="28"/>
      <w:bookmarkEnd w:id="29"/>
      <w:bookmarkEnd w:id="30"/>
    </w:p>
    <w:p w14:paraId="076BC38A">
      <w:pPr>
        <w:spacing w:line="320" w:lineRule="exact"/>
        <w:ind w:firstLine="54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bCs/>
          <w:color w:val="auto"/>
          <w:highlight w:val="none"/>
          <w:u w:val="single"/>
        </w:rPr>
        <w:t>2025年  月  日</w:t>
      </w:r>
      <w:r>
        <w:rPr>
          <w:rFonts w:hint="eastAsia" w:ascii="宋体" w:hAnsi="宋体" w:cs="宋体"/>
          <w:color w:val="auto"/>
          <w:highlight w:val="none"/>
          <w:u w:val="single"/>
        </w:rPr>
        <w:t>起</w:t>
      </w:r>
      <w:r>
        <w:rPr>
          <w:rFonts w:hint="eastAsia" w:ascii="宋体" w:hAnsi="宋体" w:cs="宋体"/>
          <w:color w:val="auto"/>
          <w:highlight w:val="none"/>
        </w:rPr>
        <w:t>至</w:t>
      </w:r>
      <w:r>
        <w:rPr>
          <w:rFonts w:hint="eastAsia" w:ascii="宋体" w:hAnsi="宋体" w:cs="宋体"/>
          <w:bCs/>
          <w:color w:val="auto"/>
          <w:highlight w:val="none"/>
          <w:u w:val="single"/>
        </w:rPr>
        <w:t>2025年  月  日，每天上午00：00至12：00 ，下午12：00至23：59（北京时间，法定节假日除外）</w:t>
      </w:r>
    </w:p>
    <w:p w14:paraId="2D36BD73">
      <w:pPr>
        <w:spacing w:line="360" w:lineRule="auto"/>
        <w:ind w:firstLine="540"/>
        <w:rPr>
          <w:rFonts w:ascii="宋体" w:hAnsi="宋体"/>
          <w:color w:val="auto"/>
          <w:szCs w:val="21"/>
          <w:highlight w:val="none"/>
        </w:rPr>
      </w:pPr>
      <w:bookmarkStart w:id="31" w:name="_Toc28359082"/>
      <w:bookmarkStart w:id="32" w:name="_Toc28359005"/>
      <w:bookmarkStart w:id="33" w:name="_Toc8738"/>
      <w:bookmarkStart w:id="34" w:name="_Toc44405604"/>
      <w:bookmarkStart w:id="35" w:name="_Toc21666"/>
      <w:bookmarkStart w:id="36" w:name="_Toc35393624"/>
      <w:bookmarkStart w:id="37" w:name="_Toc35393793"/>
      <w:bookmarkStart w:id="38" w:name="_Toc19229"/>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52B1E401">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t>
      </w:r>
      <w:r>
        <w:rPr>
          <w:rFonts w:hint="eastAsia" w:ascii="宋体" w:hAnsi="宋体"/>
          <w:bCs/>
          <w:color w:val="auto"/>
          <w:szCs w:val="21"/>
          <w:highlight w:val="none"/>
        </w:rPr>
        <w:t>：</w:t>
      </w:r>
      <w:r>
        <w:rPr>
          <w:rFonts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w:t>
      </w:r>
      <w:r>
        <w:rPr>
          <w:rFonts w:ascii="宋体" w:hAnsi="宋体"/>
          <w:color w:val="auto"/>
          <w:szCs w:val="21"/>
          <w:highlight w:val="none"/>
        </w:rPr>
        <w:t>广西政府采购云平台</w:t>
      </w:r>
      <w:r>
        <w:rPr>
          <w:rFonts w:hint="eastAsia" w:ascii="宋体" w:hAnsi="宋体"/>
          <w:color w:val="auto"/>
          <w:szCs w:val="21"/>
          <w:highlight w:val="none"/>
        </w:rPr>
        <w:t>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w:t>
      </w:r>
      <w:r>
        <w:rPr>
          <w:rFonts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27B9E509">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售价：0元</w:t>
      </w:r>
    </w:p>
    <w:p w14:paraId="17FE8781">
      <w:pPr>
        <w:pStyle w:val="3"/>
        <w:spacing w:before="0" w:after="0" w:line="320" w:lineRule="exact"/>
        <w:rPr>
          <w:rFonts w:ascii="宋体" w:hAnsi="宋体" w:eastAsia="宋体" w:cs="宋体"/>
          <w:bCs w:val="0"/>
          <w:color w:val="auto"/>
          <w:sz w:val="21"/>
          <w:szCs w:val="21"/>
          <w:highlight w:val="none"/>
        </w:rPr>
      </w:pPr>
      <w:bookmarkStart w:id="39" w:name="_Toc23129"/>
      <w:r>
        <w:rPr>
          <w:rFonts w:hint="eastAsia" w:ascii="宋体" w:hAnsi="宋体" w:eastAsia="宋体" w:cs="宋体"/>
          <w:bCs w:val="0"/>
          <w:color w:val="auto"/>
          <w:sz w:val="21"/>
          <w:szCs w:val="21"/>
          <w:highlight w:val="none"/>
        </w:rPr>
        <w:t>四、提交投标文件</w:t>
      </w:r>
      <w:bookmarkEnd w:id="31"/>
      <w:bookmarkEnd w:id="32"/>
      <w:r>
        <w:rPr>
          <w:rFonts w:hint="eastAsia" w:ascii="宋体" w:hAnsi="宋体" w:eastAsia="宋体" w:cs="宋体"/>
          <w:bCs w:val="0"/>
          <w:color w:val="auto"/>
          <w:sz w:val="21"/>
          <w:szCs w:val="21"/>
          <w:highlight w:val="none"/>
        </w:rPr>
        <w:t>截止时间、开标时间和地点</w:t>
      </w:r>
      <w:bookmarkEnd w:id="33"/>
      <w:bookmarkEnd w:id="34"/>
      <w:bookmarkEnd w:id="35"/>
      <w:bookmarkEnd w:id="36"/>
      <w:bookmarkEnd w:id="37"/>
      <w:bookmarkEnd w:id="38"/>
      <w:bookmarkEnd w:id="39"/>
    </w:p>
    <w:p w14:paraId="25B976A8">
      <w:pPr>
        <w:spacing w:line="320" w:lineRule="exact"/>
        <w:ind w:firstLine="420" w:firstLineChars="200"/>
        <w:rPr>
          <w:rFonts w:ascii="宋体" w:hAnsi="宋体" w:cs="宋体"/>
          <w:color w:val="auto"/>
          <w:highlight w:val="none"/>
        </w:rPr>
      </w:pPr>
      <w:bookmarkStart w:id="40" w:name="_Toc28359007"/>
      <w:bookmarkStart w:id="41" w:name="_Toc44405605"/>
      <w:bookmarkStart w:id="42" w:name="_Toc4255"/>
      <w:bookmarkStart w:id="43" w:name="_Toc28359084"/>
      <w:bookmarkStart w:id="44" w:name="_Toc35393794"/>
      <w:bookmarkStart w:id="45" w:name="_Toc35393625"/>
      <w:r>
        <w:rPr>
          <w:rFonts w:hint="eastAsia" w:ascii="宋体" w:hAnsi="宋体" w:cs="宋体"/>
          <w:color w:val="auto"/>
          <w:highlight w:val="none"/>
        </w:rPr>
        <w:t>时间：</w:t>
      </w:r>
      <w:r>
        <w:rPr>
          <w:rFonts w:hint="eastAsia" w:ascii="宋体" w:hAnsi="宋体" w:cs="宋体"/>
          <w:color w:val="auto"/>
          <w:highlight w:val="none"/>
          <w:u w:val="single"/>
        </w:rPr>
        <w:t>2025年  月  日上午9时00分</w:t>
      </w:r>
      <w:r>
        <w:rPr>
          <w:rFonts w:hint="eastAsia" w:ascii="宋体" w:hAnsi="宋体" w:cs="宋体"/>
          <w:color w:val="auto"/>
          <w:highlight w:val="none"/>
        </w:rPr>
        <w:t>（北京时间）</w:t>
      </w:r>
    </w:p>
    <w:p w14:paraId="6A8FCD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t>
      </w:r>
      <w:r>
        <w:rPr>
          <w:rFonts w:hint="eastAsia" w:ascii="宋体" w:hAnsi="宋体"/>
          <w:bCs/>
          <w:color w:val="auto"/>
          <w:szCs w:val="21"/>
          <w:highlight w:val="none"/>
        </w:rPr>
        <w:t>：</w:t>
      </w:r>
      <w:r>
        <w:rPr>
          <w:rFonts w:ascii="宋体" w:hAnsi="宋体"/>
          <w:bCs/>
          <w:color w:val="auto"/>
          <w:szCs w:val="21"/>
          <w:highlight w:val="none"/>
        </w:rPr>
        <w:t>//www.gcy.zfcg.gxzf.gov.cn/</w:t>
      </w:r>
      <w:r>
        <w:rPr>
          <w:rFonts w:hint="eastAsia" w:ascii="宋体" w:hAnsi="宋体"/>
          <w:color w:val="auto"/>
          <w:szCs w:val="21"/>
          <w:highlight w:val="none"/>
        </w:rPr>
        <w:t>）</w:t>
      </w:r>
    </w:p>
    <w:p w14:paraId="3684A03F">
      <w:pPr>
        <w:spacing w:line="320" w:lineRule="exact"/>
        <w:ind w:firstLine="420" w:firstLineChars="200"/>
        <w:rPr>
          <w:rFonts w:ascii="宋体" w:hAnsi="宋体" w:cs="宋体"/>
          <w:color w:val="auto"/>
          <w:highlight w:val="none"/>
        </w:rPr>
      </w:pPr>
      <w:r>
        <w:rPr>
          <w:rFonts w:hint="eastAsia" w:ascii="宋体" w:hAnsi="宋体"/>
          <w:color w:val="auto"/>
          <w:szCs w:val="21"/>
          <w:highlight w:val="none"/>
        </w:rPr>
        <w:t>开标地点：</w:t>
      </w:r>
      <w:r>
        <w:rPr>
          <w:rFonts w:ascii="宋体" w:hAnsi="宋体"/>
          <w:color w:val="auto"/>
          <w:szCs w:val="21"/>
          <w:highlight w:val="none"/>
        </w:rPr>
        <w:t>广西政府采购云平台</w:t>
      </w:r>
      <w:r>
        <w:rPr>
          <w:rFonts w:hint="eastAsia" w:ascii="宋体" w:hAnsi="宋体"/>
          <w:color w:val="auto"/>
          <w:szCs w:val="21"/>
          <w:highlight w:val="none"/>
        </w:rPr>
        <w:t>电子开标大厅</w:t>
      </w:r>
    </w:p>
    <w:p w14:paraId="2CC787AD">
      <w:pPr>
        <w:pStyle w:val="3"/>
        <w:spacing w:before="0" w:after="0" w:line="320" w:lineRule="exact"/>
        <w:rPr>
          <w:rFonts w:ascii="宋体" w:hAnsi="宋体" w:eastAsia="宋体" w:cs="宋体"/>
          <w:bCs w:val="0"/>
          <w:color w:val="auto"/>
          <w:sz w:val="21"/>
          <w:szCs w:val="21"/>
          <w:highlight w:val="none"/>
        </w:rPr>
      </w:pPr>
      <w:bookmarkStart w:id="46" w:name="_Toc20853"/>
      <w:bookmarkStart w:id="47" w:name="_Toc30919"/>
      <w:bookmarkStart w:id="48" w:name="_Toc27130"/>
      <w:r>
        <w:rPr>
          <w:rFonts w:hint="eastAsia" w:ascii="宋体" w:hAnsi="宋体" w:eastAsia="宋体" w:cs="宋体"/>
          <w:bCs w:val="0"/>
          <w:color w:val="auto"/>
          <w:sz w:val="21"/>
          <w:szCs w:val="21"/>
          <w:highlight w:val="none"/>
        </w:rPr>
        <w:t>五、公告期限</w:t>
      </w:r>
      <w:bookmarkEnd w:id="40"/>
      <w:bookmarkEnd w:id="41"/>
      <w:bookmarkEnd w:id="42"/>
      <w:bookmarkEnd w:id="43"/>
      <w:bookmarkEnd w:id="44"/>
      <w:bookmarkEnd w:id="45"/>
      <w:bookmarkEnd w:id="46"/>
      <w:bookmarkEnd w:id="47"/>
      <w:bookmarkEnd w:id="48"/>
    </w:p>
    <w:p w14:paraId="2BE71095">
      <w:pPr>
        <w:spacing w:line="3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692A4E61">
      <w:pPr>
        <w:pStyle w:val="3"/>
        <w:spacing w:before="0" w:after="0" w:line="320" w:lineRule="exact"/>
        <w:rPr>
          <w:rFonts w:ascii="宋体" w:hAnsi="宋体" w:eastAsia="宋体" w:cs="宋体"/>
          <w:bCs w:val="0"/>
          <w:color w:val="auto"/>
          <w:sz w:val="21"/>
          <w:szCs w:val="21"/>
          <w:highlight w:val="none"/>
        </w:rPr>
      </w:pPr>
      <w:bookmarkStart w:id="49" w:name="_Toc35393626"/>
      <w:bookmarkStart w:id="50" w:name="_Toc35393795"/>
      <w:bookmarkStart w:id="51" w:name="_Toc22774"/>
      <w:bookmarkStart w:id="52" w:name="_Toc14112"/>
      <w:bookmarkStart w:id="53" w:name="_Toc1241"/>
      <w:bookmarkStart w:id="54" w:name="_Toc44405606"/>
      <w:bookmarkStart w:id="55" w:name="_Toc18475"/>
      <w:r>
        <w:rPr>
          <w:rFonts w:hint="eastAsia" w:ascii="宋体" w:hAnsi="宋体" w:eastAsia="宋体" w:cs="宋体"/>
          <w:bCs w:val="0"/>
          <w:color w:val="auto"/>
          <w:sz w:val="21"/>
          <w:szCs w:val="21"/>
          <w:highlight w:val="none"/>
        </w:rPr>
        <w:t>六、其他补充事宜</w:t>
      </w:r>
      <w:bookmarkEnd w:id="49"/>
      <w:bookmarkEnd w:id="50"/>
      <w:bookmarkEnd w:id="51"/>
      <w:bookmarkEnd w:id="52"/>
      <w:bookmarkEnd w:id="53"/>
      <w:bookmarkEnd w:id="54"/>
      <w:bookmarkEnd w:id="55"/>
    </w:p>
    <w:p w14:paraId="6D28B777">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3335AB26">
      <w:pPr>
        <w:spacing w:line="320" w:lineRule="exact"/>
        <w:ind w:left="495"/>
        <w:rPr>
          <w:rFonts w:ascii="宋体" w:hAnsi="宋体" w:cs="宋体"/>
          <w:color w:val="auto"/>
          <w:kern w:val="0"/>
          <w:szCs w:val="21"/>
          <w:highlight w:val="none"/>
        </w:rPr>
      </w:pPr>
      <w:r>
        <w:rPr>
          <w:rFonts w:hint="eastAsia" w:ascii="宋体" w:hAnsi="宋体" w:cs="宋体"/>
          <w:color w:val="auto"/>
          <w:highlight w:val="none"/>
        </w:rPr>
        <w:t>本项目投</w:t>
      </w:r>
      <w:r>
        <w:rPr>
          <w:rFonts w:hint="eastAsia" w:ascii="宋体" w:hAnsi="宋体" w:cs="宋体"/>
          <w:color w:val="auto"/>
          <w:szCs w:val="21"/>
          <w:highlight w:val="none"/>
        </w:rPr>
        <w:t>标保证金：无。</w:t>
      </w:r>
    </w:p>
    <w:p w14:paraId="21853246">
      <w:pPr>
        <w:spacing w:line="320" w:lineRule="exact"/>
        <w:ind w:firstLine="315" w:firstLineChars="150"/>
        <w:rPr>
          <w:rFonts w:ascii="宋体" w:hAnsi="宋体" w:cs="宋体"/>
          <w:color w:val="auto"/>
          <w:kern w:val="0"/>
          <w:szCs w:val="21"/>
          <w:highlight w:val="none"/>
        </w:rPr>
      </w:pPr>
      <w:bookmarkStart w:id="56" w:name="_Hlk37429585"/>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bookmarkStart w:id="57" w:name="_Hlk37429595"/>
      <w:r>
        <w:rPr>
          <w:rFonts w:hint="eastAsia" w:ascii="宋体" w:hAnsi="宋体" w:cs="宋体"/>
          <w:color w:val="auto"/>
          <w:kern w:val="0"/>
          <w:szCs w:val="21"/>
          <w:highlight w:val="none"/>
        </w:rPr>
        <w:t>网上查询地址</w:t>
      </w:r>
    </w:p>
    <w:bookmarkEnd w:id="56"/>
    <w:p w14:paraId="3D3CD0A9">
      <w:pPr>
        <w:spacing w:line="320" w:lineRule="exact"/>
        <w:ind w:left="495"/>
        <w:rPr>
          <w:rFonts w:ascii="宋体" w:hAnsi="宋体" w:cs="宋体"/>
          <w:color w:val="auto"/>
          <w:kern w:val="0"/>
          <w:szCs w:val="21"/>
          <w:highlight w:val="none"/>
        </w:rPr>
      </w:pPr>
      <w:r>
        <w:rPr>
          <w:rFonts w:hint="eastAsia" w:ascii="宋体" w:hAnsi="宋体" w:cs="宋体"/>
          <w:color w:val="auto"/>
          <w:szCs w:val="21"/>
          <w:highlight w:val="none"/>
        </w:rPr>
        <w:t>http：//www.ccgp.gov.cn（中国政府采购网）、http：//</w:t>
      </w:r>
      <w:r>
        <w:rPr>
          <w:color w:val="auto"/>
          <w:highlight w:val="none"/>
        </w:rPr>
        <w:fldChar w:fldCharType="begin"/>
      </w:r>
      <w:r>
        <w:rPr>
          <w:color w:val="auto"/>
          <w:highlight w:val="none"/>
        </w:rPr>
        <w:instrText xml:space="preserve"> HYPERLINK "http://www.gxzfcg.gov.cn" </w:instrText>
      </w:r>
      <w:r>
        <w:rPr>
          <w:color w:val="auto"/>
          <w:highlight w:val="none"/>
        </w:rPr>
        <w:fldChar w:fldCharType="separate"/>
      </w:r>
      <w:r>
        <w:rPr>
          <w:rStyle w:val="63"/>
          <w:rFonts w:hint="eastAsia" w:ascii="宋体" w:hAnsi="宋体" w:cs="宋体"/>
          <w:color w:val="auto"/>
          <w:szCs w:val="21"/>
          <w:highlight w:val="none"/>
        </w:rPr>
        <w:t>zfcg.gxzf.gov.cn/</w:t>
      </w:r>
      <w:r>
        <w:rPr>
          <w:rStyle w:val="63"/>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（广西壮族自治区政府采购网）、http：//zfcg.czj.gxgg.gov.cn/（贵港市政府采购网）、http：//ggzy.jgswj.gxzf.gov.cn/ggggzy/全国公共资源交易平台（广西·贵港）</w:t>
      </w:r>
    </w:p>
    <w:bookmarkEnd w:id="57"/>
    <w:p w14:paraId="407C6616">
      <w:pPr>
        <w:spacing w:line="320" w:lineRule="exact"/>
        <w:ind w:firstLine="315" w:firstLineChars="150"/>
        <w:rPr>
          <w:rFonts w:ascii="宋体" w:hAnsi="宋体" w:cs="宋体"/>
          <w:color w:val="auto"/>
          <w:kern w:val="0"/>
          <w:szCs w:val="21"/>
          <w:highlight w:val="none"/>
        </w:rPr>
      </w:pPr>
      <w:bookmarkStart w:id="58" w:name="_Hlk37429674"/>
      <w:r>
        <w:rPr>
          <w:rFonts w:hint="eastAsia" w:ascii="宋体" w:hAnsi="宋体" w:cs="宋体"/>
          <w:color w:val="auto"/>
          <w:szCs w:val="21"/>
          <w:highlight w:val="none"/>
        </w:rPr>
        <w:t xml:space="preserve">3. </w:t>
      </w:r>
      <w:r>
        <w:rPr>
          <w:rFonts w:hint="eastAsia" w:ascii="宋体" w:hAnsi="宋体" w:cs="宋体"/>
          <w:color w:val="auto"/>
          <w:kern w:val="0"/>
          <w:szCs w:val="21"/>
          <w:highlight w:val="none"/>
        </w:rPr>
        <w:t>本项目需要落实的政府采购政策</w:t>
      </w:r>
    </w:p>
    <w:p w14:paraId="6839B912">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00A3EE0">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4FF7FC63">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bookmarkEnd w:id="58"/>
    </w:p>
    <w:p w14:paraId="588E0015">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4.监督部门</w:t>
      </w:r>
    </w:p>
    <w:p w14:paraId="122E736B">
      <w:pPr>
        <w:widowControl/>
        <w:spacing w:line="360" w:lineRule="auto"/>
        <w:ind w:firstLine="420" w:firstLineChars="200"/>
        <w:jc w:val="left"/>
        <w:rPr>
          <w:rFonts w:ascii="宋体" w:hAnsi="宋体" w:cs="宋体"/>
          <w:color w:val="auto"/>
          <w:kern w:val="0"/>
          <w:szCs w:val="21"/>
          <w:highlight w:val="none"/>
        </w:rPr>
      </w:pPr>
      <w:bookmarkStart w:id="59" w:name="_Toc32606"/>
      <w:bookmarkStart w:id="60" w:name="_Toc28359085"/>
      <w:bookmarkStart w:id="61" w:name="_Toc44405607"/>
      <w:bookmarkStart w:id="62" w:name="_Toc35393796"/>
      <w:bookmarkStart w:id="63" w:name="_Toc35393627"/>
      <w:bookmarkStart w:id="64" w:name="_Toc28359008"/>
      <w:r>
        <w:rPr>
          <w:rFonts w:hint="eastAsia" w:ascii="宋体" w:hAnsi="宋体" w:cs="宋体"/>
          <w:color w:val="auto"/>
          <w:kern w:val="0"/>
          <w:szCs w:val="21"/>
          <w:highlight w:val="none"/>
        </w:rPr>
        <w:t xml:space="preserve">名    称：贵港市财政局政府采购监督管理科 </w:t>
      </w:r>
    </w:p>
    <w:p w14:paraId="19AE6B8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话：0775-4555290、0775-4564649</w:t>
      </w:r>
    </w:p>
    <w:p w14:paraId="6D976F9C">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5.投标人投标注意事项</w:t>
      </w:r>
    </w:p>
    <w:p w14:paraId="38456789">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w:t>
      </w:r>
    </w:p>
    <w:p w14:paraId="3E9DF70F">
      <w:pPr>
        <w:widowControl/>
        <w:spacing w:line="360" w:lineRule="auto"/>
        <w:jc w:val="left"/>
        <w:rPr>
          <w:rFonts w:ascii="宋体" w:hAnsi="宋体"/>
          <w:color w:val="auto"/>
          <w:szCs w:val="21"/>
          <w:highlight w:val="none"/>
        </w:rPr>
      </w:pPr>
      <w:r>
        <w:rPr>
          <w:rFonts w:hint="eastAsia" w:ascii="宋体" w:hAnsi="宋体"/>
          <w:bCs/>
          <w:color w:val="auto"/>
          <w:szCs w:val="21"/>
          <w:highlight w:val="none"/>
        </w:rPr>
        <w:t>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14:paraId="4D6928D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s="宋体"/>
          <w:color w:val="auto"/>
          <w:kern w:val="0"/>
          <w:szCs w:val="21"/>
          <w:highlight w:val="none"/>
        </w:rPr>
        <w:t>或者0771-3381253</w:t>
      </w:r>
      <w:r>
        <w:rPr>
          <w:rFonts w:hint="eastAsia" w:ascii="宋体" w:hAnsi="宋体"/>
          <w:color w:val="auto"/>
          <w:szCs w:val="21"/>
          <w:highlight w:val="none"/>
        </w:rPr>
        <w:t>）。</w:t>
      </w:r>
    </w:p>
    <w:p w14:paraId="1B5AA62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5EE34935">
      <w:pPr>
        <w:spacing w:line="360" w:lineRule="auto"/>
        <w:ind w:firstLine="424" w:firstLineChars="202"/>
        <w:rPr>
          <w:rFonts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168A0119">
      <w:pPr>
        <w:keepNext/>
        <w:keepLines/>
        <w:spacing w:line="320" w:lineRule="exact"/>
        <w:outlineLvl w:val="1"/>
        <w:rPr>
          <w:rFonts w:ascii="宋体" w:hAnsi="宋体" w:cs="宋体"/>
          <w:b/>
          <w:color w:val="auto"/>
          <w:szCs w:val="21"/>
          <w:highlight w:val="none"/>
        </w:rPr>
      </w:pPr>
      <w:bookmarkStart w:id="65" w:name="_Toc27703"/>
      <w:bookmarkStart w:id="66" w:name="_Toc22633"/>
      <w:bookmarkStart w:id="67" w:name="_Toc2497"/>
      <w:r>
        <w:rPr>
          <w:rFonts w:hint="eastAsia" w:ascii="宋体" w:hAnsi="宋体" w:cs="宋体"/>
          <w:b/>
          <w:color w:val="auto"/>
          <w:szCs w:val="21"/>
          <w:highlight w:val="none"/>
        </w:rPr>
        <w:t>七、对本次招标提出询问，请按以下方式联系。</w:t>
      </w:r>
      <w:bookmarkEnd w:id="59"/>
      <w:bookmarkEnd w:id="60"/>
      <w:bookmarkEnd w:id="61"/>
      <w:bookmarkEnd w:id="62"/>
      <w:bookmarkEnd w:id="63"/>
      <w:bookmarkEnd w:id="64"/>
      <w:bookmarkEnd w:id="65"/>
      <w:bookmarkEnd w:id="66"/>
      <w:bookmarkEnd w:id="67"/>
    </w:p>
    <w:p w14:paraId="01436362">
      <w:pPr>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2470F2E">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称：贵港市人民医院　</w:t>
      </w:r>
    </w:p>
    <w:p w14:paraId="65BFF17B">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olor w:val="auto"/>
          <w:szCs w:val="21"/>
          <w:highlight w:val="none"/>
        </w:rPr>
        <w:t>贵港市中山路中山一号</w:t>
      </w:r>
      <w:r>
        <w:rPr>
          <w:rFonts w:hint="eastAsia" w:ascii="宋体" w:hAnsi="宋体" w:cs="宋体"/>
          <w:color w:val="auto"/>
          <w:kern w:val="0"/>
          <w:szCs w:val="21"/>
          <w:highlight w:val="none"/>
        </w:rPr>
        <w:t>　　</w:t>
      </w:r>
    </w:p>
    <w:p w14:paraId="2E22BE12">
      <w:pPr>
        <w:widowControl/>
        <w:ind w:firstLine="210" w:firstLineChars="100"/>
        <w:jc w:val="left"/>
        <w:rPr>
          <w:rFonts w:ascii="宋体" w:hAnsi="宋体" w:cs="宋体"/>
          <w:color w:val="auto"/>
          <w:kern w:val="0"/>
          <w:sz w:val="20"/>
          <w:szCs w:val="20"/>
          <w:highlight w:val="none"/>
        </w:rPr>
      </w:pPr>
      <w:r>
        <w:rPr>
          <w:rFonts w:hint="eastAsia" w:ascii="宋体" w:hAnsi="宋体" w:cs="宋体"/>
          <w:color w:val="auto"/>
          <w:kern w:val="0"/>
          <w:szCs w:val="21"/>
          <w:highlight w:val="none"/>
        </w:rPr>
        <w:t>项目联系人：欧吕平</w:t>
      </w:r>
    </w:p>
    <w:p w14:paraId="6193BA8C">
      <w:pPr>
        <w:widowControl/>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项目联系方式：0775-</w:t>
      </w:r>
      <w:r>
        <w:rPr>
          <w:rFonts w:ascii="宋体" w:hAnsi="宋体" w:cs="宋体"/>
          <w:color w:val="auto"/>
          <w:kern w:val="0"/>
          <w:szCs w:val="21"/>
          <w:highlight w:val="none"/>
        </w:rPr>
        <w:t>4200381</w:t>
      </w:r>
    </w:p>
    <w:p w14:paraId="568A55F9">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9D85799">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称：云之龙咨询集团有限公司　</w:t>
      </w:r>
    </w:p>
    <w:p w14:paraId="4E99ED8D">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址：广西贵港市港北区荷城路 1132 号华泰官邸1栋6楼</w:t>
      </w:r>
    </w:p>
    <w:p w14:paraId="2802D33C">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项目联系人：甘建程、廖喜平</w:t>
      </w:r>
    </w:p>
    <w:p w14:paraId="675B44D3">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项目联系方式：0775-4565100、4569690</w:t>
      </w:r>
    </w:p>
    <w:p w14:paraId="5389A3A8">
      <w:pPr>
        <w:ind w:firstLine="210" w:firstLineChars="100"/>
        <w:rPr>
          <w:rFonts w:ascii="宋体" w:hAnsi="宋体" w:cs="宋体"/>
          <w:color w:val="auto"/>
          <w:kern w:val="0"/>
          <w:szCs w:val="21"/>
          <w:highlight w:val="none"/>
        </w:rPr>
      </w:pPr>
    </w:p>
    <w:p w14:paraId="3D36172C">
      <w:pPr>
        <w:ind w:firstLine="210" w:firstLineChars="100"/>
        <w:rPr>
          <w:rFonts w:ascii="宋体" w:hAnsi="宋体" w:cs="宋体"/>
          <w:color w:val="auto"/>
          <w:kern w:val="0"/>
          <w:szCs w:val="21"/>
          <w:highlight w:val="none"/>
        </w:rPr>
      </w:pPr>
    </w:p>
    <w:p w14:paraId="66660A97">
      <w:pPr>
        <w:ind w:firstLine="210" w:firstLineChars="100"/>
        <w:rPr>
          <w:rFonts w:ascii="宋体" w:hAnsi="宋体" w:cs="宋体"/>
          <w:color w:val="auto"/>
          <w:kern w:val="0"/>
          <w:szCs w:val="21"/>
          <w:highlight w:val="none"/>
        </w:rPr>
      </w:pPr>
    </w:p>
    <w:p w14:paraId="685369BD">
      <w:pPr>
        <w:ind w:firstLine="210" w:firstLineChars="100"/>
        <w:rPr>
          <w:rFonts w:ascii="宋体" w:hAnsi="宋体" w:cs="宋体"/>
          <w:color w:val="auto"/>
          <w:kern w:val="0"/>
          <w:szCs w:val="21"/>
          <w:highlight w:val="none"/>
        </w:rPr>
      </w:pPr>
    </w:p>
    <w:p w14:paraId="55BE15B0">
      <w:pPr>
        <w:jc w:val="right"/>
        <w:rPr>
          <w:rFonts w:ascii="宋体" w:hAnsi="宋体" w:cs="宋体"/>
          <w:color w:val="auto"/>
          <w:szCs w:val="21"/>
          <w:highlight w:val="none"/>
        </w:rPr>
      </w:pPr>
      <w:r>
        <w:rPr>
          <w:rFonts w:hint="eastAsia" w:ascii="宋体" w:hAnsi="宋体" w:cs="宋体"/>
          <w:color w:val="auto"/>
          <w:szCs w:val="21"/>
          <w:highlight w:val="none"/>
        </w:rPr>
        <w:t>云之龙咨询集团有限公司</w:t>
      </w:r>
    </w:p>
    <w:p w14:paraId="36FEBA3C">
      <w:pPr>
        <w:pStyle w:val="32"/>
        <w:jc w:val="center"/>
        <w:rPr>
          <w:rFonts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cs="宋体"/>
          <w:color w:val="auto"/>
          <w:highlight w:val="none"/>
        </w:rPr>
        <w:br w:type="page"/>
      </w:r>
      <w:bookmarkStart w:id="68" w:name="_Toc28963"/>
      <w:r>
        <w:rPr>
          <w:rFonts w:hint="eastAsia" w:ascii="宋体" w:hAnsi="宋体" w:cs="宋体"/>
          <w:b/>
          <w:bCs/>
          <w:color w:val="auto"/>
          <w:sz w:val="32"/>
          <w:szCs w:val="32"/>
          <w:highlight w:val="none"/>
        </w:rPr>
        <w:t>第二章  采购需求</w:t>
      </w:r>
      <w:bookmarkEnd w:id="68"/>
    </w:p>
    <w:p w14:paraId="4D86727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1DD20F66">
      <w:pPr>
        <w:spacing w:line="360" w:lineRule="auto"/>
        <w:ind w:firstLine="420" w:firstLineChars="200"/>
        <w:jc w:val="left"/>
        <w:rPr>
          <w:rFonts w:ascii="宋体" w:hAnsi="宋体"/>
          <w:color w:val="auto"/>
          <w:highlight w:val="none"/>
        </w:rPr>
      </w:pPr>
      <w:r>
        <w:rPr>
          <w:rFonts w:hint="eastAsia" w:ascii="宋体" w:hAnsi="宋体"/>
          <w:color w:val="auto"/>
          <w:highlight w:val="none"/>
        </w:rPr>
        <w:t>1.为落实政府采购政策需满足的要求</w:t>
      </w:r>
    </w:p>
    <w:p w14:paraId="4FC40FE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本招标文件所称中小企业必须符合 《政府采购促进中小企业发展管理办法》（财库〔2020〕46号）的规定。</w:t>
      </w:r>
    </w:p>
    <w:p w14:paraId="4CAECACA">
      <w:pPr>
        <w:spacing w:line="360" w:lineRule="auto"/>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2.“实质性要求”是指招标文件中已经指明不满足则投标无效的条款，或者不能负偏离的条款，或者采购需求中带“▲”的条款。采购需求中带“★”的条款标识表示重要性参数，将作为评分依据。</w:t>
      </w:r>
    </w:p>
    <w:p w14:paraId="2818205B">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283F9DDC">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.投标人应对投标内容所涉及的专利承担法律责任，并负责保护</w:t>
      </w:r>
      <w:r>
        <w:rPr>
          <w:rFonts w:hint="eastAsia" w:ascii="宋体" w:hAnsi="宋体" w:cs="宋体"/>
          <w:color w:val="auto"/>
          <w:szCs w:val="21"/>
          <w:highlight w:val="none"/>
        </w:rPr>
        <w:t>采购人</w:t>
      </w:r>
      <w:r>
        <w:rPr>
          <w:rFonts w:ascii="宋体" w:hAnsi="宋体" w:cs="宋体"/>
          <w:color w:val="auto"/>
          <w:szCs w:val="21"/>
          <w:highlight w:val="none"/>
        </w:rPr>
        <w:t>的利益不受任何损害。一切由于文字、商标、技术和软件专利授权引起的法律裁决、诉讼和赔偿费用均由</w:t>
      </w:r>
      <w:r>
        <w:rPr>
          <w:rFonts w:hint="eastAsia" w:ascii="宋体" w:hAnsi="宋体" w:cs="宋体"/>
          <w:color w:val="auto"/>
          <w:szCs w:val="21"/>
          <w:highlight w:val="none"/>
        </w:rPr>
        <w:t>中标供应商</w:t>
      </w:r>
      <w:r>
        <w:rPr>
          <w:rFonts w:ascii="宋体" w:hAnsi="宋体" w:cs="宋体"/>
          <w:color w:val="auto"/>
          <w:szCs w:val="21"/>
          <w:highlight w:val="none"/>
        </w:rPr>
        <w:t>负责。</w:t>
      </w:r>
    </w:p>
    <w:p w14:paraId="19AC34F3">
      <w:pPr>
        <w:pStyle w:val="19"/>
        <w:spacing w:after="120"/>
        <w:rPr>
          <w:color w:val="auto"/>
          <w:sz w:val="21"/>
          <w:szCs w:val="21"/>
          <w:highlight w:val="none"/>
        </w:rPr>
      </w:pPr>
      <w:r>
        <w:rPr>
          <w:rFonts w:hint="eastAsia" w:ascii="宋体" w:hAnsi="宋体"/>
          <w:bCs/>
          <w:color w:val="auto"/>
          <w:sz w:val="21"/>
          <w:szCs w:val="21"/>
          <w:highlight w:val="none"/>
        </w:rPr>
        <w:t>标项一      采购预算：</w:t>
      </w:r>
      <w:r>
        <w:rPr>
          <w:rFonts w:hint="eastAsia" w:ascii="宋体" w:hAnsi="宋体" w:cs="Arial"/>
          <w:bCs/>
          <w:color w:val="auto"/>
          <w:sz w:val="21"/>
          <w:szCs w:val="21"/>
          <w:highlight w:val="none"/>
          <w:u w:val="single"/>
        </w:rPr>
        <w:t xml:space="preserve">  1485000.00元</w:t>
      </w:r>
    </w:p>
    <w:tbl>
      <w:tblPr>
        <w:tblStyle w:val="5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885"/>
        <w:gridCol w:w="685"/>
        <w:gridCol w:w="215"/>
        <w:gridCol w:w="810"/>
        <w:gridCol w:w="6596"/>
      </w:tblGrid>
      <w:tr w14:paraId="1C62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0" w:type="dxa"/>
            <w:vAlign w:val="center"/>
          </w:tcPr>
          <w:p w14:paraId="6F42670F">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5" w:type="dxa"/>
            <w:vAlign w:val="center"/>
          </w:tcPr>
          <w:p w14:paraId="5938FC9B">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900" w:type="dxa"/>
            <w:gridSpan w:val="2"/>
            <w:vAlign w:val="center"/>
          </w:tcPr>
          <w:p w14:paraId="47D18E33">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数量及</w:t>
            </w:r>
          </w:p>
          <w:p w14:paraId="2C43CCD2">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810" w:type="dxa"/>
            <w:vAlign w:val="center"/>
          </w:tcPr>
          <w:p w14:paraId="3152D984">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c>
          <w:tcPr>
            <w:tcW w:w="6596" w:type="dxa"/>
            <w:vAlign w:val="center"/>
          </w:tcPr>
          <w:p w14:paraId="50D75E4C">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项目需要及技术需求</w:t>
            </w:r>
          </w:p>
        </w:tc>
      </w:tr>
      <w:tr w14:paraId="5EF4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20" w:type="dxa"/>
          </w:tcPr>
          <w:p w14:paraId="25DE9E9B">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885" w:type="dxa"/>
          </w:tcPr>
          <w:p w14:paraId="0F2E828F">
            <w:pPr>
              <w:tabs>
                <w:tab w:val="left" w:pos="180"/>
                <w:tab w:val="left" w:pos="1620"/>
              </w:tabs>
              <w:spacing w:line="360" w:lineRule="auto"/>
              <w:rPr>
                <w:rFonts w:ascii="宋体" w:hAnsi="宋体" w:cs="宋体"/>
                <w:bCs/>
                <w:color w:val="auto"/>
                <w:szCs w:val="21"/>
                <w:highlight w:val="none"/>
              </w:rPr>
            </w:pPr>
            <w:r>
              <w:rPr>
                <w:rFonts w:hint="eastAsia" w:ascii="宋体" w:hAnsi="宋体" w:cs="宋体"/>
                <w:color w:val="auto"/>
                <w:szCs w:val="21"/>
                <w:highlight w:val="none"/>
              </w:rPr>
              <w:t>数字减影血管造影系统（DSA）（型号UNIQFD20全保）3年全保服务</w:t>
            </w:r>
          </w:p>
        </w:tc>
        <w:tc>
          <w:tcPr>
            <w:tcW w:w="900" w:type="dxa"/>
            <w:gridSpan w:val="2"/>
          </w:tcPr>
          <w:p w14:paraId="2C0C229A">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24880B9A">
            <w:pPr>
              <w:pStyle w:val="17"/>
              <w:rPr>
                <w:rFonts w:ascii="宋体" w:hAnsi="宋体" w:cs="宋体"/>
                <w:color w:val="auto"/>
                <w:szCs w:val="21"/>
                <w:highlight w:val="none"/>
              </w:rPr>
            </w:pPr>
            <w:r>
              <w:rPr>
                <w:rFonts w:hint="eastAsia" w:ascii="宋体" w:hAnsi="宋体" w:cs="宋体"/>
                <w:color w:val="auto"/>
                <w:szCs w:val="21"/>
                <w:highlight w:val="none"/>
              </w:rPr>
              <w:t>其他未列明行业</w:t>
            </w:r>
          </w:p>
          <w:p w14:paraId="25B4EBAE">
            <w:pPr>
              <w:pStyle w:val="17"/>
              <w:spacing w:line="360" w:lineRule="auto"/>
              <w:rPr>
                <w:rFonts w:ascii="宋体" w:hAnsi="宋体" w:cs="宋体"/>
                <w:bCs/>
                <w:color w:val="auto"/>
                <w:szCs w:val="21"/>
                <w:highlight w:val="none"/>
              </w:rPr>
            </w:pPr>
          </w:p>
        </w:tc>
        <w:tc>
          <w:tcPr>
            <w:tcW w:w="6596" w:type="dxa"/>
            <w:vAlign w:val="center"/>
          </w:tcPr>
          <w:p w14:paraId="66BDA76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一、项目需求：</w:t>
            </w:r>
          </w:p>
          <w:p w14:paraId="6CE4148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本项目为贵港市人民医院飞利浦UNIQ FD20维修保养服务。服务商（维保单位）必须按国家、行业的标准及招标文件的要求对项目内的设备进行系统的、全面的检测、维护及保养，以保证设备的高效、正常运作。</w:t>
            </w:r>
          </w:p>
          <w:p w14:paraId="139CE01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二、项目概况：</w:t>
            </w:r>
          </w:p>
          <w:p w14:paraId="610A6B2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1、设备名称及型号：</w:t>
            </w:r>
          </w:p>
          <w:p w14:paraId="6969FAB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设备品牌：飞利浦，项目实施点：贵港市人民医院，设备名称：医用血管造影机X射线系统（DSA），设备型号：UNIQ FD20，数量：1台。</w:t>
            </w:r>
          </w:p>
          <w:p w14:paraId="2C1AC46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2、设备目前情况：每个月平均手术量200台，目前球管已曝光50多万秒次。</w:t>
            </w:r>
          </w:p>
          <w:p w14:paraId="1AC97AC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3、保修年限：三年</w:t>
            </w:r>
          </w:p>
          <w:p w14:paraId="2EC6778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4、保修类别：全保</w:t>
            </w:r>
          </w:p>
          <w:p w14:paraId="40803BE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三、服务要求：</w:t>
            </w:r>
          </w:p>
          <w:p w14:paraId="710075C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1、维保合同有效期内提供不限次数人工服务(保修费用含所有人工费、交通费、住宿费、故障诊断费)。</w:t>
            </w:r>
          </w:p>
          <w:p w14:paraId="07189E1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修期内包含球管、平板探测器、准直器、主机等备件更换费用和人工服务费用，享受优先派工。不包含第三方附属产品（如55英寸以上显示器、FlexMove巡航导轨、高压注射器、稳压电源、UPS、激光相机、外配打印机、录像机、视频外设等），更换的旧件由中标人回收。</w:t>
            </w:r>
          </w:p>
          <w:p w14:paraId="1476CC0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69" w:name="OLE_LINK2"/>
            <w:bookmarkStart w:id="70" w:name="OLE_LINK3"/>
            <w:r>
              <w:rPr>
                <w:rFonts w:hint="eastAsia" w:ascii="宋体" w:hAnsi="宋体" w:cs="宋体"/>
                <w:color w:val="auto"/>
                <w:szCs w:val="21"/>
                <w:highlight w:val="none"/>
              </w:rPr>
              <w:t>供应商需提供24小时*365天专人接听客户服务专线。响应时间：接到故障报修电话后，1小时内做出响应；停机情况下，24小时内到达现场进行维修。</w:t>
            </w:r>
          </w:p>
          <w:bookmarkEnd w:id="69"/>
          <w:bookmarkEnd w:id="70"/>
          <w:p w14:paraId="59C37EC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每年度定期校准和保养，更换易损耗件,保障最高的开机率及安全性。具体保养次数：每年4次、每季度一次。保养内容包含：设备内外部精细除尘清洁、性能测试及校准、机械及电气检查、系统情况检查、图像质量检查、硬盘空间统计及检查、球管使用情况检查、图像处理系统检查、通讯检查以及非紧急性质的补救性维护。定期对设备的数据进行备份，确保设备安全平稳高效的运行，使设备保持国家权威质量计监部门标准，保养后提供专业保养的书面报告。</w:t>
            </w:r>
          </w:p>
          <w:p w14:paraId="5238A7C6">
            <w:pPr>
              <w:adjustRightInd w:val="0"/>
              <w:snapToGrid w:val="0"/>
              <w:spacing w:line="360" w:lineRule="auto"/>
              <w:ind w:firstLine="420" w:firstLineChars="200"/>
              <w:rPr>
                <w:rFonts w:ascii="宋体" w:hAnsi="宋体"/>
                <w:color w:val="auto"/>
                <w:sz w:val="22"/>
                <w:highlight w:val="none"/>
              </w:rPr>
            </w:pPr>
            <w:r>
              <w:rPr>
                <w:rFonts w:hint="eastAsia" w:ascii="宋体" w:hAnsi="宋体" w:cs="宋体"/>
                <w:color w:val="auto"/>
                <w:szCs w:val="21"/>
                <w:highlight w:val="none"/>
              </w:rPr>
              <w:t>5、</w:t>
            </w:r>
            <w:r>
              <w:rPr>
                <w:rFonts w:hint="eastAsia" w:ascii="宋体" w:hAnsi="宋体" w:cs="Arial"/>
                <w:color w:val="auto"/>
                <w:sz w:val="22"/>
                <w:highlight w:val="none"/>
              </w:rPr>
              <w:t>保证开机率：</w:t>
            </w: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77524B50">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▲6、更换的零备件必须是原厂备件，每个配件都有独立的序列号，来源合法且可追溯，保证不会对设备质量或图像产生不良影响。如需更换球管必须提供原厂全新球管，供货时提供注册证、报关单等证明材料。</w:t>
            </w:r>
          </w:p>
          <w:p w14:paraId="50A0CB56">
            <w:pPr>
              <w:spacing w:line="460" w:lineRule="exact"/>
              <w:ind w:firstLine="420" w:firstLineChars="200"/>
              <w:jc w:val="left"/>
              <w:rPr>
                <w:rFonts w:ascii="宋体" w:hAnsi="宋体" w:eastAsia="宋体" w:cs="宋体"/>
                <w:color w:val="auto"/>
                <w:szCs w:val="21"/>
                <w:highlight w:val="none"/>
              </w:rPr>
            </w:pPr>
            <w:r>
              <w:rPr>
                <w:rFonts w:hint="eastAsia" w:ascii="宋体" w:hAnsi="宋体" w:cs="宋体"/>
                <w:color w:val="auto"/>
                <w:szCs w:val="21"/>
                <w:highlight w:val="none"/>
              </w:rPr>
              <w:t>7、备件来源要求：重要零配件更换时间不超过48小时，为保障采购人维保设备运行的安全性及可靠性，供应商确保备件安装完毕后达到原厂设备运行标准。保证备件100%供应保障，供应商提供的备件必须合法合</w:t>
            </w:r>
            <w:r>
              <w:rPr>
                <w:rFonts w:hint="eastAsia" w:ascii="宋体" w:hAnsi="宋体" w:eastAsia="宋体" w:cs="宋体"/>
                <w:color w:val="auto"/>
                <w:szCs w:val="21"/>
                <w:highlight w:val="none"/>
              </w:rPr>
              <w:t>规，如因此引起的任何法律纠纷均由供应商承担。</w:t>
            </w:r>
          </w:p>
          <w:p w14:paraId="623F3CF6">
            <w:pPr>
              <w:spacing w:line="4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8、供应商必须具有设备维修涉及的全套专业维修工具。</w:t>
            </w:r>
          </w:p>
          <w:p w14:paraId="52534088">
            <w:pPr>
              <w:spacing w:line="4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9、当设备故障导致停机时，供应商需在响应时间内启动最高优先级维修通道（不计入常规人工次数），以确保开机率达标。</w:t>
            </w:r>
          </w:p>
          <w:p w14:paraId="3D6D60E1">
            <w:pPr>
              <w:spacing w:line="460" w:lineRule="exact"/>
              <w:ind w:firstLine="420" w:firstLineChars="200"/>
              <w:jc w:val="left"/>
              <w:rPr>
                <w:rFonts w:ascii="仿宋_GB2312" w:hAnsi="仿宋_GB2312" w:eastAsia="仿宋_GB2312" w:cs="仿宋_GB2312"/>
                <w:color w:val="auto"/>
                <w:sz w:val="24"/>
                <w:highlight w:val="none"/>
              </w:rPr>
            </w:pPr>
            <w:r>
              <w:rPr>
                <w:rFonts w:hint="eastAsia" w:ascii="宋体" w:hAnsi="宋体" w:eastAsia="宋体" w:cs="宋体"/>
                <w:color w:val="auto"/>
                <w:szCs w:val="21"/>
                <w:highlight w:val="none"/>
              </w:rPr>
              <w:t>10、球管是该维保设备的核心备件，供货时需提供球管的注册证或整机注册证。</w:t>
            </w:r>
          </w:p>
        </w:tc>
      </w:tr>
      <w:tr w14:paraId="71894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644E17F1">
            <w:pPr>
              <w:spacing w:line="360" w:lineRule="auto"/>
              <w:rPr>
                <w:rFonts w:ascii="宋体" w:hAnsi="宋体" w:cs="宋体"/>
                <w:bCs/>
                <w:color w:val="auto"/>
                <w:szCs w:val="21"/>
                <w:highlight w:val="none"/>
              </w:rPr>
            </w:pPr>
            <w:r>
              <w:rPr>
                <w:rFonts w:hint="eastAsia" w:ascii="宋体" w:hAnsi="宋体" w:cs="宋体"/>
                <w:b/>
                <w:color w:val="auto"/>
                <w:szCs w:val="21"/>
                <w:highlight w:val="none"/>
              </w:rPr>
              <w:t>一、商务要求▲</w:t>
            </w:r>
          </w:p>
        </w:tc>
      </w:tr>
      <w:tr w14:paraId="7EF33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50F020F">
            <w:pPr>
              <w:spacing w:line="360" w:lineRule="auto"/>
              <w:rPr>
                <w:rFonts w:ascii="宋体" w:hAnsi="宋体" w:cs="宋体"/>
                <w:b/>
                <w:color w:val="auto"/>
                <w:szCs w:val="21"/>
                <w:highlight w:val="none"/>
              </w:rPr>
            </w:pPr>
            <w:r>
              <w:rPr>
                <w:rFonts w:hint="eastAsia" w:ascii="宋体" w:hAnsi="宋体" w:cs="宋体"/>
                <w:b/>
                <w:color w:val="auto"/>
                <w:szCs w:val="21"/>
                <w:highlight w:val="none"/>
              </w:rPr>
              <w:t>实施的期限和地点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FC23589">
            <w:pPr>
              <w:spacing w:line="360" w:lineRule="auto"/>
              <w:rPr>
                <w:rFonts w:ascii="宋体" w:hAnsi="宋体" w:cs="宋体"/>
                <w:b/>
                <w:color w:val="auto"/>
                <w:szCs w:val="21"/>
                <w:highlight w:val="none"/>
              </w:rPr>
            </w:pPr>
            <w:r>
              <w:rPr>
                <w:rFonts w:hint="eastAsia" w:ascii="宋体" w:hAnsi="宋体" w:cs="宋体"/>
                <w:b/>
                <w:color w:val="auto"/>
                <w:szCs w:val="21"/>
                <w:highlight w:val="none"/>
              </w:rPr>
              <w:t>1、实施的期限：三年。</w:t>
            </w:r>
          </w:p>
          <w:p w14:paraId="14089FAE">
            <w:pPr>
              <w:spacing w:line="360" w:lineRule="auto"/>
              <w:rPr>
                <w:rFonts w:ascii="宋体" w:hAnsi="宋体" w:cs="宋体"/>
                <w:b/>
                <w:color w:val="auto"/>
                <w:szCs w:val="21"/>
                <w:highlight w:val="none"/>
              </w:rPr>
            </w:pPr>
            <w:r>
              <w:rPr>
                <w:rFonts w:hint="eastAsia" w:ascii="宋体" w:hAnsi="宋体" w:cs="宋体"/>
                <w:b/>
                <w:color w:val="auto"/>
                <w:szCs w:val="21"/>
                <w:highlight w:val="none"/>
              </w:rPr>
              <w:t>2、实施的地点：广西贵港市范围内采购人指定地点。</w:t>
            </w:r>
          </w:p>
        </w:tc>
      </w:tr>
      <w:tr w14:paraId="0515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A424275">
            <w:pPr>
              <w:spacing w:line="360" w:lineRule="auto"/>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5E907F79">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自中标通知书发出之日起 </w:t>
            </w:r>
            <w:r>
              <w:rPr>
                <w:rFonts w:hint="eastAsia" w:ascii="宋体" w:hAnsi="宋体" w:cs="宋体"/>
                <w:b/>
                <w:color w:val="auto"/>
                <w:szCs w:val="21"/>
                <w:highlight w:val="none"/>
                <w:u w:val="single"/>
              </w:rPr>
              <w:t xml:space="preserve">  25 </w:t>
            </w:r>
            <w:r>
              <w:rPr>
                <w:rFonts w:hint="eastAsia" w:ascii="宋体" w:hAnsi="宋体" w:cs="宋体"/>
                <w:b/>
                <w:color w:val="auto"/>
                <w:szCs w:val="21"/>
                <w:highlight w:val="none"/>
              </w:rPr>
              <w:t>日内</w:t>
            </w:r>
          </w:p>
        </w:tc>
      </w:tr>
      <w:tr w14:paraId="7D2DE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2A20AC84">
            <w:pPr>
              <w:spacing w:line="360" w:lineRule="auto"/>
              <w:rPr>
                <w:rFonts w:ascii="宋体" w:hAnsi="宋体" w:cs="宋体"/>
                <w:b/>
                <w:color w:val="auto"/>
                <w:szCs w:val="21"/>
                <w:highlight w:val="none"/>
              </w:rPr>
            </w:pPr>
            <w:r>
              <w:rPr>
                <w:rFonts w:hint="eastAsia" w:ascii="宋体" w:hAnsi="宋体" w:cs="宋体"/>
                <w:b/>
                <w:color w:val="auto"/>
                <w:szCs w:val="21"/>
                <w:highlight w:val="none"/>
              </w:rPr>
              <w:t>付款条件（进度和方式）</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CD916F3">
            <w:pPr>
              <w:spacing w:line="380" w:lineRule="exact"/>
              <w:rPr>
                <w:rFonts w:ascii="宋体" w:hAnsi="宋体" w:cs="宋体"/>
                <w:color w:val="auto"/>
                <w:szCs w:val="21"/>
                <w:highlight w:val="none"/>
              </w:rPr>
            </w:pPr>
            <w:r>
              <w:rPr>
                <w:rFonts w:hint="eastAsia" w:ascii="宋体" w:hAnsi="宋体" w:cs="宋体"/>
                <w:color w:val="auto"/>
                <w:szCs w:val="21"/>
                <w:highlight w:val="none"/>
              </w:rPr>
              <w:t>本项目分年度安排预算，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乙方维保期有违约行为，每出现一次则延期一个月支付上一期货款，如医院因不可控原因提前结束维保服务，则按实际维保时间产生的费用结算，具体维保费用以成交金额与合同总天数折算，金额有小数点的部分以四舍五入换算，且双方应签订合同终止协议。每次付款前，乙方需提供该支付金额的请款函和相关考核材料。</w:t>
            </w:r>
          </w:p>
        </w:tc>
      </w:tr>
      <w:tr w14:paraId="1DE5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EA25519">
            <w:pPr>
              <w:spacing w:line="360" w:lineRule="auto"/>
              <w:rPr>
                <w:rFonts w:ascii="宋体" w:hAnsi="宋体" w:cs="宋体"/>
                <w:b/>
                <w:color w:val="auto"/>
                <w:szCs w:val="21"/>
                <w:highlight w:val="none"/>
              </w:rPr>
            </w:pPr>
            <w:r>
              <w:rPr>
                <w:rFonts w:hint="eastAsia" w:ascii="宋体" w:hAnsi="宋体" w:cs="宋体"/>
                <w:b/>
                <w:color w:val="auto"/>
                <w:szCs w:val="21"/>
                <w:highlight w:val="none"/>
              </w:rPr>
              <w:t>售后技术服务要求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3C93103">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1、中标人在实施期限内应严格按照投标文件承诺做好项目售后服务，由此产生的一切费用由中标人负责。 </w:t>
            </w:r>
          </w:p>
          <w:p w14:paraId="62B16B95">
            <w:pPr>
              <w:spacing w:line="360" w:lineRule="auto"/>
              <w:rPr>
                <w:rFonts w:ascii="宋体" w:hAnsi="宋体" w:cs="宋体"/>
                <w:b/>
                <w:color w:val="auto"/>
                <w:szCs w:val="21"/>
                <w:highlight w:val="none"/>
              </w:rPr>
            </w:pPr>
            <w:r>
              <w:rPr>
                <w:rFonts w:hint="eastAsia" w:ascii="宋体" w:hAnsi="宋体" w:cs="宋体"/>
                <w:b/>
                <w:color w:val="auto"/>
                <w:szCs w:val="21"/>
                <w:highlight w:val="none"/>
              </w:rPr>
              <w:t>2、处理问题响应时间：接到采购人处理问题通知后 24 小时内到达采购人指定现场。</w:t>
            </w:r>
          </w:p>
          <w:p w14:paraId="3760F56A">
            <w:pPr>
              <w:spacing w:line="360" w:lineRule="auto"/>
              <w:rPr>
                <w:rFonts w:ascii="宋体" w:hAnsi="宋体" w:cs="宋体"/>
                <w:b/>
                <w:color w:val="auto"/>
                <w:szCs w:val="21"/>
                <w:highlight w:val="none"/>
              </w:rPr>
            </w:pPr>
            <w:r>
              <w:rPr>
                <w:rFonts w:hint="eastAsia" w:ascii="宋体" w:hAnsi="宋体" w:cs="宋体"/>
                <w:b/>
                <w:color w:val="auto"/>
                <w:szCs w:val="21"/>
                <w:highlight w:val="none"/>
              </w:rPr>
              <w:t>3、中标人必须配合采购人完成整体项目的验收。</w:t>
            </w:r>
          </w:p>
        </w:tc>
      </w:tr>
      <w:tr w14:paraId="4B543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542CC00">
            <w:pPr>
              <w:spacing w:line="360" w:lineRule="exact"/>
              <w:rPr>
                <w:rFonts w:ascii="宋体" w:hAnsi="宋体" w:cs="宋体"/>
                <w:b/>
                <w:color w:val="auto"/>
                <w:szCs w:val="21"/>
                <w:highlight w:val="none"/>
              </w:rPr>
            </w:pPr>
            <w:r>
              <w:rPr>
                <w:rFonts w:hint="eastAsia" w:ascii="宋体" w:hAnsi="宋体" w:cs="宋体"/>
                <w:b/>
                <w:color w:val="auto"/>
                <w:szCs w:val="21"/>
                <w:highlight w:val="none"/>
              </w:rPr>
              <w:t>验收标准及要求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85855E3">
            <w:pPr>
              <w:spacing w:line="360" w:lineRule="exact"/>
              <w:rPr>
                <w:rFonts w:ascii="宋体" w:hAnsi="宋体" w:cs="宋体"/>
                <w:b/>
                <w:color w:val="auto"/>
                <w:szCs w:val="21"/>
                <w:highlight w:val="none"/>
              </w:rPr>
            </w:pPr>
            <w:r>
              <w:rPr>
                <w:rFonts w:hint="eastAsia" w:ascii="宋体" w:hAnsi="宋体" w:cs="宋体"/>
                <w:b/>
                <w:color w:val="auto"/>
                <w:szCs w:val="21"/>
                <w:highlight w:val="none"/>
              </w:rPr>
              <w:t>1.中标供应商向采购人提供的所有涉及成果资料必须符合国家、广西、贵港市的最新规范及要求。</w:t>
            </w:r>
          </w:p>
          <w:p w14:paraId="393989C2">
            <w:pPr>
              <w:spacing w:line="360" w:lineRule="exact"/>
              <w:rPr>
                <w:rFonts w:ascii="宋体" w:hAnsi="宋体" w:cs="宋体"/>
                <w:b/>
                <w:color w:val="auto"/>
                <w:szCs w:val="21"/>
                <w:highlight w:val="none"/>
              </w:rPr>
            </w:pPr>
            <w:r>
              <w:rPr>
                <w:rFonts w:hint="eastAsia" w:ascii="宋体" w:hAnsi="宋体" w:cs="宋体"/>
                <w:b/>
                <w:color w:val="auto"/>
                <w:szCs w:val="21"/>
                <w:highlight w:val="none"/>
              </w:rPr>
              <w:t>2.验收过程中所产生的一切费用均由中标人承担。报价时应考虑相关费用。</w:t>
            </w:r>
          </w:p>
          <w:p w14:paraId="42D405BE">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3.采购人根据工作实际所需环节组织验收，中标人必须到场配合，验收合格后双方签署验收合格凭证。</w:t>
            </w:r>
          </w:p>
          <w:p w14:paraId="2C93D719">
            <w:pPr>
              <w:spacing w:line="360" w:lineRule="auto"/>
              <w:rPr>
                <w:rFonts w:ascii="宋体" w:hAnsi="宋体" w:cs="宋体"/>
                <w:b/>
                <w:color w:val="auto"/>
                <w:szCs w:val="21"/>
                <w:highlight w:val="none"/>
              </w:rPr>
            </w:pPr>
            <w:r>
              <w:rPr>
                <w:rFonts w:hint="eastAsia" w:ascii="宋体" w:hAnsi="宋体" w:cs="宋体"/>
                <w:b/>
                <w:color w:val="auto"/>
                <w:szCs w:val="21"/>
                <w:highlight w:val="none"/>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44425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42250B7">
            <w:pPr>
              <w:spacing w:line="360" w:lineRule="auto"/>
              <w:rPr>
                <w:rFonts w:ascii="宋体" w:hAnsi="宋体" w:cs="宋体"/>
                <w:bCs/>
                <w:color w:val="auto"/>
                <w:szCs w:val="21"/>
                <w:highlight w:val="none"/>
              </w:rPr>
            </w:pPr>
            <w:r>
              <w:rPr>
                <w:rFonts w:hint="eastAsia" w:ascii="宋体" w:hAnsi="宋体" w:cs="宋体"/>
                <w:b/>
                <w:color w:val="auto"/>
                <w:szCs w:val="21"/>
                <w:highlight w:val="none"/>
              </w:rPr>
              <w:t>二、与实现项目目标相关的其他要求</w:t>
            </w:r>
          </w:p>
        </w:tc>
      </w:tr>
      <w:tr w14:paraId="1C03B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61B3926">
            <w:pPr>
              <w:spacing w:line="360" w:lineRule="auto"/>
              <w:rPr>
                <w:rFonts w:ascii="宋体" w:hAnsi="宋体" w:cs="宋体"/>
                <w:bCs/>
                <w:color w:val="auto"/>
                <w:szCs w:val="21"/>
                <w:highlight w:val="none"/>
              </w:rPr>
            </w:pPr>
            <w:r>
              <w:rPr>
                <w:rFonts w:hint="eastAsia" w:ascii="宋体" w:hAnsi="宋体" w:cs="宋体"/>
                <w:b/>
                <w:color w:val="auto"/>
                <w:szCs w:val="21"/>
                <w:highlight w:val="none"/>
              </w:rPr>
              <w:t>（一）投标人的履约能力要求</w:t>
            </w:r>
          </w:p>
        </w:tc>
      </w:tr>
      <w:tr w14:paraId="5172A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0F61EFC">
            <w:pPr>
              <w:spacing w:line="360" w:lineRule="exact"/>
              <w:rPr>
                <w:rFonts w:ascii="宋体" w:hAnsi="宋体" w:cs="宋体"/>
                <w:bCs/>
                <w:color w:val="auto"/>
                <w:szCs w:val="21"/>
                <w:highlight w:val="none"/>
              </w:rPr>
            </w:pPr>
            <w:r>
              <w:rPr>
                <w:rFonts w:hint="eastAsia" w:ascii="宋体" w:hAnsi="宋体" w:cs="宋体"/>
                <w:color w:val="auto"/>
                <w:szCs w:val="21"/>
                <w:highlight w:val="none"/>
              </w:rPr>
              <w:t>政策性加分条件</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8B2B84E">
            <w:pPr>
              <w:spacing w:line="360" w:lineRule="exact"/>
              <w:rPr>
                <w:rFonts w:ascii="宋体" w:hAnsi="宋体" w:cs="宋体"/>
                <w:bCs/>
                <w:color w:val="auto"/>
                <w:szCs w:val="21"/>
                <w:highlight w:val="none"/>
              </w:rPr>
            </w:pPr>
            <w:r>
              <w:rPr>
                <w:rFonts w:hint="eastAsia" w:ascii="宋体" w:hAnsi="宋体" w:cs="宋体"/>
                <w:color w:val="auto"/>
                <w:szCs w:val="21"/>
                <w:highlight w:val="none"/>
              </w:rPr>
              <w:t>见本采购文件第四章“评标方法及评标标准”。</w:t>
            </w:r>
          </w:p>
        </w:tc>
      </w:tr>
      <w:tr w14:paraId="2661E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639A8AF4">
            <w:pPr>
              <w:spacing w:line="360" w:lineRule="exact"/>
              <w:rPr>
                <w:rFonts w:ascii="宋体" w:hAnsi="宋体" w:cs="宋体"/>
                <w:bCs/>
                <w:color w:val="auto"/>
                <w:szCs w:val="21"/>
                <w:highlight w:val="none"/>
              </w:rPr>
            </w:pPr>
            <w:r>
              <w:rPr>
                <w:rFonts w:hint="eastAsia" w:ascii="宋体" w:hAnsi="宋体" w:cs="宋体"/>
                <w:color w:val="auto"/>
                <w:szCs w:val="21"/>
                <w:highlight w:val="none"/>
              </w:rPr>
              <w:t>质量管理体系要求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4A8BDB7">
            <w:pPr>
              <w:spacing w:line="360" w:lineRule="exact"/>
              <w:rPr>
                <w:rFonts w:ascii="宋体" w:hAnsi="宋体" w:cs="宋体"/>
                <w:bCs/>
                <w:color w:val="auto"/>
                <w:szCs w:val="21"/>
                <w:highlight w:val="none"/>
              </w:rPr>
            </w:pPr>
            <w:r>
              <w:rPr>
                <w:rFonts w:hint="eastAsia" w:ascii="宋体" w:hAnsi="宋体" w:cs="宋体"/>
                <w:color w:val="auto"/>
                <w:szCs w:val="21"/>
                <w:highlight w:val="none"/>
              </w:rPr>
              <w:t>如有，请于投标文件中自行提供。</w:t>
            </w:r>
          </w:p>
        </w:tc>
      </w:tr>
      <w:tr w14:paraId="6290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6001CC1D">
            <w:pPr>
              <w:spacing w:line="360" w:lineRule="exact"/>
              <w:rPr>
                <w:rFonts w:ascii="宋体" w:hAnsi="宋体" w:cs="宋体"/>
                <w:bCs/>
                <w:color w:val="auto"/>
                <w:szCs w:val="21"/>
                <w:highlight w:val="none"/>
              </w:rPr>
            </w:pPr>
            <w:r>
              <w:rPr>
                <w:rFonts w:hint="eastAsia" w:ascii="宋体" w:hAnsi="宋体" w:cs="宋体"/>
                <w:color w:val="auto"/>
                <w:szCs w:val="21"/>
                <w:highlight w:val="none"/>
              </w:rPr>
              <w:t>业绩要求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7C9F85C7">
            <w:pPr>
              <w:spacing w:line="360" w:lineRule="exact"/>
              <w:rPr>
                <w:rFonts w:ascii="宋体" w:hAnsi="宋体" w:cs="宋体"/>
                <w:bCs/>
                <w:color w:val="auto"/>
                <w:szCs w:val="21"/>
                <w:highlight w:val="none"/>
              </w:rPr>
            </w:pPr>
            <w:r>
              <w:rPr>
                <w:rFonts w:hint="eastAsia" w:ascii="宋体" w:hAnsi="宋体" w:cs="宋体"/>
                <w:color w:val="auto"/>
                <w:szCs w:val="21"/>
                <w:highlight w:val="none"/>
              </w:rPr>
              <w:t>如有，请于投标文件中自行提供。</w:t>
            </w:r>
          </w:p>
        </w:tc>
      </w:tr>
      <w:tr w14:paraId="6612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16B7E227">
            <w:pPr>
              <w:spacing w:line="360" w:lineRule="auto"/>
              <w:rPr>
                <w:rFonts w:ascii="宋体" w:hAnsi="宋体" w:cs="宋体"/>
                <w:color w:val="auto"/>
                <w:szCs w:val="21"/>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其他要求：投标人在投标文件中必须提供针对本项目的技术方案（可包括但不限于维保实施方案、故障响应处理方案、备品备件方案、拟投入技术力量方案、综合管理服务质量保证措施等内容）。</w:t>
            </w:r>
          </w:p>
        </w:tc>
      </w:tr>
      <w:tr w14:paraId="1B64C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FEE8597">
            <w:pPr>
              <w:spacing w:line="360" w:lineRule="auto"/>
              <w:rPr>
                <w:rFonts w:ascii="宋体" w:hAnsi="宋体" w:cs="宋体"/>
                <w:bCs/>
                <w:color w:val="auto"/>
                <w:szCs w:val="21"/>
                <w:highlight w:val="none"/>
              </w:rPr>
            </w:pPr>
            <w:r>
              <w:rPr>
                <w:rFonts w:hint="eastAsia" w:ascii="宋体" w:hAnsi="宋体" w:cs="宋体"/>
                <w:b/>
                <w:color w:val="auto"/>
                <w:szCs w:val="21"/>
                <w:highlight w:val="none"/>
              </w:rPr>
              <w:t>（三）项目情况说明：2025年6月30日飞利浦DSA UNIQ设备（设备编号：21-1561）出现曝光时设备间高压柜出现异响故障。经过专业人员检修发现设备的高压电缆、高压油箱严重打火，同时也检查出该设备存在球管小焦点老化，系统有报错信息的情况。为了保证设备的正常运行，目前采购人借用维保公司的高压电缆和高压油箱进行更换维修。该机原维保服务到期时间为2025年5月15日，目前设备属于出保状态，供应商维保价格需要包含该机因本次维修所更换的高压电缆和高压油箱配件费用或者供应商中标后一个月内以同样品质替换高压电缆和高压油箱。针对设备存在球管小焦点老化系统有报错信息的情况，供应商中标后一个月内有可能需要更换全新的球管。</w:t>
            </w:r>
          </w:p>
        </w:tc>
      </w:tr>
      <w:tr w14:paraId="154C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74AD237">
            <w:pPr>
              <w:spacing w:line="360" w:lineRule="auto"/>
              <w:rPr>
                <w:rFonts w:ascii="宋体" w:hAnsi="宋体" w:eastAsia="仿宋_GB2312" w:cs="宋体"/>
                <w:b/>
                <w:color w:val="auto"/>
                <w:szCs w:val="21"/>
                <w:highlight w:val="none"/>
              </w:rPr>
            </w:pPr>
            <w:r>
              <w:rPr>
                <w:rFonts w:hint="eastAsia" w:ascii="宋体" w:hAnsi="宋体" w:eastAsia="宋体" w:cs="宋体"/>
                <w:b/>
                <w:bCs/>
                <w:color w:val="auto"/>
                <w:szCs w:val="21"/>
                <w:highlight w:val="none"/>
              </w:rPr>
              <w:t>（四）回收要求：中标供应商回收球管仅可用于原厂故障分析或材料提炼，禁止用于再制造或流入二手市场，要求中标供应商或中标供应商聘请负责处置球管的单位具有危险废物处置相关资质，更换球管时核验资质，如有违反上诉规定所产生的一切后果均由中标供应商负责。投标文件中提供承诺函并加盖供应商公章。</w:t>
            </w:r>
          </w:p>
        </w:tc>
      </w:tr>
    </w:tbl>
    <w:p w14:paraId="380026D2">
      <w:pPr>
        <w:pStyle w:val="128"/>
        <w:rPr>
          <w:color w:val="auto"/>
          <w:highlight w:val="none"/>
        </w:rPr>
      </w:pPr>
    </w:p>
    <w:p w14:paraId="0F7C5744">
      <w:pPr>
        <w:pStyle w:val="128"/>
        <w:rPr>
          <w:color w:val="auto"/>
          <w:highlight w:val="none"/>
        </w:rPr>
      </w:pPr>
    </w:p>
    <w:p w14:paraId="4BF5D45E">
      <w:pPr>
        <w:pStyle w:val="128"/>
        <w:rPr>
          <w:color w:val="auto"/>
          <w:highlight w:val="none"/>
        </w:rPr>
      </w:pPr>
    </w:p>
    <w:p w14:paraId="5F84149F">
      <w:pPr>
        <w:pStyle w:val="128"/>
        <w:rPr>
          <w:color w:val="auto"/>
          <w:highlight w:val="none"/>
        </w:rPr>
      </w:pPr>
    </w:p>
    <w:p w14:paraId="39DDA698">
      <w:pPr>
        <w:pStyle w:val="128"/>
        <w:rPr>
          <w:color w:val="auto"/>
          <w:highlight w:val="none"/>
        </w:rPr>
      </w:pPr>
    </w:p>
    <w:p w14:paraId="065D5FE8">
      <w:pPr>
        <w:pStyle w:val="128"/>
        <w:rPr>
          <w:color w:val="auto"/>
          <w:highlight w:val="none"/>
        </w:rPr>
      </w:pPr>
    </w:p>
    <w:p w14:paraId="7F9B3A0D">
      <w:pPr>
        <w:pStyle w:val="128"/>
        <w:rPr>
          <w:color w:val="auto"/>
          <w:highlight w:val="none"/>
        </w:rPr>
      </w:pPr>
    </w:p>
    <w:p w14:paraId="2B90AF71">
      <w:pPr>
        <w:pStyle w:val="128"/>
        <w:rPr>
          <w:color w:val="auto"/>
          <w:highlight w:val="none"/>
        </w:rPr>
      </w:pPr>
    </w:p>
    <w:p w14:paraId="795EF932">
      <w:pPr>
        <w:pStyle w:val="128"/>
        <w:rPr>
          <w:color w:val="auto"/>
          <w:highlight w:val="none"/>
        </w:rPr>
      </w:pPr>
    </w:p>
    <w:p w14:paraId="7F5A9C7F">
      <w:pPr>
        <w:pStyle w:val="128"/>
        <w:rPr>
          <w:color w:val="auto"/>
          <w:highlight w:val="none"/>
        </w:rPr>
      </w:pPr>
    </w:p>
    <w:p w14:paraId="47ABEF86">
      <w:pPr>
        <w:pStyle w:val="128"/>
        <w:rPr>
          <w:color w:val="auto"/>
          <w:highlight w:val="none"/>
        </w:rPr>
      </w:pPr>
    </w:p>
    <w:p w14:paraId="07878F47">
      <w:pPr>
        <w:pStyle w:val="128"/>
        <w:rPr>
          <w:color w:val="auto"/>
          <w:highlight w:val="none"/>
        </w:rPr>
      </w:pPr>
    </w:p>
    <w:p w14:paraId="671F3F85">
      <w:pPr>
        <w:pStyle w:val="128"/>
        <w:rPr>
          <w:color w:val="auto"/>
          <w:highlight w:val="none"/>
        </w:rPr>
      </w:pPr>
    </w:p>
    <w:p w14:paraId="1D0FA0AD">
      <w:pPr>
        <w:pStyle w:val="128"/>
        <w:rPr>
          <w:color w:val="auto"/>
          <w:highlight w:val="none"/>
        </w:rPr>
      </w:pPr>
    </w:p>
    <w:p w14:paraId="64DE08E2">
      <w:pPr>
        <w:pStyle w:val="128"/>
        <w:rPr>
          <w:color w:val="auto"/>
          <w:highlight w:val="none"/>
        </w:rPr>
      </w:pPr>
    </w:p>
    <w:p w14:paraId="5CB9E55A">
      <w:pPr>
        <w:pStyle w:val="128"/>
        <w:rPr>
          <w:color w:val="auto"/>
          <w:highlight w:val="none"/>
        </w:rPr>
      </w:pPr>
    </w:p>
    <w:p w14:paraId="713347F9">
      <w:pPr>
        <w:pStyle w:val="128"/>
        <w:rPr>
          <w:color w:val="auto"/>
          <w:highlight w:val="none"/>
        </w:rPr>
      </w:pPr>
    </w:p>
    <w:p w14:paraId="335CA601">
      <w:pPr>
        <w:pStyle w:val="128"/>
        <w:rPr>
          <w:color w:val="auto"/>
          <w:highlight w:val="none"/>
        </w:rPr>
      </w:pPr>
    </w:p>
    <w:p w14:paraId="294A7CC1">
      <w:pPr>
        <w:pStyle w:val="128"/>
        <w:rPr>
          <w:color w:val="auto"/>
          <w:highlight w:val="none"/>
        </w:rPr>
      </w:pPr>
    </w:p>
    <w:p w14:paraId="71088343">
      <w:pPr>
        <w:pStyle w:val="128"/>
        <w:rPr>
          <w:color w:val="auto"/>
          <w:highlight w:val="none"/>
        </w:rPr>
      </w:pPr>
    </w:p>
    <w:p w14:paraId="37ABC7DB">
      <w:pPr>
        <w:pStyle w:val="128"/>
        <w:rPr>
          <w:color w:val="auto"/>
          <w:highlight w:val="none"/>
        </w:rPr>
      </w:pPr>
    </w:p>
    <w:p w14:paraId="3C1FED51">
      <w:pPr>
        <w:pStyle w:val="128"/>
        <w:rPr>
          <w:color w:val="auto"/>
          <w:highlight w:val="none"/>
        </w:rPr>
      </w:pPr>
    </w:p>
    <w:p w14:paraId="68C48EE0">
      <w:pPr>
        <w:pStyle w:val="128"/>
        <w:rPr>
          <w:color w:val="auto"/>
          <w:highlight w:val="none"/>
        </w:rPr>
      </w:pPr>
    </w:p>
    <w:p w14:paraId="41D3CDC9">
      <w:pPr>
        <w:pStyle w:val="128"/>
        <w:rPr>
          <w:color w:val="auto"/>
          <w:highlight w:val="none"/>
        </w:rPr>
      </w:pPr>
    </w:p>
    <w:p w14:paraId="11514274">
      <w:pPr>
        <w:pStyle w:val="128"/>
        <w:rPr>
          <w:color w:val="auto"/>
          <w:highlight w:val="none"/>
        </w:rPr>
      </w:pPr>
    </w:p>
    <w:p w14:paraId="7FF15435">
      <w:pPr>
        <w:pStyle w:val="19"/>
        <w:spacing w:after="120"/>
        <w:rPr>
          <w:color w:val="auto"/>
          <w:highlight w:val="none"/>
        </w:rPr>
      </w:pPr>
      <w:r>
        <w:rPr>
          <w:rFonts w:hint="eastAsia" w:ascii="宋体" w:hAnsi="宋体"/>
          <w:bCs/>
          <w:color w:val="auto"/>
          <w:szCs w:val="21"/>
          <w:highlight w:val="none"/>
        </w:rPr>
        <w:t>标项二      采购预算：</w:t>
      </w:r>
      <w:r>
        <w:rPr>
          <w:rFonts w:hint="eastAsia" w:ascii="宋体" w:hAnsi="宋体" w:cs="Arial"/>
          <w:bCs/>
          <w:color w:val="auto"/>
          <w:szCs w:val="21"/>
          <w:highlight w:val="none"/>
          <w:u w:val="single"/>
        </w:rPr>
        <w:t xml:space="preserve">  6600000.00元</w:t>
      </w:r>
    </w:p>
    <w:tbl>
      <w:tblPr>
        <w:tblStyle w:val="5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885"/>
        <w:gridCol w:w="685"/>
        <w:gridCol w:w="215"/>
        <w:gridCol w:w="810"/>
        <w:gridCol w:w="6596"/>
      </w:tblGrid>
      <w:tr w14:paraId="54AA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0" w:type="dxa"/>
            <w:vAlign w:val="center"/>
          </w:tcPr>
          <w:p w14:paraId="333017C3">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5" w:type="dxa"/>
            <w:vAlign w:val="center"/>
          </w:tcPr>
          <w:p w14:paraId="2C11F71E">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900" w:type="dxa"/>
            <w:gridSpan w:val="2"/>
            <w:vAlign w:val="center"/>
          </w:tcPr>
          <w:p w14:paraId="72DEE17F">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数量及</w:t>
            </w:r>
          </w:p>
          <w:p w14:paraId="7DB95CE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810" w:type="dxa"/>
            <w:vAlign w:val="center"/>
          </w:tcPr>
          <w:p w14:paraId="19AA74C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c>
          <w:tcPr>
            <w:tcW w:w="6596" w:type="dxa"/>
            <w:vAlign w:val="center"/>
          </w:tcPr>
          <w:p w14:paraId="1329D1D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项目需要及技术需求</w:t>
            </w:r>
          </w:p>
        </w:tc>
      </w:tr>
      <w:tr w14:paraId="237C4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420" w:type="dxa"/>
          </w:tcPr>
          <w:p w14:paraId="1DA955E7">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885" w:type="dxa"/>
          </w:tcPr>
          <w:p w14:paraId="7242966C">
            <w:pPr>
              <w:tabs>
                <w:tab w:val="left" w:pos="180"/>
                <w:tab w:val="left" w:pos="1620"/>
              </w:tabs>
              <w:spacing w:line="360" w:lineRule="auto"/>
              <w:rPr>
                <w:rFonts w:ascii="宋体" w:hAnsi="宋体" w:cs="宋体"/>
                <w:bCs/>
                <w:color w:val="auto"/>
                <w:szCs w:val="21"/>
                <w:highlight w:val="none"/>
              </w:rPr>
            </w:pPr>
            <w:r>
              <w:rPr>
                <w:rFonts w:hint="eastAsia" w:ascii="宋体" w:hAnsi="宋体"/>
                <w:color w:val="auto"/>
                <w:sz w:val="22"/>
                <w:szCs w:val="22"/>
                <w:highlight w:val="none"/>
              </w:rPr>
              <w:t>西门子DSA维保服务</w:t>
            </w:r>
          </w:p>
        </w:tc>
        <w:tc>
          <w:tcPr>
            <w:tcW w:w="900" w:type="dxa"/>
            <w:gridSpan w:val="2"/>
          </w:tcPr>
          <w:p w14:paraId="1FA864E8">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3B263293">
            <w:pPr>
              <w:pStyle w:val="17"/>
              <w:rPr>
                <w:color w:val="auto"/>
                <w:highlight w:val="none"/>
              </w:rPr>
            </w:pPr>
            <w:r>
              <w:rPr>
                <w:rFonts w:hint="eastAsia"/>
                <w:color w:val="auto"/>
                <w:highlight w:val="none"/>
              </w:rPr>
              <w:t>其他未列明行业</w:t>
            </w:r>
          </w:p>
          <w:p w14:paraId="240F4DE1">
            <w:pPr>
              <w:pStyle w:val="17"/>
              <w:spacing w:line="360" w:lineRule="auto"/>
              <w:rPr>
                <w:rFonts w:ascii="宋体" w:hAnsi="宋体" w:cs="宋体"/>
                <w:bCs/>
                <w:color w:val="auto"/>
                <w:szCs w:val="21"/>
                <w:highlight w:val="none"/>
              </w:rPr>
            </w:pPr>
          </w:p>
        </w:tc>
        <w:tc>
          <w:tcPr>
            <w:tcW w:w="6596" w:type="dxa"/>
            <w:vAlign w:val="center"/>
          </w:tcPr>
          <w:p w14:paraId="700C5C43">
            <w:pPr>
              <w:autoSpaceDE w:val="0"/>
              <w:autoSpaceDN w:val="0"/>
              <w:adjustRightInd w:val="0"/>
              <w:ind w:right="-20"/>
              <w:rPr>
                <w:rFonts w:ascii="宋体" w:hAnsi="宋体" w:cs="Arial"/>
                <w:color w:val="auto"/>
                <w:sz w:val="22"/>
                <w:highlight w:val="none"/>
              </w:rPr>
            </w:pPr>
            <w:r>
              <w:rPr>
                <w:rFonts w:hint="eastAsia" w:ascii="宋体" w:hAnsi="宋体"/>
                <w:color w:val="auto"/>
                <w:sz w:val="22"/>
                <w:szCs w:val="22"/>
                <w:highlight w:val="none"/>
              </w:rPr>
              <w:t>设备型号：</w:t>
            </w:r>
            <w:r>
              <w:rPr>
                <w:rFonts w:ascii="宋体" w:hAnsi="宋体"/>
                <w:color w:val="auto"/>
                <w:sz w:val="22"/>
                <w:szCs w:val="22"/>
                <w:highlight w:val="none"/>
              </w:rPr>
              <w:t>ARTIS pheno</w:t>
            </w:r>
            <w:r>
              <w:rPr>
                <w:rFonts w:hint="eastAsia" w:ascii="宋体" w:hAnsi="宋体"/>
                <w:color w:val="auto"/>
                <w:sz w:val="22"/>
                <w:szCs w:val="22"/>
                <w:highlight w:val="none"/>
              </w:rPr>
              <w:t>，序列号：</w:t>
            </w:r>
            <w:r>
              <w:rPr>
                <w:rFonts w:ascii="宋体" w:hAnsi="宋体"/>
                <w:color w:val="auto"/>
                <w:sz w:val="22"/>
                <w:szCs w:val="22"/>
                <w:highlight w:val="none"/>
              </w:rPr>
              <w:t>164798</w:t>
            </w:r>
          </w:p>
          <w:p w14:paraId="75A03C70">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1、维修工时：</w:t>
            </w:r>
            <w:r>
              <w:rPr>
                <w:rFonts w:hint="eastAsia" w:ascii="宋体" w:hAnsi="宋体"/>
                <w:color w:val="auto"/>
                <w:sz w:val="22"/>
                <w:highlight w:val="none"/>
              </w:rPr>
              <w:t>包含保修合同期内所需的一切人工费用、差旅费用，享受优先派工的权利，节假日加班包含在报价费用中</w:t>
            </w:r>
            <w:r>
              <w:rPr>
                <w:rFonts w:hint="eastAsia" w:ascii="宋体" w:hAnsi="宋体" w:cs="Arial"/>
                <w:bCs/>
                <w:color w:val="auto"/>
                <w:sz w:val="22"/>
                <w:highlight w:val="none"/>
                <w:lang w:val="en-GB"/>
              </w:rPr>
              <w:t>。</w:t>
            </w:r>
          </w:p>
          <w:p w14:paraId="402D32B7">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2、安全检查：安全检查将按照厂家标准及当地规定执行，在每次设备保养时，具体包括：</w:t>
            </w:r>
          </w:p>
          <w:p w14:paraId="3783488B">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制定检查计划</w:t>
            </w:r>
          </w:p>
          <w:p w14:paraId="34A7CDBB">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机械安全检查</w:t>
            </w:r>
          </w:p>
          <w:p w14:paraId="3E5D19DA">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电气安全检查</w:t>
            </w:r>
          </w:p>
          <w:p w14:paraId="50D26211">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记录检查结果</w:t>
            </w:r>
          </w:p>
          <w:p w14:paraId="5DA63467">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出具安全检测报告</w:t>
            </w:r>
          </w:p>
          <w:p w14:paraId="57278789">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3、质量保证：通过以下任务和工作以保证设备质量达到厂家颁布的质量标准。</w:t>
            </w:r>
          </w:p>
          <w:p w14:paraId="06F5281B">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制定检查计划</w:t>
            </w:r>
          </w:p>
          <w:p w14:paraId="5A64C5B0">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图像质量（效果）检查</w:t>
            </w:r>
          </w:p>
          <w:p w14:paraId="6B8EFAB5">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评判参数结果</w:t>
            </w:r>
          </w:p>
          <w:p w14:paraId="5D5A970D">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调整</w:t>
            </w:r>
            <w:r>
              <w:rPr>
                <w:rFonts w:ascii="宋体" w:hAnsi="宋体" w:cs="Arial"/>
                <w:color w:val="auto"/>
                <w:sz w:val="22"/>
                <w:highlight w:val="none"/>
              </w:rPr>
              <w:t>/</w:t>
            </w:r>
            <w:r>
              <w:rPr>
                <w:rFonts w:hint="eastAsia" w:ascii="宋体" w:hAnsi="宋体" w:cs="Arial"/>
                <w:color w:val="auto"/>
                <w:sz w:val="22"/>
                <w:highlight w:val="none"/>
              </w:rPr>
              <w:t>校准</w:t>
            </w:r>
          </w:p>
          <w:p w14:paraId="2464B762">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记录检查结果</w:t>
            </w:r>
          </w:p>
          <w:p w14:paraId="5405EBB9">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4、安全升级：按照建议及要求提供软件安全升级，以提高设备的安全性和性能。</w:t>
            </w:r>
          </w:p>
          <w:p w14:paraId="5D8DB936">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持续监控设备是否需要升级</w:t>
            </w:r>
          </w:p>
          <w:p w14:paraId="3E4F6B2E">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提供安全性升级</w:t>
            </w:r>
          </w:p>
          <w:p w14:paraId="54787ACD">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提供建议性升级</w:t>
            </w:r>
          </w:p>
          <w:p w14:paraId="38B82A86">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记录升级程序</w:t>
            </w:r>
          </w:p>
          <w:p w14:paraId="0BA52B1B">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5、技术电话支持</w:t>
            </w:r>
          </w:p>
          <w:p w14:paraId="5BC6BEF7">
            <w:pPr>
              <w:autoSpaceDE w:val="0"/>
              <w:autoSpaceDN w:val="0"/>
              <w:adjustRightInd w:val="0"/>
              <w:spacing w:line="340" w:lineRule="exact"/>
              <w:rPr>
                <w:rFonts w:ascii="宋体" w:hAnsi="宋体" w:cs="Arial"/>
                <w:color w:val="auto"/>
                <w:sz w:val="22"/>
                <w:highlight w:val="none"/>
              </w:rPr>
            </w:pPr>
            <w:r>
              <w:rPr>
                <w:rFonts w:hint="eastAsia" w:ascii="宋体" w:hAnsi="宋体" w:cs="Arial"/>
                <w:color w:val="auto"/>
                <w:sz w:val="22"/>
                <w:highlight w:val="none"/>
              </w:rPr>
              <w:t>全国范围内热线电话，由供应商设备运行保障中心提供快速诊断和支持服务：</w:t>
            </w:r>
          </w:p>
          <w:p w14:paraId="58D60903">
            <w:pPr>
              <w:autoSpaceDE w:val="0"/>
              <w:autoSpaceDN w:val="0"/>
              <w:adjustRightInd w:val="0"/>
              <w:spacing w:line="340" w:lineRule="exact"/>
              <w:rPr>
                <w:rFonts w:ascii="宋体" w:hAnsi="宋体" w:cs="Arial"/>
                <w:color w:val="auto"/>
                <w:sz w:val="22"/>
                <w:highlight w:val="none"/>
              </w:rPr>
            </w:pPr>
            <w:r>
              <w:rPr>
                <w:rFonts w:hint="eastAsia" w:ascii="宋体" w:hAnsi="宋体" w:cs="Arial"/>
                <w:color w:val="auto"/>
                <w:sz w:val="22"/>
                <w:highlight w:val="none"/>
              </w:rPr>
              <w:t>技术电话支持</w:t>
            </w:r>
            <w:r>
              <w:rPr>
                <w:rFonts w:ascii="宋体" w:hAnsi="宋体" w:cs="Arial"/>
                <w:color w:val="auto"/>
                <w:sz w:val="22"/>
                <w:highlight w:val="none"/>
              </w:rPr>
              <w:t>(24X7)</w:t>
            </w:r>
            <w:r>
              <w:rPr>
                <w:rFonts w:hint="eastAsia" w:ascii="宋体" w:hAnsi="宋体" w:cs="Arial"/>
                <w:color w:val="auto"/>
                <w:sz w:val="22"/>
                <w:highlight w:val="none"/>
              </w:rPr>
              <w:t>，周一至周日，每天</w:t>
            </w:r>
            <w:r>
              <w:rPr>
                <w:rFonts w:ascii="宋体" w:hAnsi="宋体" w:cs="Arial"/>
                <w:color w:val="auto"/>
                <w:sz w:val="22"/>
                <w:highlight w:val="none"/>
              </w:rPr>
              <w:t>24</w:t>
            </w:r>
            <w:r>
              <w:rPr>
                <w:rFonts w:hint="eastAsia" w:ascii="宋体" w:hAnsi="宋体" w:cs="Arial"/>
                <w:color w:val="auto"/>
                <w:sz w:val="22"/>
                <w:highlight w:val="none"/>
              </w:rPr>
              <w:t>小时；</w:t>
            </w:r>
          </w:p>
          <w:p w14:paraId="68E289A5">
            <w:pPr>
              <w:spacing w:line="440" w:lineRule="exact"/>
              <w:rPr>
                <w:rFonts w:ascii="宋体" w:hAnsi="宋体"/>
                <w:color w:val="auto"/>
                <w:sz w:val="22"/>
                <w:highlight w:val="none"/>
              </w:rPr>
            </w:pPr>
            <w:r>
              <w:rPr>
                <w:rFonts w:hint="eastAsia" w:ascii="宋体" w:hAnsi="宋体" w:cs="Arial"/>
                <w:color w:val="auto"/>
                <w:sz w:val="22"/>
                <w:highlight w:val="none"/>
              </w:rPr>
              <w:t>6、预防性保养：</w:t>
            </w:r>
            <w:r>
              <w:rPr>
                <w:rFonts w:ascii="宋体" w:hAnsi="宋体" w:cs="Arial"/>
                <w:color w:val="auto"/>
                <w:sz w:val="22"/>
                <w:highlight w:val="none"/>
                <w:lang w:val="en-GB"/>
              </w:rPr>
              <w:t>每合同年度</w:t>
            </w:r>
            <w:r>
              <w:rPr>
                <w:rFonts w:hint="eastAsia" w:ascii="宋体" w:hAnsi="宋体" w:cs="Arial"/>
                <w:color w:val="auto"/>
                <w:sz w:val="22"/>
                <w:highlight w:val="none"/>
                <w:lang w:val="en-GB"/>
              </w:rPr>
              <w:t>内两次</w:t>
            </w:r>
            <w:r>
              <w:rPr>
                <w:rFonts w:hint="eastAsia" w:ascii="宋体" w:hAnsi="宋体" w:cs="Arial"/>
                <w:color w:val="auto"/>
                <w:sz w:val="22"/>
                <w:highlight w:val="none"/>
              </w:rPr>
              <w:t>，</w:t>
            </w:r>
            <w:r>
              <w:rPr>
                <w:rFonts w:hint="eastAsia" w:ascii="宋体" w:hAnsi="宋体"/>
                <w:color w:val="auto"/>
                <w:sz w:val="22"/>
                <w:highlight w:val="none"/>
              </w:rPr>
              <w:t>按照原厂手册保养计划提供保养服务，</w:t>
            </w:r>
            <w:r>
              <w:rPr>
                <w:rFonts w:hint="eastAsia" w:ascii="宋体" w:hAnsi="宋体" w:cs="Arial"/>
                <w:color w:val="auto"/>
                <w:sz w:val="22"/>
                <w:highlight w:val="none"/>
              </w:rPr>
              <w:t>以保证设备处于最佳运行状态，包括：</w:t>
            </w:r>
          </w:p>
          <w:p w14:paraId="45E19877">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记录并安排保养时间</w:t>
            </w:r>
          </w:p>
          <w:p w14:paraId="5A0A51BC">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保养计划更换损耗部件</w:t>
            </w:r>
          </w:p>
          <w:p w14:paraId="019E28C1">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检测</w:t>
            </w:r>
          </w:p>
          <w:p w14:paraId="7395017D">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按照厂家标准进行调校</w:t>
            </w:r>
          </w:p>
          <w:p w14:paraId="52E29517">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确认各项技术指标及性能</w:t>
            </w:r>
          </w:p>
          <w:p w14:paraId="6033EC4C">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记录设备状况</w:t>
            </w:r>
          </w:p>
          <w:p w14:paraId="2554CD0B">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提供设备原厂保养内容清单。</w:t>
            </w:r>
          </w:p>
          <w:p w14:paraId="63713EB6">
            <w:pPr>
              <w:autoSpaceDE w:val="0"/>
              <w:autoSpaceDN w:val="0"/>
              <w:adjustRightInd w:val="0"/>
              <w:ind w:right="-20"/>
              <w:rPr>
                <w:rFonts w:ascii="宋体" w:hAnsi="宋体" w:cs="Arial"/>
                <w:color w:val="auto"/>
                <w:sz w:val="22"/>
                <w:highlight w:val="none"/>
              </w:rPr>
            </w:pPr>
            <w:r>
              <w:rPr>
                <w:rFonts w:ascii="宋体" w:hAnsi="宋体" w:cs="Arial"/>
                <w:color w:val="auto"/>
                <w:sz w:val="22"/>
                <w:highlight w:val="none"/>
              </w:rPr>
              <w:t>7</w:t>
            </w:r>
            <w:r>
              <w:rPr>
                <w:rFonts w:hint="eastAsia" w:ascii="宋体" w:hAnsi="宋体" w:cs="Arial"/>
                <w:color w:val="auto"/>
                <w:sz w:val="22"/>
                <w:highlight w:val="none"/>
              </w:rPr>
              <w:t>、预防性保养损耗品：预防性保养中需更换的损耗品由供应商提供（费用包含在投标报价中）。</w:t>
            </w:r>
          </w:p>
          <w:p w14:paraId="5BAE21CC">
            <w:pPr>
              <w:autoSpaceDE w:val="0"/>
              <w:autoSpaceDN w:val="0"/>
              <w:adjustRightInd w:val="0"/>
              <w:ind w:right="-20"/>
              <w:rPr>
                <w:rFonts w:ascii="宋体" w:hAnsi="宋体" w:cs="Arial"/>
                <w:b/>
                <w:bCs/>
                <w:color w:val="auto"/>
                <w:sz w:val="22"/>
                <w:highlight w:val="none"/>
              </w:rPr>
            </w:pPr>
            <w:r>
              <w:rPr>
                <w:rFonts w:hint="eastAsia" w:ascii="宋体" w:hAnsi="宋体"/>
                <w:b/>
                <w:bCs/>
                <w:color w:val="auto"/>
                <w:sz w:val="22"/>
                <w:highlight w:val="none"/>
              </w:rPr>
              <w:t>▲</w:t>
            </w:r>
            <w:r>
              <w:rPr>
                <w:rFonts w:hint="eastAsia" w:ascii="宋体" w:hAnsi="宋体" w:cs="Arial"/>
                <w:b/>
                <w:bCs/>
                <w:color w:val="auto"/>
                <w:sz w:val="22"/>
                <w:highlight w:val="none"/>
              </w:rPr>
              <w:t>8、包含常规备件（包含球管、高压油箱、平板探测器、KUKA机械臂、后处理工作站在内等整机备件，球管一有焦点损坏立即更换）</w:t>
            </w:r>
            <w:r>
              <w:rPr>
                <w:rFonts w:ascii="宋体" w:hAnsi="宋体" w:cs="Arial"/>
                <w:b/>
                <w:bCs/>
                <w:color w:val="auto"/>
                <w:sz w:val="22"/>
                <w:highlight w:val="none"/>
              </w:rPr>
              <w:t>:</w:t>
            </w:r>
          </w:p>
          <w:p w14:paraId="05601956">
            <w:pPr>
              <w:autoSpaceDE w:val="0"/>
              <w:autoSpaceDN w:val="0"/>
              <w:adjustRightInd w:val="0"/>
              <w:ind w:right="-20"/>
              <w:rPr>
                <w:rFonts w:ascii="宋体" w:hAnsi="宋体" w:cs="Arial"/>
                <w:b/>
                <w:bCs/>
                <w:color w:val="auto"/>
                <w:sz w:val="22"/>
                <w:highlight w:val="none"/>
              </w:rPr>
            </w:pPr>
            <w:r>
              <w:rPr>
                <w:rFonts w:hint="eastAsia" w:ascii="宋体" w:hAnsi="宋体" w:cs="Arial"/>
                <w:b/>
                <w:bCs/>
                <w:color w:val="auto"/>
                <w:sz w:val="22"/>
                <w:highlight w:val="none"/>
              </w:rPr>
              <w:t>维修设备时更换问题部件，并负责备件的运输，具体包括：</w:t>
            </w:r>
          </w:p>
          <w:p w14:paraId="29252AB0">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1)</w:t>
            </w:r>
            <w:r>
              <w:rPr>
                <w:rFonts w:hint="eastAsia" w:ascii="宋体" w:hAnsi="宋体" w:cs="Arial"/>
                <w:b/>
                <w:bCs/>
                <w:color w:val="auto"/>
                <w:sz w:val="22"/>
                <w:highlight w:val="none"/>
              </w:rPr>
              <w:t>提供保修所需的备件（第三方的产品除外），备件供应要及时、充足。</w:t>
            </w:r>
          </w:p>
          <w:p w14:paraId="249B5339">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2)</w:t>
            </w:r>
            <w:r>
              <w:rPr>
                <w:rFonts w:hint="eastAsia" w:ascii="宋体" w:hAnsi="宋体" w:cs="Arial"/>
                <w:b/>
                <w:bCs/>
                <w:color w:val="auto"/>
                <w:sz w:val="22"/>
                <w:highlight w:val="none"/>
              </w:rPr>
              <w:t>备件必须是原厂提供的未拆封原装备件。</w:t>
            </w:r>
          </w:p>
          <w:p w14:paraId="364E95AE">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3)</w:t>
            </w:r>
            <w:r>
              <w:rPr>
                <w:rFonts w:hint="eastAsia" w:ascii="宋体" w:hAnsi="宋体" w:cs="Arial"/>
                <w:b/>
                <w:bCs/>
                <w:color w:val="auto"/>
                <w:sz w:val="22"/>
                <w:highlight w:val="none"/>
              </w:rPr>
              <w:t>优先运送零配件，负责回收备件旧件。</w:t>
            </w:r>
          </w:p>
          <w:p w14:paraId="0925D264">
            <w:pPr>
              <w:widowControl/>
              <w:tabs>
                <w:tab w:val="left" w:pos="720"/>
              </w:tabs>
              <w:ind w:left="720" w:hanging="360"/>
              <w:jc w:val="left"/>
              <w:rPr>
                <w:rFonts w:ascii="宋体" w:hAnsi="宋体" w:cs="Arial"/>
                <w:b/>
                <w:bCs/>
                <w:color w:val="auto"/>
                <w:sz w:val="22"/>
                <w:highlight w:val="none"/>
              </w:rPr>
            </w:pPr>
            <w:r>
              <w:rPr>
                <w:rFonts w:ascii="宋体" w:hAnsi="宋体" w:cs="Arial"/>
                <w:b/>
                <w:bCs/>
                <w:color w:val="auto"/>
                <w:sz w:val="22"/>
                <w:highlight w:val="none"/>
              </w:rPr>
              <w:t>4)</w:t>
            </w:r>
            <w:r>
              <w:rPr>
                <w:rFonts w:hint="eastAsia" w:ascii="宋体" w:hAnsi="宋体" w:cs="Arial"/>
                <w:b/>
                <w:bCs/>
                <w:color w:val="auto"/>
                <w:sz w:val="22"/>
                <w:highlight w:val="none"/>
              </w:rPr>
              <w:t>每次更换球管时供应商必须提供球管对应的球管证书、出厂检验报告、报关单材料等，保证球管为原厂全新并确保可溯源。</w:t>
            </w:r>
          </w:p>
          <w:p w14:paraId="0C3A04FE">
            <w:pPr>
              <w:adjustRightInd w:val="0"/>
              <w:snapToGrid w:val="0"/>
              <w:spacing w:line="360" w:lineRule="auto"/>
              <w:ind w:firstLine="440" w:firstLineChars="200"/>
              <w:rPr>
                <w:rFonts w:ascii="宋体" w:hAnsi="宋体"/>
                <w:color w:val="auto"/>
                <w:sz w:val="22"/>
                <w:highlight w:val="none"/>
              </w:rPr>
            </w:pPr>
            <w:r>
              <w:rPr>
                <w:rFonts w:ascii="宋体" w:hAnsi="宋体" w:cs="Arial"/>
                <w:color w:val="auto"/>
                <w:sz w:val="22"/>
                <w:highlight w:val="none"/>
              </w:rPr>
              <w:t>9</w:t>
            </w:r>
            <w:r>
              <w:rPr>
                <w:rFonts w:hint="eastAsia" w:ascii="宋体" w:hAnsi="宋体" w:cs="Arial"/>
                <w:color w:val="auto"/>
                <w:sz w:val="22"/>
                <w:highlight w:val="none"/>
              </w:rPr>
              <w:t>、保证开机率：</w:t>
            </w: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563408A9">
            <w:pPr>
              <w:rPr>
                <w:rFonts w:ascii="宋体" w:hAnsi="宋体"/>
                <w:color w:val="auto"/>
                <w:sz w:val="22"/>
                <w:highlight w:val="none"/>
              </w:rPr>
            </w:pPr>
            <w:r>
              <w:rPr>
                <w:rFonts w:hint="eastAsia" w:ascii="宋体" w:hAnsi="宋体" w:cs="Arial"/>
                <w:color w:val="auto"/>
                <w:sz w:val="22"/>
                <w:highlight w:val="none"/>
              </w:rPr>
              <w:t>1</w:t>
            </w:r>
            <w:r>
              <w:rPr>
                <w:rFonts w:ascii="宋体" w:hAnsi="宋体" w:cs="Arial"/>
                <w:color w:val="auto"/>
                <w:sz w:val="22"/>
                <w:highlight w:val="none"/>
              </w:rPr>
              <w:t>0</w:t>
            </w:r>
            <w:r>
              <w:rPr>
                <w:rFonts w:hint="eastAsia" w:ascii="宋体" w:hAnsi="宋体" w:cs="Arial"/>
                <w:color w:val="auto"/>
                <w:sz w:val="22"/>
                <w:highlight w:val="none"/>
              </w:rPr>
              <w:t>、远程服务：</w:t>
            </w:r>
            <w:r>
              <w:rPr>
                <w:rFonts w:hint="eastAsia" w:ascii="宋体" w:hAnsi="宋体"/>
                <w:color w:val="auto"/>
                <w:sz w:val="22"/>
                <w:highlight w:val="none"/>
              </w:rPr>
              <w:t>提供基于设备嵌入式远程连接方案的实时远程服务，以保证维修的及时性。高级诊断：投标人必须在整个合同期内都能合法获得原厂高级故障诊断软件的诊断维修钥匙（service key），并保证不违反国家有关知识产权的法律规定，</w:t>
            </w:r>
            <w:r>
              <w:rPr>
                <w:rFonts w:hint="eastAsia" w:ascii="宋体" w:hAnsi="宋体"/>
                <w:b/>
                <w:bCs/>
                <w:color w:val="auto"/>
                <w:sz w:val="22"/>
                <w:highlight w:val="none"/>
              </w:rPr>
              <w:t>并在投标文件中做出相应书面承诺。</w:t>
            </w:r>
          </w:p>
          <w:p w14:paraId="660CE36C">
            <w:pPr>
              <w:rPr>
                <w:rFonts w:ascii="宋体" w:hAnsi="宋体" w:cs="Arial"/>
                <w:color w:val="auto"/>
                <w:sz w:val="22"/>
                <w:highlight w:val="none"/>
              </w:rPr>
            </w:pPr>
            <w:r>
              <w:rPr>
                <w:rFonts w:hint="eastAsia" w:ascii="宋体" w:hAnsi="宋体" w:cs="Arial"/>
                <w:color w:val="auto"/>
                <w:sz w:val="22"/>
                <w:highlight w:val="none"/>
              </w:rPr>
              <w:t>1</w:t>
            </w:r>
            <w:r>
              <w:rPr>
                <w:rFonts w:ascii="宋体" w:hAnsi="宋体" w:cs="Arial"/>
                <w:color w:val="auto"/>
                <w:sz w:val="22"/>
                <w:highlight w:val="none"/>
              </w:rPr>
              <w:t>1</w:t>
            </w:r>
            <w:r>
              <w:rPr>
                <w:rFonts w:hint="eastAsia" w:ascii="宋体" w:hAnsi="宋体" w:cs="Arial"/>
                <w:color w:val="auto"/>
                <w:sz w:val="22"/>
                <w:highlight w:val="none"/>
              </w:rPr>
              <w:t>、应用培训：</w:t>
            </w:r>
            <w:r>
              <w:rPr>
                <w:rFonts w:hint="eastAsia" w:ascii="宋体" w:hAnsi="宋体"/>
                <w:color w:val="auto"/>
                <w:sz w:val="22"/>
                <w:highlight w:val="none"/>
              </w:rPr>
              <w:t>签订合同后中标供应商为采购人提供每年一次现场临床应用培训（每次不超8小时），且培训人员应具有原厂的培训资质证明。</w:t>
            </w:r>
          </w:p>
          <w:p w14:paraId="17F40BCE">
            <w:pPr>
              <w:spacing w:line="360" w:lineRule="auto"/>
              <w:jc w:val="left"/>
              <w:rPr>
                <w:rFonts w:ascii="宋体" w:hAnsi="宋体" w:eastAsia="宋体" w:cs="宋体"/>
                <w:color w:val="auto"/>
                <w:szCs w:val="21"/>
                <w:highlight w:val="none"/>
              </w:rPr>
            </w:pPr>
            <w:r>
              <w:rPr>
                <w:rFonts w:hint="eastAsia" w:ascii="宋体" w:hAnsi="宋体" w:cs="Arial"/>
                <w:color w:val="auto"/>
                <w:sz w:val="22"/>
                <w:szCs w:val="22"/>
                <w:highlight w:val="none"/>
              </w:rPr>
              <w:t>12、应急</w:t>
            </w:r>
            <w:r>
              <w:rPr>
                <w:rFonts w:hint="eastAsia" w:ascii="宋体" w:hAnsi="宋体" w:eastAsia="宋体" w:cs="宋体"/>
                <w:color w:val="auto"/>
                <w:szCs w:val="21"/>
                <w:highlight w:val="none"/>
              </w:rPr>
              <w:t>维修：包含西门子DSA设备此前应急维修产生的备件及人工维修费用。</w:t>
            </w:r>
          </w:p>
          <w:p w14:paraId="58A4397A">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13、当设备故障导致停机时，供应商需在响应时间内启动最高优先级维修通道（不计入常规人工次数），以确保开机率达标。</w:t>
            </w:r>
          </w:p>
          <w:p w14:paraId="0B187F3B">
            <w:pPr>
              <w:spacing w:line="360" w:lineRule="auto"/>
              <w:jc w:val="left"/>
              <w:rPr>
                <w:rFonts w:ascii="仿宋_GB2312" w:hAnsi="仿宋_GB2312" w:eastAsia="仿宋_GB2312" w:cs="仿宋_GB2312"/>
                <w:color w:val="auto"/>
                <w:sz w:val="24"/>
                <w:highlight w:val="none"/>
              </w:rPr>
            </w:pPr>
            <w:r>
              <w:rPr>
                <w:rFonts w:hint="eastAsia" w:ascii="宋体" w:hAnsi="宋体" w:eastAsia="宋体" w:cs="宋体"/>
                <w:color w:val="auto"/>
                <w:szCs w:val="21"/>
                <w:highlight w:val="none"/>
              </w:rPr>
              <w:t>14、球管是该维保设备的核心备件，供货时需提供球管的注册证或整机注册证。</w:t>
            </w:r>
          </w:p>
        </w:tc>
      </w:tr>
      <w:tr w14:paraId="6372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420" w:type="dxa"/>
          </w:tcPr>
          <w:p w14:paraId="4F26E13C">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p>
        </w:tc>
        <w:tc>
          <w:tcPr>
            <w:tcW w:w="885" w:type="dxa"/>
          </w:tcPr>
          <w:p w14:paraId="1F9CE265">
            <w:pPr>
              <w:tabs>
                <w:tab w:val="left" w:pos="180"/>
                <w:tab w:val="left" w:pos="1620"/>
              </w:tabs>
              <w:spacing w:line="360" w:lineRule="auto"/>
              <w:rPr>
                <w:rFonts w:ascii="宋体" w:hAnsi="宋体"/>
                <w:color w:val="auto"/>
                <w:sz w:val="22"/>
                <w:szCs w:val="22"/>
                <w:highlight w:val="none"/>
              </w:rPr>
            </w:pPr>
            <w:r>
              <w:rPr>
                <w:rFonts w:hint="eastAsia" w:ascii="宋体" w:hAnsi="宋体"/>
                <w:color w:val="auto"/>
                <w:sz w:val="22"/>
                <w:szCs w:val="22"/>
                <w:highlight w:val="none"/>
              </w:rPr>
              <w:t>4台西门子磁共振维保服务</w:t>
            </w:r>
          </w:p>
        </w:tc>
        <w:tc>
          <w:tcPr>
            <w:tcW w:w="900" w:type="dxa"/>
            <w:gridSpan w:val="2"/>
          </w:tcPr>
          <w:p w14:paraId="3E0A4B24">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7CB2061E">
            <w:pPr>
              <w:pStyle w:val="17"/>
              <w:rPr>
                <w:color w:val="auto"/>
                <w:highlight w:val="none"/>
              </w:rPr>
            </w:pPr>
            <w:r>
              <w:rPr>
                <w:rFonts w:hint="eastAsia"/>
                <w:color w:val="auto"/>
                <w:highlight w:val="none"/>
              </w:rPr>
              <w:t>其他未列明行业</w:t>
            </w:r>
          </w:p>
          <w:p w14:paraId="771AF0A9">
            <w:pPr>
              <w:pStyle w:val="17"/>
              <w:spacing w:line="360" w:lineRule="auto"/>
              <w:rPr>
                <w:rFonts w:ascii="宋体" w:hAnsi="宋体" w:cs="宋体"/>
                <w:bCs/>
                <w:color w:val="auto"/>
                <w:szCs w:val="21"/>
                <w:highlight w:val="none"/>
              </w:rPr>
            </w:pPr>
          </w:p>
        </w:tc>
        <w:tc>
          <w:tcPr>
            <w:tcW w:w="6596" w:type="dxa"/>
            <w:vAlign w:val="center"/>
          </w:tcPr>
          <w:p w14:paraId="423BAB25">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设备1型号：</w:t>
            </w:r>
            <w:r>
              <w:rPr>
                <w:rFonts w:ascii="宋体" w:hAnsi="宋体"/>
                <w:color w:val="auto"/>
                <w:sz w:val="22"/>
                <w:szCs w:val="22"/>
                <w:highlight w:val="none"/>
              </w:rPr>
              <w:t>MAGNETOM Avanto Dot</w:t>
            </w:r>
            <w:r>
              <w:rPr>
                <w:rFonts w:hint="eastAsia" w:ascii="宋体" w:hAnsi="宋体"/>
                <w:color w:val="auto"/>
                <w:sz w:val="22"/>
                <w:szCs w:val="22"/>
                <w:highlight w:val="none"/>
              </w:rPr>
              <w:t>，序列号：</w:t>
            </w:r>
            <w:r>
              <w:rPr>
                <w:rFonts w:ascii="宋体" w:hAnsi="宋体"/>
                <w:color w:val="auto"/>
                <w:sz w:val="22"/>
                <w:szCs w:val="22"/>
                <w:highlight w:val="none"/>
              </w:rPr>
              <w:t>59161</w:t>
            </w:r>
            <w:r>
              <w:rPr>
                <w:rFonts w:hint="eastAsia" w:ascii="宋体" w:hAnsi="宋体"/>
                <w:color w:val="auto"/>
                <w:sz w:val="22"/>
                <w:szCs w:val="22"/>
                <w:highlight w:val="none"/>
              </w:rPr>
              <w:t>；</w:t>
            </w:r>
          </w:p>
          <w:p w14:paraId="062130C0">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2</w:t>
            </w:r>
            <w:r>
              <w:rPr>
                <w:rFonts w:hint="eastAsia" w:ascii="宋体" w:hAnsi="宋体"/>
                <w:color w:val="auto"/>
                <w:sz w:val="22"/>
                <w:szCs w:val="22"/>
                <w:highlight w:val="none"/>
              </w:rPr>
              <w:t>型号：</w:t>
            </w:r>
            <w:r>
              <w:rPr>
                <w:rFonts w:ascii="宋体" w:hAnsi="宋体"/>
                <w:color w:val="auto"/>
                <w:sz w:val="22"/>
                <w:szCs w:val="22"/>
                <w:highlight w:val="none"/>
              </w:rPr>
              <w:t>MAGNETOM Verio Dot</w:t>
            </w:r>
            <w:r>
              <w:rPr>
                <w:rFonts w:hint="eastAsia" w:ascii="宋体" w:hAnsi="宋体"/>
                <w:color w:val="auto"/>
                <w:sz w:val="22"/>
                <w:szCs w:val="22"/>
                <w:highlight w:val="none"/>
              </w:rPr>
              <w:t>，序列号：</w:t>
            </w:r>
            <w:r>
              <w:rPr>
                <w:rFonts w:ascii="宋体" w:hAnsi="宋体"/>
                <w:color w:val="auto"/>
                <w:sz w:val="22"/>
                <w:szCs w:val="22"/>
                <w:highlight w:val="none"/>
              </w:rPr>
              <w:t>62038</w:t>
            </w:r>
            <w:r>
              <w:rPr>
                <w:rFonts w:hint="eastAsia" w:ascii="宋体" w:hAnsi="宋体"/>
                <w:color w:val="auto"/>
                <w:sz w:val="22"/>
                <w:szCs w:val="22"/>
                <w:highlight w:val="none"/>
              </w:rPr>
              <w:t>；</w:t>
            </w:r>
          </w:p>
          <w:p w14:paraId="666E7FCB">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3</w:t>
            </w:r>
            <w:r>
              <w:rPr>
                <w:rFonts w:hint="eastAsia" w:ascii="宋体" w:hAnsi="宋体"/>
                <w:color w:val="auto"/>
                <w:sz w:val="22"/>
                <w:szCs w:val="22"/>
                <w:highlight w:val="none"/>
              </w:rPr>
              <w:t>型号：</w:t>
            </w:r>
            <w:r>
              <w:rPr>
                <w:rFonts w:ascii="宋体" w:hAnsi="宋体"/>
                <w:color w:val="auto"/>
                <w:sz w:val="22"/>
                <w:szCs w:val="22"/>
                <w:highlight w:val="none"/>
              </w:rPr>
              <w:t>MAGNETOM Skyra</w:t>
            </w:r>
            <w:r>
              <w:rPr>
                <w:rFonts w:hint="eastAsia" w:ascii="宋体" w:hAnsi="宋体"/>
                <w:color w:val="auto"/>
                <w:sz w:val="22"/>
                <w:szCs w:val="22"/>
                <w:highlight w:val="none"/>
              </w:rPr>
              <w:t>，序列号：</w:t>
            </w:r>
            <w:r>
              <w:rPr>
                <w:rFonts w:ascii="宋体" w:hAnsi="宋体"/>
                <w:color w:val="auto"/>
                <w:sz w:val="22"/>
                <w:szCs w:val="22"/>
                <w:highlight w:val="none"/>
              </w:rPr>
              <w:t>145867</w:t>
            </w:r>
            <w:r>
              <w:rPr>
                <w:rFonts w:hint="eastAsia" w:ascii="宋体" w:hAnsi="宋体"/>
                <w:color w:val="auto"/>
                <w:sz w:val="22"/>
                <w:szCs w:val="22"/>
                <w:highlight w:val="none"/>
              </w:rPr>
              <w:t>；</w:t>
            </w:r>
          </w:p>
          <w:p w14:paraId="3C07BF08">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4</w:t>
            </w:r>
            <w:r>
              <w:rPr>
                <w:rFonts w:hint="eastAsia" w:ascii="宋体" w:hAnsi="宋体"/>
                <w:color w:val="auto"/>
                <w:sz w:val="22"/>
                <w:szCs w:val="22"/>
                <w:highlight w:val="none"/>
              </w:rPr>
              <w:t>型号：</w:t>
            </w:r>
            <w:r>
              <w:rPr>
                <w:rFonts w:ascii="宋体" w:hAnsi="宋体"/>
                <w:color w:val="auto"/>
                <w:sz w:val="22"/>
                <w:szCs w:val="22"/>
                <w:highlight w:val="none"/>
              </w:rPr>
              <w:t>MAGNETOM Skyra</w:t>
            </w:r>
            <w:r>
              <w:rPr>
                <w:rFonts w:hint="eastAsia" w:ascii="宋体" w:hAnsi="宋体"/>
                <w:color w:val="auto"/>
                <w:sz w:val="22"/>
                <w:szCs w:val="22"/>
                <w:highlight w:val="none"/>
              </w:rPr>
              <w:t>，序列号：</w:t>
            </w:r>
            <w:r>
              <w:rPr>
                <w:rFonts w:ascii="宋体" w:hAnsi="宋体"/>
                <w:color w:val="auto"/>
                <w:sz w:val="22"/>
                <w:szCs w:val="22"/>
                <w:highlight w:val="none"/>
              </w:rPr>
              <w:t>145970</w:t>
            </w:r>
            <w:r>
              <w:rPr>
                <w:rFonts w:hint="eastAsia" w:ascii="宋体" w:hAnsi="宋体"/>
                <w:color w:val="auto"/>
                <w:sz w:val="22"/>
                <w:szCs w:val="22"/>
                <w:highlight w:val="none"/>
              </w:rPr>
              <w:t>。</w:t>
            </w:r>
          </w:p>
          <w:p w14:paraId="618E8BC3">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1、</w:t>
            </w:r>
            <w:bookmarkStart w:id="71" w:name="OLE_LINK7"/>
            <w:bookmarkStart w:id="72" w:name="OLE_LINK8"/>
            <w:r>
              <w:rPr>
                <w:rFonts w:hint="eastAsia" w:ascii="宋体" w:hAnsi="宋体" w:cs="Arial"/>
                <w:color w:val="auto"/>
                <w:sz w:val="22"/>
                <w:highlight w:val="none"/>
              </w:rPr>
              <w:t>有限工时（每台设备每年3次人工，4台设备每年共享12次人工）</w:t>
            </w:r>
            <w:bookmarkEnd w:id="71"/>
            <w:bookmarkEnd w:id="72"/>
            <w:r>
              <w:rPr>
                <w:rFonts w:hint="eastAsia" w:ascii="宋体" w:hAnsi="宋体" w:cs="Arial"/>
                <w:color w:val="auto"/>
                <w:sz w:val="22"/>
                <w:highlight w:val="none"/>
              </w:rPr>
              <w:t>：在服务合同期内所需的人工费用，采购人享受优先派工。</w:t>
            </w:r>
          </w:p>
          <w:p w14:paraId="042BD31C">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2、有限常规备件[每台设备每年可更换2个备件，4台设备每年共享8个常规备件（包含线圈、冷头、梯度线圈、射频等),磁体、液氦及第三方产品（如：外水冷机、精密空调、第三方线圈）除外]</w:t>
            </w:r>
            <w:r>
              <w:rPr>
                <w:rFonts w:ascii="宋体" w:hAnsi="宋体" w:cs="Arial"/>
                <w:color w:val="auto"/>
                <w:sz w:val="22"/>
                <w:highlight w:val="none"/>
              </w:rPr>
              <w:t>:</w:t>
            </w:r>
          </w:p>
          <w:p w14:paraId="71DA78BD">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维修设备时更换问题部件，并负责备件的运输，具体包括：</w:t>
            </w:r>
          </w:p>
          <w:p w14:paraId="73938024">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（1）</w:t>
            </w:r>
            <w:r>
              <w:rPr>
                <w:rFonts w:hint="eastAsia" w:ascii="宋体" w:hAnsi="宋体"/>
                <w:color w:val="auto"/>
                <w:sz w:val="22"/>
                <w:highlight w:val="none"/>
              </w:rPr>
              <w:t>提供保修所需的备件（消耗品、磁体及第三方产品除外），备件供应要及时、充足。</w:t>
            </w:r>
          </w:p>
          <w:p w14:paraId="62ED07ED">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（2）</w:t>
            </w:r>
            <w:r>
              <w:rPr>
                <w:rFonts w:hint="eastAsia" w:ascii="宋体" w:hAnsi="宋体"/>
                <w:color w:val="auto"/>
                <w:sz w:val="22"/>
                <w:highlight w:val="none"/>
              </w:rPr>
              <w:t>备件必须是原厂提供的未拆封原装备件。</w:t>
            </w:r>
          </w:p>
          <w:p w14:paraId="5CBB9AC6">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优先运送零配件，回收报废部件。</w:t>
            </w:r>
          </w:p>
          <w:p w14:paraId="770A64A3">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线圈、冷头、梯度线圈、射频等全在保修范围内，且保证是原厂未拆封原装备件。</w:t>
            </w:r>
          </w:p>
          <w:p w14:paraId="044A3F8C">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3、保证开机率：</w:t>
            </w:r>
          </w:p>
          <w:p w14:paraId="42DA0E21">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6B416AE7">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4、安全检查：安全检查将按照厂家标准及当地规定执行，具体包括：</w:t>
            </w:r>
          </w:p>
          <w:p w14:paraId="6BCB33EE">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制定检查计划</w:t>
            </w:r>
          </w:p>
          <w:p w14:paraId="48D8FA50">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机械安全检查</w:t>
            </w:r>
          </w:p>
          <w:p w14:paraId="0252A4F5">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电气安全检查</w:t>
            </w:r>
          </w:p>
          <w:p w14:paraId="7FC54DA2">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记录检查结果</w:t>
            </w:r>
          </w:p>
          <w:p w14:paraId="6202FD2B">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5、质量保证：通过以下任务和工作以保证设备质量达到厂家颁布的质量标准。</w:t>
            </w:r>
          </w:p>
          <w:p w14:paraId="2CA6A853">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制定检查计划</w:t>
            </w:r>
          </w:p>
          <w:p w14:paraId="3CE41367">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图像质量（效果）检查</w:t>
            </w:r>
          </w:p>
          <w:p w14:paraId="6FAD669F">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评判参数结果</w:t>
            </w:r>
          </w:p>
          <w:p w14:paraId="4CB82326">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调整</w:t>
            </w:r>
            <w:r>
              <w:rPr>
                <w:rFonts w:ascii="宋体" w:hAnsi="宋体" w:cs="Arial"/>
                <w:color w:val="auto"/>
                <w:sz w:val="22"/>
                <w:highlight w:val="none"/>
              </w:rPr>
              <w:t xml:space="preserve"> / </w:t>
            </w:r>
            <w:r>
              <w:rPr>
                <w:rFonts w:hint="eastAsia" w:ascii="宋体" w:hAnsi="宋体" w:cs="Arial"/>
                <w:color w:val="auto"/>
                <w:sz w:val="22"/>
                <w:highlight w:val="none"/>
              </w:rPr>
              <w:t>校准</w:t>
            </w:r>
          </w:p>
          <w:p w14:paraId="18BE266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（5）</w:t>
            </w:r>
            <w:r>
              <w:rPr>
                <w:rFonts w:hint="eastAsia" w:ascii="宋体" w:hAnsi="宋体" w:cs="Arial"/>
                <w:color w:val="auto"/>
                <w:sz w:val="22"/>
                <w:highlight w:val="none"/>
              </w:rPr>
              <w:t>记录检查结果</w:t>
            </w:r>
          </w:p>
          <w:p w14:paraId="56066D61">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6、安全升级：按照建议及要求提供软件升级，以提高设备的安全性和性能。</w:t>
            </w:r>
          </w:p>
          <w:p w14:paraId="7523E16F">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持续监控设备是否需要升级</w:t>
            </w:r>
          </w:p>
          <w:p w14:paraId="4F210927">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提供安全性升级</w:t>
            </w:r>
          </w:p>
          <w:p w14:paraId="15D2931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提供建议性升级</w:t>
            </w:r>
          </w:p>
          <w:p w14:paraId="0444E718">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记录升级程序</w:t>
            </w:r>
          </w:p>
          <w:p w14:paraId="0D70B64A">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7、技术电话支持</w:t>
            </w:r>
          </w:p>
          <w:p w14:paraId="15AB539A">
            <w:pPr>
              <w:autoSpaceDE w:val="0"/>
              <w:autoSpaceDN w:val="0"/>
              <w:adjustRightInd w:val="0"/>
              <w:snapToGrid w:val="0"/>
              <w:spacing w:line="360" w:lineRule="auto"/>
              <w:ind w:firstLine="440" w:firstLineChars="200"/>
              <w:rPr>
                <w:rFonts w:ascii="宋体" w:hAnsi="宋体" w:cs="Arial"/>
                <w:color w:val="auto"/>
                <w:sz w:val="22"/>
                <w:highlight w:val="none"/>
              </w:rPr>
            </w:pPr>
            <w:r>
              <w:rPr>
                <w:rFonts w:hint="eastAsia" w:ascii="宋体" w:hAnsi="宋体" w:cs="Arial"/>
                <w:color w:val="auto"/>
                <w:sz w:val="22"/>
                <w:highlight w:val="none"/>
              </w:rPr>
              <w:t>全国范围内热线电话，由供应商设备运行保障中心提供快速诊断和支持服务：24小时*7天技术电话支持；</w:t>
            </w:r>
          </w:p>
          <w:p w14:paraId="63F55A9C">
            <w:pPr>
              <w:tabs>
                <w:tab w:val="left" w:pos="709"/>
              </w:tabs>
              <w:adjustRightInd w:val="0"/>
              <w:snapToGrid w:val="0"/>
              <w:spacing w:line="360" w:lineRule="auto"/>
              <w:rPr>
                <w:rFonts w:ascii="宋体" w:hAnsi="宋体"/>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8、</w:t>
            </w:r>
            <w:r>
              <w:rPr>
                <w:rFonts w:hint="eastAsia" w:ascii="宋体" w:hAnsi="宋体"/>
                <w:color w:val="auto"/>
                <w:sz w:val="22"/>
                <w:highlight w:val="none"/>
              </w:rPr>
              <w:t>远程服务</w:t>
            </w:r>
          </w:p>
          <w:p w14:paraId="6E1BCCD1">
            <w:pPr>
              <w:adjustRightInd w:val="0"/>
              <w:snapToGrid w:val="0"/>
              <w:spacing w:line="360" w:lineRule="auto"/>
              <w:rPr>
                <w:rFonts w:ascii="宋体" w:hAnsi="宋体"/>
                <w:color w:val="auto"/>
                <w:sz w:val="22"/>
                <w:highlight w:val="none"/>
              </w:rPr>
            </w:pPr>
            <w:r>
              <w:rPr>
                <w:rFonts w:hint="eastAsia" w:ascii="宋体" w:hAnsi="宋体"/>
                <w:color w:val="auto"/>
                <w:sz w:val="22"/>
                <w:highlight w:val="none"/>
              </w:rPr>
              <w:t xml:space="preserve">   提供基于设备嵌入式远程连接方案的实时远程服务，以保证维修的及时性。</w:t>
            </w:r>
          </w:p>
          <w:p w14:paraId="252CD6FB">
            <w:pPr>
              <w:tabs>
                <w:tab w:val="left" w:pos="709"/>
              </w:tabs>
              <w:adjustRightInd w:val="0"/>
              <w:snapToGrid w:val="0"/>
              <w:spacing w:line="360" w:lineRule="auto"/>
              <w:rPr>
                <w:rFonts w:ascii="宋体" w:hAnsi="宋体"/>
                <w:color w:val="auto"/>
                <w:sz w:val="22"/>
                <w:highlight w:val="none"/>
              </w:rPr>
            </w:pPr>
            <w:r>
              <w:rPr>
                <w:rFonts w:hint="eastAsia" w:ascii="宋体" w:hAnsi="宋体"/>
                <w:color w:val="auto"/>
                <w:sz w:val="22"/>
                <w:highlight w:val="none"/>
              </w:rPr>
              <w:t xml:space="preserve">   高级诊断：投标人必须在整个合同期内都能合法获得原厂高级故障诊断软件的诊断维修钥匙（service key）</w:t>
            </w:r>
            <w:r>
              <w:rPr>
                <w:rFonts w:ascii="宋体" w:hAnsi="宋体"/>
                <w:color w:val="auto"/>
                <w:sz w:val="22"/>
                <w:highlight w:val="none"/>
              </w:rPr>
              <w:t>,</w:t>
            </w:r>
            <w:r>
              <w:rPr>
                <w:rFonts w:hint="eastAsia" w:ascii="宋体" w:hAnsi="宋体"/>
                <w:color w:val="auto"/>
                <w:sz w:val="22"/>
                <w:highlight w:val="none"/>
              </w:rPr>
              <w:t>并保证不违反国家有关知识产权的法律规定，</w:t>
            </w:r>
            <w:r>
              <w:rPr>
                <w:rFonts w:hint="eastAsia" w:ascii="宋体" w:hAnsi="宋体"/>
                <w:b/>
                <w:bCs/>
                <w:color w:val="auto"/>
                <w:sz w:val="22"/>
                <w:highlight w:val="none"/>
              </w:rPr>
              <w:t>并在投标文件中做出相应书面承诺</w:t>
            </w:r>
            <w:r>
              <w:rPr>
                <w:rFonts w:hint="eastAsia" w:ascii="宋体" w:hAnsi="宋体"/>
                <w:color w:val="auto"/>
                <w:sz w:val="22"/>
                <w:highlight w:val="none"/>
              </w:rPr>
              <w:t>。</w:t>
            </w:r>
          </w:p>
          <w:p w14:paraId="11DEDE98">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9、预防性保养：</w:t>
            </w:r>
            <w:r>
              <w:rPr>
                <w:rFonts w:ascii="宋体" w:hAnsi="宋体" w:cs="Arial"/>
                <w:color w:val="auto"/>
                <w:sz w:val="22"/>
                <w:highlight w:val="none"/>
                <w:lang w:val="en-GB"/>
              </w:rPr>
              <w:t>每合同年度</w:t>
            </w:r>
            <w:r>
              <w:rPr>
                <w:rFonts w:hint="eastAsia" w:ascii="宋体" w:hAnsi="宋体" w:cs="Arial"/>
                <w:color w:val="auto"/>
                <w:sz w:val="22"/>
                <w:highlight w:val="none"/>
                <w:lang w:val="en-GB"/>
              </w:rPr>
              <w:t>保养通过两</w:t>
            </w:r>
            <w:r>
              <w:rPr>
                <w:rFonts w:ascii="宋体" w:hAnsi="宋体" w:cs="Arial"/>
                <w:color w:val="auto"/>
                <w:sz w:val="22"/>
                <w:highlight w:val="none"/>
                <w:lang w:val="en-GB"/>
              </w:rPr>
              <w:t>次</w:t>
            </w:r>
            <w:r>
              <w:rPr>
                <w:rFonts w:hint="eastAsia" w:ascii="宋体" w:hAnsi="宋体" w:cs="Arial"/>
                <w:color w:val="auto"/>
                <w:sz w:val="22"/>
                <w:highlight w:val="none"/>
                <w:lang w:val="en-GB"/>
              </w:rPr>
              <w:t>现场服务完成，</w:t>
            </w:r>
            <w:r>
              <w:rPr>
                <w:rFonts w:hint="eastAsia" w:ascii="宋体" w:hAnsi="宋体" w:cs="Arial"/>
                <w:color w:val="auto"/>
                <w:sz w:val="22"/>
                <w:highlight w:val="none"/>
              </w:rPr>
              <w:t>按照计划提供，以保证设备处于最佳运行状态，包括：</w:t>
            </w:r>
          </w:p>
          <w:p w14:paraId="1F616BDB">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记录并安排保养时间</w:t>
            </w:r>
          </w:p>
          <w:p w14:paraId="5C0AF46B">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保养计划更换损耗部件</w:t>
            </w:r>
          </w:p>
          <w:p w14:paraId="3661568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检测</w:t>
            </w:r>
          </w:p>
          <w:p w14:paraId="1A31F37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按照厂家标准进行调校</w:t>
            </w:r>
          </w:p>
          <w:p w14:paraId="4A2CF77E">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（5）</w:t>
            </w:r>
            <w:r>
              <w:rPr>
                <w:rFonts w:hint="eastAsia" w:ascii="宋体" w:hAnsi="宋体" w:cs="Arial"/>
                <w:color w:val="auto"/>
                <w:sz w:val="22"/>
                <w:highlight w:val="none"/>
              </w:rPr>
              <w:t>确认各项技术指标及性能</w:t>
            </w:r>
          </w:p>
          <w:p w14:paraId="5FC092BC">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（6）</w:t>
            </w:r>
            <w:r>
              <w:rPr>
                <w:rFonts w:hint="eastAsia" w:ascii="宋体" w:hAnsi="宋体" w:cs="Arial"/>
                <w:color w:val="auto"/>
                <w:sz w:val="22"/>
                <w:highlight w:val="none"/>
              </w:rPr>
              <w:t>记录设备状况</w:t>
            </w:r>
          </w:p>
          <w:p w14:paraId="27585C45">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（7）</w:t>
            </w:r>
            <w:r>
              <w:rPr>
                <w:rFonts w:hint="eastAsia" w:ascii="宋体" w:hAnsi="宋体" w:cs="Arial"/>
                <w:color w:val="auto"/>
                <w:sz w:val="22"/>
                <w:highlight w:val="none"/>
              </w:rPr>
              <w:t>提供设备原厂保养内容清单。</w:t>
            </w:r>
          </w:p>
          <w:p w14:paraId="21B2A083">
            <w:pPr>
              <w:spacing w:line="360" w:lineRule="auto"/>
              <w:ind w:firstLine="440" w:firstLineChars="200"/>
              <w:jc w:val="left"/>
              <w:rPr>
                <w:rFonts w:ascii="宋体" w:hAnsi="宋体" w:cs="宋体"/>
                <w:bCs/>
                <w:color w:val="auto"/>
                <w:szCs w:val="21"/>
                <w:highlight w:val="none"/>
              </w:rPr>
            </w:pPr>
            <w:r>
              <w:rPr>
                <w:rFonts w:hint="eastAsia" w:ascii="宋体" w:hAnsi="宋体" w:cs="Arial"/>
                <w:color w:val="auto"/>
                <w:sz w:val="22"/>
                <w:szCs w:val="22"/>
                <w:highlight w:val="none"/>
              </w:rPr>
              <w:t>10、预防性保养常规损耗品：预防性保养中需更换的常规损耗品由供应商提供（费用包含在投标报价中）。</w:t>
            </w:r>
          </w:p>
        </w:tc>
      </w:tr>
      <w:tr w14:paraId="50F9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09511C1A">
            <w:pPr>
              <w:spacing w:line="360" w:lineRule="auto"/>
              <w:rPr>
                <w:rFonts w:ascii="宋体" w:hAnsi="宋体" w:cs="宋体"/>
                <w:bCs/>
                <w:color w:val="auto"/>
                <w:szCs w:val="21"/>
                <w:highlight w:val="none"/>
              </w:rPr>
            </w:pPr>
            <w:r>
              <w:rPr>
                <w:rFonts w:hint="eastAsia" w:ascii="宋体" w:hAnsi="宋体" w:cs="宋体"/>
                <w:b/>
                <w:color w:val="auto"/>
                <w:szCs w:val="21"/>
                <w:highlight w:val="none"/>
              </w:rPr>
              <w:t>一、商务要求▲</w:t>
            </w:r>
          </w:p>
        </w:tc>
      </w:tr>
      <w:tr w14:paraId="26436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32E5F138">
            <w:pPr>
              <w:spacing w:line="360" w:lineRule="auto"/>
              <w:rPr>
                <w:rFonts w:ascii="宋体" w:hAnsi="宋体" w:cs="宋体"/>
                <w:b/>
                <w:color w:val="auto"/>
                <w:szCs w:val="21"/>
                <w:highlight w:val="none"/>
              </w:rPr>
            </w:pPr>
            <w:r>
              <w:rPr>
                <w:rFonts w:hint="eastAsia" w:ascii="宋体" w:hAnsi="宋体" w:cs="宋体"/>
                <w:b/>
                <w:color w:val="auto"/>
                <w:szCs w:val="21"/>
                <w:highlight w:val="none"/>
              </w:rPr>
              <w:t>实施的期限和地点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07AD83C">
            <w:pPr>
              <w:spacing w:line="360" w:lineRule="auto"/>
              <w:rPr>
                <w:rFonts w:ascii="宋体" w:hAnsi="宋体" w:cs="宋体"/>
                <w:b/>
                <w:color w:val="auto"/>
                <w:szCs w:val="21"/>
                <w:highlight w:val="none"/>
              </w:rPr>
            </w:pPr>
            <w:r>
              <w:rPr>
                <w:rFonts w:hint="eastAsia" w:ascii="宋体" w:hAnsi="宋体" w:cs="宋体"/>
                <w:b/>
                <w:color w:val="auto"/>
                <w:szCs w:val="21"/>
                <w:highlight w:val="none"/>
              </w:rPr>
              <w:t>1、实施的期限：三年。</w:t>
            </w:r>
          </w:p>
          <w:p w14:paraId="02EA78E1">
            <w:pPr>
              <w:spacing w:line="360" w:lineRule="auto"/>
              <w:rPr>
                <w:rFonts w:ascii="宋体" w:hAnsi="宋体" w:cs="宋体"/>
                <w:b/>
                <w:color w:val="auto"/>
                <w:szCs w:val="21"/>
                <w:highlight w:val="none"/>
              </w:rPr>
            </w:pPr>
            <w:r>
              <w:rPr>
                <w:rFonts w:hint="eastAsia" w:ascii="宋体" w:hAnsi="宋体" w:cs="宋体"/>
                <w:b/>
                <w:color w:val="auto"/>
                <w:szCs w:val="21"/>
                <w:highlight w:val="none"/>
              </w:rPr>
              <w:t>2、实施的地点：广西贵港市范围内采购人指定地点。</w:t>
            </w:r>
          </w:p>
        </w:tc>
      </w:tr>
      <w:tr w14:paraId="49DF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352A94D">
            <w:pPr>
              <w:spacing w:line="360" w:lineRule="auto"/>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DADC625">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自中标通知书发出之日起 </w:t>
            </w:r>
            <w:r>
              <w:rPr>
                <w:rFonts w:hint="eastAsia" w:ascii="宋体" w:hAnsi="宋体" w:cs="宋体"/>
                <w:b/>
                <w:color w:val="auto"/>
                <w:szCs w:val="21"/>
                <w:highlight w:val="none"/>
                <w:u w:val="single"/>
              </w:rPr>
              <w:t xml:space="preserve"> 25 </w:t>
            </w:r>
            <w:r>
              <w:rPr>
                <w:rFonts w:hint="eastAsia" w:ascii="宋体" w:hAnsi="宋体" w:cs="宋体"/>
                <w:b/>
                <w:color w:val="auto"/>
                <w:szCs w:val="21"/>
                <w:highlight w:val="none"/>
              </w:rPr>
              <w:t>日内</w:t>
            </w:r>
          </w:p>
        </w:tc>
      </w:tr>
      <w:tr w14:paraId="3A9CD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9C9E943">
            <w:pPr>
              <w:spacing w:line="360" w:lineRule="auto"/>
              <w:rPr>
                <w:rFonts w:ascii="宋体" w:hAnsi="宋体" w:cs="宋体"/>
                <w:b/>
                <w:color w:val="auto"/>
                <w:szCs w:val="21"/>
                <w:highlight w:val="none"/>
              </w:rPr>
            </w:pPr>
            <w:r>
              <w:rPr>
                <w:rFonts w:hint="eastAsia" w:ascii="宋体" w:hAnsi="宋体" w:cs="宋体"/>
                <w:b/>
                <w:color w:val="auto"/>
                <w:szCs w:val="21"/>
                <w:highlight w:val="none"/>
              </w:rPr>
              <w:t>付款条件（进度和方式）</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65A7F6AB">
            <w:pPr>
              <w:spacing w:line="360" w:lineRule="auto"/>
              <w:rPr>
                <w:color w:val="auto"/>
                <w:highlight w:val="none"/>
              </w:rPr>
            </w:pPr>
            <w:r>
              <w:rPr>
                <w:rFonts w:hint="eastAsia" w:ascii="宋体" w:hAnsi="宋体" w:cs="宋体"/>
                <w:color w:val="auto"/>
                <w:szCs w:val="21"/>
                <w:highlight w:val="none"/>
              </w:rPr>
              <w:t>本项目分年度安排预算</w:t>
            </w:r>
            <w:r>
              <w:rPr>
                <w:rFonts w:hint="eastAsia"/>
                <w:color w:val="auto"/>
                <w:highlight w:val="none"/>
              </w:rPr>
              <w:t>，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乙方维保期有违约行为，每出现一次则延期一个月支付上一期货款，如医院因不可控原因提前结束维保服务，则按实际维保时间产生的费用结算，具体维保费用以成交金额与合同总天数折算，金额有小数点的部分以四舍五入换算，且双方应签订合同终止协议。每次付款前，乙方需提供该支付金额的请款函和相关考核材料。</w:t>
            </w:r>
          </w:p>
        </w:tc>
      </w:tr>
      <w:tr w14:paraId="37DD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302ADDA">
            <w:pPr>
              <w:spacing w:line="360" w:lineRule="auto"/>
              <w:rPr>
                <w:rFonts w:ascii="宋体" w:hAnsi="宋体" w:cs="宋体"/>
                <w:b/>
                <w:color w:val="auto"/>
                <w:szCs w:val="21"/>
                <w:highlight w:val="none"/>
              </w:rPr>
            </w:pPr>
            <w:r>
              <w:rPr>
                <w:rFonts w:hint="eastAsia" w:ascii="宋体" w:hAnsi="宋体" w:cs="宋体"/>
                <w:b/>
                <w:color w:val="auto"/>
                <w:szCs w:val="21"/>
                <w:highlight w:val="none"/>
              </w:rPr>
              <w:t>售后技术服务要求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F63BB90">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1、中标人在实施期限内应严格按照投标文件承诺做好项目售后服务，由此产生的一切费用由中标人负责。 </w:t>
            </w:r>
          </w:p>
          <w:p w14:paraId="214C8F29">
            <w:pPr>
              <w:spacing w:line="360" w:lineRule="auto"/>
              <w:rPr>
                <w:rFonts w:ascii="宋体" w:hAnsi="宋体" w:cs="宋体"/>
                <w:b/>
                <w:color w:val="auto"/>
                <w:szCs w:val="21"/>
                <w:highlight w:val="none"/>
              </w:rPr>
            </w:pPr>
            <w:r>
              <w:rPr>
                <w:rFonts w:hint="eastAsia" w:ascii="宋体" w:hAnsi="宋体" w:cs="宋体"/>
                <w:b/>
                <w:color w:val="auto"/>
                <w:szCs w:val="21"/>
                <w:highlight w:val="none"/>
              </w:rPr>
              <w:t>2、处理问题响应时间：接到采购人处理问题通知后 24 小时内到达采购人指定现场。</w:t>
            </w:r>
          </w:p>
          <w:p w14:paraId="74BBB285">
            <w:pPr>
              <w:spacing w:line="360" w:lineRule="auto"/>
              <w:rPr>
                <w:rFonts w:ascii="宋体" w:hAnsi="宋体" w:cs="宋体"/>
                <w:b/>
                <w:color w:val="auto"/>
                <w:szCs w:val="21"/>
                <w:highlight w:val="none"/>
              </w:rPr>
            </w:pPr>
            <w:r>
              <w:rPr>
                <w:rFonts w:hint="eastAsia" w:ascii="宋体" w:hAnsi="宋体" w:cs="宋体"/>
                <w:b/>
                <w:color w:val="auto"/>
                <w:szCs w:val="21"/>
                <w:highlight w:val="none"/>
              </w:rPr>
              <w:t>3、中标人必须配合采购人完成整体项目的验收。</w:t>
            </w:r>
          </w:p>
        </w:tc>
      </w:tr>
      <w:tr w14:paraId="7D547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03D909FC">
            <w:pPr>
              <w:spacing w:line="360" w:lineRule="exact"/>
              <w:rPr>
                <w:rFonts w:ascii="宋体" w:hAnsi="宋体" w:cs="宋体"/>
                <w:b/>
                <w:color w:val="auto"/>
                <w:szCs w:val="21"/>
                <w:highlight w:val="none"/>
              </w:rPr>
            </w:pPr>
            <w:r>
              <w:rPr>
                <w:rFonts w:hint="eastAsia" w:ascii="宋体" w:hAnsi="宋体"/>
                <w:b/>
                <w:color w:val="auto"/>
                <w:szCs w:val="21"/>
                <w:highlight w:val="none"/>
              </w:rPr>
              <w:t>验收标准及要求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7CA2D608">
            <w:pPr>
              <w:spacing w:line="360" w:lineRule="exac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cs="宋体"/>
                <w:b/>
                <w:color w:val="auto"/>
                <w:szCs w:val="21"/>
                <w:highlight w:val="none"/>
              </w:rPr>
              <w:t>中标供应商向采购人提供的所有涉及成果资料必须符合国家、广西、贵港市的最新规范及要求</w:t>
            </w:r>
            <w:r>
              <w:rPr>
                <w:rFonts w:hint="eastAsia" w:ascii="宋体" w:hAnsi="宋体"/>
                <w:b/>
                <w:color w:val="auto"/>
                <w:szCs w:val="21"/>
                <w:highlight w:val="none"/>
              </w:rPr>
              <w:t>。</w:t>
            </w:r>
          </w:p>
          <w:p w14:paraId="1D100FE7">
            <w:pPr>
              <w:spacing w:line="360" w:lineRule="exac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.验收过程中所产生的一切费用均由中标人承担。报价时应考虑相关费用。</w:t>
            </w:r>
          </w:p>
          <w:p w14:paraId="7AA97F7A">
            <w:pPr>
              <w:spacing w:line="360" w:lineRule="exac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.采购人根据工作实际所需环节组织验收，中标人必须到场配合，验收合格后双方签署验收合格凭证。</w:t>
            </w:r>
          </w:p>
          <w:p w14:paraId="0BF650FA">
            <w:pPr>
              <w:spacing w:line="360" w:lineRule="auto"/>
              <w:rPr>
                <w:rFonts w:ascii="宋体" w:hAnsi="宋体" w:cs="宋体"/>
                <w:b/>
                <w:color w:val="auto"/>
                <w:szCs w:val="21"/>
                <w:highlight w:val="none"/>
              </w:rPr>
            </w:pPr>
            <w:r>
              <w:rPr>
                <w:rFonts w:hint="eastAsia" w:ascii="宋体" w:hAnsi="宋体"/>
                <w:b/>
                <w:color w:val="auto"/>
                <w:szCs w:val="21"/>
                <w:highlight w:val="none"/>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6DD34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1373B63">
            <w:pPr>
              <w:spacing w:line="360" w:lineRule="auto"/>
              <w:rPr>
                <w:rFonts w:ascii="宋体" w:hAnsi="宋体" w:cs="宋体"/>
                <w:bCs/>
                <w:color w:val="auto"/>
                <w:szCs w:val="21"/>
                <w:highlight w:val="none"/>
              </w:rPr>
            </w:pPr>
            <w:r>
              <w:rPr>
                <w:rFonts w:hint="eastAsia" w:ascii="宋体" w:hAnsi="宋体" w:cs="宋体"/>
                <w:b/>
                <w:color w:val="auto"/>
                <w:szCs w:val="21"/>
                <w:highlight w:val="none"/>
              </w:rPr>
              <w:t>二、与实现项目目标相关的其他要求</w:t>
            </w:r>
          </w:p>
        </w:tc>
      </w:tr>
      <w:tr w14:paraId="702A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79A7F502">
            <w:pPr>
              <w:spacing w:line="360" w:lineRule="auto"/>
              <w:rPr>
                <w:rFonts w:ascii="宋体" w:hAnsi="宋体" w:cs="宋体"/>
                <w:bCs/>
                <w:color w:val="auto"/>
                <w:szCs w:val="21"/>
                <w:highlight w:val="none"/>
              </w:rPr>
            </w:pPr>
            <w:r>
              <w:rPr>
                <w:rFonts w:hint="eastAsia" w:ascii="宋体" w:hAnsi="宋体" w:cs="宋体"/>
                <w:b/>
                <w:color w:val="auto"/>
                <w:szCs w:val="21"/>
                <w:highlight w:val="none"/>
              </w:rPr>
              <w:t>（一）投标人的履约能力要求</w:t>
            </w:r>
          </w:p>
        </w:tc>
      </w:tr>
      <w:tr w14:paraId="1998A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D9F6C77">
            <w:pPr>
              <w:spacing w:line="360" w:lineRule="exact"/>
              <w:rPr>
                <w:rFonts w:ascii="宋体" w:hAnsi="宋体" w:cs="宋体"/>
                <w:bCs/>
                <w:color w:val="auto"/>
                <w:szCs w:val="21"/>
                <w:highlight w:val="none"/>
              </w:rPr>
            </w:pPr>
            <w:r>
              <w:rPr>
                <w:rFonts w:hint="eastAsia" w:ascii="宋体" w:hAnsi="宋体"/>
                <w:color w:val="auto"/>
                <w:szCs w:val="21"/>
                <w:highlight w:val="none"/>
              </w:rPr>
              <w:t>政策性加分条件</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F0EB8BF">
            <w:pPr>
              <w:spacing w:line="360" w:lineRule="exact"/>
              <w:rPr>
                <w:rFonts w:ascii="宋体" w:hAnsi="宋体" w:cs="宋体"/>
                <w:bCs/>
                <w:color w:val="auto"/>
                <w:szCs w:val="21"/>
                <w:highlight w:val="none"/>
              </w:rPr>
            </w:pPr>
            <w:r>
              <w:rPr>
                <w:rFonts w:hint="eastAsia" w:ascii="宋体" w:hAnsi="宋体"/>
                <w:color w:val="auto"/>
                <w:szCs w:val="21"/>
                <w:highlight w:val="none"/>
              </w:rPr>
              <w:t>见本采购文件第四章“评标方法及评标标准”。</w:t>
            </w:r>
          </w:p>
        </w:tc>
      </w:tr>
      <w:tr w14:paraId="38115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8BF889B">
            <w:pPr>
              <w:spacing w:line="360" w:lineRule="exact"/>
              <w:rPr>
                <w:rFonts w:ascii="宋体" w:hAnsi="宋体" w:cs="宋体"/>
                <w:bCs/>
                <w:color w:val="auto"/>
                <w:szCs w:val="21"/>
                <w:highlight w:val="none"/>
              </w:rPr>
            </w:pPr>
            <w:r>
              <w:rPr>
                <w:rFonts w:hint="eastAsia" w:ascii="宋体" w:hAnsi="宋体"/>
                <w:color w:val="auto"/>
                <w:szCs w:val="21"/>
                <w:highlight w:val="none"/>
              </w:rPr>
              <w:t>质量管理体系要求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B0A254C">
            <w:pPr>
              <w:spacing w:line="360" w:lineRule="exact"/>
              <w:rPr>
                <w:rFonts w:ascii="宋体" w:hAnsi="宋体" w:cs="宋体"/>
                <w:bCs/>
                <w:color w:val="auto"/>
                <w:szCs w:val="21"/>
                <w:highlight w:val="none"/>
              </w:rPr>
            </w:pPr>
            <w:r>
              <w:rPr>
                <w:rFonts w:hint="eastAsia" w:ascii="宋体" w:hAnsi="宋体"/>
                <w:color w:val="auto"/>
                <w:szCs w:val="21"/>
                <w:highlight w:val="none"/>
              </w:rPr>
              <w:t>如有，请于投标文件中自行提供。</w:t>
            </w:r>
          </w:p>
        </w:tc>
      </w:tr>
      <w:tr w14:paraId="17568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5B6E0F0">
            <w:pPr>
              <w:spacing w:line="360" w:lineRule="exact"/>
              <w:rPr>
                <w:rFonts w:ascii="宋体" w:hAnsi="宋体" w:cs="宋体"/>
                <w:bCs/>
                <w:color w:val="auto"/>
                <w:szCs w:val="21"/>
                <w:highlight w:val="none"/>
              </w:rPr>
            </w:pPr>
            <w:r>
              <w:rPr>
                <w:rFonts w:hint="eastAsia" w:ascii="宋体" w:hAnsi="宋体"/>
                <w:color w:val="auto"/>
                <w:szCs w:val="21"/>
                <w:highlight w:val="none"/>
              </w:rPr>
              <w:t>业绩要求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C4137B4">
            <w:pPr>
              <w:spacing w:line="360" w:lineRule="exact"/>
              <w:rPr>
                <w:rFonts w:ascii="宋体" w:hAnsi="宋体" w:cs="宋体"/>
                <w:bCs/>
                <w:color w:val="auto"/>
                <w:szCs w:val="21"/>
                <w:highlight w:val="none"/>
              </w:rPr>
            </w:pPr>
            <w:r>
              <w:rPr>
                <w:rFonts w:hint="eastAsia" w:ascii="宋体" w:hAnsi="宋体"/>
                <w:color w:val="auto"/>
                <w:szCs w:val="21"/>
                <w:highlight w:val="none"/>
              </w:rPr>
              <w:t>如有，请于投标文件中自行提供。</w:t>
            </w:r>
          </w:p>
        </w:tc>
      </w:tr>
      <w:tr w14:paraId="71EB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94662C4">
            <w:pPr>
              <w:spacing w:line="360" w:lineRule="auto"/>
              <w:rPr>
                <w:color w:val="auto"/>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其他要求：投标人在投标文件中必须提供针对本项目的技术方案（可包括但不限于维保实施方案、故障响应处理方案、备品备件方案、拟投入技术力量方案、综合管理服务质量保证措施等内容）。</w:t>
            </w:r>
          </w:p>
        </w:tc>
      </w:tr>
      <w:tr w14:paraId="289BF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1410D31A">
            <w:pPr>
              <w:spacing w:line="360" w:lineRule="auto"/>
              <w:rPr>
                <w:rFonts w:ascii="宋体" w:hAnsi="宋体" w:cs="宋体"/>
                <w:bCs/>
                <w:color w:val="auto"/>
                <w:szCs w:val="21"/>
                <w:highlight w:val="none"/>
              </w:rPr>
            </w:pPr>
            <w:r>
              <w:rPr>
                <w:rFonts w:hint="eastAsia" w:ascii="宋体" w:hAnsi="宋体" w:eastAsia="宋体" w:cs="宋体"/>
                <w:b/>
                <w:bCs/>
                <w:color w:val="auto"/>
                <w:szCs w:val="21"/>
                <w:highlight w:val="none"/>
              </w:rPr>
              <w:t>（三）回收要求：西门子DSA维保服务过程中标供应商回收球管仅可用于原厂故障分析或材料提炼，禁止用于再制造或流入二手市场，要求中标供应商或中标供应商聘请负责处置球管的单位具有危险废物处置相关资质，更换球管时核验资质，如有违反上诉规定所产生的一切后果均由中标供应商负责。投标文件中提供承诺函并加盖供应商公章。</w:t>
            </w:r>
          </w:p>
        </w:tc>
      </w:tr>
    </w:tbl>
    <w:p w14:paraId="4E5E119B">
      <w:pPr>
        <w:pStyle w:val="19"/>
        <w:spacing w:after="120"/>
        <w:rPr>
          <w:rFonts w:ascii="宋体" w:hAnsi="宋体" w:cs="Arial"/>
          <w:bCs/>
          <w:color w:val="auto"/>
          <w:szCs w:val="21"/>
          <w:highlight w:val="none"/>
          <w:u w:val="single"/>
        </w:rPr>
      </w:pPr>
    </w:p>
    <w:p w14:paraId="1AE4DDBB">
      <w:pPr>
        <w:pStyle w:val="45"/>
        <w:rPr>
          <w:rFonts w:ascii="宋体" w:hAnsi="宋体" w:cs="Arial"/>
          <w:bCs/>
          <w:color w:val="auto"/>
          <w:szCs w:val="21"/>
          <w:highlight w:val="none"/>
          <w:u w:val="single"/>
        </w:rPr>
      </w:pPr>
    </w:p>
    <w:p w14:paraId="6F22BDA3">
      <w:pPr>
        <w:pStyle w:val="45"/>
        <w:rPr>
          <w:rFonts w:ascii="宋体" w:hAnsi="宋体" w:cs="Arial"/>
          <w:bCs/>
          <w:color w:val="auto"/>
          <w:szCs w:val="21"/>
          <w:highlight w:val="none"/>
          <w:u w:val="single"/>
        </w:rPr>
      </w:pPr>
    </w:p>
    <w:p w14:paraId="6CF38790">
      <w:pPr>
        <w:pStyle w:val="45"/>
        <w:rPr>
          <w:rFonts w:ascii="宋体" w:hAnsi="宋体" w:cs="Arial"/>
          <w:bCs/>
          <w:color w:val="auto"/>
          <w:szCs w:val="21"/>
          <w:highlight w:val="none"/>
          <w:u w:val="single"/>
        </w:rPr>
      </w:pPr>
    </w:p>
    <w:p w14:paraId="5A6273C4">
      <w:pPr>
        <w:pStyle w:val="45"/>
        <w:rPr>
          <w:rFonts w:ascii="宋体" w:hAnsi="宋体" w:cs="Arial"/>
          <w:bCs/>
          <w:color w:val="auto"/>
          <w:szCs w:val="21"/>
          <w:highlight w:val="none"/>
          <w:u w:val="single"/>
        </w:rPr>
      </w:pPr>
    </w:p>
    <w:p w14:paraId="0ECCE544">
      <w:pPr>
        <w:pStyle w:val="45"/>
        <w:rPr>
          <w:rFonts w:ascii="宋体" w:hAnsi="宋体" w:cs="Arial"/>
          <w:bCs/>
          <w:color w:val="auto"/>
          <w:szCs w:val="21"/>
          <w:highlight w:val="none"/>
          <w:u w:val="single"/>
        </w:rPr>
      </w:pPr>
    </w:p>
    <w:p w14:paraId="7D2530AE">
      <w:pPr>
        <w:pStyle w:val="45"/>
        <w:rPr>
          <w:rFonts w:ascii="宋体" w:hAnsi="宋体" w:cs="Arial"/>
          <w:bCs/>
          <w:color w:val="auto"/>
          <w:szCs w:val="21"/>
          <w:highlight w:val="none"/>
          <w:u w:val="single"/>
        </w:rPr>
      </w:pPr>
    </w:p>
    <w:p w14:paraId="1674D950">
      <w:pPr>
        <w:widowControl/>
        <w:jc w:val="left"/>
        <w:rPr>
          <w:rFonts w:ascii="黑体" w:hAnsi="黑体" w:eastAsia="黑体" w:cs="黑体"/>
          <w:color w:val="auto"/>
          <w:sz w:val="32"/>
          <w:szCs w:val="32"/>
          <w:highlight w:val="none"/>
        </w:rPr>
      </w:pPr>
      <w:bookmarkStart w:id="73" w:name="_Toc15498"/>
      <w:r>
        <w:rPr>
          <w:rFonts w:hint="eastAsia" w:ascii="黑体" w:hAnsi="黑体" w:eastAsia="黑体" w:cs="黑体"/>
          <w:color w:val="auto"/>
          <w:sz w:val="32"/>
          <w:szCs w:val="32"/>
          <w:highlight w:val="none"/>
        </w:rPr>
        <w:t>附件1：</w:t>
      </w:r>
    </w:p>
    <w:p w14:paraId="6F02C09B">
      <w:pPr>
        <w:pStyle w:val="19"/>
        <w:spacing w:after="120"/>
        <w:jc w:val="center"/>
        <w:rPr>
          <w:b/>
          <w:color w:val="auto"/>
          <w:sz w:val="28"/>
          <w:szCs w:val="28"/>
          <w:highlight w:val="none"/>
        </w:rPr>
      </w:pPr>
      <w:r>
        <w:rPr>
          <w:rFonts w:hint="eastAsia"/>
          <w:b/>
          <w:color w:val="auto"/>
          <w:sz w:val="28"/>
          <w:szCs w:val="28"/>
          <w:highlight w:val="none"/>
        </w:rPr>
        <w:t>中小企业划型标准规定</w:t>
      </w:r>
    </w:p>
    <w:p w14:paraId="17273495">
      <w:pPr>
        <w:pStyle w:val="19"/>
        <w:spacing w:after="120"/>
        <w:jc w:val="center"/>
        <w:rPr>
          <w:rFonts w:ascii="宋体" w:hAnsi="宋体"/>
          <w:color w:val="auto"/>
          <w:sz w:val="21"/>
          <w:szCs w:val="21"/>
          <w:highlight w:val="none"/>
        </w:rPr>
      </w:pPr>
      <w:r>
        <w:rPr>
          <w:rFonts w:hint="eastAsia" w:ascii="宋体" w:hAnsi="宋体"/>
          <w:color w:val="auto"/>
          <w:szCs w:val="21"/>
          <w:highlight w:val="none"/>
        </w:rPr>
        <w:t>工信部联企业[2011]300号</w:t>
      </w:r>
    </w:p>
    <w:p w14:paraId="727018C6">
      <w:pPr>
        <w:pStyle w:val="19"/>
        <w:spacing w:after="120"/>
        <w:rPr>
          <w:color w:val="auto"/>
          <w:szCs w:val="21"/>
          <w:highlight w:val="none"/>
        </w:rPr>
      </w:pPr>
    </w:p>
    <w:p w14:paraId="32AB5C47">
      <w:pPr>
        <w:pStyle w:val="19"/>
        <w:spacing w:after="120"/>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color w:val="auto"/>
          <w:szCs w:val="21"/>
          <w:highlight w:val="none"/>
        </w:rPr>
        <w:t>[2009]36</w:t>
      </w:r>
      <w:r>
        <w:rPr>
          <w:rFonts w:hint="eastAsia"/>
          <w:color w:val="auto"/>
          <w:szCs w:val="21"/>
          <w:highlight w:val="none"/>
        </w:rPr>
        <w:t>号</w:t>
      </w:r>
      <w:r>
        <w:rPr>
          <w:color w:val="auto"/>
          <w:szCs w:val="21"/>
          <w:highlight w:val="none"/>
        </w:rPr>
        <w:t>)</w:t>
      </w:r>
      <w:r>
        <w:rPr>
          <w:rFonts w:hint="eastAsia"/>
          <w:color w:val="auto"/>
          <w:szCs w:val="21"/>
          <w:highlight w:val="none"/>
        </w:rPr>
        <w:t>，制定本规定。</w:t>
      </w:r>
    </w:p>
    <w:p w14:paraId="0E455AA3">
      <w:pPr>
        <w:pStyle w:val="19"/>
        <w:spacing w:after="120"/>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12728726">
      <w:pPr>
        <w:pStyle w:val="19"/>
        <w:spacing w:after="120"/>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B49F7C">
      <w:pPr>
        <w:pStyle w:val="19"/>
        <w:spacing w:after="120"/>
        <w:rPr>
          <w:color w:val="auto"/>
          <w:szCs w:val="21"/>
          <w:highlight w:val="none"/>
        </w:rPr>
      </w:pPr>
      <w:r>
        <w:rPr>
          <w:rFonts w:hint="eastAsia"/>
          <w:color w:val="auto"/>
          <w:szCs w:val="21"/>
          <w:highlight w:val="none"/>
        </w:rPr>
        <w:t>　　四、各行业划型标准为：</w:t>
      </w:r>
    </w:p>
    <w:p w14:paraId="60F41BC0">
      <w:pPr>
        <w:pStyle w:val="19"/>
        <w:spacing w:after="120"/>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3355E73B">
      <w:pPr>
        <w:pStyle w:val="19"/>
        <w:spacing w:after="120"/>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CBDB051">
      <w:pPr>
        <w:pStyle w:val="19"/>
        <w:spacing w:after="120"/>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41FB3EA3">
      <w:pPr>
        <w:pStyle w:val="19"/>
        <w:spacing w:after="120"/>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076DB568">
      <w:pPr>
        <w:pStyle w:val="19"/>
        <w:spacing w:after="120"/>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2BC3028">
      <w:pPr>
        <w:pStyle w:val="19"/>
        <w:spacing w:after="120"/>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60439B33">
      <w:pPr>
        <w:pStyle w:val="19"/>
        <w:spacing w:after="120"/>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462A881">
      <w:pPr>
        <w:pStyle w:val="19"/>
        <w:spacing w:after="120"/>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3893500">
      <w:pPr>
        <w:pStyle w:val="19"/>
        <w:spacing w:after="120"/>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14DE228">
      <w:pPr>
        <w:pStyle w:val="19"/>
        <w:spacing w:after="120"/>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66B9453">
      <w:pPr>
        <w:pStyle w:val="19"/>
        <w:spacing w:after="120"/>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33865E4">
      <w:pPr>
        <w:pStyle w:val="19"/>
        <w:spacing w:after="120"/>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376B1F41">
      <w:pPr>
        <w:pStyle w:val="19"/>
        <w:spacing w:after="120"/>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0B77ACA6">
      <w:pPr>
        <w:pStyle w:val="19"/>
        <w:spacing w:after="120"/>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4FF209AC">
      <w:pPr>
        <w:pStyle w:val="19"/>
        <w:spacing w:after="120"/>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324CA43A">
      <w:pPr>
        <w:pStyle w:val="19"/>
        <w:spacing w:after="120"/>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66488AB7">
      <w:pPr>
        <w:pStyle w:val="19"/>
        <w:spacing w:after="120"/>
        <w:rPr>
          <w:color w:val="auto"/>
          <w:szCs w:val="21"/>
          <w:highlight w:val="none"/>
        </w:rPr>
      </w:pPr>
      <w:r>
        <w:rPr>
          <w:rFonts w:hint="eastAsia"/>
          <w:color w:val="auto"/>
          <w:szCs w:val="21"/>
          <w:highlight w:val="none"/>
        </w:rPr>
        <w:t>　　五、企业类型的划分以统计部门的统计数据为依据。</w:t>
      </w:r>
    </w:p>
    <w:p w14:paraId="1C51E869">
      <w:pPr>
        <w:pStyle w:val="19"/>
        <w:spacing w:after="120"/>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6D63C129">
      <w:pPr>
        <w:pStyle w:val="19"/>
        <w:spacing w:after="120"/>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6A4F7F6">
      <w:pPr>
        <w:pStyle w:val="19"/>
        <w:spacing w:after="120"/>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45B34385">
      <w:pPr>
        <w:pStyle w:val="19"/>
        <w:spacing w:after="120"/>
        <w:rPr>
          <w:color w:val="auto"/>
          <w:szCs w:val="21"/>
          <w:highlight w:val="none"/>
        </w:rPr>
      </w:pPr>
      <w:r>
        <w:rPr>
          <w:rFonts w:hint="eastAsia"/>
          <w:color w:val="auto"/>
          <w:szCs w:val="21"/>
          <w:highlight w:val="none"/>
        </w:rPr>
        <w:t>　　九、本规定由工业和信息化部、国家统计局会同有关部门负责解释。</w:t>
      </w:r>
    </w:p>
    <w:p w14:paraId="5718F5D6">
      <w:pPr>
        <w:pStyle w:val="19"/>
        <w:spacing w:after="120"/>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3C7B930C">
      <w:pPr>
        <w:pStyle w:val="19"/>
        <w:spacing w:after="120"/>
        <w:ind w:firstLine="420"/>
        <w:rPr>
          <w:color w:val="auto"/>
          <w:szCs w:val="21"/>
          <w:highlight w:val="none"/>
        </w:rPr>
      </w:pPr>
    </w:p>
    <w:p w14:paraId="514AED39">
      <w:pPr>
        <w:pStyle w:val="19"/>
        <w:spacing w:after="120"/>
        <w:ind w:firstLine="420"/>
        <w:rPr>
          <w:color w:val="auto"/>
          <w:szCs w:val="21"/>
          <w:highlight w:val="none"/>
        </w:rPr>
      </w:pPr>
    </w:p>
    <w:p w14:paraId="05129C4C">
      <w:pPr>
        <w:pStyle w:val="19"/>
        <w:spacing w:after="120"/>
        <w:ind w:firstLine="420"/>
        <w:rPr>
          <w:color w:val="auto"/>
          <w:szCs w:val="21"/>
          <w:highlight w:val="none"/>
        </w:rPr>
      </w:pPr>
    </w:p>
    <w:p w14:paraId="736AFFAC">
      <w:pPr>
        <w:pStyle w:val="19"/>
        <w:spacing w:after="120"/>
        <w:ind w:firstLine="420"/>
        <w:rPr>
          <w:color w:val="auto"/>
          <w:szCs w:val="21"/>
          <w:highlight w:val="none"/>
        </w:rPr>
      </w:pPr>
    </w:p>
    <w:p w14:paraId="0D471EAD">
      <w:pPr>
        <w:pStyle w:val="19"/>
        <w:spacing w:after="120"/>
        <w:ind w:firstLine="420"/>
        <w:rPr>
          <w:color w:val="auto"/>
          <w:szCs w:val="21"/>
          <w:highlight w:val="none"/>
        </w:rPr>
      </w:pPr>
    </w:p>
    <w:p w14:paraId="2B5965E4">
      <w:pPr>
        <w:pStyle w:val="3"/>
        <w:jc w:val="center"/>
        <w:rPr>
          <w:rFonts w:ascii="宋体" w:hAnsi="宋体" w:eastAsia="宋体" w:cs="宋体"/>
          <w:color w:val="auto"/>
          <w:highlight w:val="none"/>
        </w:rPr>
      </w:pPr>
      <w:r>
        <w:rPr>
          <w:rFonts w:hint="eastAsia" w:ascii="宋体" w:hAnsi="宋体" w:eastAsia="宋体" w:cs="宋体"/>
          <w:color w:val="auto"/>
          <w:highlight w:val="none"/>
        </w:rPr>
        <w:t>第三章  投标人须知</w:t>
      </w:r>
      <w:bookmarkEnd w:id="73"/>
    </w:p>
    <w:p w14:paraId="73B7CAB3">
      <w:pPr>
        <w:jc w:val="center"/>
        <w:rPr>
          <w:rFonts w:ascii="宋体" w:hAnsi="宋体" w:cs="宋体"/>
          <w:color w:val="auto"/>
          <w:sz w:val="36"/>
          <w:szCs w:val="36"/>
          <w:highlight w:val="none"/>
        </w:rPr>
      </w:pPr>
      <w:r>
        <w:rPr>
          <w:rFonts w:hint="eastAsia" w:ascii="宋体" w:hAnsi="宋体" w:cs="宋体"/>
          <w:color w:val="auto"/>
          <w:sz w:val="36"/>
          <w:szCs w:val="36"/>
          <w:highlight w:val="none"/>
        </w:rPr>
        <w:t>投标人须知前附表</w:t>
      </w:r>
    </w:p>
    <w:tbl>
      <w:tblPr>
        <w:tblStyle w:val="55"/>
        <w:tblW w:w="90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160"/>
      </w:tblGrid>
      <w:tr w14:paraId="3B1C2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531E5C54">
            <w:pPr>
              <w:snapToGrid w:val="0"/>
              <w:jc w:val="center"/>
              <w:rPr>
                <w:rFonts w:ascii="宋体" w:hAnsi="宋体" w:cs="宋体"/>
                <w:color w:val="auto"/>
                <w:szCs w:val="21"/>
                <w:highlight w:val="none"/>
              </w:rPr>
            </w:pPr>
            <w:r>
              <w:rPr>
                <w:rFonts w:hint="eastAsia" w:ascii="宋体" w:hAnsi="宋体" w:cs="宋体"/>
                <w:color w:val="auto"/>
                <w:spacing w:val="-6"/>
                <w:szCs w:val="21"/>
                <w:highlight w:val="none"/>
              </w:rPr>
              <w:t>条款号</w:t>
            </w:r>
          </w:p>
        </w:tc>
        <w:tc>
          <w:tcPr>
            <w:tcW w:w="8160" w:type="dxa"/>
            <w:tcBorders>
              <w:top w:val="single" w:color="auto" w:sz="4" w:space="0"/>
              <w:left w:val="single" w:color="auto" w:sz="4" w:space="0"/>
              <w:bottom w:val="single" w:color="auto" w:sz="4" w:space="0"/>
              <w:right w:val="single" w:color="auto" w:sz="4" w:space="0"/>
            </w:tcBorders>
            <w:vAlign w:val="center"/>
          </w:tcPr>
          <w:p w14:paraId="7B4E079F">
            <w:pPr>
              <w:snapToGrid w:val="0"/>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57D8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8B8B648">
            <w:pPr>
              <w:jc w:val="center"/>
              <w:rPr>
                <w:rFonts w:ascii="宋体" w:hAnsi="宋体" w:cs="宋体"/>
                <w:color w:val="auto"/>
                <w:highlight w:val="none"/>
              </w:rPr>
            </w:pPr>
            <w:bookmarkStart w:id="74" w:name="_5"/>
            <w:bookmarkEnd w:id="74"/>
            <w:r>
              <w:rPr>
                <w:rFonts w:hint="eastAsia" w:ascii="宋体" w:hAnsi="宋体" w:cs="宋体"/>
                <w:color w:val="auto"/>
                <w:highlight w:val="none"/>
              </w:rPr>
              <w:t>3</w:t>
            </w:r>
          </w:p>
        </w:tc>
        <w:tc>
          <w:tcPr>
            <w:tcW w:w="8160" w:type="dxa"/>
            <w:tcBorders>
              <w:top w:val="single" w:color="auto" w:sz="4" w:space="0"/>
              <w:left w:val="single" w:color="auto" w:sz="4" w:space="0"/>
              <w:bottom w:val="single" w:color="auto" w:sz="4" w:space="0"/>
              <w:right w:val="single" w:color="auto" w:sz="4" w:space="0"/>
            </w:tcBorders>
            <w:vAlign w:val="center"/>
          </w:tcPr>
          <w:p w14:paraId="06DF1740">
            <w:pPr>
              <w:snapToGrid w:val="0"/>
              <w:rPr>
                <w:rFonts w:ascii="宋体" w:hAnsi="宋体" w:cs="宋体"/>
                <w:color w:val="auto"/>
                <w:highlight w:val="none"/>
              </w:rPr>
            </w:pPr>
            <w:r>
              <w:rPr>
                <w:rFonts w:hint="eastAsia" w:ascii="宋体" w:hAnsi="宋体" w:cs="宋体"/>
                <w:color w:val="auto"/>
                <w:highlight w:val="none"/>
              </w:rPr>
              <w:t>1.投标人的资格要求详见招标公告。</w:t>
            </w:r>
          </w:p>
          <w:p w14:paraId="459A0494">
            <w:pPr>
              <w:snapToGrid w:val="0"/>
              <w:rPr>
                <w:rFonts w:ascii="宋体" w:hAnsi="宋体" w:cs="宋体"/>
                <w:color w:val="auto"/>
                <w:highlight w:val="none"/>
              </w:rPr>
            </w:pPr>
            <w:r>
              <w:rPr>
                <w:rFonts w:hint="eastAsia" w:ascii="宋体" w:hAnsi="宋体" w:cs="宋体"/>
                <w:color w:val="auto"/>
                <w:highlight w:val="none"/>
              </w:rPr>
              <w:t>2.投标人出现下列情形之一的，不得参加政府采购活动：</w:t>
            </w:r>
          </w:p>
          <w:p w14:paraId="343DC02C">
            <w:pPr>
              <w:snapToGrid w:val="0"/>
              <w:ind w:firstLine="420"/>
              <w:rPr>
                <w:rFonts w:ascii="宋体" w:hAnsi="宋体" w:cs="宋体"/>
                <w:color w:val="auto"/>
                <w:highlight w:val="none"/>
              </w:rPr>
            </w:pPr>
            <w:r>
              <w:rPr>
                <w:rFonts w:hint="eastAsia" w:ascii="宋体" w:hAnsi="宋体" w:cs="宋体"/>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5E341F">
            <w:pPr>
              <w:snapToGrid w:val="0"/>
              <w:ind w:firstLine="420"/>
              <w:rPr>
                <w:rFonts w:ascii="宋体" w:hAnsi="宋体" w:cs="宋体"/>
                <w:color w:val="auto"/>
                <w:szCs w:val="21"/>
                <w:highlight w:val="none"/>
              </w:rPr>
            </w:pPr>
            <w:r>
              <w:rPr>
                <w:rFonts w:hint="eastAsia" w:ascii="宋体" w:hAnsi="宋体" w:cs="宋体"/>
                <w:color w:val="auto"/>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6981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C6A7D93">
            <w:pPr>
              <w:jc w:val="center"/>
              <w:rPr>
                <w:rFonts w:ascii="宋体" w:hAnsi="宋体" w:cs="宋体"/>
                <w:color w:val="auto"/>
                <w:highlight w:val="none"/>
              </w:rPr>
            </w:pPr>
            <w:bookmarkStart w:id="75" w:name="_8.1"/>
            <w:bookmarkEnd w:id="75"/>
            <w:bookmarkStart w:id="76" w:name="_9.2"/>
            <w:bookmarkEnd w:id="76"/>
            <w:r>
              <w:rPr>
                <w:rFonts w:hint="eastAsia" w:ascii="宋体" w:hAnsi="宋体" w:cs="宋体"/>
                <w:color w:val="auto"/>
                <w:highlight w:val="none"/>
              </w:rPr>
              <w:t>6.1</w:t>
            </w:r>
          </w:p>
        </w:tc>
        <w:tc>
          <w:tcPr>
            <w:tcW w:w="8160" w:type="dxa"/>
            <w:tcBorders>
              <w:top w:val="single" w:color="auto" w:sz="4" w:space="0"/>
              <w:left w:val="single" w:color="auto" w:sz="4" w:space="0"/>
              <w:bottom w:val="single" w:color="auto" w:sz="4" w:space="0"/>
              <w:right w:val="single" w:color="auto" w:sz="4" w:space="0"/>
            </w:tcBorders>
            <w:vAlign w:val="center"/>
          </w:tcPr>
          <w:p w14:paraId="591388F9">
            <w:pPr>
              <w:pStyle w:val="17"/>
              <w:spacing w:line="360" w:lineRule="auto"/>
              <w:rPr>
                <w:rFonts w:ascii="宋体" w:hAnsi="宋体" w:cs="宋体"/>
                <w:color w:val="auto"/>
                <w:highlight w:val="none"/>
              </w:rPr>
            </w:pPr>
            <w:r>
              <w:rPr>
                <w:rFonts w:hint="eastAsia" w:ascii="宋体" w:hAnsi="宋体" w:cs="宋体"/>
                <w:color w:val="auto"/>
                <w:szCs w:val="21"/>
                <w:highlight w:val="none"/>
              </w:rPr>
              <w:t>本项目是否接受联合体投标：详见招标公告。</w:t>
            </w:r>
          </w:p>
        </w:tc>
      </w:tr>
      <w:tr w14:paraId="41D2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79CD852">
            <w:pPr>
              <w:jc w:val="center"/>
              <w:rPr>
                <w:rFonts w:ascii="宋体" w:hAnsi="宋体" w:cs="宋体"/>
                <w:color w:val="auto"/>
                <w:highlight w:val="none"/>
              </w:rPr>
            </w:pPr>
            <w:r>
              <w:rPr>
                <w:rFonts w:hint="eastAsia" w:ascii="宋体" w:hAnsi="宋体" w:cs="宋体"/>
                <w:color w:val="auto"/>
                <w:highlight w:val="none"/>
              </w:rPr>
              <w:t>6.2</w:t>
            </w:r>
          </w:p>
        </w:tc>
        <w:tc>
          <w:tcPr>
            <w:tcW w:w="8160" w:type="dxa"/>
            <w:tcBorders>
              <w:top w:val="single" w:color="auto" w:sz="4" w:space="0"/>
              <w:left w:val="single" w:color="auto" w:sz="4" w:space="0"/>
              <w:bottom w:val="single" w:color="auto" w:sz="4" w:space="0"/>
              <w:right w:val="single" w:color="auto" w:sz="4" w:space="0"/>
            </w:tcBorders>
            <w:vAlign w:val="center"/>
          </w:tcPr>
          <w:p w14:paraId="16551FB2">
            <w:pPr>
              <w:pStyle w:val="17"/>
              <w:spacing w:line="360" w:lineRule="auto"/>
              <w:rPr>
                <w:rFonts w:ascii="宋体" w:hAnsi="宋体" w:cs="宋体"/>
                <w:color w:val="auto"/>
                <w:highlight w:val="none"/>
              </w:rPr>
            </w:pPr>
            <w:r>
              <w:rPr>
                <w:rFonts w:hint="eastAsia" w:ascii="宋体" w:hAnsi="宋体" w:cs="宋体"/>
                <w:color w:val="auto"/>
                <w:szCs w:val="21"/>
                <w:highlight w:val="none"/>
              </w:rPr>
              <w:t>联合体投标要求：无。</w:t>
            </w:r>
          </w:p>
        </w:tc>
      </w:tr>
      <w:tr w14:paraId="371A1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FAE9C87">
            <w:pPr>
              <w:jc w:val="center"/>
              <w:rPr>
                <w:rFonts w:ascii="宋体" w:hAnsi="宋体" w:cs="宋体"/>
                <w:color w:val="auto"/>
                <w:highlight w:val="none"/>
              </w:rPr>
            </w:pPr>
            <w:r>
              <w:rPr>
                <w:rFonts w:hint="eastAsia" w:ascii="宋体" w:hAnsi="宋体" w:cs="宋体"/>
                <w:color w:val="auto"/>
                <w:highlight w:val="none"/>
              </w:rPr>
              <w:t>7.2</w:t>
            </w:r>
          </w:p>
        </w:tc>
        <w:tc>
          <w:tcPr>
            <w:tcW w:w="8160" w:type="dxa"/>
            <w:tcBorders>
              <w:top w:val="single" w:color="auto" w:sz="4" w:space="0"/>
              <w:left w:val="single" w:color="auto" w:sz="4" w:space="0"/>
              <w:bottom w:val="single" w:color="auto" w:sz="4" w:space="0"/>
              <w:right w:val="single" w:color="auto" w:sz="4" w:space="0"/>
            </w:tcBorders>
            <w:vAlign w:val="center"/>
          </w:tcPr>
          <w:p w14:paraId="3A6B57BF">
            <w:pPr>
              <w:pStyle w:val="17"/>
              <w:spacing w:line="360" w:lineRule="auto"/>
              <w:rPr>
                <w:rFonts w:ascii="宋体" w:hAnsi="宋体" w:cs="宋体"/>
                <w:color w:val="auto"/>
                <w:szCs w:val="21"/>
                <w:highlight w:val="none"/>
              </w:rPr>
            </w:pPr>
            <w:r>
              <w:rPr>
                <w:rFonts w:hint="eastAsia" w:ascii="宋体" w:hAnsi="宋体" w:cs="宋体"/>
                <w:color w:val="auto"/>
                <w:highlight w:val="none"/>
              </w:rPr>
              <w:t>√不</w:t>
            </w:r>
            <w:r>
              <w:rPr>
                <w:rFonts w:hint="eastAsia" w:ascii="宋体" w:hAnsi="宋体" w:cs="宋体"/>
                <w:color w:val="auto"/>
                <w:szCs w:val="21"/>
                <w:highlight w:val="none"/>
              </w:rPr>
              <w:t>允许分包</w:t>
            </w:r>
          </w:p>
        </w:tc>
      </w:tr>
      <w:tr w14:paraId="53763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CD74988">
            <w:pPr>
              <w:spacing w:line="360" w:lineRule="auto"/>
              <w:jc w:val="center"/>
              <w:rPr>
                <w:rFonts w:ascii="宋体" w:hAnsi="宋体" w:cs="宋体"/>
                <w:color w:val="auto"/>
                <w:highlight w:val="none"/>
              </w:rPr>
            </w:pPr>
            <w:r>
              <w:rPr>
                <w:rFonts w:hint="eastAsia" w:ascii="宋体" w:hAnsi="宋体" w:cs="宋体"/>
                <w:color w:val="auto"/>
                <w:szCs w:val="21"/>
                <w:highlight w:val="none"/>
              </w:rPr>
              <w:t>11.2</w:t>
            </w:r>
          </w:p>
        </w:tc>
        <w:tc>
          <w:tcPr>
            <w:tcW w:w="8160" w:type="dxa"/>
            <w:tcBorders>
              <w:top w:val="single" w:color="auto" w:sz="4" w:space="0"/>
              <w:left w:val="single" w:color="auto" w:sz="4" w:space="0"/>
              <w:bottom w:val="single" w:color="auto" w:sz="4" w:space="0"/>
              <w:right w:val="single" w:color="auto" w:sz="4" w:space="0"/>
            </w:tcBorders>
            <w:vAlign w:val="center"/>
          </w:tcPr>
          <w:p w14:paraId="44D05552">
            <w:pPr>
              <w:snapToGrid w:val="0"/>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不组织现场考察</w:t>
            </w:r>
          </w:p>
        </w:tc>
      </w:tr>
      <w:tr w14:paraId="3688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restart"/>
            <w:tcBorders>
              <w:top w:val="single" w:color="auto" w:sz="4" w:space="0"/>
              <w:left w:val="single" w:color="auto" w:sz="4" w:space="0"/>
              <w:right w:val="single" w:color="auto" w:sz="4" w:space="0"/>
            </w:tcBorders>
            <w:vAlign w:val="center"/>
          </w:tcPr>
          <w:p w14:paraId="4D7A6395">
            <w:pPr>
              <w:jc w:val="center"/>
              <w:rPr>
                <w:rFonts w:ascii="宋体" w:hAnsi="宋体" w:cs="宋体"/>
                <w:color w:val="auto"/>
                <w:highlight w:val="none"/>
              </w:rPr>
            </w:pPr>
            <w:bookmarkStart w:id="77" w:name="_13.1"/>
            <w:bookmarkEnd w:id="77"/>
            <w:r>
              <w:rPr>
                <w:rFonts w:hint="eastAsia" w:ascii="宋体" w:hAnsi="宋体" w:cs="宋体"/>
                <w:color w:val="auto"/>
                <w:highlight w:val="none"/>
              </w:rPr>
              <w:t>13</w:t>
            </w:r>
          </w:p>
        </w:tc>
        <w:tc>
          <w:tcPr>
            <w:tcW w:w="8160" w:type="dxa"/>
            <w:tcBorders>
              <w:top w:val="single" w:color="auto" w:sz="4" w:space="0"/>
              <w:left w:val="single" w:color="auto" w:sz="4" w:space="0"/>
              <w:bottom w:val="single" w:color="auto" w:sz="4" w:space="0"/>
              <w:right w:val="single" w:color="auto" w:sz="4" w:space="0"/>
            </w:tcBorders>
            <w:vAlign w:val="center"/>
          </w:tcPr>
          <w:p w14:paraId="35B07345">
            <w:pPr>
              <w:snapToGrid w:val="0"/>
              <w:jc w:val="left"/>
              <w:rPr>
                <w:rFonts w:ascii="宋体" w:hAnsi="宋体" w:cs="宋体"/>
                <w:b/>
                <w:color w:val="auto"/>
                <w:szCs w:val="21"/>
                <w:highlight w:val="none"/>
              </w:rPr>
            </w:pPr>
            <w:r>
              <w:rPr>
                <w:rFonts w:hint="eastAsia" w:ascii="宋体" w:hAnsi="宋体" w:cs="宋体"/>
                <w:b/>
                <w:color w:val="auto"/>
                <w:szCs w:val="21"/>
                <w:highlight w:val="none"/>
              </w:rPr>
              <w:t>报价文件</w:t>
            </w:r>
            <w:r>
              <w:rPr>
                <w:rFonts w:hint="eastAsia" w:ascii="宋体" w:hAnsi="宋体" w:cs="宋体"/>
                <w:b/>
                <w:color w:val="auto"/>
                <w:sz w:val="24"/>
                <w:highlight w:val="none"/>
              </w:rPr>
              <w:t>：</w:t>
            </w:r>
          </w:p>
          <w:p w14:paraId="0F862AB0">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14:paraId="6A6FF088">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6931D2">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14:paraId="20EEF9BF">
            <w:pPr>
              <w:snapToGrid w:val="0"/>
              <w:jc w:val="left"/>
              <w:rPr>
                <w:rFonts w:ascii="宋体" w:hAnsi="宋体" w:cs="宋体"/>
                <w:color w:val="auto"/>
                <w:sz w:val="24"/>
                <w:highlight w:val="none"/>
              </w:rPr>
            </w:pPr>
            <w:r>
              <w:rPr>
                <w:rFonts w:hint="eastAsia" w:ascii="宋体" w:hAnsi="宋体" w:cs="宋体"/>
                <w:b/>
                <w:bCs/>
                <w:color w:val="auto"/>
                <w:szCs w:val="21"/>
                <w:highlight w:val="none"/>
              </w:rPr>
              <w:t>注：以上标明“必须提供”的，必须加盖投标人电子签章，否则按无效投标处理。</w:t>
            </w:r>
          </w:p>
        </w:tc>
      </w:tr>
      <w:tr w14:paraId="41009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right w:val="single" w:color="auto" w:sz="4" w:space="0"/>
            </w:tcBorders>
            <w:vAlign w:val="center"/>
          </w:tcPr>
          <w:p w14:paraId="1E89D503">
            <w:pPr>
              <w:jc w:val="center"/>
              <w:rPr>
                <w:rFonts w:ascii="宋体" w:hAnsi="宋体" w:cs="宋体"/>
                <w:color w:val="auto"/>
                <w:highlight w:val="none"/>
              </w:rPr>
            </w:pPr>
            <w:bookmarkStart w:id="78" w:name="_13.2"/>
            <w:bookmarkEnd w:id="78"/>
          </w:p>
        </w:tc>
        <w:tc>
          <w:tcPr>
            <w:tcW w:w="8160" w:type="dxa"/>
            <w:tcBorders>
              <w:top w:val="single" w:color="auto" w:sz="4" w:space="0"/>
              <w:left w:val="single" w:color="auto" w:sz="4" w:space="0"/>
              <w:bottom w:val="single" w:color="auto" w:sz="4" w:space="0"/>
              <w:right w:val="single" w:color="auto" w:sz="4" w:space="0"/>
            </w:tcBorders>
            <w:vAlign w:val="center"/>
          </w:tcPr>
          <w:p w14:paraId="73C9924C">
            <w:pPr>
              <w:snapToGrid w:val="0"/>
              <w:jc w:val="left"/>
              <w:rPr>
                <w:rFonts w:ascii="宋体" w:hAnsi="宋体" w:cs="宋体"/>
                <w:color w:val="auto"/>
                <w:highlight w:val="none"/>
              </w:rPr>
            </w:pPr>
            <w:r>
              <w:rPr>
                <w:rFonts w:hint="eastAsia" w:ascii="宋体" w:hAnsi="宋体" w:cs="宋体"/>
                <w:color w:val="auto"/>
                <w:highlight w:val="none"/>
              </w:rPr>
              <w:t>资格证明文件</w:t>
            </w:r>
          </w:p>
          <w:p w14:paraId="754B1BE6">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投标人合法的主体资格证明（如营业执照、事业单位法人证书、执业许可证、资质证书、自然人身份证等）复印件；（</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36006559">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《贵港市政府采购项目投标资格承诺函》（详见附件）；（</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141B8BBC">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64CF2285">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投标人直接控股、管理关系信息表（格式后附）；（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2AEEB4F4">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bCs/>
                <w:color w:val="auto"/>
                <w:szCs w:val="21"/>
                <w:highlight w:val="none"/>
              </w:rPr>
              <w:t>（如有请提供）</w:t>
            </w:r>
          </w:p>
          <w:p w14:paraId="0FA446A5">
            <w:pPr>
              <w:numPr>
                <w:ilvl w:val="0"/>
                <w:numId w:val="8"/>
              </w:numPr>
              <w:snapToGrid w:val="0"/>
              <w:jc w:val="left"/>
              <w:rPr>
                <w:rFonts w:ascii="宋体" w:hAnsi="宋体" w:cs="宋体"/>
                <w:color w:val="auto"/>
                <w:highlight w:val="none"/>
              </w:rPr>
            </w:pPr>
            <w:r>
              <w:rPr>
                <w:rFonts w:hint="eastAsia" w:ascii="宋体" w:hAnsi="宋体" w:cs="宋体"/>
                <w:color w:val="auto"/>
                <w:szCs w:val="21"/>
                <w:highlight w:val="none"/>
              </w:rPr>
              <w:t>除</w:t>
            </w:r>
            <w:r>
              <w:rPr>
                <w:rFonts w:hint="eastAsia" w:ascii="宋体" w:hAnsi="宋体" w:cs="宋体"/>
                <w:color w:val="auto"/>
                <w:highlight w:val="none"/>
              </w:rPr>
              <w:t>招标文件规定必须提供以外，投标人认为需要提供的其他证明材料。</w:t>
            </w:r>
          </w:p>
          <w:p w14:paraId="00F40B48">
            <w:pPr>
              <w:snapToGrid w:val="0"/>
              <w:jc w:val="left"/>
              <w:rPr>
                <w:rFonts w:ascii="宋体" w:hAnsi="宋体" w:cs="宋体"/>
                <w:color w:val="auto"/>
                <w:highlight w:val="none"/>
              </w:rPr>
            </w:pPr>
            <w:r>
              <w:rPr>
                <w:rFonts w:hint="eastAsia" w:ascii="宋体" w:hAnsi="宋体" w:cs="宋体"/>
                <w:b/>
                <w:bCs/>
                <w:color w:val="auto"/>
                <w:szCs w:val="21"/>
                <w:highlight w:val="none"/>
              </w:rPr>
              <w:t>注：以上标明“必须</w:t>
            </w:r>
            <w:r>
              <w:rPr>
                <w:rFonts w:hint="eastAsia" w:ascii="宋体" w:hAnsi="宋体"/>
                <w:b/>
                <w:bCs/>
                <w:color w:val="auto"/>
                <w:szCs w:val="21"/>
                <w:highlight w:val="none"/>
              </w:rPr>
              <w:t>提供”的材料的，必须加盖投标人电子签章，否则按无效投标</w:t>
            </w:r>
            <w:r>
              <w:rPr>
                <w:rFonts w:hint="eastAsia" w:ascii="宋体" w:hAnsi="宋体" w:cs="Courier New"/>
                <w:b/>
                <w:color w:val="auto"/>
                <w:szCs w:val="21"/>
                <w:highlight w:val="none"/>
              </w:rPr>
              <w:t>处理。</w:t>
            </w:r>
          </w:p>
        </w:tc>
      </w:tr>
      <w:tr w14:paraId="319B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right w:val="single" w:color="auto" w:sz="4" w:space="0"/>
            </w:tcBorders>
            <w:vAlign w:val="center"/>
          </w:tcPr>
          <w:p w14:paraId="2352CF81">
            <w:pPr>
              <w:jc w:val="center"/>
              <w:rPr>
                <w:rFonts w:ascii="宋体" w:hAnsi="宋体" w:cs="宋体"/>
                <w:color w:val="auto"/>
                <w:highlight w:val="none"/>
              </w:rPr>
            </w:pPr>
            <w:bookmarkStart w:id="79" w:name="_13.3"/>
            <w:bookmarkEnd w:id="79"/>
          </w:p>
        </w:tc>
        <w:tc>
          <w:tcPr>
            <w:tcW w:w="8160" w:type="dxa"/>
            <w:tcBorders>
              <w:top w:val="single" w:color="auto" w:sz="4" w:space="0"/>
              <w:left w:val="single" w:color="auto" w:sz="4" w:space="0"/>
              <w:bottom w:val="single" w:color="auto" w:sz="4" w:space="0"/>
              <w:right w:val="single" w:color="auto" w:sz="4" w:space="0"/>
            </w:tcBorders>
            <w:vAlign w:val="center"/>
          </w:tcPr>
          <w:p w14:paraId="02957D7F">
            <w:pPr>
              <w:snapToGrid w:val="0"/>
              <w:jc w:val="left"/>
              <w:rPr>
                <w:rFonts w:ascii="宋体" w:hAnsi="宋体" w:cs="宋体"/>
                <w:color w:val="auto"/>
                <w:highlight w:val="none"/>
              </w:rPr>
            </w:pPr>
            <w:r>
              <w:rPr>
                <w:rFonts w:hint="eastAsia" w:ascii="宋体" w:hAnsi="宋体" w:cs="宋体"/>
                <w:color w:val="auto"/>
                <w:highlight w:val="none"/>
              </w:rPr>
              <w:t>商务文件：</w:t>
            </w:r>
          </w:p>
          <w:p w14:paraId="71A198AA">
            <w:pPr>
              <w:snapToGrid w:val="0"/>
              <w:ind w:left="413"/>
              <w:jc w:val="left"/>
              <w:rPr>
                <w:rFonts w:ascii="宋体" w:hAnsi="宋体"/>
                <w:color w:val="auto"/>
                <w:szCs w:val="21"/>
                <w:highlight w:val="none"/>
              </w:rPr>
            </w:pPr>
            <w:r>
              <w:rPr>
                <w:rFonts w:hint="eastAsia" w:ascii="宋体" w:hAnsi="宋体"/>
                <w:color w:val="auto"/>
                <w:szCs w:val="21"/>
                <w:highlight w:val="none"/>
              </w:rPr>
              <w:t>1.投标人参加本项目无围标串标行为的承诺（格式后附）；（</w:t>
            </w:r>
            <w:r>
              <w:rPr>
                <w:rFonts w:hint="eastAsia" w:ascii="宋体" w:hAnsi="宋体"/>
                <w:b/>
                <w:bCs/>
                <w:color w:val="auto"/>
                <w:szCs w:val="21"/>
                <w:highlight w:val="none"/>
              </w:rPr>
              <w:t>必须提供，否则作无效投标处理</w:t>
            </w:r>
            <w:r>
              <w:rPr>
                <w:rFonts w:hint="eastAsia" w:ascii="宋体" w:hAnsi="宋体"/>
                <w:color w:val="auto"/>
                <w:szCs w:val="21"/>
                <w:highlight w:val="none"/>
              </w:rPr>
              <w:t>）</w:t>
            </w:r>
          </w:p>
          <w:p w14:paraId="4D2671D7">
            <w:pPr>
              <w:snapToGrid w:val="0"/>
              <w:ind w:left="413"/>
              <w:jc w:val="left"/>
              <w:rPr>
                <w:rFonts w:ascii="宋体" w:hAnsi="宋体"/>
                <w:color w:val="auto"/>
                <w:szCs w:val="21"/>
                <w:highlight w:val="none"/>
              </w:rPr>
            </w:pPr>
            <w:r>
              <w:rPr>
                <w:rFonts w:hint="eastAsia" w:ascii="宋体" w:hAnsi="宋体"/>
                <w:color w:val="auto"/>
                <w:szCs w:val="21"/>
                <w:highlight w:val="none"/>
              </w:rPr>
              <w:t>2.商务要求偏离表（格式后附）；（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843DADD">
            <w:pPr>
              <w:snapToGrid w:val="0"/>
              <w:ind w:left="413"/>
              <w:jc w:val="left"/>
              <w:rPr>
                <w:color w:val="auto"/>
                <w:highlight w:val="none"/>
              </w:rPr>
            </w:pPr>
            <w:r>
              <w:rPr>
                <w:rFonts w:hint="eastAsia" w:ascii="宋体" w:hAnsi="宋体"/>
                <w:color w:val="auto"/>
                <w:szCs w:val="21"/>
                <w:highlight w:val="none"/>
              </w:rPr>
              <w:t>3.法定代表人(或负责人)身份证明及法定代表人(或负责人)有效身份证正反面复印件（格式后附）；（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8506368">
            <w:pPr>
              <w:snapToGrid w:val="0"/>
              <w:ind w:left="413"/>
              <w:jc w:val="left"/>
              <w:rPr>
                <w:rFonts w:ascii="宋体" w:hAnsi="宋体"/>
                <w:color w:val="auto"/>
                <w:szCs w:val="21"/>
                <w:highlight w:val="none"/>
              </w:rPr>
            </w:pPr>
            <w:r>
              <w:rPr>
                <w:rFonts w:hint="eastAsia" w:ascii="宋体" w:hAnsi="宋体"/>
                <w:color w:val="auto"/>
                <w:szCs w:val="21"/>
                <w:highlight w:val="none"/>
              </w:rPr>
              <w:t>4.法定代表人(或负责人)授权委托书及委托代理人有效身份证正反面复印件（格式后附）；（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115ABAFF">
            <w:pPr>
              <w:snapToGrid w:val="0"/>
              <w:ind w:left="413"/>
              <w:jc w:val="left"/>
              <w:rPr>
                <w:rFonts w:ascii="宋体" w:hAnsi="宋体"/>
                <w:color w:val="auto"/>
                <w:szCs w:val="21"/>
                <w:highlight w:val="none"/>
              </w:rPr>
            </w:pPr>
            <w:r>
              <w:rPr>
                <w:rFonts w:hint="eastAsia" w:ascii="宋体" w:hAnsi="宋体"/>
                <w:color w:val="auto"/>
                <w:szCs w:val="21"/>
                <w:highlight w:val="none"/>
              </w:rPr>
              <w:t>5.投标人情况介绍（格式自拟）；</w:t>
            </w:r>
          </w:p>
          <w:p w14:paraId="1B9276E2">
            <w:pPr>
              <w:snapToGrid w:val="0"/>
              <w:ind w:left="413"/>
              <w:jc w:val="left"/>
              <w:rPr>
                <w:rFonts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6.除招标文件规定必须提供以外，投标人认为需要提供的其他证明材料（格式自拟）。</w:t>
            </w:r>
          </w:p>
          <w:p w14:paraId="034B047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注： 1.法定代表人（或负责人）授权委托书必须由法定代表人（或负责人）及委托代理人签字（或电子签名），并加盖投标人电子签章，否则作无效投标处理。</w:t>
            </w:r>
          </w:p>
          <w:p w14:paraId="3E54DDCB">
            <w:pPr>
              <w:snapToGrid w:val="0"/>
              <w:jc w:val="left"/>
              <w:rPr>
                <w:rFonts w:ascii="宋体" w:hAnsi="宋体" w:cs="宋体"/>
                <w:b/>
                <w:bCs/>
                <w:color w:val="auto"/>
                <w:sz w:val="24"/>
                <w:highlight w:val="none"/>
              </w:rPr>
            </w:pPr>
            <w:r>
              <w:rPr>
                <w:rFonts w:hint="eastAsia" w:ascii="宋体" w:hAnsi="宋体" w:cs="宋体"/>
                <w:b/>
                <w:bCs/>
                <w:color w:val="auto"/>
                <w:sz w:val="24"/>
                <w:highlight w:val="none"/>
              </w:rPr>
              <w:t>2.以上材料属于复印件的，必须加盖投标人电子签章，否则作无效投标处理。</w:t>
            </w:r>
          </w:p>
          <w:p w14:paraId="6E708810">
            <w:pPr>
              <w:snapToGrid w:val="0"/>
              <w:jc w:val="left"/>
              <w:rPr>
                <w:rFonts w:ascii="宋体" w:hAnsi="宋体" w:cs="宋体"/>
                <w:color w:val="auto"/>
                <w:highlight w:val="none"/>
              </w:rPr>
            </w:pPr>
            <w:r>
              <w:rPr>
                <w:rFonts w:hint="eastAsia" w:ascii="宋体" w:hAnsi="宋体" w:cs="宋体"/>
                <w:b/>
                <w:bCs/>
                <w:color w:val="auto"/>
                <w:sz w:val="24"/>
                <w:highlight w:val="none"/>
              </w:rPr>
              <w:t>3.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14:paraId="4D9D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bottom w:val="single" w:color="auto" w:sz="4" w:space="0"/>
              <w:right w:val="single" w:color="auto" w:sz="4" w:space="0"/>
            </w:tcBorders>
            <w:vAlign w:val="center"/>
          </w:tcPr>
          <w:p w14:paraId="7EF6BE1D">
            <w:pPr>
              <w:jc w:val="center"/>
              <w:rPr>
                <w:rFonts w:ascii="宋体" w:hAnsi="宋体" w:cs="宋体"/>
                <w:color w:val="auto"/>
                <w:highlight w:val="none"/>
              </w:rPr>
            </w:pPr>
            <w:bookmarkStart w:id="80" w:name="_13.4"/>
            <w:bookmarkEnd w:id="80"/>
          </w:p>
        </w:tc>
        <w:tc>
          <w:tcPr>
            <w:tcW w:w="8160" w:type="dxa"/>
            <w:tcBorders>
              <w:top w:val="single" w:color="auto" w:sz="4" w:space="0"/>
              <w:left w:val="single" w:color="auto" w:sz="4" w:space="0"/>
              <w:bottom w:val="single" w:color="auto" w:sz="4" w:space="0"/>
              <w:right w:val="single" w:color="auto" w:sz="4" w:space="0"/>
            </w:tcBorders>
            <w:vAlign w:val="center"/>
          </w:tcPr>
          <w:p w14:paraId="2698CF99">
            <w:pPr>
              <w:snapToGrid w:val="0"/>
              <w:jc w:val="left"/>
              <w:rPr>
                <w:rFonts w:ascii="宋体" w:hAnsi="宋体" w:cs="宋体"/>
                <w:color w:val="auto"/>
                <w:highlight w:val="none"/>
              </w:rPr>
            </w:pPr>
            <w:r>
              <w:rPr>
                <w:rFonts w:hint="eastAsia" w:ascii="宋体" w:hAnsi="宋体" w:cs="宋体"/>
                <w:color w:val="auto"/>
                <w:highlight w:val="none"/>
              </w:rPr>
              <w:t>技术文件：</w:t>
            </w:r>
          </w:p>
          <w:p w14:paraId="69FE800E">
            <w:pPr>
              <w:snapToGrid w:val="0"/>
              <w:ind w:left="42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技术要求偏离表；（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AAF09EC">
            <w:pPr>
              <w:snapToGrid w:val="0"/>
              <w:ind w:left="420"/>
              <w:jc w:val="left"/>
              <w:rPr>
                <w:color w:val="auto"/>
                <w:highlight w:val="none"/>
              </w:rPr>
            </w:pPr>
            <w:r>
              <w:rPr>
                <w:rFonts w:hint="eastAsia" w:ascii="宋体" w:hAnsi="宋体"/>
                <w:color w:val="auto"/>
                <w:szCs w:val="21"/>
                <w:highlight w:val="none"/>
              </w:rPr>
              <w:t>2.</w:t>
            </w:r>
            <w:r>
              <w:rPr>
                <w:rFonts w:hint="eastAsia"/>
                <w:color w:val="auto"/>
                <w:highlight w:val="none"/>
              </w:rPr>
              <w:t xml:space="preserve"> 技术方案（可包含</w:t>
            </w:r>
            <w:r>
              <w:rPr>
                <w:rFonts w:hint="eastAsia" w:ascii="宋体" w:hAnsi="宋体" w:cs="宋体"/>
                <w:bCs/>
                <w:color w:val="auto"/>
                <w:sz w:val="22"/>
                <w:szCs w:val="22"/>
                <w:highlight w:val="none"/>
              </w:rPr>
              <w:t>维保实施方案、</w:t>
            </w:r>
            <w:r>
              <w:rPr>
                <w:rFonts w:hint="eastAsia"/>
                <w:color w:val="auto"/>
                <w:highlight w:val="none"/>
              </w:rPr>
              <w:t>故障响应处理方案、</w:t>
            </w:r>
            <w:r>
              <w:rPr>
                <w:rFonts w:hint="eastAsia" w:ascii="宋体" w:hAnsi="宋体" w:cs="宋体"/>
                <w:color w:val="auto"/>
                <w:sz w:val="22"/>
                <w:szCs w:val="22"/>
                <w:highlight w:val="none"/>
              </w:rPr>
              <w:t>备品备件方案、</w:t>
            </w:r>
            <w:r>
              <w:rPr>
                <w:rFonts w:hint="eastAsia" w:ascii="宋体" w:hAnsi="宋体"/>
                <w:color w:val="auto"/>
                <w:highlight w:val="none"/>
              </w:rPr>
              <w:t>拟投入技术力量方案、</w:t>
            </w:r>
            <w:r>
              <w:rPr>
                <w:rFonts w:hint="eastAsia" w:ascii="宋体" w:hAnsi="宋体"/>
                <w:bCs/>
                <w:color w:val="auto"/>
                <w:highlight w:val="none"/>
              </w:rPr>
              <w:t>综合管理服务质量保证措施</w:t>
            </w:r>
            <w:r>
              <w:rPr>
                <w:rFonts w:hint="eastAsia" w:ascii="宋体" w:hAnsi="宋体" w:cs="宋体"/>
                <w:bCs/>
                <w:color w:val="auto"/>
                <w:szCs w:val="21"/>
                <w:highlight w:val="none"/>
              </w:rPr>
              <w:t>等内容）</w:t>
            </w:r>
            <w:r>
              <w:rPr>
                <w:rFonts w:hint="eastAsia"/>
                <w:color w:val="auto"/>
                <w:highlight w:val="none"/>
              </w:rPr>
              <w:t>；（</w:t>
            </w:r>
            <w:r>
              <w:rPr>
                <w:rFonts w:hint="eastAsia"/>
                <w:b/>
                <w:bCs/>
                <w:color w:val="auto"/>
                <w:highlight w:val="none"/>
              </w:rPr>
              <w:t>必须提供，否则作无效投标处理</w:t>
            </w:r>
            <w:r>
              <w:rPr>
                <w:rFonts w:hint="eastAsia"/>
                <w:color w:val="auto"/>
                <w:highlight w:val="none"/>
              </w:rPr>
              <w:t>）</w:t>
            </w:r>
          </w:p>
          <w:p w14:paraId="2DD1DAE0">
            <w:pPr>
              <w:snapToGrid w:val="0"/>
              <w:ind w:left="420"/>
              <w:jc w:val="left"/>
              <w:rPr>
                <w:rFonts w:ascii="宋体" w:hAnsi="宋体"/>
                <w:color w:val="auto"/>
                <w:szCs w:val="21"/>
                <w:highlight w:val="none"/>
              </w:rPr>
            </w:pPr>
            <w:r>
              <w:rPr>
                <w:rFonts w:hint="eastAsia" w:ascii="宋体" w:hAnsi="宋体"/>
                <w:color w:val="auto"/>
                <w:szCs w:val="21"/>
                <w:highlight w:val="none"/>
              </w:rPr>
              <w:t>3. 对本项目总体要求的理解、合理化建议和改进措施；</w:t>
            </w:r>
          </w:p>
          <w:p w14:paraId="7684D534">
            <w:pPr>
              <w:snapToGrid w:val="0"/>
              <w:ind w:left="420"/>
              <w:jc w:val="left"/>
              <w:rPr>
                <w:rFonts w:ascii="宋体" w:hAnsi="宋体"/>
                <w:color w:val="auto"/>
                <w:szCs w:val="21"/>
                <w:highlight w:val="none"/>
              </w:rPr>
            </w:pPr>
            <w:r>
              <w:rPr>
                <w:rFonts w:hint="eastAsia" w:ascii="宋体" w:hAnsi="宋体"/>
                <w:color w:val="auto"/>
                <w:szCs w:val="21"/>
                <w:highlight w:val="none"/>
              </w:rPr>
              <w:t>4. 投标人需要说明的其他文件和说明（格式略）。</w:t>
            </w:r>
          </w:p>
          <w:p w14:paraId="24A8D207">
            <w:pPr>
              <w:snapToGrid w:val="0"/>
              <w:ind w:left="420"/>
              <w:jc w:val="left"/>
              <w:rPr>
                <w:rFonts w:ascii="宋体" w:hAnsi="宋体" w:cs="宋体"/>
                <w:color w:val="auto"/>
                <w:highlight w:val="none"/>
              </w:rPr>
            </w:pPr>
            <w:r>
              <w:rPr>
                <w:rFonts w:hint="eastAsia" w:ascii="宋体" w:hAnsi="宋体"/>
                <w:color w:val="auto"/>
                <w:szCs w:val="21"/>
                <w:highlight w:val="none"/>
              </w:rPr>
              <w:t>5. 除招标文件规定必须提供以外，投标人需要说明的其他文件和说明（格式自拟）。</w:t>
            </w:r>
          </w:p>
          <w:p w14:paraId="0C1BA71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注： 1.以上材料属于复印件的，必须加盖投标人电子签章，否则作无效投标处理。</w:t>
            </w:r>
          </w:p>
          <w:p w14:paraId="66F76CB9">
            <w:pPr>
              <w:snapToGrid w:val="0"/>
              <w:jc w:val="left"/>
              <w:rPr>
                <w:rFonts w:ascii="宋体" w:hAnsi="宋体" w:cs="宋体"/>
                <w:color w:val="auto"/>
                <w:highlight w:val="none"/>
              </w:rPr>
            </w:pPr>
            <w:r>
              <w:rPr>
                <w:rFonts w:hint="eastAsia" w:ascii="宋体" w:hAnsi="宋体" w:cs="宋体"/>
                <w:b/>
                <w:bCs/>
                <w:color w:val="auto"/>
                <w:sz w:val="24"/>
                <w:highlight w:val="none"/>
              </w:rPr>
              <w:t>2.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14:paraId="74EC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A9F3994">
            <w:pPr>
              <w:jc w:val="center"/>
              <w:rPr>
                <w:rFonts w:ascii="宋体" w:hAnsi="宋体" w:cs="宋体"/>
                <w:color w:val="auto"/>
                <w:highlight w:val="none"/>
              </w:rPr>
            </w:pPr>
            <w:bookmarkStart w:id="81" w:name="_16.2"/>
            <w:bookmarkEnd w:id="81"/>
            <w:bookmarkStart w:id="82" w:name="_13.5"/>
            <w:bookmarkEnd w:id="82"/>
            <w:r>
              <w:rPr>
                <w:rFonts w:hint="eastAsia" w:ascii="宋体" w:hAnsi="宋体" w:cs="宋体"/>
                <w:color w:val="auto"/>
                <w:highlight w:val="none"/>
              </w:rPr>
              <w:t>16</w:t>
            </w:r>
            <w:bookmarkStart w:id="83" w:name="_Hlt19693759"/>
            <w:bookmarkStart w:id="84" w:name="_Hlt19693758"/>
            <w:bookmarkStart w:id="85" w:name="_Hlt19194067"/>
            <w:bookmarkStart w:id="86" w:name="_Hlt19194066"/>
            <w:r>
              <w:rPr>
                <w:rFonts w:hint="eastAsia" w:ascii="宋体" w:hAnsi="宋体" w:cs="宋体"/>
                <w:color w:val="auto"/>
                <w:highlight w:val="none"/>
              </w:rPr>
              <w:t>.</w:t>
            </w:r>
            <w:bookmarkEnd w:id="83"/>
            <w:bookmarkEnd w:id="84"/>
            <w:bookmarkEnd w:id="85"/>
            <w:bookmarkEnd w:id="86"/>
            <w:r>
              <w:rPr>
                <w:rFonts w:hint="eastAsia" w:ascii="宋体" w:hAnsi="宋体" w:cs="宋体"/>
                <w:color w:val="auto"/>
                <w:highlight w:val="none"/>
              </w:rPr>
              <w:t>2</w:t>
            </w:r>
          </w:p>
        </w:tc>
        <w:tc>
          <w:tcPr>
            <w:tcW w:w="8160" w:type="dxa"/>
            <w:tcBorders>
              <w:top w:val="single" w:color="auto" w:sz="4" w:space="0"/>
              <w:left w:val="single" w:color="auto" w:sz="4" w:space="0"/>
              <w:bottom w:val="single" w:color="auto" w:sz="4" w:space="0"/>
              <w:right w:val="single" w:color="auto" w:sz="4" w:space="0"/>
            </w:tcBorders>
            <w:vAlign w:val="center"/>
          </w:tcPr>
          <w:p w14:paraId="38A39C94">
            <w:pPr>
              <w:snapToGrid w:val="0"/>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投标报价是履行合同的最终价格，投标报价包含实施和完成本项目全部工作所需的服务期内所需的一切费用，包括但不限于维保人员业务和劳务费、技术服务费、配件及耗材、保险、税费、招标代理服务费等与维保服务有关的一切费用</w:t>
            </w:r>
            <w:r>
              <w:rPr>
                <w:rFonts w:hint="eastAsia" w:ascii="宋体" w:hAnsi="宋体" w:cs="宋体"/>
                <w:b/>
                <w:bCs/>
                <w:color w:val="auto"/>
                <w:sz w:val="24"/>
                <w:highlight w:val="none"/>
              </w:rPr>
              <w:t>。</w:t>
            </w:r>
          </w:p>
        </w:tc>
      </w:tr>
      <w:tr w14:paraId="0486E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1C154A8">
            <w:pPr>
              <w:jc w:val="center"/>
              <w:rPr>
                <w:rFonts w:ascii="宋体" w:hAnsi="宋体" w:cs="宋体"/>
                <w:color w:val="auto"/>
                <w:highlight w:val="none"/>
              </w:rPr>
            </w:pPr>
            <w:bookmarkStart w:id="87" w:name="_17.1"/>
            <w:bookmarkEnd w:id="87"/>
            <w:r>
              <w:rPr>
                <w:rFonts w:hint="eastAsia" w:ascii="宋体" w:hAnsi="宋体" w:cs="宋体"/>
                <w:color w:val="auto"/>
                <w:highlight w:val="none"/>
              </w:rPr>
              <w:t>17.1</w:t>
            </w:r>
          </w:p>
        </w:tc>
        <w:tc>
          <w:tcPr>
            <w:tcW w:w="8160" w:type="dxa"/>
            <w:tcBorders>
              <w:top w:val="single" w:color="auto" w:sz="4" w:space="0"/>
              <w:left w:val="single" w:color="auto" w:sz="4" w:space="0"/>
              <w:bottom w:val="single" w:color="auto" w:sz="4" w:space="0"/>
              <w:right w:val="single" w:color="auto" w:sz="4" w:space="0"/>
            </w:tcBorders>
            <w:vAlign w:val="center"/>
          </w:tcPr>
          <w:p w14:paraId="1E513A15">
            <w:pPr>
              <w:pStyle w:val="17"/>
              <w:rPr>
                <w:rFonts w:ascii="宋体" w:hAnsi="宋体" w:cs="宋体"/>
                <w:color w:val="auto"/>
                <w:szCs w:val="21"/>
                <w:highlight w:val="none"/>
              </w:rPr>
            </w:pPr>
            <w:r>
              <w:rPr>
                <w:rFonts w:hint="eastAsia" w:ascii="宋体" w:hAnsi="宋体" w:cs="宋体"/>
                <w:color w:val="auto"/>
                <w:szCs w:val="21"/>
                <w:highlight w:val="none"/>
              </w:rPr>
              <w:t xml:space="preserve">投标有效期： </w:t>
            </w:r>
            <w:r>
              <w:rPr>
                <w:rFonts w:hint="eastAsia" w:ascii="宋体" w:hAnsi="宋体" w:cs="宋体"/>
                <w:color w:val="auto"/>
                <w:highlight w:val="none"/>
              </w:rPr>
              <w:t>自投标截止之日起120日</w:t>
            </w:r>
            <w:r>
              <w:rPr>
                <w:rFonts w:hint="eastAsia" w:ascii="宋体" w:hAnsi="宋体" w:cs="宋体"/>
                <w:color w:val="auto"/>
                <w:szCs w:val="21"/>
                <w:highlight w:val="none"/>
              </w:rPr>
              <w:t>。</w:t>
            </w:r>
          </w:p>
        </w:tc>
      </w:tr>
      <w:tr w14:paraId="0B38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23131F5">
            <w:pPr>
              <w:jc w:val="center"/>
              <w:rPr>
                <w:rFonts w:ascii="宋体" w:hAnsi="宋体" w:cs="宋体"/>
                <w:color w:val="auto"/>
                <w:highlight w:val="none"/>
              </w:rPr>
            </w:pPr>
            <w:bookmarkStart w:id="88" w:name="_18"/>
            <w:bookmarkEnd w:id="88"/>
            <w:r>
              <w:rPr>
                <w:rFonts w:hint="eastAsia" w:ascii="宋体" w:hAnsi="宋体" w:cs="宋体"/>
                <w:color w:val="auto"/>
                <w:highlight w:val="none"/>
              </w:rPr>
              <w:t>18.1</w:t>
            </w:r>
          </w:p>
        </w:tc>
        <w:tc>
          <w:tcPr>
            <w:tcW w:w="8160" w:type="dxa"/>
            <w:tcBorders>
              <w:top w:val="single" w:color="auto" w:sz="4" w:space="0"/>
              <w:left w:val="single" w:color="auto" w:sz="4" w:space="0"/>
              <w:bottom w:val="single" w:color="auto" w:sz="4" w:space="0"/>
              <w:right w:val="single" w:color="auto" w:sz="4" w:space="0"/>
            </w:tcBorders>
            <w:vAlign w:val="center"/>
          </w:tcPr>
          <w:p w14:paraId="6A6178F4">
            <w:pPr>
              <w:snapToGrid w:val="0"/>
              <w:rPr>
                <w:rFonts w:ascii="宋体" w:hAnsi="宋体" w:cs="宋体"/>
                <w:b/>
                <w:color w:val="auto"/>
                <w:sz w:val="24"/>
                <w:highlight w:val="none"/>
              </w:rPr>
            </w:pPr>
            <w:r>
              <w:rPr>
                <w:rFonts w:hint="eastAsia" w:ascii="宋体" w:hAnsi="宋体"/>
                <w:color w:val="auto"/>
                <w:szCs w:val="21"/>
                <w:highlight w:val="none"/>
              </w:rPr>
              <w:t>本项目不收取投标保证金</w:t>
            </w:r>
            <w:r>
              <w:rPr>
                <w:rFonts w:hint="eastAsia" w:ascii="宋体" w:hAnsi="宋体" w:cs="宋体"/>
                <w:color w:val="auto"/>
                <w:highlight w:val="none"/>
              </w:rPr>
              <w:t>。</w:t>
            </w:r>
          </w:p>
        </w:tc>
      </w:tr>
      <w:tr w14:paraId="7936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9EFC898">
            <w:pPr>
              <w:spacing w:line="360" w:lineRule="auto"/>
              <w:jc w:val="center"/>
              <w:rPr>
                <w:rFonts w:ascii="宋体" w:hAnsi="宋体" w:cs="宋体"/>
                <w:color w:val="auto"/>
                <w:highlight w:val="none"/>
              </w:rPr>
            </w:pPr>
            <w:r>
              <w:rPr>
                <w:rFonts w:hint="eastAsia" w:ascii="宋体" w:hAnsi="宋体" w:cs="宋体"/>
                <w:color w:val="auto"/>
                <w:szCs w:val="21"/>
                <w:highlight w:val="none"/>
              </w:rPr>
              <w:t>20</w:t>
            </w:r>
          </w:p>
        </w:tc>
        <w:tc>
          <w:tcPr>
            <w:tcW w:w="8160" w:type="dxa"/>
            <w:tcBorders>
              <w:top w:val="single" w:color="auto" w:sz="4" w:space="0"/>
              <w:left w:val="single" w:color="auto" w:sz="4" w:space="0"/>
              <w:bottom w:val="single" w:color="auto" w:sz="4" w:space="0"/>
              <w:right w:val="single" w:color="auto" w:sz="4" w:space="0"/>
            </w:tcBorders>
            <w:vAlign w:val="center"/>
          </w:tcPr>
          <w:p w14:paraId="06E0B3AF">
            <w:pPr>
              <w:autoSpaceDE w:val="0"/>
              <w:autoSpaceDN w:val="0"/>
              <w:adjustRightInd w:val="0"/>
              <w:spacing w:line="360" w:lineRule="auto"/>
              <w:ind w:firstLine="420" w:firstLineChars="200"/>
              <w:textAlignment w:val="bottom"/>
              <w:rPr>
                <w:rFonts w:ascii="宋体" w:hAnsi="宋体" w:cs="宋体"/>
                <w:color w:val="auto"/>
                <w:highlight w:val="none"/>
              </w:rPr>
            </w:pPr>
            <w:r>
              <w:rPr>
                <w:rFonts w:hint="eastAsia"/>
                <w:color w:val="auto"/>
                <w:highlight w:val="none"/>
              </w:rPr>
              <w:t>本项目不接受电子备份投标文件。</w:t>
            </w:r>
          </w:p>
        </w:tc>
      </w:tr>
      <w:tr w14:paraId="0FA61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914" w:type="dxa"/>
            <w:tcBorders>
              <w:top w:val="single" w:color="auto" w:sz="4" w:space="0"/>
              <w:left w:val="single" w:color="auto" w:sz="4" w:space="0"/>
              <w:bottom w:val="single" w:color="auto" w:sz="4" w:space="0"/>
              <w:right w:val="single" w:color="auto" w:sz="4" w:space="0"/>
            </w:tcBorders>
            <w:vAlign w:val="center"/>
          </w:tcPr>
          <w:p w14:paraId="11AAE813">
            <w:pPr>
              <w:spacing w:line="360" w:lineRule="auto"/>
              <w:jc w:val="center"/>
              <w:rPr>
                <w:rFonts w:ascii="宋体" w:hAnsi="宋体" w:cs="宋体"/>
                <w:color w:val="auto"/>
                <w:szCs w:val="21"/>
                <w:highlight w:val="none"/>
              </w:rPr>
            </w:pPr>
            <w:bookmarkStart w:id="89" w:name="_21.1"/>
            <w:bookmarkEnd w:id="89"/>
            <w:bookmarkStart w:id="90" w:name="_19.2"/>
            <w:bookmarkEnd w:id="90"/>
            <w:r>
              <w:rPr>
                <w:rFonts w:hint="eastAsia" w:ascii="宋体" w:hAnsi="宋体" w:cs="宋体"/>
                <w:color w:val="auto"/>
                <w:szCs w:val="21"/>
                <w:highlight w:val="none"/>
              </w:rPr>
              <w:t>21.1</w:t>
            </w:r>
          </w:p>
        </w:tc>
        <w:tc>
          <w:tcPr>
            <w:tcW w:w="8160" w:type="dxa"/>
            <w:tcBorders>
              <w:top w:val="single" w:color="auto" w:sz="4" w:space="0"/>
              <w:left w:val="single" w:color="auto" w:sz="4" w:space="0"/>
              <w:bottom w:val="single" w:color="auto" w:sz="4" w:space="0"/>
              <w:right w:val="single" w:color="auto" w:sz="4" w:space="0"/>
            </w:tcBorders>
            <w:vAlign w:val="center"/>
          </w:tcPr>
          <w:p w14:paraId="5D8275B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1409FCF0">
            <w:pPr>
              <w:snapToGrid w:val="0"/>
              <w:spacing w:line="360" w:lineRule="auto"/>
              <w:rPr>
                <w:rFonts w:ascii="宋体" w:hAnsi="宋体" w:cs="宋体"/>
                <w:color w:val="auto"/>
                <w:highlight w:val="none"/>
              </w:rPr>
            </w:pPr>
            <w:r>
              <w:rPr>
                <w:rFonts w:hint="eastAsia" w:ascii="宋体" w:hAnsi="宋体" w:cs="宋体"/>
                <w:color w:val="auto"/>
                <w:szCs w:val="21"/>
                <w:highlight w:val="none"/>
              </w:rPr>
              <w:t>2.投标地点：详见招标公告</w:t>
            </w:r>
          </w:p>
        </w:tc>
      </w:tr>
      <w:tr w14:paraId="37330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812F6A8">
            <w:pPr>
              <w:spacing w:line="360" w:lineRule="auto"/>
              <w:jc w:val="center"/>
              <w:rPr>
                <w:rFonts w:ascii="宋体" w:hAnsi="宋体" w:cs="宋体"/>
                <w:color w:val="auto"/>
                <w:highlight w:val="none"/>
              </w:rPr>
            </w:pPr>
            <w:bookmarkStart w:id="91" w:name="_23"/>
            <w:bookmarkEnd w:id="91"/>
            <w:r>
              <w:rPr>
                <w:rFonts w:hint="eastAsia" w:ascii="宋体" w:hAnsi="宋体" w:cs="宋体"/>
                <w:color w:val="auto"/>
                <w:szCs w:val="21"/>
                <w:highlight w:val="none"/>
              </w:rPr>
              <w:t>23</w:t>
            </w:r>
          </w:p>
        </w:tc>
        <w:tc>
          <w:tcPr>
            <w:tcW w:w="8160" w:type="dxa"/>
            <w:tcBorders>
              <w:top w:val="single" w:color="auto" w:sz="4" w:space="0"/>
              <w:left w:val="single" w:color="auto" w:sz="4" w:space="0"/>
              <w:bottom w:val="single" w:color="auto" w:sz="4" w:space="0"/>
              <w:right w:val="single" w:color="auto" w:sz="4" w:space="0"/>
            </w:tcBorders>
            <w:vAlign w:val="center"/>
          </w:tcPr>
          <w:p w14:paraId="77CC5E4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7BA747C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7870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B09E43C">
            <w:pPr>
              <w:spacing w:line="360" w:lineRule="auto"/>
              <w:jc w:val="center"/>
              <w:rPr>
                <w:rFonts w:ascii="宋体" w:hAnsi="宋体" w:cs="宋体"/>
                <w:color w:val="auto"/>
                <w:highlight w:val="none"/>
              </w:rPr>
            </w:pPr>
            <w:bookmarkStart w:id="92" w:name="_25.3"/>
            <w:bookmarkEnd w:id="92"/>
            <w:r>
              <w:rPr>
                <w:rFonts w:hint="eastAsia" w:ascii="宋体" w:hAnsi="宋体" w:cs="宋体"/>
                <w:color w:val="auto"/>
                <w:szCs w:val="21"/>
                <w:highlight w:val="none"/>
              </w:rPr>
              <w:t>24.3（1）</w:t>
            </w:r>
          </w:p>
        </w:tc>
        <w:tc>
          <w:tcPr>
            <w:tcW w:w="8160" w:type="dxa"/>
            <w:tcBorders>
              <w:top w:val="single" w:color="auto" w:sz="4" w:space="0"/>
              <w:left w:val="single" w:color="auto" w:sz="4" w:space="0"/>
              <w:bottom w:val="single" w:color="auto" w:sz="4" w:space="0"/>
              <w:right w:val="single" w:color="auto" w:sz="4" w:space="0"/>
            </w:tcBorders>
            <w:vAlign w:val="center"/>
          </w:tcPr>
          <w:p w14:paraId="48FAB510">
            <w:pPr>
              <w:snapToGrid w:val="0"/>
              <w:spacing w:line="360" w:lineRule="auto"/>
              <w:rPr>
                <w:rFonts w:ascii="宋体" w:hAnsi="宋体" w:cs="宋体"/>
                <w:b/>
                <w:color w:val="auto"/>
                <w:sz w:val="24"/>
                <w:highlight w:val="none"/>
              </w:rPr>
            </w:pPr>
            <w:r>
              <w:rPr>
                <w:rFonts w:hint="eastAsia" w:ascii="宋体" w:hAnsi="宋体" w:cs="宋体"/>
                <w:color w:val="auto"/>
                <w:highlight w:val="none"/>
              </w:rPr>
              <w:t>电子投标文件解密时间：</w:t>
            </w:r>
            <w:r>
              <w:rPr>
                <w:rFonts w:hint="eastAsia" w:ascii="宋体" w:hAnsi="宋体" w:cs="宋体"/>
                <w:color w:val="auto"/>
                <w:highlight w:val="none"/>
                <w:u w:val="single"/>
              </w:rPr>
              <w:t xml:space="preserve">  30  </w:t>
            </w:r>
            <w:r>
              <w:rPr>
                <w:rFonts w:hint="eastAsia" w:ascii="宋体" w:hAnsi="宋体" w:cs="宋体"/>
                <w:color w:val="auto"/>
                <w:highlight w:val="none"/>
              </w:rPr>
              <w:t>分钟</w:t>
            </w:r>
          </w:p>
        </w:tc>
      </w:tr>
      <w:tr w14:paraId="3A5B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1209971">
            <w:pPr>
              <w:jc w:val="center"/>
              <w:rPr>
                <w:rFonts w:ascii="宋体" w:hAnsi="宋体" w:cs="宋体"/>
                <w:color w:val="auto"/>
                <w:highlight w:val="none"/>
              </w:rPr>
            </w:pPr>
            <w:r>
              <w:rPr>
                <w:rFonts w:hint="eastAsia" w:ascii="宋体" w:hAnsi="宋体" w:cs="宋体"/>
                <w:color w:val="auto"/>
                <w:highlight w:val="none"/>
              </w:rPr>
              <w:t>25.3（3）</w:t>
            </w:r>
          </w:p>
        </w:tc>
        <w:tc>
          <w:tcPr>
            <w:tcW w:w="8160" w:type="dxa"/>
            <w:tcBorders>
              <w:top w:val="single" w:color="auto" w:sz="4" w:space="0"/>
              <w:left w:val="single" w:color="auto" w:sz="4" w:space="0"/>
              <w:bottom w:val="single" w:color="auto" w:sz="4" w:space="0"/>
              <w:right w:val="single" w:color="auto" w:sz="4" w:space="0"/>
            </w:tcBorders>
            <w:vAlign w:val="center"/>
          </w:tcPr>
          <w:p w14:paraId="4A031D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F2F23E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265EBD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104185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7AC03C5E">
            <w:pPr>
              <w:snapToGrid w:val="0"/>
              <w:rPr>
                <w:rFonts w:ascii="宋体" w:hAnsi="宋体" w:cs="宋体"/>
                <w:color w:val="auto"/>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E8AE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47C20DE">
            <w:pPr>
              <w:jc w:val="center"/>
              <w:rPr>
                <w:rFonts w:ascii="宋体" w:hAnsi="宋体" w:cs="宋体"/>
                <w:color w:val="auto"/>
                <w:highlight w:val="none"/>
              </w:rPr>
            </w:pPr>
            <w:bookmarkStart w:id="93" w:name="_26"/>
            <w:bookmarkEnd w:id="93"/>
            <w:r>
              <w:rPr>
                <w:rFonts w:hint="eastAsia" w:ascii="宋体" w:hAnsi="宋体" w:cs="宋体"/>
                <w:color w:val="auto"/>
                <w:highlight w:val="none"/>
              </w:rPr>
              <w:t>26</w:t>
            </w:r>
          </w:p>
        </w:tc>
        <w:tc>
          <w:tcPr>
            <w:tcW w:w="8160" w:type="dxa"/>
            <w:tcBorders>
              <w:top w:val="single" w:color="auto" w:sz="4" w:space="0"/>
              <w:left w:val="single" w:color="auto" w:sz="4" w:space="0"/>
              <w:bottom w:val="single" w:color="auto" w:sz="4" w:space="0"/>
              <w:right w:val="single" w:color="auto" w:sz="4" w:space="0"/>
            </w:tcBorders>
            <w:vAlign w:val="center"/>
          </w:tcPr>
          <w:p w14:paraId="37E2713D">
            <w:pPr>
              <w:autoSpaceDE w:val="0"/>
              <w:autoSpaceDN w:val="0"/>
              <w:snapToGrid w:val="0"/>
              <w:textAlignment w:val="bottom"/>
              <w:rPr>
                <w:rFonts w:ascii="宋体" w:hAnsi="宋体" w:cs="宋体"/>
                <w:color w:val="auto"/>
                <w:szCs w:val="21"/>
                <w:highlight w:val="none"/>
              </w:rPr>
            </w:pPr>
            <w:r>
              <w:rPr>
                <w:rFonts w:hint="eastAsia" w:ascii="宋体" w:hAnsi="宋体" w:cs="宋体"/>
                <w:color w:val="auto"/>
                <w:highlight w:val="none"/>
              </w:rPr>
              <w:t>评标委员会的人数：</w:t>
            </w:r>
            <w:r>
              <w:rPr>
                <w:rFonts w:hint="eastAsia" w:ascii="宋体" w:hAnsi="宋体" w:cs="宋体"/>
                <w:color w:val="auto"/>
                <w:highlight w:val="none"/>
                <w:u w:val="single"/>
              </w:rPr>
              <w:t xml:space="preserve">  5  </w:t>
            </w:r>
            <w:r>
              <w:rPr>
                <w:rFonts w:hint="eastAsia" w:ascii="宋体" w:hAnsi="宋体" w:cs="宋体"/>
                <w:color w:val="auto"/>
                <w:highlight w:val="none"/>
              </w:rPr>
              <w:t>人</w:t>
            </w:r>
          </w:p>
        </w:tc>
      </w:tr>
      <w:tr w14:paraId="59B24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F3FECF3">
            <w:pPr>
              <w:jc w:val="center"/>
              <w:rPr>
                <w:rFonts w:ascii="宋体" w:hAnsi="宋体" w:cs="宋体"/>
                <w:color w:val="auto"/>
                <w:highlight w:val="none"/>
              </w:rPr>
            </w:pPr>
            <w:bookmarkStart w:id="94" w:name="_28.3"/>
            <w:bookmarkEnd w:id="94"/>
            <w:r>
              <w:rPr>
                <w:rFonts w:hint="eastAsia" w:ascii="宋体" w:hAnsi="宋体" w:cs="宋体"/>
                <w:color w:val="auto"/>
                <w:highlight w:val="none"/>
              </w:rPr>
              <w:t>29.1</w:t>
            </w:r>
          </w:p>
        </w:tc>
        <w:tc>
          <w:tcPr>
            <w:tcW w:w="8160" w:type="dxa"/>
            <w:tcBorders>
              <w:top w:val="single" w:color="auto" w:sz="4" w:space="0"/>
              <w:left w:val="single" w:color="auto" w:sz="4" w:space="0"/>
              <w:bottom w:val="single" w:color="auto" w:sz="4" w:space="0"/>
              <w:right w:val="single" w:color="auto" w:sz="4" w:space="0"/>
            </w:tcBorders>
            <w:vAlign w:val="center"/>
          </w:tcPr>
          <w:p w14:paraId="49E035E3">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评标方法：</w:t>
            </w:r>
          </w:p>
          <w:p w14:paraId="5E1C1469">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√综合评分法</w:t>
            </w:r>
          </w:p>
          <w:p w14:paraId="0C477E6E">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□最低评标价法</w:t>
            </w:r>
          </w:p>
        </w:tc>
      </w:tr>
      <w:tr w14:paraId="641E6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6C9EC6E5">
            <w:pPr>
              <w:spacing w:line="360" w:lineRule="auto"/>
              <w:jc w:val="center"/>
              <w:rPr>
                <w:rFonts w:ascii="宋体" w:hAnsi="宋体" w:cs="宋体"/>
                <w:color w:val="auto"/>
                <w:highlight w:val="none"/>
              </w:rPr>
            </w:pPr>
            <w:r>
              <w:rPr>
                <w:rFonts w:hint="eastAsia" w:ascii="宋体" w:hAnsi="宋体" w:cs="宋体"/>
                <w:color w:val="auto"/>
                <w:szCs w:val="21"/>
                <w:highlight w:val="none"/>
              </w:rPr>
              <w:t>29.2</w:t>
            </w:r>
          </w:p>
        </w:tc>
        <w:tc>
          <w:tcPr>
            <w:tcW w:w="8160" w:type="dxa"/>
            <w:tcBorders>
              <w:top w:val="single" w:color="auto" w:sz="4" w:space="0"/>
              <w:left w:val="single" w:color="auto" w:sz="4" w:space="0"/>
              <w:bottom w:val="single" w:color="auto" w:sz="4" w:space="0"/>
              <w:right w:val="single" w:color="auto" w:sz="4" w:space="0"/>
            </w:tcBorders>
            <w:vAlign w:val="center"/>
          </w:tcPr>
          <w:p w14:paraId="340F41B0">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商务条款评审中允许负偏离的条款数为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14:paraId="24097182">
            <w:pPr>
              <w:snapToGrid w:val="0"/>
              <w:spacing w:line="360" w:lineRule="auto"/>
              <w:rPr>
                <w:rFonts w:ascii="宋体" w:hAnsi="宋体" w:cs="宋体"/>
                <w:color w:val="auto"/>
                <w:highlight w:val="none"/>
              </w:rPr>
            </w:pPr>
            <w:r>
              <w:rPr>
                <w:rFonts w:hint="eastAsia" w:ascii="宋体" w:hAnsi="宋体" w:cs="宋体"/>
                <w:b/>
                <w:bCs/>
                <w:color w:val="auto"/>
                <w:szCs w:val="21"/>
                <w:highlight w:val="none"/>
              </w:rPr>
              <w:t>服务需求评审中允许负偏离的条款数为</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0</w:t>
            </w:r>
            <w:r>
              <w:rPr>
                <w:rFonts w:hint="eastAsia" w:ascii="宋体" w:hAnsi="宋体" w:cs="宋体"/>
                <w:b/>
                <w:bCs/>
                <w:color w:val="auto"/>
                <w:szCs w:val="21"/>
                <w:highlight w:val="none"/>
              </w:rPr>
              <w:t>项。</w:t>
            </w:r>
          </w:p>
        </w:tc>
      </w:tr>
      <w:tr w14:paraId="025B5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54FEE6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160" w:type="dxa"/>
            <w:tcBorders>
              <w:top w:val="single" w:color="auto" w:sz="4" w:space="0"/>
              <w:left w:val="single" w:color="auto" w:sz="4" w:space="0"/>
              <w:bottom w:val="single" w:color="auto" w:sz="4" w:space="0"/>
              <w:right w:val="single" w:color="auto" w:sz="4" w:space="0"/>
            </w:tcBorders>
            <w:vAlign w:val="center"/>
          </w:tcPr>
          <w:p w14:paraId="14E6D8E0">
            <w:pPr>
              <w:snapToGrid w:val="0"/>
              <w:spacing w:line="360" w:lineRule="auto"/>
              <w:rPr>
                <w:rFonts w:ascii="宋体" w:hAnsi="宋体" w:cs="宋体"/>
                <w:color w:val="auto"/>
                <w:highlight w:val="none"/>
              </w:rPr>
            </w:pPr>
            <w:r>
              <w:rPr>
                <w:rFonts w:hint="eastAsia" w:ascii="宋体" w:hAnsi="宋体" w:cs="宋体"/>
                <w:color w:val="auto"/>
                <w:highlight w:val="none"/>
              </w:rPr>
              <w:t>中标候选人推荐数量：</w:t>
            </w:r>
          </w:p>
          <w:p w14:paraId="482093FC">
            <w:pPr>
              <w:snapToGrid w:val="0"/>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3 </w:t>
            </w:r>
            <w:r>
              <w:rPr>
                <w:rFonts w:hint="eastAsia" w:ascii="宋体" w:hAnsi="宋体" w:cs="宋体"/>
                <w:color w:val="auto"/>
                <w:highlight w:val="none"/>
              </w:rPr>
              <w:t>名</w:t>
            </w:r>
          </w:p>
        </w:tc>
      </w:tr>
      <w:tr w14:paraId="714B3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7271907">
            <w:pPr>
              <w:jc w:val="center"/>
              <w:rPr>
                <w:rFonts w:ascii="宋体" w:hAnsi="宋体" w:cs="宋体"/>
                <w:color w:val="auto"/>
                <w:highlight w:val="none"/>
              </w:rPr>
            </w:pPr>
            <w:bookmarkStart w:id="95" w:name="_29.2.2（2）"/>
            <w:bookmarkEnd w:id="95"/>
            <w:r>
              <w:rPr>
                <w:rFonts w:hint="eastAsia" w:ascii="宋体" w:hAnsi="宋体" w:cs="宋体"/>
                <w:color w:val="auto"/>
                <w:highlight w:val="none"/>
              </w:rPr>
              <w:t>30</w:t>
            </w:r>
          </w:p>
        </w:tc>
        <w:tc>
          <w:tcPr>
            <w:tcW w:w="8160" w:type="dxa"/>
            <w:tcBorders>
              <w:top w:val="single" w:color="auto" w:sz="4" w:space="0"/>
              <w:left w:val="single" w:color="auto" w:sz="4" w:space="0"/>
              <w:bottom w:val="single" w:color="auto" w:sz="4" w:space="0"/>
              <w:right w:val="single" w:color="auto" w:sz="4" w:space="0"/>
            </w:tcBorders>
            <w:vAlign w:val="center"/>
          </w:tcPr>
          <w:p w14:paraId="0E830A21">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采购人确定中标供应商时，出现中标候选人并列的情形，采购人按以下的方式确定中标供应商：</w:t>
            </w:r>
          </w:p>
          <w:p w14:paraId="53BD7F76">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√投标报价低优先、维保实施方案</w:t>
            </w:r>
            <w:r>
              <w:rPr>
                <w:rFonts w:hint="eastAsia" w:ascii="宋体" w:hAnsi="宋体" w:cs="Segoe UI Symbol"/>
                <w:color w:val="auto"/>
                <w:szCs w:val="21"/>
                <w:highlight w:val="none"/>
              </w:rPr>
              <w:t>分高的优先</w:t>
            </w:r>
            <w:r>
              <w:rPr>
                <w:rFonts w:hint="eastAsia" w:ascii="宋体" w:hAnsi="宋体" w:cs="宋体"/>
                <w:color w:val="auto"/>
                <w:highlight w:val="none"/>
              </w:rPr>
              <w:t>、故障响应处理方案</w:t>
            </w:r>
            <w:r>
              <w:rPr>
                <w:rFonts w:hint="eastAsia" w:ascii="宋体" w:hAnsi="宋体" w:cs="Segoe UI Symbol"/>
                <w:color w:val="auto"/>
                <w:szCs w:val="21"/>
                <w:highlight w:val="none"/>
              </w:rPr>
              <w:t>分高的优先</w:t>
            </w:r>
            <w:r>
              <w:rPr>
                <w:rFonts w:hint="eastAsia" w:ascii="宋体" w:hAnsi="宋体" w:cs="宋体"/>
                <w:color w:val="auto"/>
                <w:highlight w:val="none"/>
              </w:rPr>
              <w:t>、备品备件方案</w:t>
            </w:r>
            <w:r>
              <w:rPr>
                <w:rFonts w:hint="eastAsia" w:ascii="宋体" w:hAnsi="宋体" w:cs="Segoe UI Symbol"/>
                <w:color w:val="auto"/>
                <w:szCs w:val="21"/>
                <w:highlight w:val="none"/>
              </w:rPr>
              <w:t>分高的优先</w:t>
            </w:r>
            <w:r>
              <w:rPr>
                <w:rFonts w:hint="eastAsia" w:ascii="宋体" w:hAnsi="宋体" w:cs="宋体"/>
                <w:color w:val="auto"/>
                <w:highlight w:val="none"/>
              </w:rPr>
              <w:t>、拟投入技术力量方案</w:t>
            </w:r>
            <w:r>
              <w:rPr>
                <w:rFonts w:hint="eastAsia" w:ascii="宋体" w:hAnsi="宋体" w:cs="Segoe UI Symbol"/>
                <w:color w:val="auto"/>
                <w:szCs w:val="21"/>
                <w:highlight w:val="none"/>
              </w:rPr>
              <w:t>分高的优先</w:t>
            </w:r>
            <w:r>
              <w:rPr>
                <w:rFonts w:hint="eastAsia" w:ascii="宋体" w:hAnsi="宋体" w:cs="宋体"/>
                <w:color w:val="auto"/>
                <w:highlight w:val="none"/>
              </w:rPr>
              <w:t>、综合管理服务质量保证措施</w:t>
            </w:r>
            <w:r>
              <w:rPr>
                <w:rFonts w:hint="eastAsia" w:ascii="宋体" w:hAnsi="宋体" w:cs="Segoe UI Symbol"/>
                <w:color w:val="auto"/>
                <w:szCs w:val="21"/>
                <w:highlight w:val="none"/>
              </w:rPr>
              <w:t>分高的优先</w:t>
            </w:r>
            <w:r>
              <w:rPr>
                <w:rFonts w:hint="eastAsia" w:ascii="宋体" w:hAnsi="宋体" w:cs="宋体"/>
                <w:color w:val="auto"/>
                <w:highlight w:val="none"/>
              </w:rPr>
              <w:t xml:space="preserve">的顺序确定； </w:t>
            </w:r>
          </w:p>
          <w:p w14:paraId="268F9F66">
            <w:pPr>
              <w:snapToGrid w:val="0"/>
              <w:rPr>
                <w:rFonts w:ascii="宋体" w:hAnsi="宋体" w:cs="宋体"/>
                <w:b/>
                <w:color w:val="auto"/>
                <w:szCs w:val="21"/>
                <w:highlight w:val="none"/>
              </w:rPr>
            </w:pPr>
            <w:r>
              <w:rPr>
                <w:rFonts w:hint="eastAsia" w:ascii="宋体" w:hAnsi="宋体" w:cs="宋体"/>
                <w:color w:val="auto"/>
                <w:highlight w:val="none"/>
              </w:rPr>
              <w:t>□随机抽取</w:t>
            </w:r>
          </w:p>
        </w:tc>
      </w:tr>
      <w:tr w14:paraId="74C1D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DD0D1CB">
            <w:pPr>
              <w:jc w:val="center"/>
              <w:rPr>
                <w:rFonts w:ascii="宋体" w:hAnsi="宋体" w:cs="宋体"/>
                <w:color w:val="auto"/>
                <w:highlight w:val="none"/>
              </w:rPr>
            </w:pPr>
            <w:bookmarkStart w:id="96" w:name="_39.1"/>
            <w:bookmarkEnd w:id="96"/>
            <w:r>
              <w:rPr>
                <w:rFonts w:hint="eastAsia" w:ascii="宋体" w:hAnsi="宋体" w:cs="宋体"/>
                <w:color w:val="auto"/>
                <w:highlight w:val="none"/>
              </w:rPr>
              <w:t>35.1</w:t>
            </w:r>
          </w:p>
        </w:tc>
        <w:tc>
          <w:tcPr>
            <w:tcW w:w="8160" w:type="dxa"/>
            <w:tcBorders>
              <w:top w:val="single" w:color="auto" w:sz="4" w:space="0"/>
              <w:left w:val="single" w:color="auto" w:sz="4" w:space="0"/>
              <w:bottom w:val="single" w:color="auto" w:sz="4" w:space="0"/>
              <w:right w:val="single" w:color="auto" w:sz="4" w:space="0"/>
            </w:tcBorders>
            <w:vAlign w:val="center"/>
          </w:tcPr>
          <w:p w14:paraId="24BD8832">
            <w:pPr>
              <w:autoSpaceDE w:val="0"/>
              <w:autoSpaceDN w:val="0"/>
              <w:snapToGrid w:val="0"/>
              <w:ind w:firstLine="420" w:firstLineChars="200"/>
              <w:textAlignment w:val="bottom"/>
              <w:rPr>
                <w:rFonts w:ascii="宋体" w:hAnsi="宋体" w:cs="宋体"/>
                <w:color w:val="auto"/>
                <w:highlight w:val="none"/>
              </w:rPr>
            </w:pPr>
            <w:r>
              <w:rPr>
                <w:rFonts w:hint="eastAsia" w:ascii="宋体" w:hAnsi="宋体" w:cs="宋体"/>
                <w:color w:val="auto"/>
                <w:highlight w:val="none"/>
              </w:rPr>
              <w:t>履约保证金：无</w:t>
            </w:r>
            <w:r>
              <w:rPr>
                <w:rFonts w:hint="eastAsia" w:ascii="宋体" w:hAnsi="宋体"/>
                <w:b/>
                <w:color w:val="auto"/>
                <w:highlight w:val="none"/>
              </w:rPr>
              <w:t>。</w:t>
            </w:r>
          </w:p>
        </w:tc>
      </w:tr>
      <w:tr w14:paraId="3FE3F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CE22CBF">
            <w:pPr>
              <w:jc w:val="center"/>
              <w:rPr>
                <w:rFonts w:ascii="宋体" w:hAnsi="宋体" w:cs="宋体"/>
                <w:color w:val="auto"/>
                <w:highlight w:val="none"/>
              </w:rPr>
            </w:pPr>
            <w:bookmarkStart w:id="97" w:name="_40.1"/>
            <w:bookmarkEnd w:id="97"/>
            <w:r>
              <w:rPr>
                <w:rFonts w:hint="eastAsia" w:ascii="宋体" w:hAnsi="宋体" w:cs="宋体"/>
                <w:color w:val="auto"/>
                <w:highlight w:val="none"/>
              </w:rPr>
              <w:t>36.1</w:t>
            </w:r>
          </w:p>
        </w:tc>
        <w:tc>
          <w:tcPr>
            <w:tcW w:w="8160" w:type="dxa"/>
            <w:tcBorders>
              <w:top w:val="single" w:color="auto" w:sz="4" w:space="0"/>
              <w:left w:val="single" w:color="auto" w:sz="4" w:space="0"/>
              <w:bottom w:val="single" w:color="auto" w:sz="4" w:space="0"/>
              <w:right w:val="single" w:color="auto" w:sz="4" w:space="0"/>
            </w:tcBorders>
            <w:vAlign w:val="center"/>
          </w:tcPr>
          <w:p w14:paraId="01CAFD4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签订合同携带的资格证件： </w:t>
            </w:r>
          </w:p>
          <w:p w14:paraId="10672E83">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委托代理人负责签订合同的，须携带授权委托书及委托代理人身份证原件等其它资格证件。</w:t>
            </w:r>
          </w:p>
          <w:p w14:paraId="75B6A541">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法定代表人（或负责人）负责签订合同的，须携带法定代表人（或负责人）身份证明原件及身份证原件等其它资格证件。</w:t>
            </w:r>
          </w:p>
        </w:tc>
      </w:tr>
      <w:tr w14:paraId="24D1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F41F19F">
            <w:pPr>
              <w:jc w:val="center"/>
              <w:rPr>
                <w:rFonts w:ascii="宋体" w:hAnsi="宋体" w:cs="宋体"/>
                <w:color w:val="auto"/>
                <w:highlight w:val="none"/>
              </w:rPr>
            </w:pPr>
            <w:r>
              <w:rPr>
                <w:rFonts w:hint="eastAsia" w:ascii="宋体" w:hAnsi="宋体" w:cs="宋体"/>
                <w:color w:val="auto"/>
                <w:highlight w:val="none"/>
              </w:rPr>
              <w:t>38.2</w:t>
            </w:r>
          </w:p>
        </w:tc>
        <w:tc>
          <w:tcPr>
            <w:tcW w:w="8160" w:type="dxa"/>
            <w:tcBorders>
              <w:top w:val="single" w:color="auto" w:sz="4" w:space="0"/>
              <w:left w:val="single" w:color="auto" w:sz="4" w:space="0"/>
              <w:bottom w:val="single" w:color="auto" w:sz="4" w:space="0"/>
              <w:right w:val="single" w:color="auto" w:sz="4" w:space="0"/>
            </w:tcBorders>
            <w:vAlign w:val="center"/>
          </w:tcPr>
          <w:p w14:paraId="41CFD20F">
            <w:pPr>
              <w:snapToGrid w:val="0"/>
              <w:rPr>
                <w:rFonts w:ascii="宋体" w:hAnsi="宋体" w:cs="宋体"/>
                <w:color w:val="auto"/>
                <w:highlight w:val="none"/>
              </w:rPr>
            </w:pPr>
            <w:r>
              <w:rPr>
                <w:rFonts w:hint="eastAsia" w:ascii="宋体" w:hAnsi="宋体" w:cs="宋体"/>
                <w:color w:val="auto"/>
                <w:highlight w:val="none"/>
              </w:rPr>
              <w:t>接收质疑函方式：以书面形式</w:t>
            </w:r>
          </w:p>
          <w:p w14:paraId="634D8B07">
            <w:pPr>
              <w:snapToGrid w:val="0"/>
              <w:ind w:firstLine="420"/>
              <w:rPr>
                <w:rFonts w:ascii="宋体" w:hAnsi="宋体" w:cs="宋体"/>
                <w:color w:val="auto"/>
                <w:highlight w:val="none"/>
              </w:rPr>
            </w:pPr>
            <w:r>
              <w:rPr>
                <w:rFonts w:hint="eastAsia" w:ascii="宋体" w:hAnsi="宋体" w:cs="宋体"/>
                <w:color w:val="auto"/>
                <w:highlight w:val="none"/>
              </w:rPr>
              <w:t>质疑联系部门及联系方式：云之龙咨询集团有限公司招标部，联系电话：0775-4565100、4569690，通讯地址：广西贵港市港北区荷城路1132号华泰官邸1栋6楼。</w:t>
            </w:r>
          </w:p>
          <w:p w14:paraId="2E3576A4">
            <w:pPr>
              <w:autoSpaceDE w:val="0"/>
              <w:autoSpaceDN w:val="0"/>
              <w:snapToGrid w:val="0"/>
              <w:ind w:firstLine="420"/>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业务时间：工作日每天上午8时00分到12时00分，下午3时00分到6时00分。</w:t>
            </w:r>
          </w:p>
        </w:tc>
      </w:tr>
      <w:tr w14:paraId="0F4DF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14" w:type="dxa"/>
            <w:tcBorders>
              <w:top w:val="single" w:color="auto" w:sz="4" w:space="0"/>
              <w:left w:val="single" w:color="auto" w:sz="4" w:space="0"/>
              <w:bottom w:val="single" w:color="auto" w:sz="4" w:space="0"/>
              <w:right w:val="single" w:color="auto" w:sz="4" w:space="0"/>
            </w:tcBorders>
            <w:vAlign w:val="center"/>
          </w:tcPr>
          <w:p w14:paraId="749F908B">
            <w:pPr>
              <w:jc w:val="center"/>
              <w:rPr>
                <w:rFonts w:ascii="宋体" w:hAnsi="宋体" w:cs="宋体"/>
                <w:color w:val="auto"/>
                <w:highlight w:val="none"/>
              </w:rPr>
            </w:pPr>
            <w:bookmarkStart w:id="98" w:name="_42"/>
            <w:bookmarkEnd w:id="98"/>
            <w:bookmarkStart w:id="99" w:name="_41"/>
            <w:bookmarkEnd w:id="99"/>
            <w:r>
              <w:rPr>
                <w:rFonts w:hint="eastAsia" w:ascii="宋体" w:hAnsi="宋体" w:cs="宋体"/>
                <w:color w:val="auto"/>
                <w:highlight w:val="none"/>
              </w:rPr>
              <w:t>39.1</w:t>
            </w:r>
          </w:p>
        </w:tc>
        <w:tc>
          <w:tcPr>
            <w:tcW w:w="8160" w:type="dxa"/>
            <w:tcBorders>
              <w:top w:val="single" w:color="auto" w:sz="4" w:space="0"/>
              <w:left w:val="single" w:color="auto" w:sz="4" w:space="0"/>
              <w:bottom w:val="single" w:color="auto" w:sz="4" w:space="0"/>
              <w:right w:val="single" w:color="auto" w:sz="4" w:space="0"/>
            </w:tcBorders>
            <w:vAlign w:val="center"/>
          </w:tcPr>
          <w:p w14:paraId="2651F905">
            <w:pPr>
              <w:snapToGrid w:val="0"/>
              <w:rPr>
                <w:rFonts w:ascii="宋体" w:hAnsi="宋体" w:cs="宋体"/>
                <w:color w:val="auto"/>
                <w:highlight w:val="none"/>
              </w:rPr>
            </w:pPr>
            <w:r>
              <w:rPr>
                <w:rFonts w:hint="eastAsia" w:ascii="宋体" w:hAnsi="宋体" w:cs="宋体"/>
                <w:color w:val="auto"/>
                <w:highlight w:val="none"/>
              </w:rPr>
              <w:t>1.采购代理费支付方式：</w:t>
            </w:r>
          </w:p>
          <w:p w14:paraId="0151E988">
            <w:pPr>
              <w:snapToGrid w:val="0"/>
              <w:ind w:firstLine="420"/>
              <w:rPr>
                <w:rFonts w:ascii="宋体" w:hAnsi="宋体" w:cs="宋体"/>
                <w:color w:val="auto"/>
                <w:highlight w:val="none"/>
              </w:rPr>
            </w:pPr>
            <w:r>
              <w:rPr>
                <w:rFonts w:hint="eastAsia" w:ascii="宋体" w:hAnsi="宋体" w:cs="宋体"/>
                <w:color w:val="auto"/>
                <w:highlight w:val="none"/>
              </w:rPr>
              <w:t>√中标人支付。</w:t>
            </w:r>
          </w:p>
          <w:p w14:paraId="19E93B44">
            <w:pPr>
              <w:snapToGrid w:val="0"/>
              <w:rPr>
                <w:rFonts w:ascii="宋体" w:hAnsi="宋体" w:cs="宋体"/>
                <w:color w:val="auto"/>
                <w:highlight w:val="none"/>
              </w:rPr>
            </w:pPr>
            <w:r>
              <w:rPr>
                <w:rFonts w:hint="eastAsia" w:ascii="宋体" w:hAnsi="宋体" w:cs="宋体"/>
                <w:color w:val="auto"/>
                <w:highlight w:val="none"/>
              </w:rPr>
              <w:t>2.采购代理费收取标准：</w:t>
            </w:r>
          </w:p>
          <w:p w14:paraId="14077F3A">
            <w:pPr>
              <w:pStyle w:val="26"/>
              <w:snapToGrid w:val="0"/>
              <w:ind w:firstLine="420" w:firstLineChars="200"/>
              <w:rPr>
                <w:rFonts w:hAnsi="宋体" w:cs="宋体"/>
                <w:color w:val="auto"/>
                <w:highlight w:val="none"/>
              </w:rPr>
            </w:pPr>
            <w:r>
              <w:rPr>
                <w:rFonts w:hint="eastAsia" w:hAnsi="宋体" w:cs="宋体"/>
                <w:color w:val="auto"/>
                <w:highlight w:val="none"/>
                <w:u w:val="single"/>
              </w:rPr>
              <w:t>本项目以中标价为计算基准，按照《招标代理服务收费管理暂行办法》(计价格[2002] 1980号)的“服务类”标准下浮20%计算代理服务费</w:t>
            </w:r>
            <w:r>
              <w:rPr>
                <w:rFonts w:hint="eastAsia" w:hAnsi="宋体" w:cs="宋体"/>
                <w:color w:val="auto"/>
                <w:highlight w:val="none"/>
              </w:rPr>
              <w:t>。由各分标中标人向招标代理机构支付。</w:t>
            </w:r>
          </w:p>
          <w:p w14:paraId="4BE28620">
            <w:pPr>
              <w:pStyle w:val="26"/>
              <w:snapToGrid w:val="0"/>
              <w:rPr>
                <w:rFonts w:hAnsi="宋体" w:cs="宋体"/>
                <w:color w:val="auto"/>
                <w:highlight w:val="none"/>
              </w:rPr>
            </w:pPr>
            <w:r>
              <w:rPr>
                <w:rFonts w:hint="eastAsia" w:hAnsi="宋体" w:cs="宋体"/>
                <w:color w:val="auto"/>
                <w:highlight w:val="none"/>
              </w:rPr>
              <w:t>3.采购代理机构的银行账户：</w:t>
            </w:r>
          </w:p>
          <w:p w14:paraId="08504B65">
            <w:pPr>
              <w:pStyle w:val="26"/>
              <w:snapToGrid w:val="0"/>
              <w:ind w:firstLine="420" w:firstLineChars="200"/>
              <w:rPr>
                <w:rFonts w:hAnsi="宋体" w:cs="宋体"/>
                <w:color w:val="auto"/>
                <w:highlight w:val="none"/>
              </w:rPr>
            </w:pPr>
            <w:r>
              <w:rPr>
                <w:rFonts w:hint="eastAsia" w:hAnsi="宋体" w:cs="宋体"/>
                <w:color w:val="auto"/>
                <w:highlight w:val="none"/>
              </w:rPr>
              <w:t xml:space="preserve">账户名称：云之龙咨询集团有限公司贵港分公司  </w:t>
            </w:r>
          </w:p>
          <w:p w14:paraId="611FF168">
            <w:pPr>
              <w:pStyle w:val="26"/>
              <w:snapToGrid w:val="0"/>
              <w:ind w:firstLine="420" w:firstLineChars="200"/>
              <w:rPr>
                <w:rFonts w:hAnsi="宋体" w:cs="宋体"/>
                <w:color w:val="auto"/>
                <w:highlight w:val="none"/>
              </w:rPr>
            </w:pPr>
            <w:r>
              <w:rPr>
                <w:rFonts w:hint="eastAsia" w:hAnsi="宋体" w:cs="宋体"/>
                <w:color w:val="auto"/>
                <w:highlight w:val="none"/>
              </w:rPr>
              <w:t>开户银行：中信银行南宁东葛支行</w:t>
            </w:r>
          </w:p>
          <w:p w14:paraId="6840901F">
            <w:pPr>
              <w:pStyle w:val="26"/>
              <w:snapToGrid w:val="0"/>
              <w:ind w:firstLine="420" w:firstLineChars="200"/>
              <w:rPr>
                <w:rFonts w:hAnsi="宋体" w:cs="宋体"/>
                <w:color w:val="auto"/>
                <w:highlight w:val="none"/>
              </w:rPr>
            </w:pPr>
            <w:r>
              <w:rPr>
                <w:rFonts w:hint="eastAsia" w:hAnsi="宋体" w:cs="宋体"/>
                <w:color w:val="auto"/>
                <w:highlight w:val="none"/>
              </w:rPr>
              <w:t>开户行行号：302611029137</w:t>
            </w:r>
          </w:p>
          <w:p w14:paraId="5DD187DF">
            <w:pPr>
              <w:pStyle w:val="26"/>
              <w:snapToGrid w:val="0"/>
              <w:ind w:firstLine="420" w:firstLineChars="200"/>
              <w:rPr>
                <w:rFonts w:hAnsi="宋体" w:cs="宋体"/>
                <w:color w:val="auto"/>
                <w:highlight w:val="none"/>
              </w:rPr>
            </w:pPr>
            <w:r>
              <w:rPr>
                <w:rFonts w:hint="eastAsia" w:hAnsi="宋体" w:cs="宋体"/>
                <w:color w:val="auto"/>
                <w:highlight w:val="none"/>
              </w:rPr>
              <w:t>银行账号：8113001015100158012</w:t>
            </w:r>
          </w:p>
        </w:tc>
      </w:tr>
      <w:tr w14:paraId="1C0D7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6DE163B2">
            <w:pPr>
              <w:snapToGrid w:val="0"/>
              <w:jc w:val="center"/>
              <w:rPr>
                <w:rFonts w:ascii="宋体" w:hAnsi="宋体" w:cs="宋体"/>
                <w:color w:val="auto"/>
                <w:szCs w:val="21"/>
                <w:highlight w:val="none"/>
              </w:rPr>
            </w:pPr>
            <w:r>
              <w:rPr>
                <w:rFonts w:hint="eastAsia" w:ascii="宋体" w:hAnsi="宋体" w:cs="宋体"/>
                <w:color w:val="auto"/>
                <w:highlight w:val="none"/>
              </w:rPr>
              <w:t>40.1</w:t>
            </w:r>
          </w:p>
        </w:tc>
        <w:tc>
          <w:tcPr>
            <w:tcW w:w="8160" w:type="dxa"/>
            <w:tcBorders>
              <w:top w:val="single" w:color="auto" w:sz="4" w:space="0"/>
              <w:left w:val="single" w:color="auto" w:sz="4" w:space="0"/>
              <w:bottom w:val="single" w:color="auto" w:sz="4" w:space="0"/>
              <w:right w:val="single" w:color="auto" w:sz="4" w:space="0"/>
            </w:tcBorders>
            <w:vAlign w:val="center"/>
          </w:tcPr>
          <w:p w14:paraId="110BCE48">
            <w:pPr>
              <w:snapToGrid w:val="0"/>
              <w:rPr>
                <w:rFonts w:ascii="宋体" w:hAnsi="宋体" w:cs="宋体"/>
                <w:color w:val="auto"/>
                <w:szCs w:val="21"/>
                <w:highlight w:val="none"/>
              </w:rPr>
            </w:pPr>
            <w:r>
              <w:rPr>
                <w:rFonts w:hint="eastAsia" w:ascii="宋体" w:hAnsi="宋体" w:cs="宋体"/>
                <w:bCs/>
                <w:color w:val="auto"/>
                <w:kern w:val="0"/>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2D04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4E95397">
            <w:pPr>
              <w:snapToGrid w:val="0"/>
              <w:jc w:val="center"/>
              <w:rPr>
                <w:rFonts w:ascii="宋体" w:hAnsi="宋体" w:cs="宋体"/>
                <w:color w:val="auto"/>
                <w:szCs w:val="21"/>
                <w:highlight w:val="none"/>
              </w:rPr>
            </w:pPr>
            <w:r>
              <w:rPr>
                <w:rFonts w:hint="eastAsia" w:ascii="宋体" w:hAnsi="宋体" w:cs="宋体"/>
                <w:color w:val="auto"/>
                <w:highlight w:val="none"/>
              </w:rPr>
              <w:t>40.2</w:t>
            </w:r>
          </w:p>
        </w:tc>
        <w:tc>
          <w:tcPr>
            <w:tcW w:w="8160" w:type="dxa"/>
            <w:tcBorders>
              <w:top w:val="single" w:color="auto" w:sz="4" w:space="0"/>
              <w:left w:val="single" w:color="auto" w:sz="4" w:space="0"/>
              <w:bottom w:val="single" w:color="auto" w:sz="4" w:space="0"/>
              <w:right w:val="single" w:color="auto" w:sz="4" w:space="0"/>
            </w:tcBorders>
            <w:vAlign w:val="center"/>
          </w:tcPr>
          <w:p w14:paraId="24970CAF">
            <w:pPr>
              <w:pStyle w:val="26"/>
              <w:snapToGrid w:val="0"/>
              <w:spacing w:line="360" w:lineRule="auto"/>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09DDAEC">
            <w:pPr>
              <w:pStyle w:val="26"/>
              <w:snapToGrid w:val="0"/>
              <w:spacing w:line="360" w:lineRule="auto"/>
              <w:rPr>
                <w:rFonts w:hAnsi="宋体" w:cs="宋体"/>
                <w:bCs/>
                <w:color w:val="auto"/>
                <w:highlight w:val="none"/>
              </w:rPr>
            </w:pPr>
            <w:r>
              <w:rPr>
                <w:rFonts w:hint="eastAsia" w:hAnsi="宋体" w:cs="宋体"/>
                <w:bCs/>
                <w:color w:val="auto"/>
                <w:highlight w:val="none"/>
              </w:rPr>
              <w:t>2.本招标文件所称的“</w:t>
            </w:r>
            <w:r>
              <w:rPr>
                <w:rFonts w:hint="eastAsia" w:hAnsi="宋体" w:cs="宋体"/>
                <w:color w:val="auto"/>
                <w:highlight w:val="none"/>
              </w:rPr>
              <w:t>电子签章</w:t>
            </w:r>
            <w:r>
              <w:rPr>
                <w:rFonts w:hint="eastAsia" w:hAnsi="宋体" w:cs="宋体"/>
                <w:bCs/>
                <w:color w:val="auto"/>
                <w:highlight w:val="none"/>
              </w:rPr>
              <w:t>”、“电子签名”</w:t>
            </w:r>
            <w:r>
              <w:rPr>
                <w:rFonts w:hint="eastAsia" w:hAnsi="宋体" w:cs="宋体"/>
                <w:color w:val="auto"/>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71973F96">
            <w:pPr>
              <w:pStyle w:val="26"/>
              <w:snapToGrid w:val="0"/>
              <w:spacing w:line="360" w:lineRule="auto"/>
              <w:rPr>
                <w:rFonts w:hAnsi="宋体" w:cs="宋体"/>
                <w:bCs/>
                <w:color w:val="auto"/>
                <w:highlight w:val="none"/>
              </w:rPr>
            </w:pPr>
            <w:r>
              <w:rPr>
                <w:rFonts w:hint="eastAsia" w:hAnsi="宋体" w:cs="宋体"/>
                <w:bCs/>
                <w:color w:val="auto"/>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1C91F1F">
            <w:pPr>
              <w:pStyle w:val="26"/>
              <w:snapToGrid w:val="0"/>
              <w:spacing w:line="360" w:lineRule="auto"/>
              <w:rPr>
                <w:rFonts w:hAnsi="宋体" w:cs="宋体"/>
                <w:bCs/>
                <w:color w:val="auto"/>
                <w:highlight w:val="none"/>
              </w:rPr>
            </w:pPr>
            <w:r>
              <w:rPr>
                <w:rFonts w:hint="eastAsia" w:hAnsi="宋体" w:cs="宋体"/>
                <w:bCs/>
                <w:color w:val="auto"/>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0C85DB3">
            <w:pPr>
              <w:ind w:firstLine="420"/>
              <w:rPr>
                <w:rFonts w:ascii="宋体" w:hAnsi="宋体" w:cs="宋体"/>
                <w:color w:val="auto"/>
                <w:szCs w:val="21"/>
                <w:highlight w:val="none"/>
              </w:rPr>
            </w:pPr>
            <w:r>
              <w:rPr>
                <w:rFonts w:hint="eastAsia" w:ascii="宋体"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14:paraId="1C3744BB">
      <w:pPr>
        <w:snapToGrid w:val="0"/>
        <w:rPr>
          <w:rFonts w:ascii="宋体" w:hAnsi="宋体" w:cs="宋体"/>
          <w:color w:val="auto"/>
          <w:sz w:val="24"/>
          <w:szCs w:val="20"/>
          <w:highlight w:val="none"/>
        </w:rPr>
      </w:pPr>
    </w:p>
    <w:p w14:paraId="4B4ECD8C">
      <w:pPr>
        <w:snapToGrid w:val="0"/>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4818B353">
      <w:pPr>
        <w:pStyle w:val="4"/>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03246F44">
      <w:pPr>
        <w:pStyle w:val="4"/>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2252121C">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0" w:name="_Toc254970668"/>
      <w:bookmarkStart w:id="101" w:name="_Toc254970527"/>
      <w:r>
        <w:rPr>
          <w:rFonts w:hint="eastAsia" w:ascii="宋体" w:hAnsi="宋体" w:cs="宋体"/>
          <w:color w:val="auto"/>
          <w:sz w:val="24"/>
          <w:highlight w:val="none"/>
        </w:rPr>
        <w:t>1.适用范围</w:t>
      </w:r>
      <w:bookmarkEnd w:id="100"/>
      <w:bookmarkEnd w:id="101"/>
    </w:p>
    <w:p w14:paraId="7864B0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3C6F7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1587A41">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2" w:name="_Toc254970528"/>
      <w:bookmarkStart w:id="103" w:name="_Toc254970669"/>
      <w:r>
        <w:rPr>
          <w:rFonts w:hint="eastAsia" w:ascii="宋体" w:hAnsi="宋体" w:cs="宋体"/>
          <w:color w:val="auto"/>
          <w:sz w:val="24"/>
          <w:highlight w:val="none"/>
        </w:rPr>
        <w:t>2.定义</w:t>
      </w:r>
      <w:bookmarkEnd w:id="102"/>
      <w:bookmarkEnd w:id="103"/>
    </w:p>
    <w:p w14:paraId="74198B7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6925177A">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3C093B25">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436533C0">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28D1024D">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2.5“服务”是指除货物和工程以外的其他政府采购对象。</w:t>
      </w:r>
    </w:p>
    <w:p w14:paraId="0A686F7C">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7A12E1CD">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2.7“实质性要求”是指招标文件中已经指明不满足则投标无效的条款，或者不能负偏离的条款，或者采购需求中带“▲”的条款。</w:t>
      </w:r>
    </w:p>
    <w:p w14:paraId="5E8F76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2812C7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31957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04" w:name="_Toc254970670"/>
      <w:bookmarkStart w:id="105" w:name="_Toc254970529"/>
    </w:p>
    <w:p w14:paraId="4CCC7D27">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104"/>
      <w:bookmarkEnd w:id="105"/>
      <w:r>
        <w:rPr>
          <w:rFonts w:hint="eastAsia" w:ascii="宋体" w:hAnsi="宋体" w:cs="宋体"/>
          <w:color w:val="auto"/>
          <w:sz w:val="24"/>
          <w:highlight w:val="none"/>
        </w:rPr>
        <w:t>投标人的资格要求</w:t>
      </w:r>
    </w:p>
    <w:p w14:paraId="4D5558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2073BB1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6" w:name="_Toc254970530"/>
      <w:bookmarkStart w:id="107" w:name="_Toc254970671"/>
      <w:r>
        <w:rPr>
          <w:rFonts w:hint="eastAsia" w:ascii="宋体" w:hAnsi="宋体" w:cs="宋体"/>
          <w:color w:val="auto"/>
          <w:sz w:val="24"/>
          <w:highlight w:val="none"/>
        </w:rPr>
        <w:t>4.投标委托</w:t>
      </w:r>
      <w:bookmarkEnd w:id="106"/>
      <w:bookmarkEnd w:id="107"/>
    </w:p>
    <w:p w14:paraId="39C8D2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E0D3C4E">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8" w:name="_5.投标费用"/>
      <w:bookmarkEnd w:id="108"/>
      <w:bookmarkStart w:id="109" w:name="_Toc254970672"/>
      <w:bookmarkStart w:id="110" w:name="_Toc254970531"/>
      <w:r>
        <w:rPr>
          <w:rFonts w:hint="eastAsia" w:ascii="宋体" w:hAnsi="宋体" w:cs="宋体"/>
          <w:color w:val="auto"/>
          <w:sz w:val="24"/>
          <w:highlight w:val="none"/>
        </w:rPr>
        <w:t>5.投标费用</w:t>
      </w:r>
      <w:bookmarkEnd w:id="109"/>
      <w:bookmarkEnd w:id="110"/>
    </w:p>
    <w:p w14:paraId="48E0A8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0750D6E">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0F81BF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6.1本项目不接受联合体投标，详见“投标人须知前附表”。</w:t>
      </w:r>
    </w:p>
    <w:p w14:paraId="348F6F97">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8A283DB">
      <w:pPr>
        <w:snapToGrid w:val="0"/>
        <w:spacing w:line="360" w:lineRule="auto"/>
        <w:ind w:firstLine="420" w:firstLineChars="200"/>
        <w:jc w:val="left"/>
        <w:rPr>
          <w:rFonts w:ascii="宋体" w:hAnsi="宋体" w:cs="宋体"/>
          <w:color w:val="auto"/>
          <w:highlight w:val="none"/>
        </w:rPr>
      </w:pPr>
      <w:r>
        <w:rPr>
          <w:rFonts w:hint="eastAsia" w:ascii="宋体" w:hAnsi="宋体" w:cs="宋体"/>
          <w:bCs/>
          <w:color w:val="auto"/>
          <w:szCs w:val="21"/>
          <w:highlight w:val="none"/>
        </w:rPr>
        <w:t>6.3</w:t>
      </w:r>
      <w:r>
        <w:rPr>
          <w:rFonts w:hint="eastAsia" w:ascii="宋体" w:hAnsi="宋体" w:cs="宋体"/>
          <w:color w:val="auto"/>
          <w:szCs w:val="21"/>
          <w:highlight w:val="none"/>
        </w:rPr>
        <w:t>根据《政府采购促进中小企业发展管理办法》（财库〔2020〕46号）第九条第二款及</w:t>
      </w:r>
      <w:r>
        <w:rPr>
          <w:rFonts w:hint="eastAsia" w:ascii="宋体" w:hAnsi="宋体"/>
          <w:bCs/>
          <w:color w:val="auto"/>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6B8B0B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35228B2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11" w:name="_Toc254970673"/>
      <w:bookmarkStart w:id="112" w:name="_Toc254970532"/>
      <w:r>
        <w:rPr>
          <w:rFonts w:hint="eastAsia" w:ascii="宋体" w:hAnsi="宋体" w:cs="宋体"/>
          <w:b w:val="0"/>
          <w:color w:val="auto"/>
          <w:sz w:val="21"/>
          <w:szCs w:val="21"/>
          <w:highlight w:val="none"/>
        </w:rPr>
        <w:t>7.1本项目不允许转包。</w:t>
      </w:r>
    </w:p>
    <w:p w14:paraId="70CE71E5">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88E2D7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F2136FE">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8.特别说明</w:t>
      </w:r>
      <w:bookmarkEnd w:id="111"/>
      <w:bookmarkEnd w:id="112"/>
    </w:p>
    <w:p w14:paraId="13DC2C2B">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206445B0">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14:paraId="7DE432B1">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2CE8E6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133ABF6F">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42A99EA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（1）参加采购活动前3年内与供应商存在劳动关系；</w:t>
      </w:r>
    </w:p>
    <w:p w14:paraId="0270F15E">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（2）参加采购活动前3年内担任供应商的董事、监事；</w:t>
      </w:r>
    </w:p>
    <w:p w14:paraId="125DC505">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（3）参加采购活动前3年内是供应商的控股股东或者实际控制人；</w:t>
      </w:r>
    </w:p>
    <w:p w14:paraId="0E1FEF0D">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（4）与供应商的法定代表人或者负责人有夫妻、直系血亲、三代以内旁系血亲或者近姻亲关系；</w:t>
      </w:r>
    </w:p>
    <w:p w14:paraId="24C30DBE">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（5）与供应商有其他可能影响政府采购活动公平、公正进行的关系。</w:t>
      </w:r>
    </w:p>
    <w:p w14:paraId="4C3FA45B">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E41EE7">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67726FAB">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 xml:space="preserve">（1）不同投标人的投标文件由同一单位或者个人编制； </w:t>
      </w:r>
    </w:p>
    <w:p w14:paraId="1DF80F6C">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（2）不同投标人委托同一单位或者个人办理投标事宜；</w:t>
      </w:r>
    </w:p>
    <w:p w14:paraId="224C27E5">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（3）不同的投标人的投标文件载明的项目管理员为同一个人；</w:t>
      </w:r>
    </w:p>
    <w:p w14:paraId="50AC46DB">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（4）不同投标人的投标文件异常一致或者投标报价呈规律性差异；</w:t>
      </w:r>
    </w:p>
    <w:p w14:paraId="1C2DD124">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（5）不同投标人的投标文件相互混装；</w:t>
      </w:r>
    </w:p>
    <w:p w14:paraId="4328AE0A">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（6）不同投标人的投标保证金从同一单位或者个人账户转出。</w:t>
      </w:r>
    </w:p>
    <w:p w14:paraId="61FF2C11">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2CF1B7A3">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（1）供应商直接或者间接从采购人或者采购代理机构处获得其他供应商的相关信息并修改其投标文件或者投标文件；</w:t>
      </w:r>
    </w:p>
    <w:p w14:paraId="06F1C17A">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（2）供应商按照采购人或者采购代理机构的授意撤换、修改投标文件或者投标文件；</w:t>
      </w:r>
    </w:p>
    <w:p w14:paraId="5BE8128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（3）供应商之间协商报价、技术方案等投标文件或者投标文件的实质性内容；</w:t>
      </w:r>
    </w:p>
    <w:p w14:paraId="23CF2DB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（4）属于同一集团、协会、商会等组织成员的供应商按照该组织要求协同参加政府采购活动；</w:t>
      </w:r>
    </w:p>
    <w:p w14:paraId="473CB5B7">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E7A6F11">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（6）供应商之间商定部分供应商放弃参加政府采购活动或者放弃中标；</w:t>
      </w:r>
    </w:p>
    <w:p w14:paraId="17010332">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（7）供应商与采购人或者采购代理机构之间、供应商相互之间，为谋求特定供应商中标或者排斥其他供应商的其他串通行为。</w:t>
      </w:r>
    </w:p>
    <w:p w14:paraId="0EA0EC63">
      <w:pPr>
        <w:pStyle w:val="26"/>
        <w:snapToGrid w:val="0"/>
        <w:spacing w:line="360" w:lineRule="auto"/>
        <w:ind w:left="2" w:leftChars="1" w:firstLine="422" w:firstLineChars="200"/>
        <w:rPr>
          <w:rFonts w:hAnsi="宋体" w:cs="宋体"/>
          <w:b/>
          <w:color w:val="auto"/>
          <w:highlight w:val="none"/>
        </w:rPr>
      </w:pPr>
    </w:p>
    <w:p w14:paraId="47C68A87">
      <w:pPr>
        <w:pStyle w:val="4"/>
        <w:keepNext w:val="0"/>
        <w:keepLines w:val="0"/>
        <w:jc w:val="center"/>
        <w:rPr>
          <w:rFonts w:ascii="宋体" w:hAnsi="宋体" w:cs="宋体"/>
          <w:color w:val="auto"/>
          <w:highlight w:val="none"/>
        </w:rPr>
      </w:pPr>
      <w:bookmarkStart w:id="113" w:name="_Toc254970675"/>
      <w:bookmarkStart w:id="114" w:name="_Toc254970534"/>
      <w:r>
        <w:rPr>
          <w:rFonts w:hint="eastAsia" w:ascii="宋体" w:hAnsi="宋体" w:cs="宋体"/>
          <w:color w:val="auto"/>
          <w:highlight w:val="none"/>
        </w:rPr>
        <w:t>二、招标文件</w:t>
      </w:r>
      <w:bookmarkEnd w:id="113"/>
      <w:bookmarkEnd w:id="114"/>
    </w:p>
    <w:p w14:paraId="20DEFF56">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379CCB6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6C83E33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591208E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246693C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0DEC089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5D6BA2D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AF8C829">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682EAAF">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6C5EA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219AB9C1">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11.2</w:t>
      </w:r>
      <w:bookmarkStart w:id="115" w:name="_Hlk53134511"/>
      <w:r>
        <w:rPr>
          <w:rFonts w:hint="eastAsia" w:hAnsi="宋体" w:cs="宋体"/>
          <w:color w:val="auto"/>
          <w:highlight w:val="none"/>
        </w:rPr>
        <w:t>采购人或者采购代理机构可以在招标文件提供期限截止后，组织已获取招标文件的潜在投标人现场考察或者召开开标前答疑会，具体详见“投标人须知前附表”。</w:t>
      </w:r>
    </w:p>
    <w:bookmarkEnd w:id="115"/>
    <w:p w14:paraId="4FE1EC6A">
      <w:pPr>
        <w:pStyle w:val="4"/>
        <w:keepNext w:val="0"/>
        <w:keepLines w:val="0"/>
        <w:jc w:val="center"/>
        <w:rPr>
          <w:rFonts w:ascii="宋体" w:hAnsi="宋体" w:cs="宋体"/>
          <w:color w:val="auto"/>
          <w:highlight w:val="none"/>
        </w:rPr>
      </w:pPr>
      <w:bookmarkStart w:id="116" w:name="_Toc254970676"/>
      <w:bookmarkStart w:id="117" w:name="_Toc254970535"/>
      <w:r>
        <w:rPr>
          <w:rFonts w:hint="eastAsia" w:ascii="宋体" w:hAnsi="宋体" w:cs="宋体"/>
          <w:color w:val="auto"/>
          <w:highlight w:val="none"/>
        </w:rPr>
        <w:t>三、投标文件的编制</w:t>
      </w:r>
      <w:bookmarkEnd w:id="116"/>
      <w:bookmarkEnd w:id="117"/>
    </w:p>
    <w:p w14:paraId="4388801B">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18" w:name="_Toc254970677"/>
      <w:bookmarkStart w:id="119" w:name="_Toc254970536"/>
      <w:r>
        <w:rPr>
          <w:rFonts w:hint="eastAsia" w:ascii="宋体" w:hAnsi="宋体" w:cs="宋体"/>
          <w:color w:val="auto"/>
          <w:sz w:val="24"/>
          <w:highlight w:val="none"/>
        </w:rPr>
        <w:t>12.投标文件的编制原则</w:t>
      </w:r>
    </w:p>
    <w:p w14:paraId="28474CA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51A7A2AF">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18"/>
      <w:bookmarkEnd w:id="119"/>
    </w:p>
    <w:p w14:paraId="7D2BBF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FC3CE8E">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0" w:name="_13.1报价文件:_具体材料见“投标人须知前附表”。"/>
      <w:bookmarkEnd w:id="120"/>
      <w:r>
        <w:rPr>
          <w:rFonts w:hint="eastAsia" w:ascii="宋体" w:hAnsi="宋体" w:cs="宋体"/>
          <w:b w:val="0"/>
          <w:color w:val="auto"/>
          <w:sz w:val="21"/>
          <w:szCs w:val="21"/>
          <w:highlight w:val="none"/>
        </w:rPr>
        <w:t>（1）报价文件： 具体材料见“投标人须知前附表”。</w:t>
      </w:r>
    </w:p>
    <w:p w14:paraId="3287BE8C">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1" w:name="_13.2资格证明文件：具体材料见“投标人须知前附表”。"/>
      <w:bookmarkEnd w:id="121"/>
      <w:r>
        <w:rPr>
          <w:rFonts w:hint="eastAsia" w:ascii="宋体" w:hAnsi="宋体" w:cs="宋体"/>
          <w:b w:val="0"/>
          <w:color w:val="auto"/>
          <w:sz w:val="21"/>
          <w:szCs w:val="21"/>
          <w:highlight w:val="none"/>
        </w:rPr>
        <w:t>（2）资格证明文件：具体材料见“投标人须知前附表”。</w:t>
      </w:r>
    </w:p>
    <w:p w14:paraId="087EFEF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2" w:name="_13.3商务文件:_具体材料见“投标人须知前附表”。"/>
      <w:bookmarkEnd w:id="122"/>
      <w:r>
        <w:rPr>
          <w:rFonts w:hint="eastAsia" w:ascii="宋体" w:hAnsi="宋体" w:cs="宋体"/>
          <w:b w:val="0"/>
          <w:color w:val="auto"/>
          <w:sz w:val="21"/>
          <w:szCs w:val="21"/>
          <w:highlight w:val="none"/>
        </w:rPr>
        <w:t>（3）商务文件：具体材料见“投标人须知前附表”。</w:t>
      </w:r>
    </w:p>
    <w:p w14:paraId="281F59E9">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3" w:name="_13.4技术文件：具体材料见“投标人须知前附表”。"/>
      <w:bookmarkEnd w:id="123"/>
      <w:r>
        <w:rPr>
          <w:rFonts w:hint="eastAsia" w:ascii="宋体" w:hAnsi="宋体" w:cs="宋体"/>
          <w:b w:val="0"/>
          <w:color w:val="auto"/>
          <w:sz w:val="21"/>
          <w:szCs w:val="21"/>
          <w:highlight w:val="none"/>
        </w:rPr>
        <w:t>（4）技术文件：具体材料见“投标人须知前附表”。</w:t>
      </w:r>
    </w:p>
    <w:p w14:paraId="6FFA99ED">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4" w:name="_13.5投标文件电子版：具体材料见“投标人须知前附表”。"/>
      <w:bookmarkEnd w:id="124"/>
      <w:r>
        <w:rPr>
          <w:rFonts w:hint="eastAsia" w:ascii="宋体" w:hAnsi="宋体" w:cs="宋体"/>
          <w:b w:val="0"/>
          <w:color w:val="auto"/>
          <w:sz w:val="21"/>
          <w:szCs w:val="21"/>
          <w:highlight w:val="none"/>
        </w:rPr>
        <w:t>13.2投标文件电子版：具体要求见“投标人须知前附表”。</w:t>
      </w:r>
    </w:p>
    <w:p w14:paraId="70B1571A">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25" w:name="_Toc254970537"/>
      <w:bookmarkStart w:id="126" w:name="_Toc254970678"/>
      <w:r>
        <w:rPr>
          <w:rFonts w:hint="eastAsia" w:ascii="宋体" w:hAnsi="宋体" w:cs="宋体"/>
          <w:color w:val="auto"/>
          <w:sz w:val="24"/>
          <w:highlight w:val="none"/>
        </w:rPr>
        <w:t>14.投标文件的语言及计量</w:t>
      </w:r>
      <w:bookmarkEnd w:id="125"/>
      <w:bookmarkEnd w:id="126"/>
    </w:p>
    <w:p w14:paraId="3ED21C34">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7C53ABBB">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836F734">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76C2F96E">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03079242">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652A482">
      <w:pPr>
        <w:pStyle w:val="26"/>
        <w:snapToGrid w:val="0"/>
        <w:spacing w:line="360" w:lineRule="auto"/>
        <w:ind w:firstLine="420" w:firstLineChars="200"/>
        <w:jc w:val="left"/>
        <w:rPr>
          <w:rFonts w:hAnsi="宋体" w:cs="宋体"/>
          <w:color w:val="auto"/>
          <w:highlight w:val="none"/>
        </w:rPr>
      </w:pPr>
      <w:r>
        <w:rPr>
          <w:rFonts w:hint="eastAsia" w:hAnsi="宋体" w:cs="宋体"/>
          <w:color w:val="auto"/>
          <w:highlight w:val="none"/>
        </w:rPr>
        <w:t>投标人没有按照招标文件要求提供全部资料，或者投标人没有对招标文件作出实质性响应是投标人的风险，并可能导致其投标被拒绝。</w:t>
      </w:r>
    </w:p>
    <w:p w14:paraId="1754C10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27" w:name="_Toc254970538"/>
      <w:bookmarkStart w:id="128" w:name="_Toc254970679"/>
      <w:r>
        <w:rPr>
          <w:rFonts w:hint="eastAsia" w:ascii="宋体" w:hAnsi="宋体" w:cs="宋体"/>
          <w:color w:val="auto"/>
          <w:sz w:val="24"/>
          <w:highlight w:val="none"/>
        </w:rPr>
        <w:t>16.投标报价</w:t>
      </w:r>
      <w:bookmarkEnd w:id="127"/>
      <w:bookmarkEnd w:id="128"/>
    </w:p>
    <w:p w14:paraId="4679FAA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投标文件格式”中“开标一览表”和广西政府采购云平台系统中“开标一览表”格式填写。</w:t>
      </w:r>
    </w:p>
    <w:p w14:paraId="35FA4FC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9" w:name="_16.2投标报价具体定义见投标人须知前附表。"/>
      <w:bookmarkEnd w:id="129"/>
      <w:r>
        <w:rPr>
          <w:rFonts w:hint="eastAsia" w:ascii="宋体" w:hAnsi="宋体" w:cs="宋体"/>
          <w:b w:val="0"/>
          <w:color w:val="auto"/>
          <w:sz w:val="21"/>
          <w:szCs w:val="21"/>
          <w:highlight w:val="none"/>
        </w:rPr>
        <w:t>16.2投标报价具体包括内容详见“投标人须知前附表”。</w:t>
      </w:r>
    </w:p>
    <w:p w14:paraId="7FD5D87F">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16.3投标人必须就所投全部内容分别作完整唯一总价报价，不得存在漏项报价；投标人必须就所投单项内容作唯一报价。</w:t>
      </w:r>
    </w:p>
    <w:p w14:paraId="728B0D6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455AF024">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bookmarkStart w:id="130" w:name="_17.1投标有效期应按“投标人须知中的前附表”规定的期限。"/>
      <w:bookmarkEnd w:id="130"/>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6D2F14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31" w:name="_Toc254970540"/>
      <w:bookmarkStart w:id="132"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6631A3D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31"/>
      <w:bookmarkEnd w:id="132"/>
    </w:p>
    <w:p w14:paraId="48A4D0E1">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33" w:name="_18.投标保证金"/>
      <w:bookmarkEnd w:id="133"/>
      <w:bookmarkStart w:id="134" w:name="_Toc254970682"/>
      <w:bookmarkStart w:id="135" w:name="_Toc254970541"/>
      <w:r>
        <w:rPr>
          <w:rFonts w:hint="eastAsia" w:ascii="宋体" w:hAnsi="宋体" w:cs="宋体"/>
          <w:color w:val="auto"/>
          <w:sz w:val="24"/>
          <w:highlight w:val="none"/>
        </w:rPr>
        <w:t>18.投标保证金</w:t>
      </w:r>
      <w:bookmarkEnd w:id="134"/>
      <w:bookmarkEnd w:id="135"/>
    </w:p>
    <w:p w14:paraId="23790B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w:t>
      </w:r>
      <w:bookmarkStart w:id="136" w:name="_Toc254970683"/>
      <w:bookmarkStart w:id="137" w:name="_Toc254970542"/>
      <w:r>
        <w:rPr>
          <w:rFonts w:hint="eastAsia" w:ascii="宋体" w:hAnsi="宋体" w:cs="宋体"/>
          <w:color w:val="auto"/>
          <w:szCs w:val="21"/>
          <w:highlight w:val="none"/>
        </w:rPr>
        <w:t>：无。</w:t>
      </w:r>
    </w:p>
    <w:p w14:paraId="756D120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19.投标文件的</w:t>
      </w:r>
      <w:bookmarkEnd w:id="136"/>
      <w:bookmarkEnd w:id="137"/>
      <w:r>
        <w:rPr>
          <w:rFonts w:hint="eastAsia" w:ascii="宋体" w:hAnsi="宋体" w:cs="宋体"/>
          <w:color w:val="auto"/>
          <w:sz w:val="24"/>
          <w:highlight w:val="none"/>
        </w:rPr>
        <w:t>编制</w:t>
      </w:r>
    </w:p>
    <w:p w14:paraId="41D1DE61">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55025FA">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38" w:name="_19.2投标文件应按报价文件、资格证明文件、商务文件、技术文件分别编制"/>
      <w:bookmarkEnd w:id="138"/>
      <w:r>
        <w:rPr>
          <w:rFonts w:hint="eastAsia" w:ascii="宋体" w:hAnsi="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FAB69B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1D371DCF">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5D40B235">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182A1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108795EB">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电子备份投标文件是指通过在线编制生成且后缀名为“bfbs”的文件，是否接受电子备份投标文件详见“投标人须知前附表”。</w:t>
      </w:r>
    </w:p>
    <w:p w14:paraId="3F6E1BF8">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9DA620F">
      <w:pPr>
        <w:spacing w:line="360" w:lineRule="auto"/>
        <w:ind w:firstLine="420" w:firstLineChars="200"/>
        <w:rPr>
          <w:rFonts w:ascii="宋体" w:hAnsi="宋体" w:cs="宋体"/>
          <w:b/>
          <w:color w:val="auto"/>
          <w:highlight w:val="none"/>
        </w:rPr>
      </w:pPr>
      <w:bookmarkStart w:id="139" w:name="_21.1投标人必须在“投标人须知中的前附表”规定的投标文件接收时间和投"/>
      <w:bookmarkEnd w:id="139"/>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b/>
          <w:color w:val="auto"/>
          <w:szCs w:val="21"/>
          <w:highlight w:val="none"/>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15738116">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586C2AD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4EB38ACE">
      <w:pPr>
        <w:snapToGrid w:val="0"/>
        <w:spacing w:line="360" w:lineRule="auto"/>
        <w:ind w:firstLine="420"/>
        <w:jc w:val="left"/>
        <w:rPr>
          <w:rFonts w:ascii="宋体" w:hAnsi="宋体" w:cs="宋体"/>
          <w:color w:val="auto"/>
          <w:szCs w:val="21"/>
          <w:highlight w:val="none"/>
        </w:rPr>
      </w:pPr>
      <w:bookmarkStart w:id="140" w:name="_Toc254970684"/>
      <w:bookmarkStart w:id="141" w:name="_Toc254970543"/>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依次进入“服务中心”中查看 “电子投标文件制作与投送教程”）</w:t>
      </w:r>
    </w:p>
    <w:bookmarkEnd w:id="140"/>
    <w:bookmarkEnd w:id="141"/>
    <w:p w14:paraId="701D2FF7">
      <w:pPr>
        <w:pStyle w:val="20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4AAC3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3B5FBA1E">
      <w:pPr>
        <w:pStyle w:val="20"/>
        <w:snapToGrid w:val="0"/>
        <w:spacing w:line="360" w:lineRule="auto"/>
        <w:ind w:firstLine="739"/>
        <w:rPr>
          <w:rFonts w:ascii="宋体" w:hAnsi="宋体" w:eastAsia="宋体" w:cs="宋体"/>
          <w:snapToGrid w:val="0"/>
          <w:color w:val="auto"/>
          <w:sz w:val="21"/>
          <w:szCs w:val="21"/>
          <w:highlight w:val="none"/>
        </w:rPr>
      </w:pPr>
    </w:p>
    <w:p w14:paraId="481047B4">
      <w:pPr>
        <w:pStyle w:val="4"/>
        <w:keepNext w:val="0"/>
        <w:keepLines w:val="0"/>
        <w:jc w:val="center"/>
        <w:rPr>
          <w:rFonts w:ascii="宋体" w:hAnsi="宋体" w:cs="宋体"/>
          <w:color w:val="auto"/>
          <w:highlight w:val="none"/>
        </w:rPr>
      </w:pPr>
      <w:bookmarkStart w:id="142" w:name="_Toc254970685"/>
      <w:bookmarkStart w:id="143" w:name="_Toc254970544"/>
      <w:r>
        <w:rPr>
          <w:rFonts w:hint="eastAsia" w:ascii="宋体" w:hAnsi="宋体" w:cs="宋体"/>
          <w:color w:val="auto"/>
          <w:highlight w:val="none"/>
        </w:rPr>
        <w:t>四、开    标</w:t>
      </w:r>
      <w:bookmarkEnd w:id="142"/>
      <w:bookmarkEnd w:id="143"/>
    </w:p>
    <w:p w14:paraId="09995708">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44" w:name="_23.开标时间和地点"/>
      <w:bookmarkEnd w:id="144"/>
      <w:r>
        <w:rPr>
          <w:rFonts w:hint="eastAsia" w:ascii="宋体" w:hAnsi="宋体" w:cs="宋体"/>
          <w:color w:val="auto"/>
          <w:sz w:val="24"/>
          <w:highlight w:val="none"/>
        </w:rPr>
        <w:t>23.开标时间和地点</w:t>
      </w:r>
    </w:p>
    <w:p w14:paraId="0D01D20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3F8B704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0B2D0578">
      <w:pPr>
        <w:pStyle w:val="7"/>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7CA94652">
      <w:pPr>
        <w:pStyle w:val="7"/>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D206CAF">
      <w:pPr>
        <w:pStyle w:val="7"/>
        <w:spacing w:line="360" w:lineRule="auto"/>
        <w:rPr>
          <w:rFonts w:ascii="宋体" w:hAnsi="宋体" w:cs="宋体"/>
          <w:color w:val="auto"/>
          <w:highlight w:val="none"/>
        </w:rPr>
      </w:pPr>
      <w:r>
        <w:rPr>
          <w:rFonts w:hint="eastAsia" w:ascii="宋体" w:hAnsi="宋体" w:cs="宋体"/>
          <w:color w:val="auto"/>
          <w:highlight w:val="none"/>
        </w:rPr>
        <w:t>24.3开标程序</w:t>
      </w:r>
    </w:p>
    <w:p w14:paraId="1F0F96B9">
      <w:pPr>
        <w:pStyle w:val="7"/>
        <w:spacing w:line="360" w:lineRule="auto"/>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highlight w:val="none"/>
        </w:rPr>
        <w:t>。</w:t>
      </w:r>
    </w:p>
    <w:p w14:paraId="30849AB8">
      <w:pPr>
        <w:pStyle w:val="7"/>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（2）电子唱标。投标文件解密结束，宣布的内容均在广西政府采购云平台远程开标大厅展示，具体详见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60467F7E">
      <w:pPr>
        <w:pStyle w:val="7"/>
        <w:spacing w:line="360" w:lineRule="auto"/>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6A521DF">
      <w:pPr>
        <w:pStyle w:val="7"/>
        <w:spacing w:line="360" w:lineRule="auto"/>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9039CEB">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35B8C84">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特别说明：如遇广西政府采购云平台电子化开标或评审程序调整的，按调整后执行。</w:t>
      </w:r>
    </w:p>
    <w:p w14:paraId="62AF5AA9">
      <w:pPr>
        <w:pStyle w:val="26"/>
        <w:snapToGrid w:val="0"/>
        <w:spacing w:line="360" w:lineRule="auto"/>
        <w:ind w:left="689" w:leftChars="228" w:hanging="210" w:hangingChars="100"/>
        <w:rPr>
          <w:rFonts w:hAnsi="宋体" w:cs="宋体"/>
          <w:color w:val="auto"/>
          <w:highlight w:val="none"/>
        </w:rPr>
      </w:pPr>
    </w:p>
    <w:p w14:paraId="3AB12092">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58E36949">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193F73B8">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2257D2BB">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BCDCB2B">
      <w:pPr>
        <w:pStyle w:val="6"/>
        <w:keepNext w:val="0"/>
        <w:keepLines w:val="0"/>
        <w:spacing w:before="0" w:after="0" w:line="360" w:lineRule="auto"/>
        <w:ind w:firstLine="422" w:firstLineChars="200"/>
        <w:rPr>
          <w:rFonts w:ascii="宋体" w:hAnsi="宋体" w:cs="宋体"/>
          <w:color w:val="auto"/>
          <w:sz w:val="21"/>
          <w:szCs w:val="21"/>
          <w:highlight w:val="none"/>
        </w:rPr>
      </w:pPr>
      <w:bookmarkStart w:id="145" w:name="_25.3_投标人有下列情形之一的，资格审查不通过而导致其投标无效："/>
      <w:bookmarkEnd w:id="145"/>
      <w:r>
        <w:rPr>
          <w:rFonts w:hint="eastAsia" w:ascii="宋体" w:hAnsi="宋体" w:cs="宋体"/>
          <w:color w:val="auto"/>
          <w:sz w:val="21"/>
          <w:szCs w:val="21"/>
          <w:highlight w:val="none"/>
        </w:rPr>
        <w:t>25.3 投标人有下列情形之一的，资格审查不通过，作无效投标处理：</w:t>
      </w:r>
    </w:p>
    <w:p w14:paraId="70D4B30C">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（1）不具备招标文件中规定的资格要求的；</w:t>
      </w:r>
    </w:p>
    <w:p w14:paraId="49963353">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B603267">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77E3053">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（4）投标文件中的资格证明文件缺少任一项“投标人须知前附表”资格证明文件规定“必须提供”的文件资料的；</w:t>
      </w:r>
    </w:p>
    <w:p w14:paraId="6716075F">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（5）投标文件中的资格证明文件出现任一项不符合“投标人须知前附表”资格证明文件规定“必须提供”的文件资料要求或者无效的。</w:t>
      </w:r>
    </w:p>
    <w:p w14:paraId="09CB6401">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3ED42F05">
      <w:pPr>
        <w:pStyle w:val="26"/>
        <w:snapToGrid w:val="0"/>
        <w:spacing w:line="360" w:lineRule="auto"/>
        <w:ind w:left="689" w:leftChars="228" w:hanging="210" w:hangingChars="100"/>
        <w:rPr>
          <w:rFonts w:hAnsi="宋体" w:cs="宋体"/>
          <w:color w:val="auto"/>
          <w:highlight w:val="none"/>
        </w:rPr>
      </w:pPr>
    </w:p>
    <w:p w14:paraId="1A8FAC96">
      <w:pPr>
        <w:pStyle w:val="4"/>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3313C3A6">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46" w:name="_26.组建评标委员会"/>
      <w:bookmarkEnd w:id="146"/>
      <w:r>
        <w:rPr>
          <w:rFonts w:hint="eastAsia" w:ascii="宋体" w:hAnsi="宋体" w:cs="宋体"/>
          <w:color w:val="auto"/>
          <w:sz w:val="24"/>
          <w:highlight w:val="none"/>
        </w:rPr>
        <w:t>26.组建评标委员会</w:t>
      </w:r>
    </w:p>
    <w:p w14:paraId="40C741A3">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26.1评标委员会由采购人代表和评审专家组成，具体人数详见“投标人须知前附表”，其中评审专家不得少于成员总数的三分之二。</w:t>
      </w:r>
    </w:p>
    <w:p w14:paraId="3390EFEF">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26.2参加过采购项目前期咨询论证的专家，不得参加该采购项目的评审活动。</w:t>
      </w:r>
    </w:p>
    <w:p w14:paraId="767D50BB">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26.3</w:t>
      </w:r>
      <w:r>
        <w:rPr>
          <w:rFonts w:hint="eastAsia" w:hAnsi="宋体" w:cs="宋体"/>
          <w:bCs/>
          <w:color w:val="auto"/>
          <w:highlight w:val="none"/>
        </w:rPr>
        <w:t>采购代理机构应当基于广西政府采购云平台抽（选）取评审专家。</w:t>
      </w:r>
    </w:p>
    <w:p w14:paraId="7327A0E1">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0184957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评标委员会以“第四章 评标方法和评标标准”为依据对投标文件进行评审，没有规定的方法、评审因素和标准，不作为评标依据。</w:t>
      </w:r>
    </w:p>
    <w:p w14:paraId="75A30DCF">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7A74EDAB">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40D77B5">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28.2</w:t>
      </w:r>
      <w:bookmarkStart w:id="147" w:name="_28.3评标方法。本项目将按须知前附表规定的评标办法进行评标，具体评标"/>
      <w:bookmarkEnd w:id="147"/>
      <w:r>
        <w:rPr>
          <w:rFonts w:hint="eastAsia" w:hAnsi="宋体" w:cs="宋体"/>
          <w:color w:val="auto"/>
          <w:highlight w:val="none"/>
        </w:rPr>
        <w:t>评委表决。评标委员会成员对需要共同认定的事项存在争议的，应当按照少数服从多数的原则作出结论。</w:t>
      </w:r>
    </w:p>
    <w:p w14:paraId="4BF70186">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744515D">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28.4评标过程的监控。本项目电子评标过程实行网上留痕、全程录音、录像监控，</w:t>
      </w:r>
      <w:r>
        <w:rPr>
          <w:rFonts w:hint="eastAsia" w:hAnsi="宋体" w:cs="宋体"/>
          <w:b/>
          <w:color w:val="auto"/>
          <w:highlight w:val="none"/>
        </w:rPr>
        <w:t>投标人在评标过程中所进行的试图影响评标结果的不公正活动，可能导致其投标按无效处理。</w:t>
      </w:r>
    </w:p>
    <w:p w14:paraId="1FF603CB">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04E92445">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29.1本项目的评标方法详见“投标人须知前附表”。</w:t>
      </w:r>
    </w:p>
    <w:p w14:paraId="53003E3D">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29.2 商务/技术要求允许负偏离的条款数详见“投标人须知前附表”。</w:t>
      </w:r>
    </w:p>
    <w:p w14:paraId="6C43C258">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29.3 中标候选人推荐数量详见“投标人须知前附表”。</w:t>
      </w:r>
    </w:p>
    <w:p w14:paraId="1B9FD8E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29.4 电子交易活动的中止。采购过程中出现以下情形，导致</w:t>
      </w:r>
      <w:r>
        <w:rPr>
          <w:rFonts w:hint="eastAsia" w:ascii="宋体" w:hAnsi="宋体" w:cs="宋体"/>
          <w:color w:val="auto"/>
          <w:highlight w:val="none"/>
        </w:rPr>
        <w:t>电子交易平台无法正常运行，或者无法保证电子交易的公平、公正和安全时，采购代理机构可以中止电子交易活动：</w:t>
      </w:r>
    </w:p>
    <w:p w14:paraId="1EAE9C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8BB3B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91445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95850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D6EC1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264C8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57B3FA9">
      <w:pPr>
        <w:pStyle w:val="26"/>
        <w:snapToGrid w:val="0"/>
        <w:spacing w:line="360" w:lineRule="auto"/>
        <w:rPr>
          <w:rFonts w:hAnsi="宋体" w:cs="宋体"/>
          <w:color w:val="auto"/>
          <w:highlight w:val="none"/>
        </w:rPr>
      </w:pPr>
    </w:p>
    <w:p w14:paraId="68E9CD19">
      <w:pPr>
        <w:pStyle w:val="4"/>
        <w:keepNext w:val="0"/>
        <w:keepLines w:val="0"/>
        <w:jc w:val="center"/>
        <w:rPr>
          <w:rFonts w:ascii="宋体" w:hAnsi="宋体" w:cs="宋体"/>
          <w:color w:val="auto"/>
          <w:highlight w:val="none"/>
        </w:rPr>
      </w:pPr>
      <w:bookmarkStart w:id="148" w:name="_Toc254970687"/>
      <w:bookmarkStart w:id="149" w:name="_Toc254970546"/>
      <w:r>
        <w:rPr>
          <w:rFonts w:hint="eastAsia" w:ascii="宋体" w:hAnsi="宋体" w:cs="宋体"/>
          <w:color w:val="auto"/>
          <w:highlight w:val="none"/>
        </w:rPr>
        <w:t>七、</w:t>
      </w:r>
      <w:bookmarkEnd w:id="148"/>
      <w:bookmarkEnd w:id="149"/>
      <w:r>
        <w:rPr>
          <w:rFonts w:hint="eastAsia" w:ascii="宋体" w:hAnsi="宋体" w:cs="宋体"/>
          <w:color w:val="auto"/>
          <w:highlight w:val="none"/>
        </w:rPr>
        <w:t>中标和合同</w:t>
      </w:r>
    </w:p>
    <w:p w14:paraId="24C1797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6119D743">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bookmarkStart w:id="150" w:name="_八、其他事项"/>
      <w:bookmarkEnd w:id="150"/>
      <w:r>
        <w:rPr>
          <w:rFonts w:hint="eastAsia" w:ascii="宋体" w:hAnsi="宋体" w:cs="宋体"/>
          <w:b w:val="0"/>
          <w:color w:val="auto"/>
          <w:sz w:val="21"/>
          <w:szCs w:val="21"/>
          <w:highlight w:val="none"/>
        </w:rPr>
        <w:t>30.1采购代理机构在评标结束之日起2个工作日内将评标报告送采购人，采购人在收到评标报告之日起2个工作日内，在评标报告确定的中标候选人名单中按顺序确定中标人。中标候选人并列的，按照“投标人须知前附表”规定的方式确定中标人。采购人也可以事先授权评标委员会直接确定中标人。</w:t>
      </w:r>
    </w:p>
    <w:p w14:paraId="3BDA73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30.2采购人在收到评标报告2个工作日内未按评标报告推荐的中标候选人顺序确定中标人，又不能说明合法理由的，视同按评标报告推荐的顺序确定排名第一的中标候选人为中标人。</w:t>
      </w:r>
    </w:p>
    <w:p w14:paraId="2AFD25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1A3C07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51093C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291AF7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C36A0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6DB36A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16C49E9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6B155A71">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A8089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EB7876E">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39DDBA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B079DD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976ECF0">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473BC755">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03AD7CB7">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58A576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35D03476">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9D7AA31">
      <w:pPr>
        <w:pStyle w:val="6"/>
        <w:keepNext w:val="0"/>
        <w:keepLines w:val="0"/>
        <w:numPr>
          <w:ilvl w:val="4"/>
          <w:numId w:val="9"/>
        </w:numPr>
        <w:spacing w:before="0" w:after="0" w:line="360" w:lineRule="auto"/>
        <w:ind w:firstLine="315" w:firstLineChars="150"/>
        <w:rPr>
          <w:rFonts w:ascii="宋体" w:hAnsi="宋体" w:cs="宋体"/>
          <w:color w:val="auto"/>
          <w:sz w:val="21"/>
          <w:szCs w:val="21"/>
          <w:highlight w:val="none"/>
        </w:rPr>
      </w:pPr>
      <w:bookmarkStart w:id="151" w:name="_39.1中标人须于签订合同前按本须知前附表规定的金额转账或电汇到指定账"/>
      <w:bookmarkEnd w:id="151"/>
      <w:r>
        <w:rPr>
          <w:rFonts w:hint="eastAsia" w:ascii="宋体" w:hAnsi="宋体" w:cs="宋体"/>
          <w:b w:val="0"/>
          <w:color w:val="auto"/>
          <w:sz w:val="21"/>
          <w:szCs w:val="21"/>
          <w:highlight w:val="none"/>
        </w:rPr>
        <w:t xml:space="preserve"> </w:t>
      </w:r>
      <w:r>
        <w:rPr>
          <w:rFonts w:hint="eastAsia" w:ascii="宋体" w:hAnsi="宋体" w:cs="宋体"/>
          <w:b w:val="0"/>
          <w:bCs/>
          <w:color w:val="auto"/>
          <w:sz w:val="21"/>
          <w:szCs w:val="21"/>
          <w:highlight w:val="none"/>
        </w:rPr>
        <w:t>履约保证金：按投标人须知前附表中执行。</w:t>
      </w:r>
    </w:p>
    <w:p w14:paraId="1650702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2FC2103C">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52" w:name="_40.1投标人接到中标通知书后，按须知前附表规定向采购人出示相关资格证"/>
      <w:bookmarkEnd w:id="152"/>
      <w:r>
        <w:rPr>
          <w:rFonts w:hint="eastAsia" w:ascii="宋体" w:hAnsi="宋体" w:cs="宋体"/>
          <w:b w:val="0"/>
          <w:color w:val="auto"/>
          <w:sz w:val="21"/>
          <w:szCs w:val="21"/>
          <w:highlight w:val="none"/>
        </w:rPr>
        <w:t xml:space="preserve"> </w:t>
      </w:r>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0EFF0C6A">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91EB9B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36.2签订合同时间：中标通知书发出后25个日历日内与采购人签订合同。</w:t>
      </w:r>
    </w:p>
    <w:p w14:paraId="2CF9FBC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9FF4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B1CD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9188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4E9F59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0DB368C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53" w:name="_41.政府采购合同公告"/>
      <w:bookmarkEnd w:id="153"/>
      <w:r>
        <w:rPr>
          <w:rFonts w:hint="eastAsia" w:ascii="宋体" w:hAnsi="宋体" w:cs="宋体"/>
          <w:color w:val="auto"/>
          <w:sz w:val="24"/>
          <w:highlight w:val="none"/>
        </w:rPr>
        <w:t>37.政府采购合同公告</w:t>
      </w:r>
    </w:p>
    <w:p w14:paraId="362719A9">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9DC6588">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3A0E72E9">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CAC63E6">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910BA84">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（1）对可以质疑的招标文件提出质疑的，为收到招标文件之日或者招标文件公告期限届满之日；</w:t>
      </w:r>
    </w:p>
    <w:p w14:paraId="29C6922C">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（2）对采购过程提出质疑的，为各采购程序环节结束之日；</w:t>
      </w:r>
    </w:p>
    <w:p w14:paraId="7F561A64">
      <w:pPr>
        <w:pStyle w:val="26"/>
        <w:snapToGrid w:val="0"/>
        <w:spacing w:line="360" w:lineRule="auto"/>
        <w:ind w:firstLine="420" w:firstLineChars="200"/>
        <w:rPr>
          <w:rFonts w:hAnsi="宋体" w:cs="宋体"/>
          <w:bCs/>
          <w:color w:val="auto"/>
          <w:highlight w:val="none"/>
        </w:rPr>
      </w:pPr>
      <w:r>
        <w:rPr>
          <w:rFonts w:hint="eastAsia" w:hAnsi="宋体" w:cs="宋体"/>
          <w:color w:val="auto"/>
          <w:highlight w:val="none"/>
        </w:rPr>
        <w:t>（3）对中标结果提出质疑的，为中标结果公告期限届满之日。</w:t>
      </w:r>
    </w:p>
    <w:p w14:paraId="36589B0D">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54" w:name="_9.2质疑、投诉应当采用书面形式，质疑函、投诉书均应明确阐述招标文件、"/>
      <w:bookmarkEnd w:id="154"/>
      <w:r>
        <w:rPr>
          <w:rFonts w:hint="eastAsia" w:ascii="宋体" w:hAnsi="宋体" w:cs="宋体"/>
          <w:b w:val="0"/>
          <w:color w:val="auto"/>
          <w:sz w:val="21"/>
          <w:szCs w:val="21"/>
          <w:highlight w:val="none"/>
        </w:rPr>
        <w:t xml:space="preserve"> 38.3 </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6CBF7F82">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（1）供应商的姓名或者名称、地址、邮编、联系人及联系电话；</w:t>
      </w:r>
    </w:p>
    <w:p w14:paraId="52DA6E6C">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（2）质疑项目的名称、编号；</w:t>
      </w:r>
    </w:p>
    <w:p w14:paraId="44A40B15">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（3）具体、明确的质疑事项和与质疑事项相关的请求；</w:t>
      </w:r>
    </w:p>
    <w:p w14:paraId="36491D29">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（4）事实依据；</w:t>
      </w:r>
    </w:p>
    <w:p w14:paraId="43A6098B">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（5）必要的法律依据；</w:t>
      </w:r>
    </w:p>
    <w:p w14:paraId="61E00A04">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（6）提出质疑的日期。</w:t>
      </w:r>
    </w:p>
    <w:p w14:paraId="3C43F73C">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供应商为自然人的，应当由本人签字；供应商为法人或者其他组织的，应当由法定代表人、主要负责人，或者其委托代理人签字或者盖章，并加盖公章。</w:t>
      </w:r>
    </w:p>
    <w:p w14:paraId="47EFB938">
      <w:pPr>
        <w:pStyle w:val="6"/>
        <w:keepNext w:val="0"/>
        <w:keepLines w:val="0"/>
        <w:numPr>
          <w:ilvl w:val="4"/>
          <w:numId w:val="9"/>
        </w:numPr>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DC144E2">
      <w:pPr>
        <w:pStyle w:val="26"/>
        <w:snapToGrid w:val="0"/>
        <w:spacing w:line="360" w:lineRule="auto"/>
        <w:rPr>
          <w:rFonts w:hAnsi="宋体" w:cs="宋体"/>
          <w:bCs/>
          <w:color w:val="auto"/>
          <w:highlight w:val="none"/>
        </w:rPr>
      </w:pPr>
      <w:r>
        <w:rPr>
          <w:rFonts w:hint="eastAsia"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4ED81434">
      <w:pPr>
        <w:pStyle w:val="26"/>
        <w:snapToGrid w:val="0"/>
        <w:spacing w:line="360" w:lineRule="auto"/>
        <w:rPr>
          <w:rFonts w:hAnsi="宋体" w:cs="宋体"/>
          <w:bCs/>
          <w:color w:val="auto"/>
          <w:highlight w:val="none"/>
        </w:rPr>
      </w:pPr>
      <w:r>
        <w:rPr>
          <w:rFonts w:hint="eastAsia"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1E0638EC">
      <w:pPr>
        <w:pStyle w:val="26"/>
        <w:snapToGrid w:val="0"/>
        <w:spacing w:line="360" w:lineRule="auto"/>
        <w:ind w:firstLine="420"/>
        <w:rPr>
          <w:rFonts w:hAnsi="宋体" w:cs="宋体"/>
          <w:bCs/>
          <w:color w:val="auto"/>
          <w:highlight w:val="none"/>
        </w:rPr>
      </w:pPr>
      <w:r>
        <w:rPr>
          <w:rFonts w:hint="eastAsia" w:hAnsi="宋体" w:cs="宋体"/>
          <w:bCs/>
          <w:color w:val="auto"/>
          <w:highlight w:val="none"/>
        </w:rPr>
        <w:t>质疑答复导致中标结果改变的，采购人或者采购代理机构应当将有关情况书面报告本级财政部门。</w:t>
      </w:r>
    </w:p>
    <w:p w14:paraId="22A1F28F">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5205605">
      <w:pPr>
        <w:pStyle w:val="4"/>
        <w:keepNext w:val="0"/>
        <w:keepLines w:val="0"/>
        <w:spacing w:before="240" w:after="240" w:line="415" w:lineRule="auto"/>
        <w:jc w:val="center"/>
        <w:rPr>
          <w:rFonts w:ascii="宋体" w:hAnsi="宋体" w:cs="宋体"/>
          <w:color w:val="auto"/>
          <w:highlight w:val="none"/>
        </w:rPr>
      </w:pPr>
      <w:r>
        <w:rPr>
          <w:rFonts w:hint="eastAsia" w:ascii="宋体" w:hAnsi="宋体" w:cs="宋体"/>
          <w:color w:val="auto"/>
          <w:highlight w:val="none"/>
        </w:rPr>
        <w:t>八、其他事项</w:t>
      </w:r>
    </w:p>
    <w:p w14:paraId="381A5614">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55" w:name="_42.代理服务费"/>
      <w:bookmarkEnd w:id="155"/>
      <w:r>
        <w:rPr>
          <w:rFonts w:hint="eastAsia" w:ascii="宋体" w:hAnsi="宋体" w:cs="宋体"/>
          <w:color w:val="auto"/>
          <w:sz w:val="24"/>
          <w:highlight w:val="none"/>
        </w:rPr>
        <w:t>39.代理服务费</w:t>
      </w:r>
    </w:p>
    <w:p w14:paraId="647DA93D">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39.1代理服务收费标准及缴费账户详见“投标人须知前附表”，投标人为联合体的，可以由联合体中的一方或者多方共同交纳代理服务费。</w:t>
      </w:r>
    </w:p>
    <w:p w14:paraId="4611112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22EFC079">
      <w:pPr>
        <w:pStyle w:val="26"/>
        <w:spacing w:line="360" w:lineRule="auto"/>
        <w:ind w:firstLine="420" w:firstLineChars="200"/>
        <w:rPr>
          <w:rFonts w:hAnsi="宋体" w:cs="宋体"/>
          <w:color w:val="auto"/>
          <w:highlight w:val="none"/>
        </w:rPr>
      </w:pPr>
      <w:r>
        <w:rPr>
          <w:rFonts w:hint="eastAsia" w:hAnsi="宋体" w:cs="宋体"/>
          <w:color w:val="auto"/>
          <w:highlight w:val="none"/>
        </w:rPr>
        <w:t>40.1本招标文件解释规则详见“投标人须知前附表”。</w:t>
      </w:r>
    </w:p>
    <w:p w14:paraId="6ECA5233">
      <w:pPr>
        <w:pStyle w:val="26"/>
        <w:spacing w:line="360" w:lineRule="auto"/>
        <w:ind w:firstLine="420" w:firstLineChars="200"/>
        <w:rPr>
          <w:rFonts w:hAnsi="宋体" w:cs="宋体"/>
          <w:color w:val="auto"/>
          <w:highlight w:val="none"/>
        </w:rPr>
      </w:pPr>
      <w:r>
        <w:rPr>
          <w:rFonts w:hint="eastAsia" w:hAnsi="宋体" w:cs="宋体"/>
          <w:color w:val="auto"/>
          <w:highlight w:val="none"/>
        </w:rPr>
        <w:t>40.2 其他事项详见“投标人须知前附表”。</w:t>
      </w:r>
    </w:p>
    <w:p w14:paraId="50C3F5FE">
      <w:pPr>
        <w:pStyle w:val="26"/>
        <w:spacing w:line="360" w:lineRule="auto"/>
        <w:ind w:firstLine="420" w:firstLineChars="200"/>
        <w:rPr>
          <w:rFonts w:hAnsi="宋体" w:cs="宋体"/>
          <w:color w:val="auto"/>
          <w:highlight w:val="none"/>
        </w:rPr>
      </w:pPr>
      <w:r>
        <w:rPr>
          <w:rFonts w:hint="eastAsia" w:hAnsi="宋体" w:cs="宋体"/>
          <w:color w:val="auto"/>
          <w:highlight w:val="none"/>
        </w:rPr>
        <w:t>40.3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7607EADD">
      <w:pPr>
        <w:pStyle w:val="26"/>
        <w:spacing w:line="360" w:lineRule="auto"/>
        <w:ind w:firstLine="420" w:firstLineChars="200"/>
        <w:rPr>
          <w:rFonts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49BBC4A7">
      <w:pPr>
        <w:pStyle w:val="26"/>
        <w:spacing w:line="360" w:lineRule="auto"/>
        <w:ind w:firstLine="420" w:firstLineChars="200"/>
        <w:rPr>
          <w:rFonts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14:paraId="5634F28F">
      <w:pPr>
        <w:pStyle w:val="26"/>
        <w:spacing w:line="360" w:lineRule="auto"/>
        <w:ind w:firstLine="420" w:firstLineChars="200"/>
        <w:rPr>
          <w:rFonts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B440BDA">
      <w:pPr>
        <w:pStyle w:val="26"/>
        <w:spacing w:line="360" w:lineRule="auto"/>
        <w:ind w:firstLine="420" w:firstLineChars="200"/>
        <w:rPr>
          <w:rFonts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77352CE">
      <w:pPr>
        <w:pStyle w:val="26"/>
        <w:snapToGrid w:val="0"/>
        <w:ind w:firstLine="420" w:firstLineChars="200"/>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r>
        <w:rPr>
          <w:rFonts w:hint="eastAsia" w:hAnsi="宋体" w:cs="宋体"/>
          <w:color w:val="auto"/>
          <w:highlight w:val="none"/>
        </w:rPr>
        <w:br w:type="page"/>
      </w:r>
      <w:r>
        <w:rPr>
          <w:rFonts w:hint="eastAsia" w:hAnsi="宋体" w:cs="宋体"/>
          <w:color w:val="auto"/>
          <w:highlight w:val="none"/>
        </w:rPr>
        <w:t>附件1：</w:t>
      </w:r>
    </w:p>
    <w:p w14:paraId="474EF6CA">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14:paraId="382F06CC">
      <w:pPr>
        <w:widowControl/>
        <w:shd w:val="clear" w:color="auto" w:fill="FFFFFF"/>
        <w:spacing w:line="480" w:lineRule="atLeast"/>
        <w:jc w:val="center"/>
        <w:rPr>
          <w:rFonts w:ascii="宋体" w:hAnsi="宋体" w:cs="宋体"/>
          <w:color w:val="auto"/>
          <w:kern w:val="0"/>
          <w:sz w:val="32"/>
          <w:szCs w:val="32"/>
          <w:highlight w:val="none"/>
        </w:rPr>
      </w:pPr>
    </w:p>
    <w:p w14:paraId="513847C0">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提供的服务进行了验收，验收情况如下：</w:t>
      </w:r>
    </w:p>
    <w:tbl>
      <w:tblPr>
        <w:tblStyle w:val="5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289706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24DC3E8">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07EEB75A">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360EE3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7328B5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3B7DDEF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247BD72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服务内容、行业标准</w:t>
            </w:r>
          </w:p>
        </w:tc>
        <w:tc>
          <w:tcPr>
            <w:tcW w:w="863" w:type="dxa"/>
            <w:gridSpan w:val="2"/>
            <w:tcBorders>
              <w:top w:val="nil"/>
              <w:left w:val="nil"/>
              <w:bottom w:val="single" w:color="auto" w:sz="8" w:space="0"/>
              <w:right w:val="single" w:color="auto" w:sz="8" w:space="0"/>
            </w:tcBorders>
            <w:vAlign w:val="center"/>
          </w:tcPr>
          <w:p w14:paraId="046C9AB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68B1C34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7BBCBC9F">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B376519">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1A456BE">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0E7CE05">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EE17D6C">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0FA01FB1">
            <w:pPr>
              <w:widowControl/>
              <w:spacing w:before="100" w:beforeAutospacing="1" w:after="100" w:afterAutospacing="1" w:line="240" w:lineRule="atLeast"/>
              <w:jc w:val="center"/>
              <w:rPr>
                <w:rFonts w:ascii="宋体" w:hAnsi="宋体" w:cs="宋体"/>
                <w:color w:val="auto"/>
                <w:kern w:val="0"/>
                <w:szCs w:val="21"/>
                <w:highlight w:val="none"/>
              </w:rPr>
            </w:pPr>
          </w:p>
        </w:tc>
      </w:tr>
      <w:tr w14:paraId="601DFE4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B2D0AF0">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83755DE">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0673FA2">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1965561">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31964B2">
            <w:pPr>
              <w:widowControl/>
              <w:spacing w:before="100" w:beforeAutospacing="1" w:after="100" w:afterAutospacing="1" w:line="240" w:lineRule="atLeast"/>
              <w:jc w:val="center"/>
              <w:rPr>
                <w:rFonts w:ascii="宋体" w:hAnsi="宋体" w:cs="宋体"/>
                <w:color w:val="auto"/>
                <w:kern w:val="0"/>
                <w:szCs w:val="21"/>
                <w:highlight w:val="none"/>
              </w:rPr>
            </w:pPr>
          </w:p>
        </w:tc>
      </w:tr>
      <w:tr w14:paraId="2DB238B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C4E2A58">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2B9146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7ED378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31CA148">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1F3AB26F">
            <w:pPr>
              <w:widowControl/>
              <w:spacing w:before="100" w:beforeAutospacing="1" w:after="100" w:afterAutospacing="1" w:line="240" w:lineRule="atLeast"/>
              <w:jc w:val="center"/>
              <w:rPr>
                <w:rFonts w:ascii="宋体" w:hAnsi="宋体" w:cs="宋体"/>
                <w:color w:val="auto"/>
                <w:kern w:val="0"/>
                <w:szCs w:val="21"/>
                <w:highlight w:val="none"/>
              </w:rPr>
            </w:pPr>
          </w:p>
        </w:tc>
      </w:tr>
      <w:tr w14:paraId="7368ED6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538F131">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8B26CDB">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3AECBFE">
            <w:pPr>
              <w:widowControl/>
              <w:spacing w:before="100" w:beforeAutospacing="1" w:after="100" w:afterAutospacing="1" w:line="240" w:lineRule="atLeast"/>
              <w:jc w:val="center"/>
              <w:rPr>
                <w:rFonts w:ascii="宋体" w:hAnsi="宋体" w:cs="宋体"/>
                <w:color w:val="auto"/>
                <w:kern w:val="0"/>
                <w:szCs w:val="21"/>
                <w:highlight w:val="none"/>
              </w:rPr>
            </w:pPr>
          </w:p>
        </w:tc>
      </w:tr>
      <w:tr w14:paraId="09DA285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36CF24E4">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6A193C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52F4C73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实际实施的期限</w:t>
            </w:r>
          </w:p>
        </w:tc>
        <w:tc>
          <w:tcPr>
            <w:tcW w:w="2719" w:type="dxa"/>
            <w:gridSpan w:val="2"/>
            <w:tcBorders>
              <w:top w:val="nil"/>
              <w:left w:val="nil"/>
              <w:bottom w:val="single" w:color="auto" w:sz="8" w:space="0"/>
              <w:right w:val="single" w:color="auto" w:sz="8" w:space="0"/>
            </w:tcBorders>
            <w:vAlign w:val="center"/>
          </w:tcPr>
          <w:p w14:paraId="301FD408">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F1F9BA9">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合同服务验收日期</w:t>
            </w:r>
          </w:p>
        </w:tc>
        <w:tc>
          <w:tcPr>
            <w:tcW w:w="3039" w:type="dxa"/>
            <w:gridSpan w:val="2"/>
            <w:tcBorders>
              <w:top w:val="nil"/>
              <w:left w:val="nil"/>
              <w:bottom w:val="single" w:color="auto" w:sz="8" w:space="0"/>
              <w:right w:val="single" w:color="auto" w:sz="8" w:space="0"/>
            </w:tcBorders>
            <w:vAlign w:val="center"/>
          </w:tcPr>
          <w:p w14:paraId="46324640">
            <w:pPr>
              <w:widowControl/>
              <w:spacing w:before="100" w:beforeAutospacing="1" w:after="100" w:afterAutospacing="1" w:line="240" w:lineRule="atLeast"/>
              <w:jc w:val="center"/>
              <w:rPr>
                <w:rFonts w:ascii="宋体" w:hAnsi="宋体" w:cs="宋体"/>
                <w:color w:val="auto"/>
                <w:kern w:val="0"/>
                <w:szCs w:val="21"/>
                <w:highlight w:val="none"/>
              </w:rPr>
            </w:pPr>
          </w:p>
        </w:tc>
      </w:tr>
      <w:tr w14:paraId="28E7602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4FD08039">
            <w:pPr>
              <w:widowControl/>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04CBB2A7">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19D3228">
            <w:pPr>
              <w:widowControl/>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617683D8">
            <w:pPr>
              <w:widowControl/>
              <w:spacing w:before="100" w:beforeAutospacing="1" w:after="100" w:afterAutospacing="1" w:line="240" w:lineRule="atLeast"/>
              <w:jc w:val="center"/>
              <w:rPr>
                <w:rFonts w:ascii="宋体" w:hAnsi="宋体" w:cs="宋体"/>
                <w:color w:val="auto"/>
                <w:kern w:val="0"/>
                <w:szCs w:val="21"/>
                <w:highlight w:val="none"/>
              </w:rPr>
            </w:pPr>
          </w:p>
        </w:tc>
      </w:tr>
      <w:tr w14:paraId="5A526DFC">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D895F">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1B4027">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（应按采购合同、采购文件、投标文件及验收方案等进行验收；并核对中标供应商是否违反合同约定或服务规范要求）</w:t>
            </w:r>
          </w:p>
        </w:tc>
      </w:tr>
      <w:tr w14:paraId="384F0A4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E42DE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01F18EB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981400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55DCF2B">
            <w:pPr>
              <w:widowControl/>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14D53960">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6FBE09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6A91689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7D6D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3955D0A">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14D75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A226ECC">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44C2CB9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A0D3E37">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中标供应商负责人签字或盖章：</w:t>
            </w:r>
          </w:p>
          <w:p w14:paraId="0F566272">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53F5F84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color w:val="auto"/>
                <w:highlight w:val="none"/>
              </w:rPr>
              <w:t>采购人或委托单位</w:t>
            </w:r>
            <w:r>
              <w:rPr>
                <w:rFonts w:hint="eastAsia" w:ascii="宋体" w:hAnsi="宋体" w:cs="宋体"/>
                <w:color w:val="auto"/>
                <w:kern w:val="0"/>
                <w:szCs w:val="21"/>
                <w:highlight w:val="none"/>
              </w:rPr>
              <w:t>的意见（盖章）：</w:t>
            </w:r>
          </w:p>
          <w:p w14:paraId="11844BE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6CD0E151">
      <w:pPr>
        <w:pStyle w:val="26"/>
        <w:snapToGrid w:val="0"/>
        <w:spacing w:before="120" w:after="120"/>
        <w:rPr>
          <w:rFonts w:hAnsi="宋体" w:cs="宋体"/>
          <w:color w:val="auto"/>
          <w:highlight w:val="none"/>
        </w:rPr>
      </w:pPr>
      <w:r>
        <w:rPr>
          <w:rFonts w:hint="eastAsia" w:hAnsi="宋体" w:cs="宋体"/>
          <w:b/>
          <w:bCs/>
          <w:color w:val="auto"/>
          <w:highlight w:val="none"/>
        </w:rPr>
        <w:t>备注：本表为参考格式及内容，验收时经双方协商，按照实际服务内容及验收标准进行填写。</w:t>
      </w:r>
    </w:p>
    <w:p w14:paraId="4DEA6624">
      <w:pPr>
        <w:pStyle w:val="26"/>
        <w:snapToGrid w:val="0"/>
        <w:spacing w:before="120" w:after="120"/>
        <w:rPr>
          <w:rFonts w:hAnsi="宋体" w:cs="宋体"/>
          <w:color w:val="auto"/>
          <w:highlight w:val="none"/>
        </w:rPr>
      </w:pPr>
    </w:p>
    <w:p w14:paraId="099BCC2C">
      <w:pPr>
        <w:pStyle w:val="3"/>
        <w:jc w:val="center"/>
        <w:rPr>
          <w:rFonts w:hAnsi="宋体" w:cs="宋体"/>
          <w:color w:val="auto"/>
          <w:sz w:val="24"/>
          <w:highlight w:val="none"/>
        </w:rPr>
      </w:pPr>
      <w:bookmarkStart w:id="156" w:name="_Toc254970548"/>
      <w:bookmarkStart w:id="157" w:name="_Toc330456896"/>
      <w:bookmarkStart w:id="158" w:name="_Toc966"/>
      <w:bookmarkStart w:id="159" w:name="_Toc254970689"/>
      <w:r>
        <w:rPr>
          <w:rFonts w:hint="eastAsia" w:ascii="宋体" w:hAnsi="宋体" w:eastAsia="宋体" w:cs="宋体"/>
          <w:color w:val="auto"/>
          <w:highlight w:val="none"/>
        </w:rPr>
        <w:t>第四章  评标方法及评标标准</w:t>
      </w:r>
      <w:bookmarkEnd w:id="156"/>
      <w:bookmarkEnd w:id="157"/>
      <w:bookmarkEnd w:id="158"/>
      <w:bookmarkEnd w:id="159"/>
    </w:p>
    <w:p w14:paraId="0DCE4E69">
      <w:pPr>
        <w:pStyle w:val="4"/>
        <w:keepNext w:val="0"/>
        <w:keepLines w:val="0"/>
        <w:jc w:val="center"/>
        <w:rPr>
          <w:rFonts w:ascii="宋体" w:hAnsi="宋体" w:cs="宋体"/>
          <w:color w:val="auto"/>
          <w:highlight w:val="none"/>
        </w:rPr>
      </w:pPr>
      <w:r>
        <w:rPr>
          <w:rFonts w:hint="eastAsia" w:ascii="宋体" w:hAnsi="宋体" w:cs="宋体"/>
          <w:color w:val="auto"/>
          <w:highlight w:val="none"/>
        </w:rPr>
        <w:t>一、评标方法</w:t>
      </w:r>
    </w:p>
    <w:p w14:paraId="43919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（一）综合评分法，是指投标文件满足招标文件全部实质性要求，且按照评审因素的量化指标评审得分最高的投标人为中标候选人的评标方法。</w:t>
      </w:r>
    </w:p>
    <w:p w14:paraId="027C26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（二）组建评标委员会</w:t>
      </w:r>
    </w:p>
    <w:p w14:paraId="7A4B2B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评标委员会由采购人代表和评审专家组成，成员人数见“投标人须知前附表”，其中评审专家不得少于成员总数的三分之二。</w:t>
      </w:r>
    </w:p>
    <w:p w14:paraId="7F1DB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参加过采购项目前期咨询论证的专家，不得参加该采购项目的评审活动。</w:t>
      </w:r>
    </w:p>
    <w:p w14:paraId="67F47731">
      <w:pPr>
        <w:pStyle w:val="4"/>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14:paraId="7B50BA1A">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50CD6EBB">
      <w:pPr>
        <w:pStyle w:val="26"/>
        <w:snapToGrid w:val="0"/>
        <w:spacing w:line="360" w:lineRule="auto"/>
        <w:ind w:left="1" w:firstLine="420"/>
        <w:rPr>
          <w:rFonts w:hAnsi="宋体" w:cs="宋体"/>
          <w:b/>
          <w:color w:val="auto"/>
          <w:highlight w:val="none"/>
        </w:rPr>
      </w:pPr>
      <w:r>
        <w:rPr>
          <w:rFonts w:hint="eastAsia" w:hAnsi="宋体" w:cs="宋体"/>
          <w:b/>
          <w:color w:val="auto"/>
          <w:highlight w:val="none"/>
        </w:rPr>
        <w:t>评标委员会应当对符合资格的投标人的投标文件进行投标报价、商务、技术等实质性内容符合性审查，以确定其是否满足招标文件的实质性要求。</w:t>
      </w:r>
    </w:p>
    <w:p w14:paraId="517F1D72">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17839D0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321531AE">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5CAE56D9">
      <w:pPr>
        <w:pStyle w:val="7"/>
        <w:numPr>
          <w:ilvl w:val="0"/>
          <w:numId w:val="10"/>
        </w:numPr>
        <w:spacing w:line="360" w:lineRule="auto"/>
        <w:ind w:firstLine="398" w:firstLineChars="200"/>
        <w:rPr>
          <w:rFonts w:ascii="宋体" w:hAnsi="宋体" w:cs="宋体"/>
          <w:b/>
          <w:color w:val="auto"/>
          <w:spacing w:val="-6"/>
          <w:szCs w:val="21"/>
          <w:highlight w:val="none"/>
        </w:rPr>
      </w:pPr>
      <w:r>
        <w:rPr>
          <w:rFonts w:hint="eastAsia" w:ascii="宋体" w:hAnsi="宋体" w:cs="宋体"/>
          <w:b/>
          <w:color w:val="auto"/>
          <w:spacing w:val="-6"/>
          <w:szCs w:val="21"/>
          <w:highlight w:val="none"/>
        </w:rPr>
        <w:t>报价文件未提供“投标人须知前附表”第13.1条规定中“必须提供”的文件资料的；</w:t>
      </w:r>
    </w:p>
    <w:p w14:paraId="36A77BCC">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6E1654FF">
      <w:pPr>
        <w:pStyle w:val="7"/>
        <w:numPr>
          <w:ilvl w:val="0"/>
          <w:numId w:val="10"/>
        </w:numPr>
        <w:spacing w:line="360" w:lineRule="auto"/>
        <w:ind w:left="-2" w:firstLine="422"/>
        <w:rPr>
          <w:rFonts w:ascii="宋体" w:hAnsi="宋体" w:cs="宋体"/>
          <w:b/>
          <w:color w:val="auto"/>
          <w:spacing w:val="-6"/>
          <w:szCs w:val="21"/>
          <w:highlight w:val="none"/>
        </w:rPr>
      </w:pPr>
      <w:r>
        <w:rPr>
          <w:rFonts w:hint="eastAsia" w:ascii="宋体" w:hAnsi="宋体" w:cs="宋体"/>
          <w:b/>
          <w:color w:val="auto"/>
          <w:spacing w:val="-6"/>
          <w:szCs w:val="21"/>
          <w:highlight w:val="none"/>
        </w:rPr>
        <w:t>报价超出招标文件规定最高限价，或者超出采购预算金额的；</w:t>
      </w:r>
    </w:p>
    <w:p w14:paraId="665EF56F">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完整唯一总价报价；存在有选择、有条件报价的（招标文件允许有备选方案或者其他约定的除外）；</w:t>
      </w:r>
    </w:p>
    <w:p w14:paraId="2397C5DB">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50491009">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14:paraId="1CA9CE57">
      <w:pPr>
        <w:pStyle w:val="7"/>
        <w:numPr>
          <w:ilvl w:val="0"/>
          <w:numId w:val="10"/>
        </w:numPr>
        <w:spacing w:line="360" w:lineRule="auto"/>
        <w:ind w:firstLine="398" w:firstLineChars="200"/>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3F0FF3E3">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45B011A1">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7A9C650D">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委托代理人未能出具有效身份证或者出具的身份证与授权委托书中的信息不符的； </w:t>
      </w:r>
    </w:p>
    <w:p w14:paraId="5D020AC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2A8E08D2">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6137888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3A48B218">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63F928C0">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98D28FC">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31F28C3D">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3487C401">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00885B6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6F459C40">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37C068D9">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24C8FBB4">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2DFE5B0A">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（1）技术要求评审允许负偏离的条款数超过“投标人须知前附表”规定项数的；</w:t>
      </w:r>
    </w:p>
    <w:p w14:paraId="286C8541">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（2）投标文件未提供“投标人须知前附表”第13.1条规定中“必须提供”的文件资料的；</w:t>
      </w:r>
    </w:p>
    <w:p w14:paraId="54DB06BD">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（3）虚假投标，或者出现其他情形而导致被评标委员会认定无效的；</w:t>
      </w:r>
    </w:p>
    <w:p w14:paraId="7F1367DF">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60" w:name="_Hlk71706244"/>
      <w:r>
        <w:rPr>
          <w:rFonts w:hint="eastAsia" w:ascii="宋体" w:hAnsi="宋体" w:eastAsia="宋体" w:cs="宋体"/>
          <w:b/>
          <w:color w:val="auto"/>
          <w:sz w:val="21"/>
          <w:szCs w:val="21"/>
          <w:highlight w:val="none"/>
        </w:rPr>
        <w:t>招标文件未载明允许提供备选（替代）投标方案或明确不允许提供备选（替代）投标方案时，投标人提供了备选（替代）投标方案的；</w:t>
      </w:r>
      <w:bookmarkEnd w:id="160"/>
    </w:p>
    <w:p w14:paraId="6A728EBF">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（5）未响应招标文件实质性要求的。</w:t>
      </w:r>
    </w:p>
    <w:p w14:paraId="724DC979">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57E90256">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F6DA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48C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1BB64888">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57F5257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0E98E380">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（1）投标文件中开标一览表（报价表）内容与投标文件中相应内容不一致的，以开标一览表（报价表）为准；</w:t>
      </w:r>
    </w:p>
    <w:p w14:paraId="3577BDF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（2）大写金额和小写金额不一致的，以大写金额为准；</w:t>
      </w:r>
    </w:p>
    <w:p w14:paraId="52A45A3C">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（3）单价金额小数点或者百分比有明显错位的，以开标一览表的总价为准，并修改单价；</w:t>
      </w:r>
    </w:p>
    <w:p w14:paraId="5EACD66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（4）总价金额与按单价汇总金额不一致的，以单价金额计算结果为准。</w:t>
      </w:r>
    </w:p>
    <w:p w14:paraId="7AC3F1F3">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同时出现两种以上不一致的，按照以上（1）-（4）规定的顺序修正。修正后的报价经投标人确认后产生约束力，投标人不确认的，</w:t>
      </w:r>
      <w:r>
        <w:rPr>
          <w:rFonts w:hint="eastAsia" w:hAnsi="宋体" w:cs="宋体"/>
          <w:b/>
          <w:color w:val="auto"/>
          <w:highlight w:val="none"/>
        </w:rPr>
        <w:t>其投标无效</w:t>
      </w:r>
      <w:r>
        <w:rPr>
          <w:rFonts w:hint="eastAsia" w:hAnsi="宋体" w:cs="宋体"/>
          <w:color w:val="auto"/>
          <w:highlight w:val="none"/>
        </w:rPr>
        <w:t>。</w:t>
      </w:r>
    </w:p>
    <w:p w14:paraId="6FBCF5F3">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2DB8A6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0AF584E">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6A173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7B9624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4B9F20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7C04F7B3">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2A8CA0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4326F0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37A787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576D3F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D7185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45225639">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5A9FB1FC">
      <w:pPr>
        <w:snapToGrid w:val="0"/>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68F3F8C1">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3312302C">
      <w:pPr>
        <w:snapToGrid w:val="0"/>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49B1E9">
      <w:pPr>
        <w:pStyle w:val="26"/>
        <w:spacing w:line="420" w:lineRule="exact"/>
        <w:ind w:firstLine="420"/>
        <w:jc w:val="left"/>
        <w:rPr>
          <w:rFonts w:hAnsi="宋体" w:cs="宋体"/>
          <w:b/>
          <w:bCs/>
          <w:color w:val="auto"/>
          <w:sz w:val="24"/>
          <w:szCs w:val="24"/>
          <w:highlight w:val="none"/>
        </w:rPr>
      </w:pPr>
      <w:r>
        <w:rPr>
          <w:rFonts w:hint="eastAsia" w:hAnsi="宋体" w:cs="宋体"/>
          <w:b/>
          <w:bCs/>
          <w:color w:val="auto"/>
          <w:sz w:val="24"/>
          <w:szCs w:val="24"/>
          <w:highlight w:val="none"/>
        </w:rPr>
        <w:t>二、评标标准（标项一适用）</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83"/>
        <w:gridCol w:w="6601"/>
      </w:tblGrid>
      <w:tr w14:paraId="0919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6" w:type="pct"/>
            <w:vAlign w:val="center"/>
          </w:tcPr>
          <w:p w14:paraId="7CF45059">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694" w:type="pct"/>
            <w:vAlign w:val="center"/>
          </w:tcPr>
          <w:p w14:paraId="19F14E9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869" w:type="pct"/>
            <w:vAlign w:val="center"/>
          </w:tcPr>
          <w:p w14:paraId="2796C8E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14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1B7EF69">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694" w:type="pct"/>
            <w:vAlign w:val="center"/>
          </w:tcPr>
          <w:p w14:paraId="25F5459C">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p w14:paraId="73F2F21F">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20分</w:t>
            </w:r>
            <w:r>
              <w:rPr>
                <w:rFonts w:hint="eastAsia" w:ascii="宋体" w:hAnsi="宋体" w:cs="宋体"/>
                <w:b/>
                <w:bCs/>
                <w:color w:val="auto"/>
                <w:szCs w:val="21"/>
                <w:highlight w:val="none"/>
              </w:rPr>
              <w:t>）</w:t>
            </w:r>
          </w:p>
        </w:tc>
        <w:tc>
          <w:tcPr>
            <w:tcW w:w="3869" w:type="pct"/>
            <w:vAlign w:val="center"/>
          </w:tcPr>
          <w:p w14:paraId="2895FC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（1）评标报价为供应商的投标报价进行政策性扣除后的价格，评标报价只是作为评审时使用。最终中标供应商的中标金额等于最后投标报价（如有修正，以确认修正后的投标报价为准）。</w:t>
            </w:r>
          </w:p>
          <w:p w14:paraId="2D357F23">
            <w:pPr>
              <w:pStyle w:val="26"/>
              <w:spacing w:line="400" w:lineRule="exact"/>
              <w:ind w:firstLine="420" w:firstLineChars="200"/>
              <w:rPr>
                <w:rFonts w:hAnsi="宋体" w:cs="宋体"/>
                <w:color w:val="auto"/>
                <w:highlight w:val="none"/>
              </w:rPr>
            </w:pPr>
            <w:r>
              <w:rPr>
                <w:rFonts w:hint="eastAsia" w:hAnsi="宋体" w:cs="宋体"/>
                <w:color w:val="auto"/>
                <w:highlight w:val="none"/>
              </w:rPr>
              <w:t>（2）政府采购政策性扣除计算方法</w:t>
            </w:r>
          </w:p>
          <w:p w14:paraId="599839C1">
            <w:pPr>
              <w:spacing w:line="400" w:lineRule="exact"/>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根据《政府采购促进中小企业发展管理办法》（财库〔2020〕46号）及《广西壮族自治区财政厅关于持续优化政府采购营商环境推动高质量发展的通知 》（桂财采〔2024〕55号）的规定，供应商在其投标文件中提供《中小企业声明函》，且其投标提供的服务由小微企业承接的，对供应商的投标报价给予10%的扣除，扣除后的价格为评标报价，即评标报价=投标报价×（1-10%）。除上述情况外，评标报价=投标报价。</w:t>
            </w:r>
          </w:p>
          <w:p w14:paraId="76F1DB5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6F501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662EE8">
            <w:pPr>
              <w:pStyle w:val="26"/>
              <w:spacing w:line="400" w:lineRule="exact"/>
              <w:ind w:firstLine="420" w:firstLineChars="200"/>
              <w:rPr>
                <w:rFonts w:hAnsi="宋体" w:cs="宋体"/>
                <w:color w:val="auto"/>
                <w:highlight w:val="none"/>
              </w:rPr>
            </w:pPr>
            <w:r>
              <w:rPr>
                <w:rFonts w:hint="eastAsia" w:hAnsi="宋体" w:cs="宋体"/>
                <w:color w:val="auto"/>
                <w:highlight w:val="none"/>
              </w:rPr>
              <w:t>（5）以进入比较与评价环节的最低的评标报价为基准价，基准价得分为</w:t>
            </w:r>
            <w:r>
              <w:rPr>
                <w:rFonts w:hint="eastAsia" w:hAnsi="宋体" w:cs="宋体"/>
                <w:color w:val="auto"/>
                <w:highlight w:val="none"/>
                <w:u w:val="single"/>
              </w:rPr>
              <w:t>20分</w:t>
            </w:r>
            <w:r>
              <w:rPr>
                <w:rFonts w:hint="eastAsia" w:hAnsi="宋体" w:cs="宋体"/>
                <w:color w:val="auto"/>
                <w:highlight w:val="none"/>
              </w:rPr>
              <w:t>。</w:t>
            </w:r>
          </w:p>
          <w:p w14:paraId="2AB1BE79">
            <w:pPr>
              <w:pStyle w:val="26"/>
              <w:spacing w:line="400" w:lineRule="exact"/>
              <w:ind w:firstLine="420" w:firstLineChars="200"/>
              <w:rPr>
                <w:rFonts w:hAnsi="宋体" w:cs="宋体"/>
                <w:color w:val="auto"/>
                <w:highlight w:val="none"/>
              </w:rPr>
            </w:pPr>
            <w:r>
              <w:rPr>
                <w:rFonts w:hint="eastAsia" w:hAnsi="宋体" w:cs="宋体"/>
                <w:color w:val="auto"/>
                <w:highlight w:val="none"/>
              </w:rPr>
              <w:t>（6）价格分计算公式：</w:t>
            </w:r>
          </w:p>
          <w:p w14:paraId="2F3DBE88">
            <w:pPr>
              <w:spacing w:line="360" w:lineRule="exact"/>
              <w:rPr>
                <w:rFonts w:hAnsi="宋体" w:cs="宋体"/>
                <w:color w:val="auto"/>
                <w:highlight w:val="none"/>
              </w:rPr>
            </w:pPr>
            <w:r>
              <w:rPr>
                <w:rFonts w:hint="eastAsia" w:hAnsi="宋体" w:cs="宋体"/>
                <w:color w:val="auto"/>
                <w:szCs w:val="21"/>
                <w:highlight w:val="none"/>
              </w:rPr>
              <w:t>报价得分=（基准价/评标报价）×</w:t>
            </w:r>
            <w:r>
              <w:rPr>
                <w:rFonts w:hint="eastAsia" w:hAnsi="宋体" w:cs="宋体"/>
                <w:color w:val="auto"/>
                <w:szCs w:val="21"/>
                <w:highlight w:val="none"/>
                <w:u w:val="single"/>
              </w:rPr>
              <w:t xml:space="preserve"> 20分</w:t>
            </w:r>
          </w:p>
          <w:p w14:paraId="658DFB9D">
            <w:pPr>
              <w:spacing w:line="360" w:lineRule="exact"/>
              <w:rPr>
                <w:rFonts w:ascii="宋体" w:hAnsi="宋体" w:cs="宋体"/>
                <w:color w:val="auto"/>
                <w:szCs w:val="21"/>
                <w:highlight w:val="none"/>
              </w:rPr>
            </w:pPr>
            <w:r>
              <w:rPr>
                <w:rFonts w:hint="eastAsia" w:ascii="宋体" w:hAnsi="宋体" w:cs="宋体"/>
                <w:color w:val="auto"/>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5D6B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4339B1F">
            <w:pPr>
              <w:adjustRightInd w:val="0"/>
              <w:snapToGrid w:val="0"/>
              <w:spacing w:line="360" w:lineRule="atLeast"/>
              <w:ind w:left="-105" w:leftChars="-50" w:right="-105" w:rightChars="-50"/>
              <w:jc w:val="center"/>
              <w:textAlignment w:val="baseline"/>
              <w:rPr>
                <w:rFonts w:ascii="宋体" w:hAnsi="宋体" w:cs="宋体"/>
                <w:b/>
                <w:bCs/>
                <w:color w:val="auto"/>
                <w:spacing w:val="-18"/>
                <w:szCs w:val="21"/>
                <w:highlight w:val="none"/>
              </w:rPr>
            </w:pPr>
            <w:r>
              <w:rPr>
                <w:rFonts w:hint="eastAsia" w:ascii="宋体" w:hAnsi="宋体" w:cs="宋体"/>
                <w:b/>
                <w:bCs/>
                <w:color w:val="auto"/>
                <w:szCs w:val="21"/>
                <w:highlight w:val="none"/>
              </w:rPr>
              <w:t>2</w:t>
            </w:r>
          </w:p>
        </w:tc>
        <w:tc>
          <w:tcPr>
            <w:tcW w:w="694" w:type="pct"/>
            <w:vAlign w:val="center"/>
          </w:tcPr>
          <w:p w14:paraId="5C6E946F">
            <w:pPr>
              <w:adjustRightInd w:val="0"/>
              <w:spacing w:line="360" w:lineRule="exact"/>
              <w:jc w:val="left"/>
              <w:textAlignment w:val="baseline"/>
              <w:rPr>
                <w:rFonts w:ascii="宋体" w:hAnsi="宋体" w:cs="宋体"/>
                <w:b/>
                <w:bCs/>
                <w:color w:val="auto"/>
                <w:szCs w:val="21"/>
                <w:highlight w:val="none"/>
                <w:u w:val="single"/>
              </w:rPr>
            </w:pPr>
            <w:r>
              <w:rPr>
                <w:rFonts w:hint="eastAsia" w:ascii="宋体" w:hAnsi="宋体" w:cs="宋体"/>
                <w:b/>
                <w:bCs/>
                <w:color w:val="auto"/>
                <w:kern w:val="0"/>
                <w:szCs w:val="21"/>
                <w:highlight w:val="none"/>
              </w:rPr>
              <w:t>技术</w:t>
            </w:r>
            <w:r>
              <w:rPr>
                <w:rFonts w:hint="eastAsia" w:ascii="宋体" w:hAnsi="宋体" w:cs="宋体"/>
                <w:b/>
                <w:bCs/>
                <w:color w:val="auto"/>
                <w:szCs w:val="21"/>
                <w:highlight w:val="none"/>
              </w:rPr>
              <w:t>分（满分56分）</w:t>
            </w:r>
          </w:p>
        </w:tc>
        <w:tc>
          <w:tcPr>
            <w:tcW w:w="3869" w:type="pct"/>
            <w:vAlign w:val="center"/>
          </w:tcPr>
          <w:p w14:paraId="1FCFA352">
            <w:pPr>
              <w:pStyle w:val="26"/>
              <w:adjustRightInd w:val="0"/>
              <w:spacing w:line="360" w:lineRule="exact"/>
              <w:ind w:firstLine="420" w:firstLineChars="200"/>
              <w:contextualSpacing/>
              <w:jc w:val="center"/>
              <w:rPr>
                <w:color w:val="auto"/>
                <w:highlight w:val="none"/>
              </w:rPr>
            </w:pPr>
            <w:r>
              <w:rPr>
                <w:rFonts w:hint="eastAsia" w:hAnsi="宋体" w:cs="Tahoma"/>
                <w:color w:val="auto"/>
                <w:highlight w:val="none"/>
              </w:rPr>
              <w:t>评审因素</w:t>
            </w:r>
          </w:p>
        </w:tc>
      </w:tr>
      <w:tr w14:paraId="2F5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6C8CF8C">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2.1</w:t>
            </w:r>
          </w:p>
        </w:tc>
        <w:tc>
          <w:tcPr>
            <w:tcW w:w="694" w:type="pct"/>
            <w:vAlign w:val="center"/>
          </w:tcPr>
          <w:p w14:paraId="27F6AD26">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维保实施方案</w:t>
            </w:r>
            <w:r>
              <w:rPr>
                <w:rFonts w:hint="eastAsia" w:ascii="宋体" w:hAnsi="宋体" w:cs="宋体"/>
                <w:b/>
                <w:bCs/>
                <w:color w:val="auto"/>
                <w:szCs w:val="21"/>
                <w:highlight w:val="none"/>
              </w:rPr>
              <w:t>（满分16分）</w:t>
            </w:r>
          </w:p>
        </w:tc>
        <w:tc>
          <w:tcPr>
            <w:tcW w:w="3869" w:type="pct"/>
            <w:vAlign w:val="center"/>
          </w:tcPr>
          <w:p w14:paraId="34F6092A">
            <w:pPr>
              <w:pStyle w:val="26"/>
              <w:spacing w:line="400" w:lineRule="exact"/>
              <w:ind w:firstLine="420" w:firstLineChars="200"/>
              <w:rPr>
                <w:rFonts w:hAnsi="宋体"/>
                <w:color w:val="auto"/>
                <w:highlight w:val="none"/>
              </w:rPr>
            </w:pPr>
            <w:r>
              <w:rPr>
                <w:rFonts w:hint="eastAsia" w:hAnsi="宋体"/>
                <w:color w:val="auto"/>
                <w:highlight w:val="none"/>
              </w:rPr>
              <w:t>一档（4分）：维保实施方案基本满足招标文件要求；</w:t>
            </w:r>
          </w:p>
          <w:p w14:paraId="6A2B79D2">
            <w:pPr>
              <w:pStyle w:val="26"/>
              <w:spacing w:line="400" w:lineRule="exact"/>
              <w:ind w:firstLine="420" w:firstLineChars="200"/>
              <w:rPr>
                <w:rFonts w:hAnsi="宋体"/>
                <w:color w:val="auto"/>
                <w:highlight w:val="none"/>
              </w:rPr>
            </w:pPr>
            <w:r>
              <w:rPr>
                <w:rFonts w:hint="eastAsia" w:hAnsi="宋体"/>
                <w:color w:val="auto"/>
                <w:highlight w:val="none"/>
              </w:rPr>
              <w:t>二档（8分）：维保实施方案满足招标文件要求，方案可行，提供的进度计划、应急方案、实施流程合理，有一定的针对性；</w:t>
            </w:r>
          </w:p>
          <w:p w14:paraId="2DE650EF">
            <w:pPr>
              <w:pStyle w:val="26"/>
              <w:spacing w:line="400" w:lineRule="exact"/>
              <w:ind w:firstLine="420" w:firstLineChars="200"/>
              <w:rPr>
                <w:rFonts w:hAnsi="宋体"/>
                <w:color w:val="auto"/>
                <w:highlight w:val="none"/>
              </w:rPr>
            </w:pPr>
            <w:r>
              <w:rPr>
                <w:rFonts w:hint="eastAsia" w:hAnsi="宋体"/>
                <w:color w:val="auto"/>
                <w:highlight w:val="none"/>
              </w:rPr>
              <w:t>三档（12分）：维保实施方案完全满足招标文件要求，方案详细描述进度计划、实施流程合理、维保设备功能结构，描述清晰、到位，并提供了详细的应急方案。</w:t>
            </w:r>
          </w:p>
          <w:p w14:paraId="5DC66294">
            <w:pPr>
              <w:pStyle w:val="26"/>
              <w:spacing w:line="400" w:lineRule="exact"/>
              <w:ind w:firstLine="420" w:firstLineChars="200"/>
              <w:rPr>
                <w:rFonts w:hAnsi="宋体"/>
                <w:color w:val="auto"/>
                <w:highlight w:val="none"/>
              </w:rPr>
            </w:pPr>
            <w:r>
              <w:rPr>
                <w:rFonts w:hint="eastAsia" w:hAnsi="宋体"/>
                <w:color w:val="auto"/>
                <w:highlight w:val="none"/>
              </w:rPr>
              <w:t>四档（16分）：维保实施方案完全满足招标文件要求，方案详细描述进度计划、实施流程合理、先进，对关键技术点、维保设备功能结构，描述清晰、到位，并提供日常保养与管理、承诺建立维保档案，并提供了详细的应急方案，方案覆盖常规应急处理、事故应急处理等。</w:t>
            </w:r>
          </w:p>
          <w:p w14:paraId="1E784EE3">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5FE5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989D586">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2.2</w:t>
            </w:r>
          </w:p>
        </w:tc>
        <w:tc>
          <w:tcPr>
            <w:tcW w:w="694" w:type="pct"/>
            <w:vAlign w:val="center"/>
          </w:tcPr>
          <w:p w14:paraId="5C8C9F35">
            <w:pPr>
              <w:spacing w:line="400" w:lineRule="exact"/>
              <w:jc w:val="center"/>
              <w:rPr>
                <w:rFonts w:ascii="宋体" w:hAnsi="宋体" w:cs="宋体"/>
                <w:b/>
                <w:bCs/>
                <w:color w:val="auto"/>
                <w:szCs w:val="21"/>
                <w:highlight w:val="none"/>
              </w:rPr>
            </w:pPr>
            <w:r>
              <w:rPr>
                <w:rFonts w:hint="eastAsia"/>
                <w:b/>
                <w:bCs/>
                <w:color w:val="auto"/>
                <w:highlight w:val="none"/>
              </w:rPr>
              <w:t>故障响应处理方案</w:t>
            </w:r>
            <w:r>
              <w:rPr>
                <w:rFonts w:hint="eastAsia" w:ascii="宋体" w:hAnsi="宋体" w:cs="宋体"/>
                <w:b/>
                <w:bCs/>
                <w:color w:val="auto"/>
                <w:szCs w:val="21"/>
                <w:highlight w:val="none"/>
              </w:rPr>
              <w:t>（满分16分）</w:t>
            </w:r>
          </w:p>
        </w:tc>
        <w:tc>
          <w:tcPr>
            <w:tcW w:w="3869" w:type="pct"/>
            <w:vAlign w:val="center"/>
          </w:tcPr>
          <w:p w14:paraId="17A8A4FD">
            <w:pPr>
              <w:pStyle w:val="26"/>
              <w:spacing w:line="400" w:lineRule="exact"/>
              <w:ind w:firstLine="420" w:firstLineChars="200"/>
              <w:rPr>
                <w:rFonts w:hAnsi="宋体"/>
                <w:color w:val="auto"/>
                <w:highlight w:val="none"/>
              </w:rPr>
            </w:pPr>
            <w:r>
              <w:rPr>
                <w:rFonts w:hint="eastAsia" w:hAnsi="宋体"/>
                <w:color w:val="auto"/>
                <w:highlight w:val="none"/>
              </w:rPr>
              <w:t>一档（4分）：满足招标文件要求基本的故障响应处理方案，投标人在国内设置固定维修站，且维修站常驻专职维修工程师；</w:t>
            </w:r>
          </w:p>
          <w:p w14:paraId="1CAD0C93">
            <w:pPr>
              <w:pStyle w:val="26"/>
              <w:spacing w:line="400" w:lineRule="exact"/>
              <w:ind w:firstLine="420" w:firstLineChars="200"/>
              <w:rPr>
                <w:rFonts w:hAnsi="宋体"/>
                <w:color w:val="auto"/>
                <w:highlight w:val="none"/>
              </w:rPr>
            </w:pPr>
            <w:r>
              <w:rPr>
                <w:rFonts w:hint="eastAsia" w:hAnsi="宋体"/>
                <w:color w:val="auto"/>
                <w:highlight w:val="none"/>
              </w:rPr>
              <w:t>二档（8分）：在一档的基础上，故障响应处理方案完整，有基本的故障响应及处理流程，投标人在国内设置固定维修站，且维修站常驻专职维修工程师团队，能提供基本的工程师调配服务流程；</w:t>
            </w:r>
          </w:p>
          <w:p w14:paraId="6C5910B6">
            <w:pPr>
              <w:pStyle w:val="26"/>
              <w:spacing w:line="400" w:lineRule="exact"/>
              <w:ind w:firstLine="420" w:firstLineChars="200"/>
              <w:rPr>
                <w:rFonts w:hAnsi="宋体"/>
                <w:color w:val="auto"/>
                <w:highlight w:val="none"/>
              </w:rPr>
            </w:pPr>
            <w:r>
              <w:rPr>
                <w:rFonts w:hint="eastAsia" w:hAnsi="宋体"/>
                <w:color w:val="auto"/>
                <w:highlight w:val="none"/>
              </w:rPr>
              <w:t>三档（12分）：在二档的基础上，故障响应处理方案详细，故障响应及处理流程详细且具有操作性，投标人在国内设置固定维修站，且维修站常驻专职维修工程师团队，能提供详细的工程师调配服务流程，且流程合理，人员配合紧密，能在20小时内到达故障现场处理故障；</w:t>
            </w:r>
          </w:p>
          <w:p w14:paraId="230015A2">
            <w:pPr>
              <w:pStyle w:val="26"/>
              <w:spacing w:line="400" w:lineRule="exact"/>
              <w:ind w:firstLine="420" w:firstLineChars="200"/>
              <w:rPr>
                <w:rFonts w:hAnsi="宋体"/>
                <w:color w:val="auto"/>
                <w:highlight w:val="none"/>
              </w:rPr>
            </w:pPr>
            <w:r>
              <w:rPr>
                <w:rFonts w:hint="eastAsia" w:hAnsi="宋体"/>
                <w:color w:val="auto"/>
                <w:highlight w:val="none"/>
              </w:rPr>
              <w:t>四档（16分）：在三档的基础上，故障响应处理方案详尽合理，故障响应及处理流程有针对性，解决故障响应时间完全满足采购人要求，故障响应及处理方案有针对性，在国内设置固定维修站，且维修站常驻专职维修工程师团队，流程合理，人员配合紧密，能在18小时内到达故障现场处理故障。</w:t>
            </w:r>
          </w:p>
          <w:p w14:paraId="5CD8C659">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41DF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9DC0C24">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2.3</w:t>
            </w:r>
          </w:p>
        </w:tc>
        <w:tc>
          <w:tcPr>
            <w:tcW w:w="694" w:type="pct"/>
            <w:vAlign w:val="center"/>
          </w:tcPr>
          <w:p w14:paraId="67C252F3">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备品备件方案</w:t>
            </w:r>
            <w:r>
              <w:rPr>
                <w:rFonts w:hint="eastAsia" w:ascii="宋体" w:hAnsi="宋体" w:cs="宋体"/>
                <w:b/>
                <w:bCs/>
                <w:color w:val="auto"/>
                <w:szCs w:val="21"/>
                <w:highlight w:val="none"/>
              </w:rPr>
              <w:t>（满分10分）</w:t>
            </w:r>
          </w:p>
        </w:tc>
        <w:tc>
          <w:tcPr>
            <w:tcW w:w="3869" w:type="pct"/>
            <w:vAlign w:val="center"/>
          </w:tcPr>
          <w:p w14:paraId="5315E075">
            <w:pPr>
              <w:pStyle w:val="26"/>
              <w:spacing w:line="400" w:lineRule="exact"/>
              <w:ind w:firstLine="420" w:firstLineChars="200"/>
              <w:rPr>
                <w:rFonts w:hAnsi="宋体"/>
                <w:color w:val="auto"/>
                <w:highlight w:val="none"/>
              </w:rPr>
            </w:pPr>
            <w:r>
              <w:rPr>
                <w:rFonts w:hint="eastAsia" w:hAnsi="宋体"/>
                <w:color w:val="auto"/>
                <w:highlight w:val="none"/>
              </w:rPr>
              <w:t>一档（4分）：有基本的备品备件供应方案，国内没有备件仓库，备件配送到现场的最快时间≤24小时，并提供配送的交通方案，提供简单的备件调配流程。</w:t>
            </w:r>
          </w:p>
          <w:p w14:paraId="7F45FD25">
            <w:pPr>
              <w:pStyle w:val="26"/>
              <w:spacing w:line="400" w:lineRule="exact"/>
              <w:ind w:firstLine="420" w:firstLineChars="200"/>
              <w:rPr>
                <w:rFonts w:hAnsi="宋体"/>
                <w:color w:val="auto"/>
                <w:highlight w:val="none"/>
              </w:rPr>
            </w:pPr>
            <w:r>
              <w:rPr>
                <w:rFonts w:hint="eastAsia" w:hAnsi="宋体"/>
                <w:color w:val="auto"/>
                <w:highlight w:val="none"/>
              </w:rPr>
              <w:t>二档（7分）：有完整的备品备件方案，国内有备件仓库（并提供仓库的仓库属于供应商的产权文件复印件加盖单位公章，或承诺中标后建立仓库的承诺函原件），备件配送到现场的最快时间≤18小时，并提供配送的交通方案。备件品种齐全、来源正规合法，覆盖本项目设备的不易损备件，提供详细的备件调配流程，流程合理。</w:t>
            </w:r>
          </w:p>
          <w:p w14:paraId="63AE18D2">
            <w:pPr>
              <w:pStyle w:val="26"/>
              <w:spacing w:line="400" w:lineRule="exact"/>
              <w:ind w:firstLine="420" w:firstLineChars="200"/>
              <w:rPr>
                <w:rFonts w:hAnsi="宋体"/>
                <w:color w:val="auto"/>
                <w:highlight w:val="none"/>
              </w:rPr>
            </w:pPr>
            <w:r>
              <w:rPr>
                <w:rFonts w:hint="eastAsia" w:hAnsi="宋体"/>
                <w:color w:val="auto"/>
                <w:highlight w:val="none"/>
              </w:rPr>
              <w:t>三挡（10分）：有详细的备品备件方案，国内有备件仓库数≥2个（并提供有仓库的仓库属于供应商的产权文件复印件加盖单位公章，或承诺中标后建立仓库的承诺函原件），备件配送到现场的最快时间≤12小时，并提供配送的交通方案。备件品种齐全、来源正规合法，覆盖本项目设备的不易损备件，并提供详细的备件调配流程，流程科学合理且效率高。</w:t>
            </w:r>
          </w:p>
          <w:p w14:paraId="5A878AF0">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9FB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C6BEF0F">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2.4</w:t>
            </w:r>
          </w:p>
        </w:tc>
        <w:tc>
          <w:tcPr>
            <w:tcW w:w="694" w:type="pct"/>
            <w:vAlign w:val="center"/>
          </w:tcPr>
          <w:p w14:paraId="7138705A">
            <w:pPr>
              <w:widowControl/>
              <w:spacing w:line="400" w:lineRule="exact"/>
              <w:jc w:val="center"/>
              <w:rPr>
                <w:rFonts w:ascii="宋体" w:hAnsi="宋体" w:cs="宋体"/>
                <w:b/>
                <w:bCs/>
                <w:color w:val="auto"/>
                <w:szCs w:val="21"/>
                <w:highlight w:val="none"/>
              </w:rPr>
            </w:pPr>
            <w:r>
              <w:rPr>
                <w:rFonts w:hint="eastAsia" w:ascii="宋体" w:hAnsi="宋体"/>
                <w:b/>
                <w:bCs/>
                <w:color w:val="auto"/>
                <w:highlight w:val="none"/>
              </w:rPr>
              <w:t>拟投入技术力量方案</w:t>
            </w:r>
            <w:r>
              <w:rPr>
                <w:rFonts w:hint="eastAsia" w:ascii="宋体" w:hAnsi="宋体" w:cs="宋体"/>
                <w:b/>
                <w:bCs/>
                <w:color w:val="auto"/>
                <w:szCs w:val="21"/>
                <w:highlight w:val="none"/>
              </w:rPr>
              <w:t>（满分10分）</w:t>
            </w:r>
          </w:p>
        </w:tc>
        <w:tc>
          <w:tcPr>
            <w:tcW w:w="3869" w:type="pct"/>
            <w:vAlign w:val="center"/>
          </w:tcPr>
          <w:p w14:paraId="0374F776">
            <w:pPr>
              <w:pStyle w:val="26"/>
              <w:spacing w:line="400" w:lineRule="exact"/>
              <w:ind w:firstLine="420" w:firstLineChars="200"/>
              <w:rPr>
                <w:rFonts w:hAnsi="宋体"/>
                <w:color w:val="auto"/>
                <w:highlight w:val="none"/>
              </w:rPr>
            </w:pPr>
            <w:r>
              <w:rPr>
                <w:rFonts w:hint="eastAsia" w:hAnsi="宋体"/>
                <w:color w:val="auto"/>
                <w:highlight w:val="none"/>
              </w:rPr>
              <w:t>一档（4分）：提供满足招标文件要求的人员，项目实施人员不少于3人，提供全职维保工程师≥1人，拟投入的技术力量能力基本满足要求；</w:t>
            </w:r>
          </w:p>
          <w:p w14:paraId="2C2CF10F">
            <w:pPr>
              <w:pStyle w:val="26"/>
              <w:spacing w:line="400" w:lineRule="exact"/>
              <w:ind w:firstLine="420" w:firstLineChars="200"/>
              <w:rPr>
                <w:rFonts w:hAnsi="宋体"/>
                <w:color w:val="auto"/>
                <w:highlight w:val="none"/>
              </w:rPr>
            </w:pPr>
            <w:r>
              <w:rPr>
                <w:rFonts w:hint="eastAsia" w:hAnsi="宋体"/>
                <w:color w:val="auto"/>
                <w:highlight w:val="none"/>
              </w:rPr>
              <w:t>二档（7分）：提供满足招标文件要求的人员方案，项目人员不少于5人，组织机构设置基本合理，人员配备基本齐全，配置较为合理，人员技术水平有一定的维修能力，能提供≥3名维保全职工程师，且具备相关维修经验；</w:t>
            </w:r>
          </w:p>
          <w:p w14:paraId="661D0C24">
            <w:pPr>
              <w:pStyle w:val="26"/>
              <w:spacing w:line="400" w:lineRule="exact"/>
              <w:ind w:firstLine="420" w:firstLineChars="200"/>
              <w:rPr>
                <w:rFonts w:hAnsi="宋体"/>
                <w:color w:val="auto"/>
                <w:highlight w:val="none"/>
              </w:rPr>
            </w:pPr>
            <w:r>
              <w:rPr>
                <w:rFonts w:hint="eastAsia" w:hAnsi="宋体"/>
                <w:color w:val="auto"/>
                <w:highlight w:val="none"/>
              </w:rPr>
              <w:t>三档（10分）：提供满足招标文件要求的人员方案，项目人员组织机构设置合理，人员配备充裕，不少于8人，人员技术力量雄厚，配置合理，人员技术资格水平优，能提供≥5名维保全职工程师（原厂对应设备工程师），能保证完成项目需求。</w:t>
            </w:r>
          </w:p>
          <w:p w14:paraId="49617E6E">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2DAB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77DA2B65">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2.5</w:t>
            </w:r>
          </w:p>
        </w:tc>
        <w:tc>
          <w:tcPr>
            <w:tcW w:w="694" w:type="pct"/>
            <w:vAlign w:val="center"/>
          </w:tcPr>
          <w:p w14:paraId="50DE8A1A">
            <w:pPr>
              <w:adjustRightInd w:val="0"/>
              <w:spacing w:line="400" w:lineRule="exact"/>
              <w:jc w:val="center"/>
              <w:textAlignment w:val="baseline"/>
              <w:rPr>
                <w:rFonts w:ascii="宋体" w:hAnsi="宋体" w:cs="宋体"/>
                <w:b/>
                <w:bCs/>
                <w:color w:val="auto"/>
                <w:szCs w:val="21"/>
                <w:highlight w:val="none"/>
              </w:rPr>
            </w:pPr>
            <w:r>
              <w:rPr>
                <w:rFonts w:hint="eastAsia" w:ascii="宋体" w:hAnsi="宋体"/>
                <w:b/>
                <w:bCs/>
                <w:color w:val="auto"/>
                <w:highlight w:val="none"/>
              </w:rPr>
              <w:t>综合管理服务质量保证措施</w:t>
            </w:r>
            <w:r>
              <w:rPr>
                <w:rFonts w:hint="eastAsia" w:ascii="宋体" w:hAnsi="宋体" w:cs="宋体"/>
                <w:b/>
                <w:bCs/>
                <w:color w:val="auto"/>
                <w:szCs w:val="21"/>
                <w:highlight w:val="none"/>
              </w:rPr>
              <w:t>（满分4分）</w:t>
            </w:r>
          </w:p>
        </w:tc>
        <w:tc>
          <w:tcPr>
            <w:tcW w:w="3869" w:type="pct"/>
            <w:vAlign w:val="center"/>
          </w:tcPr>
          <w:p w14:paraId="6349CD6D">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一档（2分）：供应商能提供具体质量保证措施的，未详细展开论述，有一定针对性和操作性；</w:t>
            </w:r>
          </w:p>
          <w:p w14:paraId="77F9E983">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二档（4分）：供应商能提供针对本次项目具体质量保证措施科学合理，且措施操作性全面，针对性精确，亮点多，可行性强。</w:t>
            </w:r>
          </w:p>
          <w:p w14:paraId="2629ECC7">
            <w:pPr>
              <w:snapToGrid w:val="0"/>
              <w:spacing w:line="380" w:lineRule="atLeast"/>
              <w:ind w:firstLine="443" w:firstLineChars="211"/>
              <w:rPr>
                <w:rFonts w:hAnsi="宋体" w:cs="宋体"/>
                <w:color w:val="auto"/>
                <w:highlight w:val="none"/>
              </w:rPr>
            </w:pPr>
            <w:r>
              <w:rPr>
                <w:rFonts w:hint="eastAsia" w:hAnsi="宋体"/>
                <w:color w:val="auto"/>
                <w:szCs w:val="21"/>
                <w:highlight w:val="none"/>
              </w:rPr>
              <w:t>注：</w:t>
            </w:r>
            <w:r>
              <w:rPr>
                <w:rFonts w:hint="eastAsia" w:ascii="宋体" w:hAnsi="宋体"/>
                <w:color w:val="auto"/>
                <w:highlight w:val="none"/>
              </w:rPr>
              <w:t>不满足一档要求的，得0分</w:t>
            </w:r>
            <w:r>
              <w:rPr>
                <w:rFonts w:hint="eastAsia" w:hAnsi="宋体"/>
                <w:color w:val="auto"/>
                <w:szCs w:val="21"/>
                <w:highlight w:val="none"/>
              </w:rPr>
              <w:t>。</w:t>
            </w:r>
          </w:p>
        </w:tc>
      </w:tr>
      <w:tr w14:paraId="1EF1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78B4DEF9">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3</w:t>
            </w:r>
          </w:p>
        </w:tc>
        <w:tc>
          <w:tcPr>
            <w:tcW w:w="694" w:type="pct"/>
            <w:vAlign w:val="center"/>
          </w:tcPr>
          <w:p w14:paraId="7E5D279B">
            <w:pPr>
              <w:widowControl/>
              <w:spacing w:line="360" w:lineRule="auto"/>
              <w:jc w:val="center"/>
              <w:rPr>
                <w:rFonts w:ascii="宋体" w:hAnsi="宋体" w:cs="宋体"/>
                <w:b/>
                <w:bCs/>
                <w:color w:val="auto"/>
                <w:szCs w:val="21"/>
                <w:highlight w:val="none"/>
              </w:rPr>
            </w:pPr>
            <w:r>
              <w:rPr>
                <w:rFonts w:hint="eastAsia" w:ascii="宋体" w:hAnsi="宋体" w:cs="Courier New"/>
                <w:b/>
                <w:bCs/>
                <w:color w:val="auto"/>
                <w:szCs w:val="21"/>
                <w:highlight w:val="none"/>
              </w:rPr>
              <w:t>商务分（</w:t>
            </w:r>
            <w:r>
              <w:rPr>
                <w:rFonts w:hint="eastAsia" w:ascii="宋体" w:hAnsi="宋体" w:cs="宋体"/>
                <w:b/>
                <w:bCs/>
                <w:color w:val="auto"/>
                <w:szCs w:val="21"/>
                <w:highlight w:val="none"/>
              </w:rPr>
              <w:t>满分24分</w:t>
            </w:r>
            <w:r>
              <w:rPr>
                <w:rFonts w:hint="eastAsia" w:ascii="宋体" w:hAnsi="宋体" w:cs="Courier New"/>
                <w:b/>
                <w:bCs/>
                <w:color w:val="auto"/>
                <w:szCs w:val="21"/>
                <w:highlight w:val="none"/>
              </w:rPr>
              <w:t>）</w:t>
            </w:r>
          </w:p>
        </w:tc>
        <w:tc>
          <w:tcPr>
            <w:tcW w:w="3869" w:type="pct"/>
            <w:vAlign w:val="center"/>
          </w:tcPr>
          <w:p w14:paraId="2BDEC676">
            <w:pPr>
              <w:snapToGrid w:val="0"/>
              <w:spacing w:line="380" w:lineRule="atLeast"/>
              <w:ind w:firstLine="443" w:firstLineChars="211"/>
              <w:jc w:val="center"/>
              <w:rPr>
                <w:rFonts w:hAnsi="宋体" w:cs="宋体"/>
                <w:color w:val="auto"/>
                <w:highlight w:val="none"/>
              </w:rPr>
            </w:pPr>
            <w:r>
              <w:rPr>
                <w:rFonts w:hint="eastAsia" w:ascii="宋体" w:hAnsi="宋体" w:cs="Tahoma"/>
                <w:color w:val="auto"/>
                <w:kern w:val="0"/>
                <w:szCs w:val="21"/>
                <w:highlight w:val="none"/>
              </w:rPr>
              <w:t>评审因素</w:t>
            </w:r>
          </w:p>
        </w:tc>
      </w:tr>
      <w:tr w14:paraId="2A7E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6D1BC12">
            <w:pPr>
              <w:jc w:val="center"/>
              <w:rPr>
                <w:rFonts w:ascii="宋体" w:hAnsi="宋体" w:cs="宋体"/>
                <w:b/>
                <w:bCs/>
                <w:color w:val="auto"/>
                <w:szCs w:val="21"/>
                <w:highlight w:val="none"/>
              </w:rPr>
            </w:pPr>
            <w:r>
              <w:rPr>
                <w:rFonts w:hint="eastAsia" w:ascii="宋体" w:hAnsi="宋体" w:cs="宋体"/>
                <w:b/>
                <w:bCs/>
                <w:color w:val="auto"/>
                <w:szCs w:val="21"/>
                <w:highlight w:val="none"/>
              </w:rPr>
              <w:t>3.1</w:t>
            </w:r>
          </w:p>
        </w:tc>
        <w:tc>
          <w:tcPr>
            <w:tcW w:w="694" w:type="pct"/>
            <w:vAlign w:val="center"/>
          </w:tcPr>
          <w:p w14:paraId="65EE0E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业绩（满分8分）</w:t>
            </w:r>
          </w:p>
        </w:tc>
        <w:tc>
          <w:tcPr>
            <w:tcW w:w="3869" w:type="pct"/>
            <w:vAlign w:val="center"/>
          </w:tcPr>
          <w:p w14:paraId="211EF096">
            <w:pPr>
              <w:snapToGrid w:val="0"/>
              <w:spacing w:line="380" w:lineRule="atLeast"/>
              <w:ind w:firstLine="443" w:firstLineChars="211"/>
              <w:rPr>
                <w:rFonts w:ascii="宋体" w:hAnsi="宋体" w:cs="宋体"/>
                <w:color w:val="auto"/>
                <w:highlight w:val="none"/>
              </w:rPr>
            </w:pPr>
            <w:r>
              <w:rPr>
                <w:rFonts w:hint="eastAsia" w:hAnsi="宋体"/>
                <w:color w:val="auto"/>
                <w:szCs w:val="21"/>
                <w:highlight w:val="none"/>
              </w:rPr>
              <w:t>投标人自2022年1月1日以来同类项目的，每个项目得4分，满分8分。【以合同或中标（成交）通知书复印件为准，并加盖供应商公章。】</w:t>
            </w:r>
          </w:p>
        </w:tc>
      </w:tr>
      <w:tr w14:paraId="7C7E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9BC7772">
            <w:pPr>
              <w:jc w:val="center"/>
              <w:rPr>
                <w:rFonts w:ascii="宋体" w:hAnsi="宋体" w:cs="宋体"/>
                <w:b/>
                <w:bCs/>
                <w:color w:val="auto"/>
                <w:szCs w:val="21"/>
                <w:highlight w:val="none"/>
              </w:rPr>
            </w:pPr>
            <w:r>
              <w:rPr>
                <w:rFonts w:hint="eastAsia" w:ascii="宋体" w:hAnsi="宋体" w:cs="宋体"/>
                <w:b/>
                <w:bCs/>
                <w:color w:val="auto"/>
                <w:szCs w:val="21"/>
                <w:highlight w:val="none"/>
              </w:rPr>
              <w:t>3.2</w:t>
            </w:r>
          </w:p>
        </w:tc>
        <w:tc>
          <w:tcPr>
            <w:tcW w:w="694" w:type="pct"/>
            <w:vAlign w:val="center"/>
          </w:tcPr>
          <w:p w14:paraId="7D48123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人员及维护系统配置（满分16分）</w:t>
            </w:r>
          </w:p>
        </w:tc>
        <w:tc>
          <w:tcPr>
            <w:tcW w:w="3869" w:type="pct"/>
            <w:vAlign w:val="center"/>
          </w:tcPr>
          <w:p w14:paraId="04EDAB82">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1）供应商拟投入本项目的工程师具备经官方职称评定部门的中级及以上职称证书的（包含但不限于机电工程、电子科学与技术、信息与通信工程、工业电气及其自动化，生物医学工程），每个证书得分2分，满分8分。</w:t>
            </w:r>
          </w:p>
          <w:p w14:paraId="6FD0B796">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注：一人多证不重复计分。以上工程师除了提供有效的职称证书复印件及身份证正反面复印件，还须提供其在供应商单位劳动协议或聘书等证明其属于供应商正式员工的证明材料复印件，并加盖供应商公章。</w:t>
            </w:r>
          </w:p>
          <w:p w14:paraId="5899A3B4">
            <w:pPr>
              <w:snapToGrid w:val="0"/>
              <w:spacing w:line="380" w:lineRule="atLeast"/>
              <w:ind w:firstLine="464" w:firstLineChars="211"/>
              <w:rPr>
                <w:rFonts w:ascii="宋体" w:hAnsi="宋体"/>
                <w:color w:val="auto"/>
                <w:sz w:val="22"/>
                <w:highlight w:val="none"/>
              </w:rPr>
            </w:pPr>
            <w:r>
              <w:rPr>
                <w:rFonts w:hint="eastAsia" w:ascii="宋体" w:hAnsi="宋体"/>
                <w:color w:val="auto"/>
                <w:sz w:val="22"/>
                <w:highlight w:val="none"/>
              </w:rPr>
              <w:t>（2）为保障服务需求响应的及时性，供应商承诺为本项目配置不少于1名常驻贵港的专业工程师的得4分。（供应商需在投标文件中提供承诺函及常驻贵港的专业工程师有效的身份证正反面复印件、经官方职称评定部门认证的资质证书复印件，并加盖供应商公章）</w:t>
            </w:r>
          </w:p>
          <w:p w14:paraId="722F3CA4">
            <w:pPr>
              <w:snapToGrid w:val="0"/>
              <w:spacing w:line="380" w:lineRule="atLeast"/>
              <w:ind w:firstLine="440" w:firstLineChars="200"/>
              <w:rPr>
                <w:rFonts w:ascii="宋体" w:hAnsi="宋体"/>
                <w:color w:val="auto"/>
                <w:sz w:val="22"/>
                <w:highlight w:val="none"/>
              </w:rPr>
            </w:pPr>
            <w:r>
              <w:rPr>
                <w:rFonts w:hint="eastAsia" w:ascii="宋体" w:hAnsi="宋体"/>
                <w:color w:val="auto"/>
                <w:sz w:val="22"/>
                <w:highlight w:val="none"/>
              </w:rPr>
              <w:t>（3）为保证设备开机率，供应商能提供一套医学影像设备远程控制维护系统，在设备故障发生前进行预警，提前到场进行维护维修，避免故障停机；具有保障设备稳定运行和维护的能力的得4分（投标文件中提供软件证书复印件、软件截图等证明材料，并加盖供应商公章）。</w:t>
            </w:r>
          </w:p>
        </w:tc>
      </w:tr>
      <w:tr w14:paraId="00F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3"/>
            <w:vAlign w:val="center"/>
          </w:tcPr>
          <w:p w14:paraId="15C90F6C">
            <w:pPr>
              <w:pStyle w:val="26"/>
              <w:snapToGrid w:val="0"/>
              <w:spacing w:line="360" w:lineRule="atLeast"/>
              <w:rPr>
                <w:rFonts w:hAnsi="宋体" w:cs="宋体"/>
                <w:b/>
                <w:bCs/>
                <w:color w:val="auto"/>
                <w:highlight w:val="none"/>
              </w:rPr>
            </w:pPr>
            <w:r>
              <w:rPr>
                <w:rFonts w:hint="eastAsia" w:hAnsi="宋体" w:cs="宋体"/>
                <w:b/>
                <w:bCs/>
                <w:color w:val="auto"/>
                <w:highlight w:val="none"/>
              </w:rPr>
              <w:t>总得分=1+2+3</w:t>
            </w:r>
          </w:p>
          <w:p w14:paraId="3FE2DD9B">
            <w:pPr>
              <w:pStyle w:val="26"/>
              <w:snapToGrid w:val="0"/>
              <w:spacing w:line="360" w:lineRule="atLeast"/>
              <w:rPr>
                <w:rFonts w:hAnsi="宋体" w:cs="宋体"/>
                <w:b/>
                <w:bCs/>
                <w:color w:val="auto"/>
                <w:highlight w:val="none"/>
              </w:rPr>
            </w:pPr>
            <w:r>
              <w:rPr>
                <w:rFonts w:hint="eastAsia" w:hAnsi="宋体" w:cs="宋体"/>
                <w:b/>
                <w:bCs/>
                <w:color w:val="auto"/>
                <w:highlight w:val="none"/>
              </w:rPr>
              <w:t>备注：本项目为服务类项目，不涉及节能环保政策考核。</w:t>
            </w:r>
          </w:p>
        </w:tc>
      </w:tr>
    </w:tbl>
    <w:p w14:paraId="5B85FCFE">
      <w:pPr>
        <w:pStyle w:val="26"/>
        <w:spacing w:line="420" w:lineRule="exact"/>
        <w:ind w:firstLine="420"/>
        <w:rPr>
          <w:rFonts w:hAnsi="宋体" w:cs="宋体"/>
          <w:b/>
          <w:color w:val="auto"/>
          <w:highlight w:val="none"/>
        </w:rPr>
      </w:pPr>
    </w:p>
    <w:p w14:paraId="6E6FE0E0">
      <w:pPr>
        <w:pStyle w:val="26"/>
        <w:spacing w:line="420" w:lineRule="exact"/>
        <w:ind w:firstLine="420"/>
        <w:rPr>
          <w:rFonts w:hAnsi="宋体" w:cs="宋体"/>
          <w:b/>
          <w:color w:val="auto"/>
          <w:highlight w:val="none"/>
        </w:rPr>
      </w:pPr>
    </w:p>
    <w:p w14:paraId="4E7EA371">
      <w:pPr>
        <w:rPr>
          <w:rFonts w:hAnsi="宋体" w:cs="宋体"/>
          <w:b/>
          <w:color w:val="auto"/>
          <w:highlight w:val="none"/>
        </w:rPr>
      </w:pPr>
    </w:p>
    <w:p w14:paraId="0574AF70">
      <w:pPr>
        <w:rPr>
          <w:rFonts w:hAnsi="宋体" w:cs="宋体"/>
          <w:b/>
          <w:color w:val="auto"/>
          <w:highlight w:val="none"/>
        </w:rPr>
      </w:pPr>
    </w:p>
    <w:p w14:paraId="4EA76A77">
      <w:pPr>
        <w:pStyle w:val="26"/>
        <w:spacing w:line="420" w:lineRule="exact"/>
        <w:ind w:firstLine="420"/>
        <w:jc w:val="left"/>
        <w:rPr>
          <w:rFonts w:hAnsi="宋体" w:cs="宋体"/>
          <w:b/>
          <w:bCs/>
          <w:color w:val="auto"/>
          <w:sz w:val="24"/>
          <w:szCs w:val="24"/>
          <w:highlight w:val="none"/>
        </w:rPr>
      </w:pPr>
      <w:r>
        <w:rPr>
          <w:rFonts w:hint="eastAsia" w:hAnsi="宋体" w:cs="宋体"/>
          <w:b/>
          <w:bCs/>
          <w:color w:val="auto"/>
          <w:sz w:val="24"/>
          <w:szCs w:val="24"/>
          <w:highlight w:val="none"/>
        </w:rPr>
        <w:t>评标标准（标项二适用）</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83"/>
        <w:gridCol w:w="6601"/>
      </w:tblGrid>
      <w:tr w14:paraId="2460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6" w:type="pct"/>
            <w:vAlign w:val="center"/>
          </w:tcPr>
          <w:p w14:paraId="6D05507D">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694" w:type="pct"/>
            <w:vAlign w:val="center"/>
          </w:tcPr>
          <w:p w14:paraId="6455B8ED">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869" w:type="pct"/>
            <w:vAlign w:val="center"/>
          </w:tcPr>
          <w:p w14:paraId="721F5DE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7C9C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0200A52">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694" w:type="pct"/>
            <w:vAlign w:val="center"/>
          </w:tcPr>
          <w:p w14:paraId="2C326F17">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p w14:paraId="16FA7BFD">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20分</w:t>
            </w:r>
            <w:r>
              <w:rPr>
                <w:rFonts w:hint="eastAsia" w:ascii="宋体" w:hAnsi="宋体" w:cs="宋体"/>
                <w:b/>
                <w:bCs/>
                <w:color w:val="auto"/>
                <w:szCs w:val="21"/>
                <w:highlight w:val="none"/>
              </w:rPr>
              <w:t>）</w:t>
            </w:r>
          </w:p>
        </w:tc>
        <w:tc>
          <w:tcPr>
            <w:tcW w:w="3869" w:type="pct"/>
            <w:vAlign w:val="center"/>
          </w:tcPr>
          <w:p w14:paraId="4336D00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（1）评标报价为供应商的投标报价进行政策性扣除后的价格，评标报价只是作为评审时使用。最终中标供应商的中标金额等于最后投标报价（如有修正，以确认修正后的投标报价为准）。</w:t>
            </w:r>
          </w:p>
          <w:p w14:paraId="647A0688">
            <w:pPr>
              <w:pStyle w:val="26"/>
              <w:spacing w:line="400" w:lineRule="exact"/>
              <w:ind w:firstLine="420" w:firstLineChars="200"/>
              <w:rPr>
                <w:rFonts w:hAnsi="宋体" w:cs="宋体"/>
                <w:color w:val="auto"/>
                <w:highlight w:val="none"/>
              </w:rPr>
            </w:pPr>
            <w:r>
              <w:rPr>
                <w:rFonts w:hint="eastAsia" w:hAnsi="宋体" w:cs="宋体"/>
                <w:color w:val="auto"/>
                <w:highlight w:val="none"/>
              </w:rPr>
              <w:t>（2）政府采购政策性扣除计算方法</w:t>
            </w:r>
          </w:p>
          <w:p w14:paraId="4AFE5719">
            <w:pPr>
              <w:spacing w:line="400" w:lineRule="exact"/>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根据《政府采购促进中小企业发展管理办法》（财库〔2020〕46号）及《广西壮族自治区财政厅关于持续优化政府采购营商环境推动高质量发展的通知 》（桂财采〔2024〕55号）的规定，供应商在其投标文件中提供《中小企业声明函》，且其投标提供的服务由小微企业承接的，对供应商的投标报价给予10%的扣除，扣除后的价格为评标报价，即评标报价=投标报价×（1-10%）。除上述情况外，评标报价=投标报价。</w:t>
            </w:r>
          </w:p>
          <w:p w14:paraId="14C4E8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97A90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C1E5168">
            <w:pPr>
              <w:pStyle w:val="26"/>
              <w:spacing w:line="400" w:lineRule="exact"/>
              <w:ind w:firstLine="420" w:firstLineChars="200"/>
              <w:rPr>
                <w:rFonts w:hAnsi="宋体" w:cs="宋体"/>
                <w:color w:val="auto"/>
                <w:highlight w:val="none"/>
              </w:rPr>
            </w:pPr>
            <w:r>
              <w:rPr>
                <w:rFonts w:hint="eastAsia" w:hAnsi="宋体" w:cs="宋体"/>
                <w:color w:val="auto"/>
                <w:highlight w:val="none"/>
              </w:rPr>
              <w:t>（5）以进入比较与评价环节的最低的评标报价为基准价，基准价得分为</w:t>
            </w:r>
            <w:r>
              <w:rPr>
                <w:rFonts w:hint="eastAsia" w:hAnsi="宋体" w:cs="宋体"/>
                <w:color w:val="auto"/>
                <w:highlight w:val="none"/>
                <w:u w:val="single"/>
              </w:rPr>
              <w:t>20分</w:t>
            </w:r>
            <w:r>
              <w:rPr>
                <w:rFonts w:hint="eastAsia" w:hAnsi="宋体" w:cs="宋体"/>
                <w:color w:val="auto"/>
                <w:highlight w:val="none"/>
              </w:rPr>
              <w:t>。</w:t>
            </w:r>
          </w:p>
          <w:p w14:paraId="606513B4">
            <w:pPr>
              <w:pStyle w:val="26"/>
              <w:spacing w:line="400" w:lineRule="exact"/>
              <w:ind w:firstLine="420" w:firstLineChars="200"/>
              <w:rPr>
                <w:rFonts w:hAnsi="宋体" w:cs="宋体"/>
                <w:color w:val="auto"/>
                <w:highlight w:val="none"/>
              </w:rPr>
            </w:pPr>
            <w:r>
              <w:rPr>
                <w:rFonts w:hint="eastAsia" w:hAnsi="宋体" w:cs="宋体"/>
                <w:color w:val="auto"/>
                <w:highlight w:val="none"/>
              </w:rPr>
              <w:t>（6）价格分计算公式：</w:t>
            </w:r>
          </w:p>
          <w:p w14:paraId="689D7602">
            <w:pPr>
              <w:spacing w:line="360" w:lineRule="exact"/>
              <w:rPr>
                <w:rFonts w:hAnsi="宋体" w:cs="宋体"/>
                <w:color w:val="auto"/>
                <w:highlight w:val="none"/>
              </w:rPr>
            </w:pPr>
            <w:r>
              <w:rPr>
                <w:rFonts w:hint="eastAsia" w:hAnsi="宋体" w:cs="宋体"/>
                <w:color w:val="auto"/>
                <w:szCs w:val="21"/>
                <w:highlight w:val="none"/>
              </w:rPr>
              <w:t>报价得分=（基准价/评标报价）×</w:t>
            </w:r>
            <w:r>
              <w:rPr>
                <w:rFonts w:hint="eastAsia" w:hAnsi="宋体" w:cs="宋体"/>
                <w:color w:val="auto"/>
                <w:szCs w:val="21"/>
                <w:highlight w:val="none"/>
                <w:u w:val="single"/>
              </w:rPr>
              <w:t xml:space="preserve"> 20分</w:t>
            </w:r>
          </w:p>
          <w:p w14:paraId="285798C4">
            <w:pPr>
              <w:spacing w:line="360" w:lineRule="exact"/>
              <w:rPr>
                <w:rFonts w:ascii="宋体" w:hAnsi="宋体" w:cs="宋体"/>
                <w:color w:val="auto"/>
                <w:szCs w:val="21"/>
                <w:highlight w:val="none"/>
              </w:rPr>
            </w:pPr>
            <w:r>
              <w:rPr>
                <w:rFonts w:hint="eastAsia" w:ascii="宋体" w:hAnsi="宋体" w:cs="宋体"/>
                <w:color w:val="auto"/>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44EE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64EF320">
            <w:pPr>
              <w:adjustRightInd w:val="0"/>
              <w:snapToGrid w:val="0"/>
              <w:spacing w:line="360" w:lineRule="atLeast"/>
              <w:ind w:left="-105" w:leftChars="-50" w:right="-105" w:rightChars="-50"/>
              <w:jc w:val="center"/>
              <w:textAlignment w:val="baseline"/>
              <w:rPr>
                <w:rFonts w:ascii="宋体" w:hAnsi="宋体" w:cs="宋体"/>
                <w:b/>
                <w:bCs/>
                <w:color w:val="auto"/>
                <w:spacing w:val="-18"/>
                <w:szCs w:val="21"/>
                <w:highlight w:val="none"/>
              </w:rPr>
            </w:pPr>
            <w:r>
              <w:rPr>
                <w:rFonts w:hint="eastAsia" w:ascii="宋体" w:hAnsi="宋体" w:cs="宋体"/>
                <w:b/>
                <w:bCs/>
                <w:color w:val="auto"/>
                <w:szCs w:val="21"/>
                <w:highlight w:val="none"/>
              </w:rPr>
              <w:t>2</w:t>
            </w:r>
          </w:p>
        </w:tc>
        <w:tc>
          <w:tcPr>
            <w:tcW w:w="694" w:type="pct"/>
            <w:vAlign w:val="center"/>
          </w:tcPr>
          <w:p w14:paraId="373AA48E">
            <w:pPr>
              <w:adjustRightInd w:val="0"/>
              <w:spacing w:line="360" w:lineRule="exact"/>
              <w:jc w:val="left"/>
              <w:textAlignment w:val="baseline"/>
              <w:rPr>
                <w:rFonts w:ascii="宋体" w:hAnsi="宋体" w:cs="宋体"/>
                <w:b/>
                <w:bCs/>
                <w:color w:val="auto"/>
                <w:szCs w:val="21"/>
                <w:highlight w:val="none"/>
                <w:u w:val="single"/>
              </w:rPr>
            </w:pPr>
            <w:r>
              <w:rPr>
                <w:rFonts w:hint="eastAsia" w:ascii="宋体" w:hAnsi="宋体" w:cs="宋体"/>
                <w:b/>
                <w:bCs/>
                <w:color w:val="auto"/>
                <w:kern w:val="0"/>
                <w:szCs w:val="21"/>
                <w:highlight w:val="none"/>
              </w:rPr>
              <w:t>技术</w:t>
            </w:r>
            <w:r>
              <w:rPr>
                <w:rFonts w:hint="eastAsia" w:ascii="宋体" w:hAnsi="宋体" w:cs="宋体"/>
                <w:b/>
                <w:bCs/>
                <w:color w:val="auto"/>
                <w:szCs w:val="21"/>
                <w:highlight w:val="none"/>
              </w:rPr>
              <w:t>分（满分64分）</w:t>
            </w:r>
          </w:p>
        </w:tc>
        <w:tc>
          <w:tcPr>
            <w:tcW w:w="3869" w:type="pct"/>
            <w:vAlign w:val="center"/>
          </w:tcPr>
          <w:p w14:paraId="295A4C18">
            <w:pPr>
              <w:pStyle w:val="26"/>
              <w:adjustRightInd w:val="0"/>
              <w:spacing w:line="360" w:lineRule="exact"/>
              <w:ind w:firstLine="420" w:firstLineChars="200"/>
              <w:contextualSpacing/>
              <w:jc w:val="center"/>
              <w:rPr>
                <w:color w:val="auto"/>
                <w:highlight w:val="none"/>
              </w:rPr>
            </w:pPr>
            <w:r>
              <w:rPr>
                <w:rFonts w:hint="eastAsia" w:hAnsi="宋体" w:cs="Tahoma"/>
                <w:color w:val="auto"/>
                <w:highlight w:val="none"/>
              </w:rPr>
              <w:t>评审因素</w:t>
            </w:r>
          </w:p>
        </w:tc>
      </w:tr>
      <w:tr w14:paraId="0566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F1A479B">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2.1</w:t>
            </w:r>
          </w:p>
        </w:tc>
        <w:tc>
          <w:tcPr>
            <w:tcW w:w="694" w:type="pct"/>
            <w:vAlign w:val="center"/>
          </w:tcPr>
          <w:p w14:paraId="45747968">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维保实施方案</w:t>
            </w:r>
            <w:r>
              <w:rPr>
                <w:rFonts w:hint="eastAsia" w:ascii="宋体" w:hAnsi="宋体" w:cs="宋体"/>
                <w:b/>
                <w:bCs/>
                <w:color w:val="auto"/>
                <w:szCs w:val="21"/>
                <w:highlight w:val="none"/>
              </w:rPr>
              <w:t>（满分20分）</w:t>
            </w:r>
          </w:p>
        </w:tc>
        <w:tc>
          <w:tcPr>
            <w:tcW w:w="3869" w:type="pct"/>
            <w:vAlign w:val="center"/>
          </w:tcPr>
          <w:p w14:paraId="06264C81">
            <w:pPr>
              <w:pStyle w:val="26"/>
              <w:spacing w:line="400" w:lineRule="exact"/>
              <w:ind w:firstLine="420" w:firstLineChars="200"/>
              <w:rPr>
                <w:rFonts w:hAnsi="宋体"/>
                <w:color w:val="auto"/>
                <w:highlight w:val="none"/>
              </w:rPr>
            </w:pPr>
            <w:r>
              <w:rPr>
                <w:rFonts w:hint="eastAsia" w:hAnsi="宋体"/>
                <w:color w:val="auto"/>
                <w:highlight w:val="none"/>
              </w:rPr>
              <w:t>一档（5分）：维保实施方案基本满足招标文件要求；</w:t>
            </w:r>
          </w:p>
          <w:p w14:paraId="35DDEE51">
            <w:pPr>
              <w:pStyle w:val="26"/>
              <w:spacing w:line="400" w:lineRule="exact"/>
              <w:ind w:firstLine="420" w:firstLineChars="200"/>
              <w:rPr>
                <w:rFonts w:hAnsi="宋体"/>
                <w:color w:val="auto"/>
                <w:highlight w:val="none"/>
              </w:rPr>
            </w:pPr>
            <w:r>
              <w:rPr>
                <w:rFonts w:hint="eastAsia" w:hAnsi="宋体"/>
                <w:color w:val="auto"/>
                <w:highlight w:val="none"/>
              </w:rPr>
              <w:t>二档（10分）：维保实施方案满足招标文件要求，方案可行，提供的进度计划、应急方案、实施流程合理，有一定的针对性；</w:t>
            </w:r>
          </w:p>
          <w:p w14:paraId="467EE421">
            <w:pPr>
              <w:pStyle w:val="26"/>
              <w:spacing w:line="400" w:lineRule="exact"/>
              <w:ind w:firstLine="420" w:firstLineChars="200"/>
              <w:rPr>
                <w:rFonts w:hAnsi="宋体"/>
                <w:color w:val="auto"/>
                <w:highlight w:val="none"/>
              </w:rPr>
            </w:pPr>
            <w:r>
              <w:rPr>
                <w:rFonts w:hint="eastAsia" w:hAnsi="宋体"/>
                <w:color w:val="auto"/>
                <w:highlight w:val="none"/>
              </w:rPr>
              <w:t>三档（15分）：维保实施方案完全满足招标文件要求，方案详细描述进度计划、实施流程合理、维保设备功能结构，描述清晰、到位，并提供了详细的应急方案。</w:t>
            </w:r>
          </w:p>
          <w:p w14:paraId="2180DC54">
            <w:pPr>
              <w:pStyle w:val="26"/>
              <w:spacing w:line="400" w:lineRule="exact"/>
              <w:ind w:firstLine="420" w:firstLineChars="200"/>
              <w:rPr>
                <w:rFonts w:hAnsi="宋体"/>
                <w:color w:val="auto"/>
                <w:highlight w:val="none"/>
              </w:rPr>
            </w:pPr>
            <w:r>
              <w:rPr>
                <w:rFonts w:hint="eastAsia" w:hAnsi="宋体"/>
                <w:color w:val="auto"/>
                <w:highlight w:val="none"/>
              </w:rPr>
              <w:t>四档（20分）：维保实施方案完全满足招标文件要求，方案详细描述进度计划、实施流程合理、先进，对关键技术点、维保设备功能结构，描述清晰、到位，并提供日常保养与管理、承诺建立维保档案，并提供了详细的应急方案，方案覆盖常规应急处理、事故应急处理等。</w:t>
            </w:r>
          </w:p>
          <w:p w14:paraId="61D31274">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45C2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B1A6474">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2.2</w:t>
            </w:r>
          </w:p>
        </w:tc>
        <w:tc>
          <w:tcPr>
            <w:tcW w:w="694" w:type="pct"/>
            <w:vAlign w:val="center"/>
          </w:tcPr>
          <w:p w14:paraId="3B6545CD">
            <w:pPr>
              <w:spacing w:line="400" w:lineRule="exact"/>
              <w:jc w:val="center"/>
              <w:rPr>
                <w:rFonts w:ascii="宋体" w:hAnsi="宋体" w:cs="宋体"/>
                <w:b/>
                <w:bCs/>
                <w:color w:val="auto"/>
                <w:szCs w:val="21"/>
                <w:highlight w:val="none"/>
              </w:rPr>
            </w:pPr>
            <w:r>
              <w:rPr>
                <w:rFonts w:hint="eastAsia"/>
                <w:b/>
                <w:bCs/>
                <w:color w:val="auto"/>
                <w:highlight w:val="none"/>
              </w:rPr>
              <w:t>故障响应处理方案</w:t>
            </w:r>
            <w:r>
              <w:rPr>
                <w:rFonts w:hint="eastAsia" w:ascii="宋体" w:hAnsi="宋体" w:cs="宋体"/>
                <w:b/>
                <w:bCs/>
                <w:color w:val="auto"/>
                <w:szCs w:val="21"/>
                <w:highlight w:val="none"/>
              </w:rPr>
              <w:t>（满分16分）</w:t>
            </w:r>
          </w:p>
        </w:tc>
        <w:tc>
          <w:tcPr>
            <w:tcW w:w="3869" w:type="pct"/>
            <w:vAlign w:val="center"/>
          </w:tcPr>
          <w:p w14:paraId="179760EA">
            <w:pPr>
              <w:pStyle w:val="26"/>
              <w:spacing w:line="400" w:lineRule="exact"/>
              <w:ind w:firstLine="420" w:firstLineChars="200"/>
              <w:rPr>
                <w:rFonts w:hAnsi="宋体"/>
                <w:color w:val="auto"/>
                <w:highlight w:val="none"/>
              </w:rPr>
            </w:pPr>
            <w:r>
              <w:rPr>
                <w:rFonts w:hint="eastAsia" w:hAnsi="宋体"/>
                <w:color w:val="auto"/>
                <w:highlight w:val="none"/>
              </w:rPr>
              <w:t>一档（4分）：满足招标文件要求基本的故障响应处理方案，投标人在国内设置固定维修站，且维修站常驻专职维修工程师；</w:t>
            </w:r>
          </w:p>
          <w:p w14:paraId="0E6BC3B0">
            <w:pPr>
              <w:pStyle w:val="26"/>
              <w:spacing w:line="400" w:lineRule="exact"/>
              <w:ind w:firstLine="420" w:firstLineChars="200"/>
              <w:rPr>
                <w:rFonts w:hAnsi="宋体"/>
                <w:color w:val="auto"/>
                <w:highlight w:val="none"/>
              </w:rPr>
            </w:pPr>
            <w:r>
              <w:rPr>
                <w:rFonts w:hint="eastAsia" w:hAnsi="宋体"/>
                <w:color w:val="auto"/>
                <w:highlight w:val="none"/>
              </w:rPr>
              <w:t>二档（8分）：在一档的基础上，故障响应处理方案完整，有基本的故障响应及处理流程，投标人在国内设置固定维修站，且维修站常驻专职维修工程师团队，能提供基本的工程师调配服务流程；</w:t>
            </w:r>
          </w:p>
          <w:p w14:paraId="30A93BBD">
            <w:pPr>
              <w:pStyle w:val="26"/>
              <w:spacing w:line="400" w:lineRule="exact"/>
              <w:ind w:firstLine="420" w:firstLineChars="200"/>
              <w:rPr>
                <w:rFonts w:hAnsi="宋体"/>
                <w:color w:val="auto"/>
                <w:highlight w:val="none"/>
              </w:rPr>
            </w:pPr>
            <w:r>
              <w:rPr>
                <w:rFonts w:hint="eastAsia" w:hAnsi="宋体"/>
                <w:color w:val="auto"/>
                <w:highlight w:val="none"/>
              </w:rPr>
              <w:t>三档（12分）：在二档的基础上，故障响应处理方案详细，故障响应及处理流程详细且具有操作性，投标人在国内设置固定维修站，且维修站常驻专职维修工程师团队，能提供详细的工程师调配服务流程，且流程合理，人员配合紧密，能在20小时内到达故障现场处理故障；</w:t>
            </w:r>
          </w:p>
          <w:p w14:paraId="2F5B61BE">
            <w:pPr>
              <w:pStyle w:val="26"/>
              <w:spacing w:line="400" w:lineRule="exact"/>
              <w:ind w:firstLine="420" w:firstLineChars="200"/>
              <w:rPr>
                <w:rFonts w:hAnsi="宋体"/>
                <w:color w:val="auto"/>
                <w:highlight w:val="none"/>
              </w:rPr>
            </w:pPr>
            <w:r>
              <w:rPr>
                <w:rFonts w:hint="eastAsia" w:hAnsi="宋体"/>
                <w:color w:val="auto"/>
                <w:highlight w:val="none"/>
              </w:rPr>
              <w:t>四档（16分）：在三档的基础上，故障响应处理方案详尽合理，故障响应及处理流程有针对性，解决故障响应时间完全满足采购人要求，故障响应及处理方案有针对性，在国内设置固定维修站，且维修站常驻专职维修工程师团队，流程合理，人员配合紧密，能在18小时内到达故障现场处理故障。</w:t>
            </w:r>
          </w:p>
          <w:p w14:paraId="469E0071">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3D19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A3C9720">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2.3</w:t>
            </w:r>
          </w:p>
        </w:tc>
        <w:tc>
          <w:tcPr>
            <w:tcW w:w="694" w:type="pct"/>
            <w:vAlign w:val="center"/>
          </w:tcPr>
          <w:p w14:paraId="4B7E9B8A">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备品备件方案</w:t>
            </w:r>
            <w:r>
              <w:rPr>
                <w:rFonts w:hint="eastAsia" w:ascii="宋体" w:hAnsi="宋体" w:cs="宋体"/>
                <w:b/>
                <w:bCs/>
                <w:color w:val="auto"/>
                <w:szCs w:val="21"/>
                <w:highlight w:val="none"/>
              </w:rPr>
              <w:t>（满分12分）</w:t>
            </w:r>
          </w:p>
        </w:tc>
        <w:tc>
          <w:tcPr>
            <w:tcW w:w="3869" w:type="pct"/>
            <w:vAlign w:val="center"/>
          </w:tcPr>
          <w:p w14:paraId="4540428E">
            <w:pPr>
              <w:pStyle w:val="26"/>
              <w:spacing w:line="400" w:lineRule="exact"/>
              <w:ind w:firstLine="420" w:firstLineChars="200"/>
              <w:rPr>
                <w:rFonts w:hAnsi="宋体"/>
                <w:color w:val="auto"/>
                <w:highlight w:val="none"/>
              </w:rPr>
            </w:pPr>
            <w:r>
              <w:rPr>
                <w:rFonts w:hint="eastAsia" w:hAnsi="宋体"/>
                <w:color w:val="auto"/>
                <w:highlight w:val="none"/>
              </w:rPr>
              <w:t>一档（4分）：有基本的备品备件供应方案，国内没有备件仓库，备件配送到现场的最快时间≤24小时，并提供配送的交通方案，提供简单的备件调配流程。</w:t>
            </w:r>
          </w:p>
          <w:p w14:paraId="1211E373">
            <w:pPr>
              <w:pStyle w:val="26"/>
              <w:spacing w:line="400" w:lineRule="exact"/>
              <w:ind w:firstLine="420" w:firstLineChars="200"/>
              <w:rPr>
                <w:rFonts w:hAnsi="宋体"/>
                <w:color w:val="auto"/>
                <w:highlight w:val="none"/>
              </w:rPr>
            </w:pPr>
            <w:r>
              <w:rPr>
                <w:rFonts w:hint="eastAsia" w:hAnsi="宋体"/>
                <w:color w:val="auto"/>
                <w:highlight w:val="none"/>
              </w:rPr>
              <w:t>二档（8分）：有完整的备品备件方案，国内有备件仓库（并提供仓库的仓库属于供应商的产权文件复印件加盖单位公章，或承诺中标后建立仓库的承诺函原件），备件配送到现场的最快时间≤18小时，并提供配送的交通方案。备件品种齐全、来源正规合法，覆盖本项目设备的不易损备件，提供详细的备件调配流程，流程合理。</w:t>
            </w:r>
          </w:p>
          <w:p w14:paraId="23A53607">
            <w:pPr>
              <w:pStyle w:val="26"/>
              <w:spacing w:line="400" w:lineRule="exact"/>
              <w:ind w:firstLine="420" w:firstLineChars="200"/>
              <w:rPr>
                <w:rFonts w:hAnsi="宋体"/>
                <w:color w:val="auto"/>
                <w:highlight w:val="none"/>
              </w:rPr>
            </w:pPr>
            <w:r>
              <w:rPr>
                <w:rFonts w:hint="eastAsia" w:hAnsi="宋体"/>
                <w:color w:val="auto"/>
                <w:highlight w:val="none"/>
              </w:rPr>
              <w:t>三挡（12分）：有详细的备品备件方案，国内有备件仓库数≥2个（并提供有仓库的仓库属于供应商的产权文件复印件加盖单位公章，或承诺中标后建立仓库的承诺函原件），备件配送到现场的最快时间≤12小时，并提供配送的交通方案。备件品种齐全、来源正规合法，覆盖本项目设备的不易损备件，并提供详细的备件调配流程，流程科学合理且效率高。</w:t>
            </w:r>
          </w:p>
          <w:p w14:paraId="58059F84">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01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5B2A507">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2.4</w:t>
            </w:r>
          </w:p>
        </w:tc>
        <w:tc>
          <w:tcPr>
            <w:tcW w:w="694" w:type="pct"/>
            <w:vAlign w:val="center"/>
          </w:tcPr>
          <w:p w14:paraId="31AD7CF3">
            <w:pPr>
              <w:widowControl/>
              <w:spacing w:line="400" w:lineRule="exact"/>
              <w:jc w:val="center"/>
              <w:rPr>
                <w:rFonts w:ascii="宋体" w:hAnsi="宋体" w:cs="宋体"/>
                <w:b/>
                <w:bCs/>
                <w:color w:val="auto"/>
                <w:szCs w:val="21"/>
                <w:highlight w:val="none"/>
              </w:rPr>
            </w:pPr>
            <w:r>
              <w:rPr>
                <w:rFonts w:hint="eastAsia" w:ascii="宋体" w:hAnsi="宋体"/>
                <w:b/>
                <w:bCs/>
                <w:color w:val="auto"/>
                <w:highlight w:val="none"/>
              </w:rPr>
              <w:t>拟投入技术力量方案</w:t>
            </w:r>
            <w:r>
              <w:rPr>
                <w:rFonts w:hint="eastAsia" w:ascii="宋体" w:hAnsi="宋体" w:cs="宋体"/>
                <w:b/>
                <w:bCs/>
                <w:color w:val="auto"/>
                <w:szCs w:val="21"/>
                <w:highlight w:val="none"/>
              </w:rPr>
              <w:t>（满分12分）</w:t>
            </w:r>
          </w:p>
        </w:tc>
        <w:tc>
          <w:tcPr>
            <w:tcW w:w="3869" w:type="pct"/>
            <w:vAlign w:val="center"/>
          </w:tcPr>
          <w:p w14:paraId="0BD2FFD5">
            <w:pPr>
              <w:pStyle w:val="26"/>
              <w:spacing w:line="400" w:lineRule="exact"/>
              <w:ind w:firstLine="420" w:firstLineChars="200"/>
              <w:rPr>
                <w:rFonts w:hAnsi="宋体"/>
                <w:color w:val="auto"/>
                <w:highlight w:val="none"/>
              </w:rPr>
            </w:pPr>
            <w:r>
              <w:rPr>
                <w:rFonts w:hint="eastAsia" w:hAnsi="宋体"/>
                <w:color w:val="auto"/>
                <w:highlight w:val="none"/>
              </w:rPr>
              <w:t>一档（4分）：提供满足招标文件要求的人员，项目实施人员不少于3人，提供全职维保工程师≥1人，拟投入的技术力量能力基本满足要求；</w:t>
            </w:r>
          </w:p>
          <w:p w14:paraId="3D81CEEF">
            <w:pPr>
              <w:pStyle w:val="26"/>
              <w:spacing w:line="400" w:lineRule="exact"/>
              <w:ind w:firstLine="420" w:firstLineChars="200"/>
              <w:rPr>
                <w:rFonts w:hAnsi="宋体"/>
                <w:color w:val="auto"/>
                <w:highlight w:val="none"/>
              </w:rPr>
            </w:pPr>
            <w:r>
              <w:rPr>
                <w:rFonts w:hint="eastAsia" w:hAnsi="宋体"/>
                <w:color w:val="auto"/>
                <w:highlight w:val="none"/>
              </w:rPr>
              <w:t>二档（8分）：提供满足招标文件要求的人员方案，项目人员不少于5人，组织机构设置基本合理，人员配备基本齐全，配置较为合理，人员技术水平有一定的维修能力，能提供≥3名维保全职工程师，且具备相关维修经验；</w:t>
            </w:r>
          </w:p>
          <w:p w14:paraId="3B8ED58A">
            <w:pPr>
              <w:pStyle w:val="26"/>
              <w:spacing w:line="400" w:lineRule="exact"/>
              <w:ind w:firstLine="420" w:firstLineChars="200"/>
              <w:rPr>
                <w:rFonts w:hAnsi="宋体"/>
                <w:color w:val="auto"/>
                <w:highlight w:val="none"/>
              </w:rPr>
            </w:pPr>
            <w:r>
              <w:rPr>
                <w:rFonts w:hint="eastAsia" w:hAnsi="宋体"/>
                <w:color w:val="auto"/>
                <w:highlight w:val="none"/>
              </w:rPr>
              <w:t>三档（12分）：提供满足招标文件要求的人员方案，项目人员组织机构设置合理，人员配备充裕，不少于8人，人员技术力量雄厚，配置合理，人员技术资格水平优，能提供≥5名维保全职工程师（原厂对应设备工程师），能保证完成项目需求。</w:t>
            </w:r>
          </w:p>
          <w:p w14:paraId="08166700">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40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1ED01BF2">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2.5</w:t>
            </w:r>
          </w:p>
        </w:tc>
        <w:tc>
          <w:tcPr>
            <w:tcW w:w="694" w:type="pct"/>
            <w:vAlign w:val="center"/>
          </w:tcPr>
          <w:p w14:paraId="004A15EC">
            <w:pPr>
              <w:adjustRightInd w:val="0"/>
              <w:spacing w:line="400" w:lineRule="exact"/>
              <w:jc w:val="center"/>
              <w:textAlignment w:val="baseline"/>
              <w:rPr>
                <w:rFonts w:ascii="宋体" w:hAnsi="宋体" w:cs="宋体"/>
                <w:b/>
                <w:bCs/>
                <w:color w:val="auto"/>
                <w:szCs w:val="21"/>
                <w:highlight w:val="none"/>
              </w:rPr>
            </w:pPr>
            <w:r>
              <w:rPr>
                <w:rFonts w:hint="eastAsia" w:ascii="宋体" w:hAnsi="宋体"/>
                <w:b/>
                <w:bCs/>
                <w:color w:val="auto"/>
                <w:highlight w:val="none"/>
              </w:rPr>
              <w:t>综合管理服务质量保证措施</w:t>
            </w:r>
            <w:r>
              <w:rPr>
                <w:rFonts w:hint="eastAsia" w:ascii="宋体" w:hAnsi="宋体" w:cs="宋体"/>
                <w:b/>
                <w:bCs/>
                <w:color w:val="auto"/>
                <w:szCs w:val="21"/>
                <w:highlight w:val="none"/>
              </w:rPr>
              <w:t>（满分4分）</w:t>
            </w:r>
          </w:p>
        </w:tc>
        <w:tc>
          <w:tcPr>
            <w:tcW w:w="3869" w:type="pct"/>
            <w:vAlign w:val="center"/>
          </w:tcPr>
          <w:p w14:paraId="5929F8E9">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一档（2分）：供应商能提供具体质量保证措施的，未详细展开论述，有一定针对性和操作性；</w:t>
            </w:r>
          </w:p>
          <w:p w14:paraId="0FCB68CA">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二档（4分）：供应商能提供针对本次项目具体质量保证措施科学合理，且措施操作性全面，针对性精确，亮点多，可行性强。</w:t>
            </w:r>
          </w:p>
          <w:p w14:paraId="2AF8F375">
            <w:pPr>
              <w:snapToGrid w:val="0"/>
              <w:spacing w:line="380" w:lineRule="atLeast"/>
              <w:ind w:firstLine="443" w:firstLineChars="211"/>
              <w:rPr>
                <w:rFonts w:hAnsi="宋体" w:cs="宋体"/>
                <w:color w:val="auto"/>
                <w:highlight w:val="none"/>
              </w:rPr>
            </w:pPr>
            <w:r>
              <w:rPr>
                <w:rFonts w:hint="eastAsia" w:hAnsi="宋体"/>
                <w:color w:val="auto"/>
                <w:szCs w:val="21"/>
                <w:highlight w:val="none"/>
              </w:rPr>
              <w:t>注：</w:t>
            </w:r>
            <w:r>
              <w:rPr>
                <w:rFonts w:hint="eastAsia" w:ascii="宋体" w:hAnsi="宋体"/>
                <w:color w:val="auto"/>
                <w:highlight w:val="none"/>
              </w:rPr>
              <w:t>不满足一档要求的，得0分</w:t>
            </w:r>
            <w:r>
              <w:rPr>
                <w:rFonts w:hint="eastAsia" w:hAnsi="宋体"/>
                <w:color w:val="auto"/>
                <w:szCs w:val="21"/>
                <w:highlight w:val="none"/>
              </w:rPr>
              <w:t>。</w:t>
            </w:r>
          </w:p>
        </w:tc>
      </w:tr>
      <w:tr w14:paraId="78FA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327579A6">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3</w:t>
            </w:r>
          </w:p>
        </w:tc>
        <w:tc>
          <w:tcPr>
            <w:tcW w:w="694" w:type="pct"/>
            <w:vAlign w:val="center"/>
          </w:tcPr>
          <w:p w14:paraId="415B8F30">
            <w:pPr>
              <w:widowControl/>
              <w:spacing w:line="360" w:lineRule="auto"/>
              <w:jc w:val="center"/>
              <w:rPr>
                <w:rFonts w:ascii="宋体" w:hAnsi="宋体" w:cs="宋体"/>
                <w:b/>
                <w:bCs/>
                <w:color w:val="auto"/>
                <w:szCs w:val="21"/>
                <w:highlight w:val="none"/>
              </w:rPr>
            </w:pPr>
            <w:r>
              <w:rPr>
                <w:rFonts w:hint="eastAsia" w:ascii="宋体" w:hAnsi="宋体" w:cs="Courier New"/>
                <w:b/>
                <w:bCs/>
                <w:color w:val="auto"/>
                <w:szCs w:val="21"/>
                <w:highlight w:val="none"/>
              </w:rPr>
              <w:t>商务分（</w:t>
            </w:r>
            <w:r>
              <w:rPr>
                <w:rFonts w:hint="eastAsia" w:ascii="宋体" w:hAnsi="宋体" w:cs="宋体"/>
                <w:b/>
                <w:bCs/>
                <w:color w:val="auto"/>
                <w:szCs w:val="21"/>
                <w:highlight w:val="none"/>
              </w:rPr>
              <w:t>满分16分</w:t>
            </w:r>
            <w:r>
              <w:rPr>
                <w:rFonts w:hint="eastAsia" w:ascii="宋体" w:hAnsi="宋体" w:cs="Courier New"/>
                <w:b/>
                <w:bCs/>
                <w:color w:val="auto"/>
                <w:szCs w:val="21"/>
                <w:highlight w:val="none"/>
              </w:rPr>
              <w:t>）</w:t>
            </w:r>
          </w:p>
        </w:tc>
        <w:tc>
          <w:tcPr>
            <w:tcW w:w="3869" w:type="pct"/>
            <w:vAlign w:val="center"/>
          </w:tcPr>
          <w:p w14:paraId="4BFCF1B0">
            <w:pPr>
              <w:snapToGrid w:val="0"/>
              <w:spacing w:line="380" w:lineRule="atLeast"/>
              <w:ind w:firstLine="443" w:firstLineChars="211"/>
              <w:jc w:val="center"/>
              <w:rPr>
                <w:rFonts w:hAnsi="宋体" w:cs="宋体"/>
                <w:color w:val="auto"/>
                <w:highlight w:val="none"/>
              </w:rPr>
            </w:pPr>
            <w:r>
              <w:rPr>
                <w:rFonts w:hint="eastAsia" w:ascii="宋体" w:hAnsi="宋体" w:cs="Tahoma"/>
                <w:color w:val="auto"/>
                <w:kern w:val="0"/>
                <w:szCs w:val="21"/>
                <w:highlight w:val="none"/>
              </w:rPr>
              <w:t>评审因素</w:t>
            </w:r>
          </w:p>
        </w:tc>
      </w:tr>
      <w:tr w14:paraId="1B7F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1F0BE00">
            <w:pPr>
              <w:jc w:val="center"/>
              <w:rPr>
                <w:rFonts w:ascii="宋体" w:hAnsi="宋体" w:cs="宋体"/>
                <w:b/>
                <w:bCs/>
                <w:color w:val="auto"/>
                <w:szCs w:val="21"/>
                <w:highlight w:val="none"/>
              </w:rPr>
            </w:pPr>
            <w:r>
              <w:rPr>
                <w:rFonts w:hint="eastAsia" w:ascii="宋体" w:hAnsi="宋体" w:cs="宋体"/>
                <w:b/>
                <w:bCs/>
                <w:color w:val="auto"/>
                <w:szCs w:val="21"/>
                <w:highlight w:val="none"/>
              </w:rPr>
              <w:t>3.1</w:t>
            </w:r>
          </w:p>
        </w:tc>
        <w:tc>
          <w:tcPr>
            <w:tcW w:w="694" w:type="pct"/>
            <w:vAlign w:val="center"/>
          </w:tcPr>
          <w:p w14:paraId="4A8A8A6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业绩（满分8分）</w:t>
            </w:r>
          </w:p>
        </w:tc>
        <w:tc>
          <w:tcPr>
            <w:tcW w:w="3869" w:type="pct"/>
            <w:vAlign w:val="center"/>
          </w:tcPr>
          <w:p w14:paraId="4EBA713C">
            <w:pPr>
              <w:snapToGrid w:val="0"/>
              <w:spacing w:line="380" w:lineRule="atLeast"/>
              <w:ind w:firstLine="443" w:firstLineChars="211"/>
              <w:rPr>
                <w:rFonts w:ascii="宋体" w:hAnsi="宋体" w:cs="宋体"/>
                <w:color w:val="auto"/>
                <w:highlight w:val="none"/>
              </w:rPr>
            </w:pPr>
            <w:r>
              <w:rPr>
                <w:rFonts w:hint="eastAsia" w:hAnsi="宋体"/>
                <w:color w:val="auto"/>
                <w:szCs w:val="21"/>
                <w:highlight w:val="none"/>
              </w:rPr>
              <w:t>投标人自2022年1月1日以来同类项目的，每个项目得4分，满分8分。【以合同或中标（成交）通知书复印件为准，并加盖供应商公章。】</w:t>
            </w:r>
          </w:p>
        </w:tc>
      </w:tr>
      <w:tr w14:paraId="3EB6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2DA144C">
            <w:pPr>
              <w:jc w:val="center"/>
              <w:rPr>
                <w:rFonts w:ascii="宋体" w:hAnsi="宋体" w:cs="宋体"/>
                <w:b/>
                <w:bCs/>
                <w:color w:val="auto"/>
                <w:szCs w:val="21"/>
                <w:highlight w:val="none"/>
              </w:rPr>
            </w:pPr>
            <w:r>
              <w:rPr>
                <w:rFonts w:hint="eastAsia" w:ascii="宋体" w:hAnsi="宋体" w:cs="宋体"/>
                <w:b/>
                <w:bCs/>
                <w:color w:val="auto"/>
                <w:szCs w:val="21"/>
                <w:highlight w:val="none"/>
              </w:rPr>
              <w:t>3.2</w:t>
            </w:r>
          </w:p>
        </w:tc>
        <w:tc>
          <w:tcPr>
            <w:tcW w:w="694" w:type="pct"/>
            <w:vAlign w:val="center"/>
          </w:tcPr>
          <w:p w14:paraId="3516A03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人员资质（满分8分）</w:t>
            </w:r>
          </w:p>
        </w:tc>
        <w:tc>
          <w:tcPr>
            <w:tcW w:w="3869" w:type="pct"/>
            <w:vAlign w:val="center"/>
          </w:tcPr>
          <w:p w14:paraId="2694919C">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供应商拟投入本项目的工程师具备经官方职称评定部门的中级及以上职称证书的（包含但不限于机电工程、电子科学与技术、信息与通信工程、工业电气及其自动化，生物医学工程），每个证书得分2分，满分8分。</w:t>
            </w:r>
          </w:p>
          <w:p w14:paraId="1CEA4FAB">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注：一人多证不重复计分。以上工程师除了提供有效的职称证书复印件及身份证正反面复印件，还须提供其在供应商单位劳动协议或聘书等证明其属于供应商正式员工的证明材料复印件，并加盖供应商公章。</w:t>
            </w:r>
          </w:p>
        </w:tc>
      </w:tr>
      <w:tr w14:paraId="6EBC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3"/>
            <w:vAlign w:val="center"/>
          </w:tcPr>
          <w:p w14:paraId="02682FA9">
            <w:pPr>
              <w:pStyle w:val="26"/>
              <w:snapToGrid w:val="0"/>
              <w:spacing w:line="360" w:lineRule="atLeast"/>
              <w:rPr>
                <w:rFonts w:hAnsi="宋体" w:cs="宋体"/>
                <w:b/>
                <w:bCs/>
                <w:color w:val="auto"/>
                <w:highlight w:val="none"/>
              </w:rPr>
            </w:pPr>
            <w:r>
              <w:rPr>
                <w:rFonts w:hint="eastAsia" w:hAnsi="宋体" w:cs="宋体"/>
                <w:b/>
                <w:bCs/>
                <w:color w:val="auto"/>
                <w:highlight w:val="none"/>
              </w:rPr>
              <w:t>总得分=1+2+3</w:t>
            </w:r>
          </w:p>
          <w:p w14:paraId="2E647654">
            <w:pPr>
              <w:pStyle w:val="26"/>
              <w:snapToGrid w:val="0"/>
              <w:spacing w:line="360" w:lineRule="atLeast"/>
              <w:rPr>
                <w:rFonts w:hAnsi="宋体" w:cs="宋体"/>
                <w:b/>
                <w:bCs/>
                <w:color w:val="auto"/>
                <w:highlight w:val="none"/>
              </w:rPr>
            </w:pPr>
            <w:r>
              <w:rPr>
                <w:rFonts w:hint="eastAsia" w:hAnsi="宋体" w:cs="宋体"/>
                <w:b/>
                <w:bCs/>
                <w:color w:val="auto"/>
                <w:highlight w:val="none"/>
              </w:rPr>
              <w:t>备注：本项目为服务类项目，不涉及节能环保政策考核。</w:t>
            </w:r>
          </w:p>
        </w:tc>
      </w:tr>
    </w:tbl>
    <w:p w14:paraId="1C5FDE73">
      <w:pPr>
        <w:pStyle w:val="26"/>
        <w:spacing w:line="420" w:lineRule="exact"/>
        <w:ind w:firstLine="420"/>
        <w:rPr>
          <w:rFonts w:hAnsi="宋体" w:cs="宋体"/>
          <w:b/>
          <w:color w:val="auto"/>
          <w:highlight w:val="none"/>
        </w:rPr>
      </w:pPr>
    </w:p>
    <w:p w14:paraId="281A2A2F">
      <w:pPr>
        <w:pStyle w:val="26"/>
        <w:spacing w:line="420" w:lineRule="exact"/>
        <w:ind w:firstLine="420"/>
        <w:rPr>
          <w:rFonts w:hAnsi="宋体" w:cs="宋体"/>
          <w:b/>
          <w:color w:val="auto"/>
          <w:highlight w:val="none"/>
        </w:rPr>
      </w:pPr>
      <w:r>
        <w:rPr>
          <w:rFonts w:hint="eastAsia" w:hAnsi="宋体" w:cs="宋体"/>
          <w:b/>
          <w:color w:val="auto"/>
          <w:highlight w:val="none"/>
        </w:rPr>
        <w:t>三、中标候选人推荐原则</w:t>
      </w:r>
    </w:p>
    <w:p w14:paraId="439F982F">
      <w:pPr>
        <w:pStyle w:val="26"/>
        <w:spacing w:line="360" w:lineRule="exact"/>
        <w:ind w:firstLine="420" w:firstLineChars="200"/>
        <w:rPr>
          <w:rFonts w:hAnsi="宋体" w:cs="宋体"/>
          <w:color w:val="auto"/>
          <w:highlight w:val="none"/>
        </w:rPr>
      </w:pPr>
      <w:r>
        <w:rPr>
          <w:rFonts w:hint="eastAsia" w:hAnsi="宋体" w:cs="宋体"/>
          <w:color w:val="auto"/>
          <w:highlight w:val="none"/>
        </w:rPr>
        <w:t>1.评标委员会根据原始评标记录和评标结果编写评标报告，并通过电子交易平台向采购人、采购代理机构提交。</w:t>
      </w:r>
    </w:p>
    <w:p w14:paraId="414279D6">
      <w:pPr>
        <w:pStyle w:val="26"/>
        <w:spacing w:line="360" w:lineRule="exact"/>
        <w:ind w:firstLine="420" w:firstLineChars="200"/>
        <w:rPr>
          <w:rFonts w:hAnsi="宋体" w:cs="宋体"/>
          <w:color w:val="auto"/>
          <w:highlight w:val="none"/>
        </w:rPr>
      </w:pPr>
      <w:r>
        <w:rPr>
          <w:rFonts w:hint="eastAsia" w:hAnsi="宋体" w:cs="宋体"/>
          <w:color w:val="auto"/>
          <w:highlight w:val="none"/>
        </w:rPr>
        <w:t>2.</w:t>
      </w:r>
      <w:r>
        <w:rPr>
          <w:rFonts w:hint="eastAsia" w:hAnsi="宋体"/>
          <w:color w:val="auto"/>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cs="宋体"/>
          <w:color w:val="auto"/>
          <w:highlight w:val="none"/>
        </w:rPr>
        <w:t>。</w:t>
      </w:r>
    </w:p>
    <w:p w14:paraId="648829E1">
      <w:pPr>
        <w:spacing w:before="120" w:beforeLines="50" w:after="120" w:afterLines="50"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投标人可选择任意1个标项或者2个标项投标。评标委员会按照标项一→标项二的顺序进行评审，同一投标人最多只能成为1个标项第一中标候选人，已成为标项一的第一中标候选人后不能再被推荐为标项二的中标候选人。</w:t>
      </w:r>
    </w:p>
    <w:p w14:paraId="1502CC33">
      <w:pPr>
        <w:spacing w:before="120" w:beforeLines="50" w:after="120" w:afterLines="50" w:line="400" w:lineRule="exact"/>
        <w:ind w:firstLine="420" w:firstLineChars="200"/>
        <w:rPr>
          <w:rFonts w:ascii="宋体" w:hAnsi="宋体" w:cs="宋体"/>
          <w:b/>
          <w:color w:val="auto"/>
          <w:sz w:val="24"/>
          <w:highlight w:val="none"/>
        </w:rPr>
      </w:pPr>
      <w:r>
        <w:rPr>
          <w:rFonts w:hint="eastAsia" w:ascii="宋体" w:hAnsi="宋体" w:cs="宋体"/>
          <w:color w:val="auto"/>
          <w:szCs w:val="21"/>
          <w:highlight w:val="none"/>
        </w:rPr>
        <w:br w:type="page"/>
      </w:r>
    </w:p>
    <w:p w14:paraId="4930EAC4">
      <w:pPr>
        <w:pStyle w:val="3"/>
        <w:numPr>
          <w:ilvl w:val="0"/>
          <w:numId w:val="12"/>
        </w:numPr>
        <w:jc w:val="center"/>
        <w:rPr>
          <w:rFonts w:ascii="宋体" w:hAnsi="宋体" w:eastAsia="宋体" w:cs="宋体"/>
          <w:color w:val="auto"/>
          <w:highlight w:val="none"/>
        </w:rPr>
      </w:pPr>
      <w:bookmarkStart w:id="161" w:name="_Toc13100"/>
      <w:r>
        <w:rPr>
          <w:rFonts w:hint="eastAsia" w:ascii="宋体" w:hAnsi="宋体" w:eastAsia="宋体" w:cs="宋体"/>
          <w:color w:val="auto"/>
          <w:highlight w:val="none"/>
        </w:rPr>
        <w:t xml:space="preserve"> 拟签订的合同文本</w:t>
      </w:r>
      <w:bookmarkEnd w:id="161"/>
      <w:bookmarkStart w:id="162" w:name="_Toc3520"/>
      <w:bookmarkStart w:id="163" w:name="_Toc254970556"/>
      <w:bookmarkStart w:id="164" w:name="_Toc254970697"/>
    </w:p>
    <w:p w14:paraId="2DBC3761">
      <w:pPr>
        <w:pStyle w:val="3"/>
        <w:jc w:val="center"/>
        <w:rPr>
          <w:b w:val="0"/>
          <w:color w:val="auto"/>
          <w:highlight w:val="none"/>
        </w:rPr>
      </w:pPr>
      <w:r>
        <w:rPr>
          <w:rFonts w:hint="eastAsia"/>
          <w:b w:val="0"/>
          <w:color w:val="auto"/>
          <w:highlight w:val="none"/>
        </w:rPr>
        <w:t>合同文本</w:t>
      </w:r>
      <w:bookmarkEnd w:id="162"/>
    </w:p>
    <w:p w14:paraId="34E02337">
      <w:pPr>
        <w:spacing w:line="520" w:lineRule="exact"/>
        <w:rPr>
          <w:rFonts w:ascii="宋体" w:hAnsi="宋体" w:cs="Courier New"/>
          <w:bCs/>
          <w:color w:val="auto"/>
          <w:sz w:val="32"/>
          <w:szCs w:val="32"/>
          <w:highlight w:val="none"/>
        </w:rPr>
      </w:pPr>
    </w:p>
    <w:p w14:paraId="4D99D782">
      <w:pPr>
        <w:spacing w:line="360" w:lineRule="auto"/>
        <w:ind w:right="800"/>
        <w:rPr>
          <w:rFonts w:ascii="宋体" w:hAnsi="宋体" w:cs="宋体"/>
          <w:bCs/>
          <w:color w:val="auto"/>
          <w:szCs w:val="21"/>
          <w:highlight w:val="none"/>
          <w:u w:val="single"/>
        </w:rPr>
      </w:pPr>
      <w:r>
        <w:rPr>
          <w:rFonts w:hint="eastAsia" w:ascii="宋体" w:hAnsi="宋体" w:cs="宋体"/>
          <w:bCs/>
          <w:color w:val="auto"/>
          <w:szCs w:val="21"/>
          <w:highlight w:val="none"/>
        </w:rPr>
        <w:t>采购计划号：</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合同编号：</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p>
    <w:p w14:paraId="65281D36">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采购人（甲方）：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供应商（乙方）：</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14:paraId="0E551DF0">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项目名称：</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项目编号：</w:t>
      </w:r>
      <w:r>
        <w:rPr>
          <w:rFonts w:ascii="宋体" w:hAnsi="宋体" w:cs="宋体"/>
          <w:bCs/>
          <w:color w:val="auto"/>
          <w:szCs w:val="21"/>
          <w:highlight w:val="none"/>
          <w:u w:val="single"/>
        </w:rPr>
        <w:t xml:space="preserve">                          </w:t>
      </w:r>
    </w:p>
    <w:p w14:paraId="18B139DC">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签订时间：</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p>
    <w:p w14:paraId="5030B52A">
      <w:pPr>
        <w:pStyle w:val="128"/>
        <w:rPr>
          <w:bCs/>
          <w:color w:val="auto"/>
          <w:sz w:val="21"/>
          <w:szCs w:val="21"/>
          <w:highlight w:val="none"/>
          <w:u w:val="single"/>
        </w:rPr>
      </w:pPr>
      <w:r>
        <w:rPr>
          <w:rFonts w:hint="eastAsia"/>
          <w:bCs/>
          <w:color w:val="auto"/>
          <w:sz w:val="21"/>
          <w:szCs w:val="21"/>
          <w:highlight w:val="none"/>
        </w:rPr>
        <w:t>分标号：</w:t>
      </w:r>
      <w:r>
        <w:rPr>
          <w:rFonts w:hint="eastAsia"/>
          <w:bCs/>
          <w:color w:val="auto"/>
          <w:sz w:val="21"/>
          <w:szCs w:val="21"/>
          <w:highlight w:val="none"/>
          <w:u w:val="single"/>
        </w:rPr>
        <w:t xml:space="preserve">            </w:t>
      </w:r>
    </w:p>
    <w:p w14:paraId="20F5A428">
      <w:pPr>
        <w:pStyle w:val="128"/>
        <w:rPr>
          <w:bCs/>
          <w:color w:val="auto"/>
          <w:sz w:val="21"/>
          <w:szCs w:val="21"/>
          <w:highlight w:val="none"/>
          <w:u w:val="single"/>
        </w:rPr>
      </w:pPr>
    </w:p>
    <w:p w14:paraId="6611D26A">
      <w:pPr>
        <w:spacing w:line="360" w:lineRule="auto"/>
        <w:rPr>
          <w:rFonts w:ascii="宋体" w:hAnsi="宋体" w:cs="宋体"/>
          <w:bCs/>
          <w:color w:val="auto"/>
          <w:szCs w:val="21"/>
          <w:highlight w:val="none"/>
        </w:rPr>
      </w:pPr>
      <w:r>
        <w:rPr>
          <w:rFonts w:hint="eastAsia" w:ascii="宋体" w:hAnsi="宋体" w:cs="宋体"/>
          <w:bCs/>
          <w:color w:val="auto"/>
          <w:szCs w:val="21"/>
          <w:highlight w:val="none"/>
        </w:rPr>
        <w:t>本合同为中小企业预留合同：</w:t>
      </w:r>
      <w:r>
        <w:rPr>
          <w:rFonts w:hint="eastAsia" w:ascii="宋体" w:hAnsi="宋体" w:cs="宋体"/>
          <w:bCs/>
          <w:color w:val="auto"/>
          <w:szCs w:val="21"/>
          <w:highlight w:val="none"/>
          <w:u w:val="single"/>
        </w:rPr>
        <w:t>（是/否）</w:t>
      </w:r>
      <w:r>
        <w:rPr>
          <w:rFonts w:hint="eastAsia" w:ascii="宋体" w:hAnsi="宋体" w:cs="宋体"/>
          <w:bCs/>
          <w:color w:val="auto"/>
          <w:szCs w:val="21"/>
          <w:highlight w:val="none"/>
        </w:rPr>
        <w:t>。</w:t>
      </w:r>
    </w:p>
    <w:p w14:paraId="5D145FD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根据《中华人民共和国政府采购法》、《中华人民共和国民法典》等法律、法规规定，按照</w:t>
      </w:r>
      <w:r>
        <w:rPr>
          <w:rFonts w:hint="eastAsia" w:ascii="宋体" w:hAnsi="宋体"/>
          <w:bCs/>
          <w:color w:val="auto"/>
          <w:szCs w:val="21"/>
          <w:highlight w:val="none"/>
        </w:rPr>
        <w:t>招标文件规定条款和乙方投标文件及其承诺，甲乙双方签订本合同。</w:t>
      </w:r>
    </w:p>
    <w:p w14:paraId="45F2FE7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第一条　合同标的</w:t>
      </w:r>
    </w:p>
    <w:p w14:paraId="43A708B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1、项目一览表</w:t>
      </w:r>
    </w:p>
    <w:p w14:paraId="42A4607A">
      <w:pPr>
        <w:pStyle w:val="128"/>
        <w:rPr>
          <w:color w:val="auto"/>
          <w:highlight w:val="none"/>
        </w:rPr>
      </w:pPr>
      <w:r>
        <w:rPr>
          <w:rFonts w:hint="eastAsia"/>
          <w:bCs/>
          <w:color w:val="auto"/>
          <w:szCs w:val="21"/>
          <w:highlight w:val="none"/>
        </w:rPr>
        <w:t>分标：</w:t>
      </w:r>
      <w:r>
        <w:rPr>
          <w:rFonts w:hint="eastAsia"/>
          <w:bCs/>
          <w:color w:val="auto"/>
          <w:szCs w:val="21"/>
          <w:highlight w:val="none"/>
          <w:u w:val="single"/>
        </w:rPr>
        <w:t xml:space="preserve">     </w:t>
      </w:r>
    </w:p>
    <w:tbl>
      <w:tblPr>
        <w:tblStyle w:val="5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2456"/>
        <w:gridCol w:w="1251"/>
      </w:tblGrid>
      <w:tr w14:paraId="52E4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D10C19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773C1C4">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2400" w:type="dxa"/>
            <w:tcBorders>
              <w:top w:val="single" w:color="auto" w:sz="4" w:space="0"/>
              <w:left w:val="single" w:color="auto" w:sz="4" w:space="0"/>
              <w:bottom w:val="single" w:color="auto" w:sz="4" w:space="0"/>
              <w:right w:val="single" w:color="auto" w:sz="4" w:space="0"/>
            </w:tcBorders>
            <w:vAlign w:val="center"/>
          </w:tcPr>
          <w:p w14:paraId="0BE1D875">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1320" w:type="dxa"/>
            <w:tcBorders>
              <w:top w:val="single" w:color="auto" w:sz="4" w:space="0"/>
              <w:left w:val="single" w:color="auto" w:sz="4" w:space="0"/>
              <w:bottom w:val="single" w:color="auto" w:sz="4" w:space="0"/>
              <w:right w:val="single" w:color="auto" w:sz="4" w:space="0"/>
            </w:tcBorders>
            <w:vAlign w:val="center"/>
          </w:tcPr>
          <w:p w14:paraId="19C3905A">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单价</w:t>
            </w:r>
          </w:p>
        </w:tc>
        <w:tc>
          <w:tcPr>
            <w:tcW w:w="2456" w:type="dxa"/>
            <w:tcBorders>
              <w:top w:val="single" w:color="auto" w:sz="4" w:space="0"/>
              <w:left w:val="single" w:color="auto" w:sz="4" w:space="0"/>
              <w:bottom w:val="single" w:color="auto" w:sz="4" w:space="0"/>
              <w:right w:val="single" w:color="auto" w:sz="4" w:space="0"/>
            </w:tcBorders>
            <w:vAlign w:val="center"/>
          </w:tcPr>
          <w:p w14:paraId="3942524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总价</w:t>
            </w:r>
          </w:p>
          <w:p w14:paraId="367C1F63">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（单位：元）</w:t>
            </w:r>
          </w:p>
        </w:tc>
        <w:tc>
          <w:tcPr>
            <w:tcW w:w="1251" w:type="dxa"/>
            <w:tcBorders>
              <w:top w:val="single" w:color="auto" w:sz="4" w:space="0"/>
              <w:left w:val="single" w:color="auto" w:sz="4" w:space="0"/>
              <w:bottom w:val="single" w:color="auto" w:sz="4" w:space="0"/>
              <w:right w:val="single" w:color="auto" w:sz="4" w:space="0"/>
            </w:tcBorders>
            <w:vAlign w:val="center"/>
          </w:tcPr>
          <w:p w14:paraId="19B6142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6DA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6350B5C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详见开标一览表</w:t>
            </w:r>
          </w:p>
        </w:tc>
      </w:tr>
      <w:tr w14:paraId="368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5AA7B323">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人民币合计金额（大写）：</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元整（¥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bl>
    <w:p w14:paraId="196D1E4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合计金额包括但不限于满足本次投标全部采购需求所应提供的服务，以及伴随的货物和工程（如有）的价格；报价是履行合同的最终价格，投标报价包含实施和完成本项目全部工作所需的服务期内所需的一切费用，包括但不限于维保人员业务和劳务费、技术服务费、配件及耗材、保险、税费、招标代理服务费等与维保服务有关的一切费用。</w:t>
      </w:r>
    </w:p>
    <w:p w14:paraId="29591C0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第二条　质量保证</w:t>
      </w:r>
    </w:p>
    <w:p w14:paraId="6122B71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2215026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第三条　权利保证</w:t>
      </w:r>
    </w:p>
    <w:p w14:paraId="30E812C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1、乙方应保证所提供服务在使用时不会侵犯任何第三方的专利权、商标权、工业设计权等知识产权及其他合法权利，且所有权、处分权等没有受到任何限制。</w:t>
      </w:r>
    </w:p>
    <w:p w14:paraId="1D33CA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6EDDE1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第四条　交付和验收</w:t>
      </w:r>
    </w:p>
    <w:p w14:paraId="20BB1A0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1、实施期限：</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起至</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，服务地点：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3048157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2、乙方应按投标文件的承诺向甲方提供相应的服务，并提供所服务内容的相关技术资料。</w:t>
      </w:r>
    </w:p>
    <w:p w14:paraId="65BF716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3、乙方提供不符合投标文件和本合同规定的服务成果，甲方有权拒绝接受。</w:t>
      </w:r>
    </w:p>
    <w:p w14:paraId="5CE1734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49312E6">
      <w:pPr>
        <w:spacing w:line="360" w:lineRule="auto"/>
        <w:ind w:firstLine="420" w:firstLineChars="200"/>
        <w:rPr>
          <w:rFonts w:ascii="宋体" w:hAnsi="宋体"/>
          <w:bCs/>
          <w:color w:val="auto"/>
          <w:szCs w:val="21"/>
          <w:highlight w:val="none"/>
        </w:rPr>
      </w:pPr>
      <w:r>
        <w:rPr>
          <w:rFonts w:hint="eastAsia" w:ascii="宋体" w:hAnsi="宋体" w:cs="宋体"/>
          <w:bCs/>
          <w:color w:val="auto"/>
          <w:szCs w:val="21"/>
          <w:highlight w:val="none"/>
        </w:rPr>
        <w:t>5、甲乙双方应按照《</w:t>
      </w:r>
      <w:r>
        <w:rPr>
          <w:rFonts w:ascii="宋体" w:hAnsi="宋体" w:cs="宋体"/>
          <w:bCs/>
          <w:color w:val="auto"/>
          <w:szCs w:val="21"/>
          <w:highlight w:val="none"/>
        </w:rPr>
        <w:t>广西壮族自治区政府采购项目履约验收管理办法</w:t>
      </w:r>
      <w:r>
        <w:rPr>
          <w:rFonts w:hint="eastAsia" w:ascii="宋体" w:hAnsi="宋体" w:cs="宋体"/>
          <w:bCs/>
          <w:color w:val="auto"/>
          <w:szCs w:val="21"/>
          <w:highlight w:val="none"/>
        </w:rPr>
        <w:t>》、双方合同、投标文件验收。</w:t>
      </w:r>
    </w:p>
    <w:p w14:paraId="22EBDD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1AFD6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7、甲方验收时以书面形式提出异议的，乙方应自收到甲方书面异议后五个工作日内及时予以解决，否则甲方有权不出具服务验收合格单。</w:t>
      </w:r>
    </w:p>
    <w:p w14:paraId="004918A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第五条  售后服务及培训</w:t>
      </w:r>
    </w:p>
    <w:p w14:paraId="6585DBF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1、乙方应按照国家有关法律法规和本合同所附的《售后服务承诺》要求为甲方提供相应的售后服务。</w:t>
      </w:r>
    </w:p>
    <w:p w14:paraId="3F1349E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2、甲方应提供必要测试条件（如场地、电源、水源等）。</w:t>
      </w:r>
    </w:p>
    <w:p w14:paraId="5B24323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3、乙方负责甲方有关人员的培训。培训时间、地点：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1F82B16B">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第六条　付款方式</w:t>
      </w:r>
    </w:p>
    <w:p w14:paraId="3A4B8581">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甲乙双方同意本合同金额的支付按以下第</w:t>
      </w:r>
      <w:r>
        <w:rPr>
          <w:rFonts w:hint="eastAsia" w:ascii="宋体" w:hAnsi="宋体"/>
          <w:bCs/>
          <w:color w:val="auto"/>
          <w:szCs w:val="21"/>
          <w:highlight w:val="none"/>
          <w:u w:val="single"/>
        </w:rPr>
        <w:t xml:space="preserve">  2 </w:t>
      </w:r>
      <w:r>
        <w:rPr>
          <w:rFonts w:hint="eastAsia" w:ascii="宋体" w:hAnsi="宋体"/>
          <w:bCs/>
          <w:color w:val="auto"/>
          <w:szCs w:val="21"/>
          <w:highlight w:val="none"/>
        </w:rPr>
        <w:t>项约定执行：</w:t>
      </w:r>
    </w:p>
    <w:p w14:paraId="6E59FC4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1、一次性支付：</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02BE3D5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2、分期支付：</w:t>
      </w:r>
      <w:r>
        <w:rPr>
          <w:rFonts w:hint="eastAsia" w:ascii="宋体" w:hAnsi="宋体"/>
          <w:bCs/>
          <w:color w:val="auto"/>
          <w:szCs w:val="21"/>
          <w:highlight w:val="none"/>
          <w:u w:val="single"/>
        </w:rPr>
        <w:t xml:space="preserve">  按第二章采购需求中要求及投标人响应承诺执行  </w:t>
      </w:r>
      <w:r>
        <w:rPr>
          <w:rFonts w:hint="eastAsia" w:ascii="宋体" w:hAnsi="宋体"/>
          <w:bCs/>
          <w:color w:val="auto"/>
          <w:szCs w:val="21"/>
          <w:highlight w:val="none"/>
        </w:rPr>
        <w:t>。</w:t>
      </w:r>
    </w:p>
    <w:p w14:paraId="6876B15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第七条　履约保证金</w:t>
      </w:r>
    </w:p>
    <w:p w14:paraId="2AABFC5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履约保证金金额：无。</w:t>
      </w:r>
    </w:p>
    <w:p w14:paraId="71937C4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第八条  税费</w:t>
      </w:r>
    </w:p>
    <w:p w14:paraId="219B0A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本合同执行中相关的一切税费均由乙方负担，合同另有约定的除外。</w:t>
      </w:r>
    </w:p>
    <w:p w14:paraId="3674C7A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第九条　违约责任</w:t>
      </w:r>
    </w:p>
    <w:p w14:paraId="6BC5A47B">
      <w:pPr>
        <w:pStyle w:val="17"/>
        <w:rPr>
          <w:color w:val="auto"/>
          <w:highlight w:val="none"/>
        </w:rPr>
      </w:pPr>
      <w:r>
        <w:rPr>
          <w:rFonts w:hint="eastAsia" w:ascii="宋体" w:hAnsi="宋体"/>
          <w:bCs/>
          <w:color w:val="auto"/>
          <w:szCs w:val="21"/>
          <w:highlight w:val="none"/>
        </w:rPr>
        <w:t>1、除不可抗力原因外，乙方没有按照合同规定的时间提供服务的，甲方可要求乙方支付违约金。每推迟一天按合同金额的3‰支付违约金，</w:t>
      </w:r>
      <w:r>
        <w:rPr>
          <w:rFonts w:hint="eastAsia"/>
          <w:color w:val="auto"/>
          <w:highlight w:val="none"/>
        </w:rPr>
        <w:t>逾期超过</w:t>
      </w:r>
      <w:r>
        <w:rPr>
          <w:color w:val="auto"/>
          <w:highlight w:val="none"/>
        </w:rPr>
        <w:t>10</w:t>
      </w:r>
      <w:r>
        <w:rPr>
          <w:rFonts w:hint="eastAsia"/>
          <w:color w:val="auto"/>
          <w:highlight w:val="none"/>
        </w:rPr>
        <w:t>日，甲方有权解除合同，给甲方造成损失的，乙方还应当赔偿损失，包括甲方为维权而支出的诉讼费、律师费、保全担保费等费用。</w:t>
      </w:r>
    </w:p>
    <w:p w14:paraId="13290F3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049A1F7D">
      <w:pPr>
        <w:pStyle w:val="17"/>
        <w:rPr>
          <w:color w:val="auto"/>
          <w:highlight w:val="none"/>
        </w:rPr>
      </w:pPr>
      <w:r>
        <w:rPr>
          <w:rFonts w:hint="eastAsia" w:ascii="宋体" w:hAnsi="宋体" w:cs="宋体"/>
          <w:bCs/>
          <w:color w:val="auto"/>
          <w:szCs w:val="21"/>
          <w:highlight w:val="none"/>
        </w:rPr>
        <w:t>2、乙方提供的服务如侵犯了第三方合法权益而引发的任何纠纷或者诉讼，均由乙方负责交涉并承担全部责任。</w:t>
      </w:r>
      <w:r>
        <w:rPr>
          <w:rFonts w:hint="eastAsia"/>
          <w:color w:val="auto"/>
          <w:highlight w:val="none"/>
        </w:rPr>
        <w:t>给甲方造成损失的，甲方有权向乙方追偿，包括甲方为维权而支出的诉讼费、律师费、保全担保费等费用。</w:t>
      </w:r>
    </w:p>
    <w:p w14:paraId="679C0995">
      <w:pPr>
        <w:snapToGrid w:val="0"/>
        <w:spacing w:line="360" w:lineRule="auto"/>
        <w:ind w:firstLine="420" w:firstLineChars="200"/>
        <w:rPr>
          <w:rFonts w:ascii="宋体" w:hAnsi="宋体" w:cs="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、甲方延期付款的，每天向乙方偿付延期款额3‰滞纳金，但滞纳金累计不得超过延期款额5%。</w:t>
      </w:r>
    </w:p>
    <w:p w14:paraId="7D43D6B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第十条  不可抗力事件处理</w:t>
      </w:r>
    </w:p>
    <w:p w14:paraId="2712BB3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14:paraId="701483A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14:paraId="009B105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3、不可抗力事件延续一百二十天以上，双方应通过友好协商，确定是否继续履行合同。</w:t>
      </w:r>
    </w:p>
    <w:p w14:paraId="546789C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第十一条  合同争议解决</w:t>
      </w:r>
    </w:p>
    <w:p w14:paraId="0E54D9B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1、因服务质量问题发生争议的，应邀请国家认可的质量检测机构进行鉴定。服务符合标准的，鉴定费由甲方承担；服务不符合标准的，鉴定费由乙方承担。</w:t>
      </w:r>
    </w:p>
    <w:p w14:paraId="65340EC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14:paraId="1D81A9F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14:paraId="2CA5D4E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第十二条  合同生效及其它</w:t>
      </w:r>
    </w:p>
    <w:p w14:paraId="4340645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1、合同经双方法定代表人或者授权代表签字并加盖单位公章后生效（委托代理人签字的需后附法定代表人授权委托书，格式自拟）。</w:t>
      </w:r>
    </w:p>
    <w:p w14:paraId="0D7C8FD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2、合同执行中涉及采购资金和采购内容修改或者补充的，须经财政部门审批，并签书面补充协议报财政部门备案，方可作为主合同不可分割的一部分。</w:t>
      </w:r>
    </w:p>
    <w:p w14:paraId="4227927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3、本合同未尽事宜，遵照《中华人民共和国民法典》有关条文执行。</w:t>
      </w:r>
    </w:p>
    <w:p w14:paraId="54B71D5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第十三条　合同的变更、终止与转让</w:t>
      </w:r>
    </w:p>
    <w:p w14:paraId="1931384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1、除《中华人民共和国政府采购法》第五十条规定的情形外，本合同一经签订，甲乙双方不得擅自变更、中止或者终止。</w:t>
      </w:r>
    </w:p>
    <w:p w14:paraId="38AAAC6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2、乙方不得擅自转让其应履行的合同义务，</w:t>
      </w:r>
      <w:r>
        <w:rPr>
          <w:rFonts w:hint="eastAsia"/>
          <w:color w:val="auto"/>
          <w:highlight w:val="none"/>
        </w:rPr>
        <w:t>否则甲方有权解除合同，乙方应按合同额的5%向甲方支付违约金。</w:t>
      </w:r>
      <w:r>
        <w:rPr>
          <w:rFonts w:hint="eastAsia" w:ascii="宋体" w:hAnsi="宋体" w:cs="宋体"/>
          <w:bCs/>
          <w:color w:val="auto"/>
          <w:szCs w:val="21"/>
          <w:highlight w:val="none"/>
        </w:rPr>
        <w:t>。</w:t>
      </w:r>
    </w:p>
    <w:p w14:paraId="1D2ABB8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第十四条　签订本合同依据</w:t>
      </w:r>
    </w:p>
    <w:p w14:paraId="5B5B25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中标通知书</w:t>
      </w:r>
      <w:r>
        <w:rPr>
          <w:rFonts w:hint="eastAsia" w:ascii="宋体" w:hAnsi="宋体" w:cs="宋体"/>
          <w:bCs/>
          <w:color w:val="auto"/>
          <w:szCs w:val="21"/>
          <w:highlight w:val="none"/>
        </w:rPr>
        <w:t>；</w:t>
      </w:r>
    </w:p>
    <w:p w14:paraId="5DC1C13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2、开标一览表；</w:t>
      </w:r>
    </w:p>
    <w:p w14:paraId="30C8692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3、商务要求偏离表和技术要求偏离表；</w:t>
      </w:r>
    </w:p>
    <w:p w14:paraId="617EBBE0">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、中标供应商技术方案；</w:t>
      </w:r>
    </w:p>
    <w:p w14:paraId="692A588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5、投标文件中的其他相关文件。</w:t>
      </w:r>
    </w:p>
    <w:p w14:paraId="5BA0995C">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、上述合同文件互相补充和解释。如果合同文件之间存在矛盾或者不一致之处，以上述文件的排列顺序在先者为准。</w:t>
      </w:r>
    </w:p>
    <w:p w14:paraId="4854ED1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第十五条　本合同一式四份，具有同等法律效力，财政部门（政府采购监管部门）、采购代理机构各一份，甲乙双方各一份（可根据需要另增加）。</w:t>
      </w:r>
    </w:p>
    <w:p w14:paraId="7BF6F97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本合同甲乙双方签字盖章后生效，自签订之日起七个工作日内，甲方应当将合同副本报同级财政部门备案。</w:t>
      </w:r>
    </w:p>
    <w:p w14:paraId="010CD70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本合同自签订之日起2个工作日内，甲方应当将采购合同在广西壮族自治区财政厅指定的媒体上公告。</w:t>
      </w:r>
    </w:p>
    <w:tbl>
      <w:tblPr>
        <w:tblStyle w:val="5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547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102A4BF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甲方：（章）</w:t>
            </w:r>
          </w:p>
          <w:p w14:paraId="03D729F3">
            <w:pPr>
              <w:snapToGrid w:val="0"/>
              <w:spacing w:line="360" w:lineRule="auto"/>
              <w:rPr>
                <w:rFonts w:ascii="宋体" w:hAnsi="宋体" w:cs="宋体"/>
                <w:bCs/>
                <w:color w:val="auto"/>
                <w:szCs w:val="21"/>
                <w:highlight w:val="none"/>
              </w:rPr>
            </w:pPr>
          </w:p>
          <w:p w14:paraId="71FF3F93">
            <w:pPr>
              <w:snapToGrid w:val="0"/>
              <w:spacing w:line="360" w:lineRule="auto"/>
              <w:rPr>
                <w:rFonts w:ascii="宋体" w:hAnsi="宋体" w:cs="宋体"/>
                <w:bCs/>
                <w:color w:val="auto"/>
                <w:szCs w:val="21"/>
                <w:highlight w:val="none"/>
              </w:rPr>
            </w:pPr>
          </w:p>
          <w:p w14:paraId="6081A54E">
            <w:pPr>
              <w:snapToGrid w:val="0"/>
              <w:spacing w:line="360" w:lineRule="auto"/>
              <w:ind w:firstLine="945" w:firstLineChars="450"/>
              <w:jc w:val="right"/>
              <w:rPr>
                <w:rFonts w:ascii="宋体" w:hAnsi="宋体" w:cs="宋体"/>
                <w:bCs/>
                <w:color w:val="auto"/>
                <w:szCs w:val="21"/>
                <w:highlight w:val="none"/>
              </w:rPr>
            </w:pPr>
          </w:p>
          <w:p w14:paraId="3F69ADD3">
            <w:pPr>
              <w:snapToGrid w:val="0"/>
              <w:spacing w:line="360" w:lineRule="auto"/>
              <w:ind w:firstLine="945" w:firstLineChars="450"/>
              <w:jc w:val="right"/>
              <w:rPr>
                <w:rFonts w:ascii="宋体" w:hAnsi="宋体" w:cs="宋体"/>
                <w:bCs/>
                <w:color w:val="auto"/>
                <w:szCs w:val="21"/>
                <w:highlight w:val="none"/>
              </w:rPr>
            </w:pPr>
            <w:r>
              <w:rPr>
                <w:rFonts w:hint="eastAsia" w:ascii="宋体" w:hAnsi="宋体" w:cs="宋体"/>
                <w:bCs/>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193624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乙方：（章）       </w:t>
            </w:r>
          </w:p>
          <w:p w14:paraId="157D1F4E">
            <w:pPr>
              <w:snapToGrid w:val="0"/>
              <w:spacing w:line="360" w:lineRule="auto"/>
              <w:rPr>
                <w:rFonts w:ascii="宋体" w:hAnsi="宋体" w:cs="宋体"/>
                <w:bCs/>
                <w:color w:val="auto"/>
                <w:szCs w:val="21"/>
                <w:highlight w:val="none"/>
              </w:rPr>
            </w:pPr>
          </w:p>
          <w:p w14:paraId="0140E711">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21B0FDB9">
            <w:pPr>
              <w:snapToGrid w:val="0"/>
              <w:spacing w:line="360" w:lineRule="auto"/>
              <w:jc w:val="right"/>
              <w:rPr>
                <w:rFonts w:ascii="宋体" w:hAnsi="宋体" w:cs="宋体"/>
                <w:bCs/>
                <w:color w:val="auto"/>
                <w:szCs w:val="21"/>
                <w:highlight w:val="none"/>
              </w:rPr>
            </w:pPr>
          </w:p>
          <w:p w14:paraId="36CC5AFB">
            <w:pPr>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tc>
      </w:tr>
      <w:tr w14:paraId="525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82AB19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单位地址：</w:t>
            </w:r>
            <w:r>
              <w:rPr>
                <w:rFonts w:ascii="宋体" w:hAnsi="宋体" w:cs="宋体"/>
                <w:bCs/>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4DFAC5EE">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单位地址： </w:t>
            </w:r>
          </w:p>
        </w:tc>
      </w:tr>
      <w:tr w14:paraId="7BE1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1902F59">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48DBEED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r>
      <w:tr w14:paraId="07E2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AE0CEB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057492">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委托代理人：</w:t>
            </w:r>
          </w:p>
        </w:tc>
      </w:tr>
      <w:tr w14:paraId="210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D62F23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BE2041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r>
      <w:tr w14:paraId="23ED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E3B664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0207E52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开户银行： </w:t>
            </w:r>
          </w:p>
        </w:tc>
      </w:tr>
      <w:tr w14:paraId="734A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2EB413">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00F93F3">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账号：</w:t>
            </w:r>
          </w:p>
        </w:tc>
      </w:tr>
      <w:tr w14:paraId="23E5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0F9C6A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4847506E">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邮政编码：</w:t>
            </w:r>
          </w:p>
        </w:tc>
      </w:tr>
    </w:tbl>
    <w:p w14:paraId="043C4812">
      <w:pPr>
        <w:snapToGrid w:val="0"/>
        <w:jc w:val="center"/>
        <w:rPr>
          <w:rFonts w:ascii="宋体" w:hAnsi="宋体"/>
          <w:bCs/>
          <w:color w:val="auto"/>
          <w:sz w:val="32"/>
          <w:szCs w:val="32"/>
          <w:highlight w:val="none"/>
        </w:rPr>
      </w:pPr>
    </w:p>
    <w:p w14:paraId="44C4D249">
      <w:pPr>
        <w:pStyle w:val="32"/>
        <w:rPr>
          <w:rFonts w:ascii="宋体" w:hAnsi="宋体" w:cs="宋体"/>
          <w:b/>
          <w:bCs/>
          <w:color w:val="auto"/>
          <w:sz w:val="24"/>
          <w:highlight w:val="none"/>
        </w:rPr>
      </w:pPr>
    </w:p>
    <w:p w14:paraId="0200E0BE">
      <w:pPr>
        <w:pStyle w:val="32"/>
        <w:rPr>
          <w:rFonts w:ascii="宋体" w:hAnsi="宋体" w:cs="宋体"/>
          <w:b/>
          <w:bCs/>
          <w:color w:val="auto"/>
          <w:sz w:val="24"/>
          <w:highlight w:val="none"/>
        </w:rPr>
      </w:pPr>
    </w:p>
    <w:p w14:paraId="41B872E9">
      <w:pPr>
        <w:pStyle w:val="32"/>
        <w:rPr>
          <w:rFonts w:ascii="宋体" w:hAnsi="宋体" w:cs="宋体"/>
          <w:b/>
          <w:bCs/>
          <w:color w:val="auto"/>
          <w:sz w:val="24"/>
          <w:highlight w:val="none"/>
        </w:rPr>
      </w:pPr>
    </w:p>
    <w:p w14:paraId="34E2B068">
      <w:pPr>
        <w:pStyle w:val="32"/>
        <w:rPr>
          <w:rFonts w:ascii="宋体" w:hAnsi="宋体" w:cs="宋体"/>
          <w:b/>
          <w:bCs/>
          <w:color w:val="auto"/>
          <w:sz w:val="24"/>
          <w:highlight w:val="none"/>
        </w:rPr>
      </w:pPr>
    </w:p>
    <w:p w14:paraId="6C3366D5">
      <w:pPr>
        <w:pStyle w:val="32"/>
        <w:rPr>
          <w:rFonts w:ascii="宋体" w:hAnsi="宋体" w:cs="宋体"/>
          <w:b/>
          <w:bCs/>
          <w:color w:val="auto"/>
          <w:sz w:val="24"/>
          <w:highlight w:val="none"/>
        </w:rPr>
      </w:pPr>
    </w:p>
    <w:p w14:paraId="48631000">
      <w:pPr>
        <w:pStyle w:val="32"/>
        <w:rPr>
          <w:rFonts w:ascii="宋体" w:hAnsi="宋体" w:cs="宋体"/>
          <w:b/>
          <w:bCs/>
          <w:color w:val="auto"/>
          <w:sz w:val="24"/>
          <w:highlight w:val="none"/>
        </w:rPr>
      </w:pPr>
    </w:p>
    <w:p w14:paraId="38FA59F8">
      <w:pPr>
        <w:pStyle w:val="32"/>
        <w:rPr>
          <w:rFonts w:ascii="宋体" w:hAnsi="宋体" w:cs="宋体"/>
          <w:b/>
          <w:bCs/>
          <w:color w:val="auto"/>
          <w:sz w:val="24"/>
          <w:highlight w:val="none"/>
        </w:rPr>
      </w:pPr>
    </w:p>
    <w:p w14:paraId="44D5E3A2">
      <w:pPr>
        <w:pStyle w:val="32"/>
        <w:rPr>
          <w:rFonts w:ascii="宋体" w:hAnsi="宋体" w:cs="宋体"/>
          <w:b/>
          <w:bCs/>
          <w:color w:val="auto"/>
          <w:sz w:val="24"/>
          <w:highlight w:val="none"/>
        </w:rPr>
      </w:pPr>
    </w:p>
    <w:p w14:paraId="3C787451">
      <w:pPr>
        <w:pStyle w:val="32"/>
        <w:rPr>
          <w:rFonts w:ascii="宋体" w:hAnsi="宋体" w:cs="宋体"/>
          <w:b/>
          <w:bCs/>
          <w:color w:val="auto"/>
          <w:sz w:val="24"/>
          <w:highlight w:val="none"/>
        </w:rPr>
      </w:pPr>
    </w:p>
    <w:p w14:paraId="4388A745">
      <w:pPr>
        <w:pStyle w:val="32"/>
        <w:rPr>
          <w:rFonts w:ascii="宋体" w:hAnsi="宋体" w:cs="宋体"/>
          <w:b/>
          <w:bCs/>
          <w:color w:val="auto"/>
          <w:sz w:val="24"/>
          <w:highlight w:val="none"/>
        </w:rPr>
      </w:pPr>
    </w:p>
    <w:p w14:paraId="17BDF5E9">
      <w:pPr>
        <w:pStyle w:val="32"/>
        <w:rPr>
          <w:rFonts w:ascii="宋体" w:hAnsi="宋体" w:cs="宋体"/>
          <w:b/>
          <w:bCs/>
          <w:color w:val="auto"/>
          <w:sz w:val="24"/>
          <w:highlight w:val="none"/>
        </w:rPr>
      </w:pPr>
    </w:p>
    <w:p w14:paraId="5F3A7EA6">
      <w:pPr>
        <w:pStyle w:val="32"/>
        <w:rPr>
          <w:rFonts w:ascii="宋体" w:hAnsi="宋体" w:cs="宋体"/>
          <w:b/>
          <w:bCs/>
          <w:color w:val="auto"/>
          <w:sz w:val="24"/>
          <w:highlight w:val="none"/>
        </w:rPr>
      </w:pPr>
    </w:p>
    <w:p w14:paraId="596CECE9">
      <w:pPr>
        <w:pStyle w:val="32"/>
        <w:rPr>
          <w:rFonts w:ascii="宋体" w:hAnsi="宋体" w:cs="宋体"/>
          <w:b/>
          <w:bCs/>
          <w:color w:val="auto"/>
          <w:sz w:val="24"/>
          <w:highlight w:val="none"/>
        </w:rPr>
      </w:pPr>
    </w:p>
    <w:p w14:paraId="08706861">
      <w:pPr>
        <w:pStyle w:val="32"/>
        <w:rPr>
          <w:rFonts w:ascii="宋体" w:hAnsi="宋体" w:cs="宋体"/>
          <w:b/>
          <w:bCs/>
          <w:color w:val="auto"/>
          <w:sz w:val="24"/>
          <w:highlight w:val="none"/>
        </w:rPr>
      </w:pPr>
    </w:p>
    <w:p w14:paraId="73C49ACF">
      <w:pPr>
        <w:pStyle w:val="32"/>
        <w:rPr>
          <w:rFonts w:ascii="宋体" w:hAnsi="宋体" w:cs="宋体"/>
          <w:b/>
          <w:bCs/>
          <w:color w:val="auto"/>
          <w:sz w:val="24"/>
          <w:highlight w:val="none"/>
        </w:rPr>
      </w:pPr>
    </w:p>
    <w:p w14:paraId="22A36C91">
      <w:pPr>
        <w:snapToGrid w:val="0"/>
        <w:spacing w:before="50" w:after="50"/>
        <w:jc w:val="center"/>
        <w:outlineLvl w:val="1"/>
        <w:rPr>
          <w:b/>
          <w:color w:val="auto"/>
          <w:highlight w:val="none"/>
        </w:rPr>
      </w:pPr>
      <w:bookmarkStart w:id="165" w:name="_Toc32425"/>
      <w:r>
        <w:rPr>
          <w:rFonts w:hint="eastAsia" w:ascii="宋体" w:hAnsi="宋体" w:cs="宋体"/>
          <w:b/>
          <w:bCs/>
          <w:color w:val="auto"/>
          <w:sz w:val="24"/>
          <w:highlight w:val="none"/>
        </w:rPr>
        <w:t>第六章  投标文件格式</w:t>
      </w:r>
      <w:bookmarkEnd w:id="163"/>
      <w:bookmarkEnd w:id="164"/>
      <w:bookmarkEnd w:id="165"/>
    </w:p>
    <w:p w14:paraId="100C7BDF">
      <w:pPr>
        <w:snapToGrid w:val="0"/>
        <w:spacing w:before="120" w:beforeLines="50" w:after="50" w:line="360" w:lineRule="auto"/>
        <w:jc w:val="left"/>
        <w:rPr>
          <w:rFonts w:ascii="宋体" w:hAnsi="宋体" w:cs="宋体"/>
          <w:b/>
          <w:color w:val="auto"/>
          <w:sz w:val="24"/>
          <w:highlight w:val="none"/>
        </w:rPr>
      </w:pPr>
    </w:p>
    <w:p w14:paraId="76C47984">
      <w:pPr>
        <w:snapToGrid w:val="0"/>
        <w:spacing w:before="120"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6230EA51">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DB2847B">
      <w:pPr>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CF1145A">
      <w:pPr>
        <w:snapToGrid w:val="0"/>
        <w:spacing w:before="120" w:beforeLines="50" w:after="50" w:line="400" w:lineRule="exact"/>
        <w:jc w:val="center"/>
        <w:rPr>
          <w:rFonts w:ascii="宋体" w:hAnsi="宋体" w:cs="宋体"/>
          <w:bCs/>
          <w:color w:val="auto"/>
          <w:sz w:val="24"/>
          <w:szCs w:val="20"/>
          <w:highlight w:val="none"/>
        </w:rPr>
      </w:pPr>
    </w:p>
    <w:p w14:paraId="407978F4">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518425AD">
      <w:pPr>
        <w:snapToGrid w:val="0"/>
        <w:spacing w:before="120" w:beforeLines="50" w:after="50" w:line="400" w:lineRule="exact"/>
        <w:rPr>
          <w:rFonts w:ascii="宋体" w:hAnsi="宋体" w:cs="宋体"/>
          <w:bCs/>
          <w:color w:val="auto"/>
          <w:sz w:val="24"/>
          <w:szCs w:val="20"/>
          <w:highlight w:val="none"/>
        </w:rPr>
      </w:pPr>
    </w:p>
    <w:p w14:paraId="0ADC784B">
      <w:pPr>
        <w:snapToGrid w:val="0"/>
        <w:spacing w:before="120" w:beforeLines="50" w:after="50" w:line="400" w:lineRule="exact"/>
        <w:rPr>
          <w:rFonts w:ascii="宋体" w:hAnsi="宋体" w:cs="宋体"/>
          <w:bCs/>
          <w:color w:val="auto"/>
          <w:sz w:val="24"/>
          <w:szCs w:val="20"/>
          <w:highlight w:val="none"/>
        </w:rPr>
      </w:pPr>
    </w:p>
    <w:p w14:paraId="40CA4CD1">
      <w:pPr>
        <w:snapToGrid w:val="0"/>
        <w:spacing w:before="120" w:beforeLines="50" w:after="50" w:line="400" w:lineRule="exact"/>
        <w:rPr>
          <w:rFonts w:ascii="宋体" w:hAnsi="宋体" w:cs="宋体"/>
          <w:bCs/>
          <w:color w:val="auto"/>
          <w:sz w:val="24"/>
          <w:szCs w:val="20"/>
          <w:highlight w:val="none"/>
        </w:rPr>
      </w:pPr>
    </w:p>
    <w:p w14:paraId="0ECA3209">
      <w:pPr>
        <w:snapToGrid w:val="0"/>
        <w:spacing w:before="120" w:beforeLines="50" w:after="50" w:line="400" w:lineRule="exact"/>
        <w:rPr>
          <w:rFonts w:ascii="宋体" w:hAnsi="宋体" w:cs="宋体"/>
          <w:bCs/>
          <w:color w:val="auto"/>
          <w:sz w:val="24"/>
          <w:szCs w:val="20"/>
          <w:highlight w:val="none"/>
        </w:rPr>
      </w:pPr>
    </w:p>
    <w:p w14:paraId="232C2B6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62EF8E9">
      <w:pPr>
        <w:snapToGrid w:val="0"/>
        <w:spacing w:before="120" w:beforeLines="50" w:after="50" w:line="400" w:lineRule="exact"/>
        <w:ind w:firstLine="360" w:firstLineChars="150"/>
        <w:rPr>
          <w:rFonts w:ascii="宋体" w:hAnsi="宋体" w:cs="宋体"/>
          <w:bCs/>
          <w:color w:val="auto"/>
          <w:sz w:val="24"/>
          <w:highlight w:val="none"/>
        </w:rPr>
      </w:pPr>
    </w:p>
    <w:p w14:paraId="17A6CC12">
      <w:pPr>
        <w:snapToGrid w:val="0"/>
        <w:spacing w:before="120" w:beforeLines="50" w:after="50" w:line="400" w:lineRule="exact"/>
        <w:ind w:firstLine="360" w:firstLineChars="150"/>
        <w:rPr>
          <w:rFonts w:ascii="宋体" w:hAnsi="宋体" w:cs="宋体"/>
          <w:color w:val="auto"/>
          <w:highlight w:val="none"/>
        </w:rPr>
      </w:pPr>
      <w:r>
        <w:rPr>
          <w:rFonts w:hint="eastAsia" w:ascii="宋体" w:hAnsi="宋体" w:cs="宋体"/>
          <w:bCs/>
          <w:color w:val="auto"/>
          <w:sz w:val="24"/>
          <w:highlight w:val="none"/>
        </w:rPr>
        <w:t xml:space="preserve">项目编号： </w:t>
      </w:r>
    </w:p>
    <w:p w14:paraId="10C2FE5D">
      <w:pPr>
        <w:snapToGrid w:val="0"/>
        <w:spacing w:before="120" w:beforeLines="50" w:after="50"/>
        <w:ind w:firstLine="360" w:firstLineChars="150"/>
        <w:rPr>
          <w:rFonts w:ascii="宋体" w:hAnsi="宋体" w:cs="宋体"/>
          <w:bCs/>
          <w:color w:val="auto"/>
          <w:sz w:val="24"/>
          <w:highlight w:val="none"/>
        </w:rPr>
      </w:pPr>
    </w:p>
    <w:p w14:paraId="158887F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color w:val="auto"/>
          <w:sz w:val="24"/>
          <w:highlight w:val="none"/>
        </w:rPr>
        <w:t>分标：</w:t>
      </w:r>
    </w:p>
    <w:p w14:paraId="2AF49CE3">
      <w:pPr>
        <w:pStyle w:val="5"/>
        <w:rPr>
          <w:rFonts w:ascii="宋体" w:hAnsi="宋体" w:eastAsia="宋体" w:cs="宋体"/>
          <w:color w:val="auto"/>
          <w:highlight w:val="none"/>
        </w:rPr>
      </w:pPr>
    </w:p>
    <w:p w14:paraId="7014D4E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9FB097C">
      <w:pPr>
        <w:snapToGrid w:val="0"/>
        <w:spacing w:before="120" w:beforeLines="50" w:after="50" w:line="400" w:lineRule="exact"/>
        <w:ind w:firstLine="360" w:firstLineChars="150"/>
        <w:rPr>
          <w:rFonts w:ascii="宋体" w:hAnsi="宋体" w:cs="宋体"/>
          <w:bCs/>
          <w:color w:val="auto"/>
          <w:sz w:val="24"/>
          <w:highlight w:val="none"/>
        </w:rPr>
      </w:pPr>
    </w:p>
    <w:p w14:paraId="52A97BCA">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C0F73FF">
      <w:pPr>
        <w:pStyle w:val="7"/>
        <w:snapToGrid w:val="0"/>
        <w:spacing w:before="50" w:after="50" w:line="400" w:lineRule="exact"/>
        <w:ind w:firstLine="960" w:firstLineChars="400"/>
        <w:rPr>
          <w:rFonts w:ascii="宋体" w:hAnsi="宋体" w:cs="宋体"/>
          <w:bCs/>
          <w:color w:val="auto"/>
          <w:sz w:val="24"/>
          <w:szCs w:val="24"/>
          <w:highlight w:val="none"/>
        </w:rPr>
      </w:pPr>
    </w:p>
    <w:p w14:paraId="559BBB87">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34A2CEE">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2D9094B2">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4F64E102">
      <w:pPr>
        <w:snapToGrid w:val="0"/>
        <w:spacing w:before="120"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03A25B85">
      <w:pPr>
        <w:snapToGrid w:val="0"/>
        <w:spacing w:before="120" w:beforeLines="50" w:after="50" w:line="320" w:lineRule="exact"/>
        <w:jc w:val="center"/>
        <w:rPr>
          <w:rFonts w:ascii="宋体" w:hAnsi="宋体" w:cs="宋体"/>
          <w:b/>
          <w:color w:val="auto"/>
          <w:sz w:val="24"/>
          <w:szCs w:val="20"/>
          <w:highlight w:val="none"/>
        </w:rPr>
      </w:pPr>
    </w:p>
    <w:p w14:paraId="7B5AD3EA">
      <w:pPr>
        <w:snapToGrid w:val="0"/>
        <w:spacing w:before="120" w:beforeLines="50" w:after="50" w:line="320" w:lineRule="exact"/>
        <w:jc w:val="center"/>
        <w:rPr>
          <w:rFonts w:ascii="宋体" w:hAnsi="宋体" w:cs="宋体"/>
          <w:b/>
          <w:color w:val="auto"/>
          <w:sz w:val="24"/>
          <w:szCs w:val="20"/>
          <w:highlight w:val="none"/>
        </w:rPr>
      </w:pPr>
    </w:p>
    <w:p w14:paraId="47EB62D7">
      <w:pPr>
        <w:snapToGrid w:val="0"/>
        <w:spacing w:before="120" w:beforeLines="50" w:after="50" w:line="320" w:lineRule="exact"/>
        <w:jc w:val="center"/>
        <w:rPr>
          <w:rFonts w:ascii="宋体" w:hAnsi="宋体" w:cs="宋体"/>
          <w:b/>
          <w:color w:val="auto"/>
          <w:sz w:val="24"/>
          <w:szCs w:val="20"/>
          <w:highlight w:val="none"/>
        </w:rPr>
      </w:pPr>
    </w:p>
    <w:p w14:paraId="1DD42D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1EA9E3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39051B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A2884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A986C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5E4E9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42E74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45C486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4745E6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1E49F6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720A1E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7579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67761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8829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7509633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29468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p>
    <w:p w14:paraId="5607C7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5FEF0BC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CCDE7D6">
      <w:pPr>
        <w:snapToGrid w:val="0"/>
        <w:spacing w:line="360" w:lineRule="auto"/>
        <w:ind w:firstLine="480" w:firstLineChars="200"/>
        <w:jc w:val="left"/>
        <w:rPr>
          <w:rFonts w:ascii="宋体" w:hAnsi="宋体" w:cs="宋体"/>
          <w:color w:val="auto"/>
          <w:sz w:val="24"/>
          <w:highlight w:val="none"/>
        </w:rPr>
      </w:pPr>
    </w:p>
    <w:p w14:paraId="64DB19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法定代表人（或负责人）或者委托代理人（签字或者电子签名）：_______ </w:t>
      </w:r>
    </w:p>
    <w:p w14:paraId="46D19EB1">
      <w:pPr>
        <w:pStyle w:val="26"/>
        <w:snapToGrid w:val="0"/>
        <w:spacing w:before="295" w:after="295" w:line="360" w:lineRule="auto"/>
        <w:jc w:val="center"/>
        <w:rPr>
          <w:rFonts w:hAnsi="宋体" w:cs="宋体"/>
          <w:color w:val="auto"/>
          <w:sz w:val="24"/>
          <w:szCs w:val="24"/>
          <w:highlight w:val="none"/>
          <w:u w:val="single"/>
        </w:rPr>
      </w:pPr>
      <w:r>
        <w:rPr>
          <w:rFonts w:hint="eastAsia" w:hAnsi="宋体" w:cs="宋体"/>
          <w:color w:val="auto"/>
          <w:sz w:val="24"/>
          <w:highlight w:val="none"/>
        </w:rPr>
        <w:t xml:space="preserve">                                     投标人名称（电子签章）：</w:t>
      </w:r>
    </w:p>
    <w:p w14:paraId="76020968">
      <w:pPr>
        <w:pStyle w:val="26"/>
        <w:snapToGrid w:val="0"/>
        <w:spacing w:before="295" w:after="295" w:line="360" w:lineRule="auto"/>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2E5A9D05">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4. 开标一览表</w:t>
      </w:r>
    </w:p>
    <w:p w14:paraId="30394A67">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1FD384BF">
      <w:pPr>
        <w:snapToGrid w:val="0"/>
        <w:spacing w:before="50" w:after="50"/>
        <w:jc w:val="center"/>
        <w:rPr>
          <w:rFonts w:ascii="宋体" w:hAnsi="宋体" w:cs="宋体"/>
          <w:b/>
          <w:color w:val="auto"/>
          <w:sz w:val="30"/>
          <w:szCs w:val="20"/>
          <w:highlight w:val="none"/>
        </w:rPr>
      </w:pPr>
    </w:p>
    <w:p w14:paraId="7988ABA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F75FE44">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55"/>
        <w:tblW w:w="102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2391"/>
        <w:gridCol w:w="1575"/>
        <w:gridCol w:w="2040"/>
        <w:gridCol w:w="2557"/>
        <w:gridCol w:w="865"/>
      </w:tblGrid>
      <w:tr w14:paraId="0FEAD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5ABCF6E">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2391" w:type="dxa"/>
            <w:tcBorders>
              <w:top w:val="single" w:color="auto" w:sz="4" w:space="0"/>
              <w:left w:val="single" w:color="auto" w:sz="4" w:space="0"/>
              <w:bottom w:val="single" w:color="auto" w:sz="4" w:space="0"/>
              <w:right w:val="single" w:color="auto" w:sz="4" w:space="0"/>
            </w:tcBorders>
            <w:vAlign w:val="center"/>
          </w:tcPr>
          <w:p w14:paraId="1D10220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1575" w:type="dxa"/>
            <w:tcBorders>
              <w:top w:val="single" w:color="auto" w:sz="4" w:space="0"/>
              <w:left w:val="single" w:color="auto" w:sz="4" w:space="0"/>
              <w:bottom w:val="single" w:color="auto" w:sz="4" w:space="0"/>
              <w:right w:val="single" w:color="auto" w:sz="4" w:space="0"/>
            </w:tcBorders>
            <w:vAlign w:val="center"/>
          </w:tcPr>
          <w:p w14:paraId="1148331E">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数量①</w:t>
            </w:r>
          </w:p>
        </w:tc>
        <w:tc>
          <w:tcPr>
            <w:tcW w:w="2040" w:type="dxa"/>
            <w:tcBorders>
              <w:top w:val="single" w:color="auto" w:sz="4" w:space="0"/>
              <w:left w:val="single" w:color="auto" w:sz="4" w:space="0"/>
              <w:bottom w:val="single" w:color="auto" w:sz="4" w:space="0"/>
              <w:right w:val="single" w:color="auto" w:sz="4" w:space="0"/>
            </w:tcBorders>
            <w:vAlign w:val="center"/>
          </w:tcPr>
          <w:p w14:paraId="57961E3A">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投标所报单价②</w:t>
            </w:r>
          </w:p>
        </w:tc>
        <w:tc>
          <w:tcPr>
            <w:tcW w:w="2557" w:type="dxa"/>
            <w:tcBorders>
              <w:top w:val="single" w:color="auto" w:sz="4" w:space="0"/>
              <w:left w:val="single" w:color="auto" w:sz="4" w:space="0"/>
              <w:bottom w:val="single" w:color="auto" w:sz="4" w:space="0"/>
              <w:right w:val="single" w:color="auto" w:sz="4" w:space="0"/>
            </w:tcBorders>
            <w:vAlign w:val="center"/>
          </w:tcPr>
          <w:p w14:paraId="5C8D0B8D">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投标总价③=①*②</w:t>
            </w:r>
          </w:p>
          <w:p w14:paraId="563B939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（单位：元）</w:t>
            </w:r>
          </w:p>
        </w:tc>
        <w:tc>
          <w:tcPr>
            <w:tcW w:w="865" w:type="dxa"/>
            <w:tcBorders>
              <w:top w:val="single" w:color="auto" w:sz="4" w:space="0"/>
              <w:left w:val="single" w:color="auto" w:sz="4" w:space="0"/>
              <w:bottom w:val="single" w:color="auto" w:sz="4" w:space="0"/>
              <w:right w:val="single" w:color="auto" w:sz="4" w:space="0"/>
            </w:tcBorders>
            <w:vAlign w:val="center"/>
          </w:tcPr>
          <w:p w14:paraId="2CD8325D">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7F8D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824" w:type="dxa"/>
            <w:tcBorders>
              <w:top w:val="single" w:color="auto" w:sz="4" w:space="0"/>
              <w:left w:val="single" w:color="auto" w:sz="4" w:space="0"/>
              <w:right w:val="single" w:color="auto" w:sz="4" w:space="0"/>
            </w:tcBorders>
            <w:vAlign w:val="center"/>
          </w:tcPr>
          <w:p w14:paraId="42BC68E9">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91" w:type="dxa"/>
            <w:tcBorders>
              <w:top w:val="single" w:color="auto" w:sz="4" w:space="0"/>
              <w:left w:val="single" w:color="auto" w:sz="4" w:space="0"/>
              <w:right w:val="single" w:color="auto" w:sz="4" w:space="0"/>
            </w:tcBorders>
            <w:vAlign w:val="center"/>
          </w:tcPr>
          <w:p w14:paraId="742CA87C">
            <w:pPr>
              <w:widowControl/>
              <w:spacing w:line="420" w:lineRule="exact"/>
              <w:jc w:val="left"/>
              <w:textAlignment w:val="center"/>
              <w:rPr>
                <w:rFonts w:ascii="宋体" w:hAnsi="宋体" w:cs="宋体"/>
                <w:bCs/>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3808F2A1">
            <w:pPr>
              <w:widowControl/>
              <w:ind w:firstLine="420" w:firstLineChars="200"/>
              <w:jc w:val="left"/>
              <w:textAlignment w:val="center"/>
              <w:rPr>
                <w:rFonts w:ascii="宋体" w:hAnsi="宋体" w:cs="宋体"/>
                <w:bCs/>
                <w:color w:val="auto"/>
                <w:szCs w:val="21"/>
                <w:highlight w:val="none"/>
              </w:rPr>
            </w:pPr>
            <w:r>
              <w:rPr>
                <w:rFonts w:hint="eastAsia" w:ascii="宋体" w:hAnsi="宋体" w:cs="宋体"/>
                <w:bCs/>
                <w:color w:val="auto"/>
                <w:szCs w:val="21"/>
                <w:highlight w:val="none"/>
              </w:rPr>
              <w:t>1项</w:t>
            </w:r>
          </w:p>
        </w:tc>
        <w:tc>
          <w:tcPr>
            <w:tcW w:w="2040" w:type="dxa"/>
            <w:tcBorders>
              <w:top w:val="single" w:color="auto" w:sz="4" w:space="0"/>
              <w:left w:val="single" w:color="auto" w:sz="4" w:space="0"/>
              <w:bottom w:val="single" w:color="auto" w:sz="4" w:space="0"/>
              <w:right w:val="single" w:color="auto" w:sz="4" w:space="0"/>
            </w:tcBorders>
            <w:vAlign w:val="center"/>
          </w:tcPr>
          <w:p w14:paraId="3E3851C1">
            <w:pPr>
              <w:widowControl/>
              <w:jc w:val="left"/>
              <w:textAlignment w:val="center"/>
              <w:rPr>
                <w:rFonts w:ascii="宋体" w:hAnsi="宋体" w:cs="宋体"/>
                <w:bCs/>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vAlign w:val="center"/>
          </w:tcPr>
          <w:p w14:paraId="2FADF6E7">
            <w:pPr>
              <w:widowControl/>
              <w:ind w:firstLine="1050" w:firstLineChars="500"/>
              <w:jc w:val="left"/>
              <w:textAlignment w:val="center"/>
              <w:rPr>
                <w:rFonts w:ascii="宋体" w:hAnsi="宋体" w:cs="宋体"/>
                <w:bCs/>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7CB40E8">
            <w:pPr>
              <w:snapToGrid w:val="0"/>
              <w:spacing w:before="50" w:after="50"/>
              <w:jc w:val="center"/>
              <w:rPr>
                <w:rFonts w:ascii="宋体" w:hAnsi="宋体" w:cs="宋体"/>
                <w:bCs/>
                <w:color w:val="auto"/>
                <w:szCs w:val="21"/>
                <w:highlight w:val="none"/>
              </w:rPr>
            </w:pPr>
          </w:p>
        </w:tc>
      </w:tr>
      <w:tr w14:paraId="520D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252" w:type="dxa"/>
            <w:gridSpan w:val="6"/>
            <w:tcBorders>
              <w:top w:val="single" w:color="auto" w:sz="4" w:space="0"/>
              <w:left w:val="single" w:color="auto" w:sz="4" w:space="0"/>
              <w:bottom w:val="single" w:color="auto" w:sz="4" w:space="0"/>
              <w:right w:val="single" w:color="auto" w:sz="4" w:space="0"/>
            </w:tcBorders>
            <w:vAlign w:val="center"/>
          </w:tcPr>
          <w:p w14:paraId="04A5B3C8">
            <w:pPr>
              <w:snapToGrid w:val="0"/>
              <w:spacing w:before="50" w:after="50"/>
              <w:rPr>
                <w:rFonts w:ascii="宋体" w:hAnsi="宋体" w:cs="宋体"/>
                <w:bCs/>
                <w:color w:val="auto"/>
                <w:szCs w:val="21"/>
                <w:highlight w:val="none"/>
              </w:rPr>
            </w:pPr>
            <w:r>
              <w:rPr>
                <w:rFonts w:hint="eastAsia" w:ascii="宋体" w:hAnsi="宋体" w:cs="宋体"/>
                <w:bCs/>
                <w:color w:val="auto"/>
                <w:szCs w:val="21"/>
                <w:highlight w:val="none"/>
              </w:rPr>
              <w:t>合计总报价（包含税费等所有费用）：（大写）人民币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元）</w:t>
            </w:r>
          </w:p>
        </w:tc>
      </w:tr>
      <w:tr w14:paraId="37C8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252" w:type="dxa"/>
            <w:gridSpan w:val="6"/>
            <w:tcBorders>
              <w:top w:val="single" w:color="auto" w:sz="4" w:space="0"/>
              <w:left w:val="single" w:color="auto" w:sz="4" w:space="0"/>
              <w:bottom w:val="single" w:color="auto" w:sz="4" w:space="0"/>
              <w:right w:val="single" w:color="auto" w:sz="4" w:space="0"/>
            </w:tcBorders>
            <w:vAlign w:val="center"/>
          </w:tcPr>
          <w:p w14:paraId="7590E7C7">
            <w:pPr>
              <w:snapToGrid w:val="0"/>
              <w:spacing w:before="50" w:after="50"/>
              <w:rPr>
                <w:rFonts w:ascii="宋体" w:hAnsi="宋体" w:cs="宋体"/>
                <w:bCs/>
                <w:color w:val="auto"/>
                <w:szCs w:val="21"/>
                <w:highlight w:val="none"/>
              </w:rPr>
            </w:pPr>
            <w:r>
              <w:rPr>
                <w:rFonts w:hint="eastAsia" w:ascii="宋体" w:hAnsi="宋体" w:cs="宋体"/>
                <w:bCs/>
                <w:color w:val="auto"/>
                <w:szCs w:val="21"/>
                <w:highlight w:val="none"/>
              </w:rPr>
              <w:t>实施的期限：三年。</w:t>
            </w:r>
          </w:p>
        </w:tc>
      </w:tr>
    </w:tbl>
    <w:p w14:paraId="444F6A2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139D96F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1.投标人的开标一览表必须加盖投标人电子签章并由法定代表人（或负责人）或者委托代理人签字或者电子签名，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422C0B1C">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报价一经涂改，应在涂改处加盖投标人公章或者加盖电子签章或者由法定代表人（或负责人）或者委托代理人签字（或者电子签名）</w:t>
      </w:r>
      <w:r>
        <w:rPr>
          <w:rFonts w:hint="eastAsia" w:ascii="宋体" w:hAnsi="宋体" w:cs="宋体"/>
          <w:b/>
          <w:color w:val="auto"/>
          <w:sz w:val="24"/>
          <w:highlight w:val="none"/>
        </w:rPr>
        <w:t>，否则其投标作无效标处理。</w:t>
      </w:r>
    </w:p>
    <w:p w14:paraId="75931A9E">
      <w:pPr>
        <w:snapToGrid w:val="0"/>
        <w:spacing w:line="360" w:lineRule="auto"/>
        <w:rPr>
          <w:rFonts w:ascii="宋体" w:hAnsi="宋体" w:cs="宋体"/>
          <w:b/>
          <w:color w:val="auto"/>
          <w:sz w:val="24"/>
          <w:highlight w:val="none"/>
        </w:rPr>
      </w:pPr>
    </w:p>
    <w:p w14:paraId="25BE51C9">
      <w:pPr>
        <w:snapToGrid w:val="0"/>
        <w:spacing w:line="360" w:lineRule="auto"/>
        <w:rPr>
          <w:rFonts w:ascii="宋体" w:hAnsi="宋体" w:cs="宋体"/>
          <w:b/>
          <w:color w:val="auto"/>
          <w:sz w:val="24"/>
          <w:highlight w:val="none"/>
        </w:rPr>
      </w:pPr>
    </w:p>
    <w:p w14:paraId="72958F56">
      <w:pPr>
        <w:snapToGrid w:val="0"/>
        <w:spacing w:line="360" w:lineRule="auto"/>
        <w:rPr>
          <w:rFonts w:ascii="宋体" w:hAnsi="宋体" w:cs="宋体"/>
          <w:b/>
          <w:color w:val="auto"/>
          <w:sz w:val="24"/>
          <w:highlight w:val="none"/>
        </w:rPr>
      </w:pPr>
    </w:p>
    <w:p w14:paraId="2344C44C">
      <w:pPr>
        <w:snapToGrid w:val="0"/>
        <w:spacing w:line="360" w:lineRule="auto"/>
        <w:rPr>
          <w:rFonts w:ascii="宋体" w:hAnsi="宋体" w:cs="宋体"/>
          <w:b/>
          <w:color w:val="auto"/>
          <w:sz w:val="24"/>
          <w:highlight w:val="none"/>
        </w:rPr>
      </w:pPr>
    </w:p>
    <w:p w14:paraId="7F61D9D7">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法定代表人（或负责人）或者委托代理人（签字或者电子签名）： </w:t>
      </w:r>
    </w:p>
    <w:p w14:paraId="3CED61BD">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3418515">
      <w:pPr>
        <w:snapToGrid w:val="0"/>
        <w:spacing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35B66DE5">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66" w:name="_Toc19686837"/>
      <w:r>
        <w:rPr>
          <w:rFonts w:hint="eastAsia" w:ascii="宋体" w:hAnsi="宋体" w:cs="宋体"/>
          <w:b/>
          <w:color w:val="auto"/>
          <w:sz w:val="28"/>
          <w:szCs w:val="28"/>
          <w:highlight w:val="none"/>
        </w:rPr>
        <w:t>二、资格证明文件格式</w:t>
      </w:r>
      <w:bookmarkEnd w:id="166"/>
    </w:p>
    <w:p w14:paraId="268C5529">
      <w:pPr>
        <w:numPr>
          <w:ilvl w:val="2"/>
          <w:numId w:val="13"/>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0F127995">
      <w:pPr>
        <w:snapToGrid w:val="0"/>
        <w:spacing w:before="120"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8171D05">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7DFAD927">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93A41B8">
      <w:pPr>
        <w:snapToGrid w:val="0"/>
        <w:spacing w:before="120" w:beforeLines="50" w:after="50"/>
        <w:rPr>
          <w:rFonts w:ascii="宋体" w:hAnsi="宋体" w:cs="宋体"/>
          <w:bCs/>
          <w:color w:val="auto"/>
          <w:sz w:val="24"/>
          <w:szCs w:val="20"/>
          <w:highlight w:val="none"/>
        </w:rPr>
      </w:pPr>
    </w:p>
    <w:p w14:paraId="6480986F">
      <w:pPr>
        <w:snapToGrid w:val="0"/>
        <w:spacing w:before="120" w:beforeLines="50" w:after="50"/>
        <w:rPr>
          <w:rFonts w:ascii="宋体" w:hAnsi="宋体" w:cs="宋体"/>
          <w:bCs/>
          <w:color w:val="auto"/>
          <w:sz w:val="24"/>
          <w:szCs w:val="20"/>
          <w:highlight w:val="none"/>
        </w:rPr>
      </w:pPr>
    </w:p>
    <w:p w14:paraId="2B66B6B0">
      <w:pPr>
        <w:snapToGrid w:val="0"/>
        <w:spacing w:before="120" w:beforeLines="50" w:after="50"/>
        <w:rPr>
          <w:rFonts w:ascii="宋体" w:hAnsi="宋体" w:cs="宋体"/>
          <w:bCs/>
          <w:color w:val="auto"/>
          <w:sz w:val="24"/>
          <w:szCs w:val="20"/>
          <w:highlight w:val="none"/>
        </w:rPr>
      </w:pPr>
    </w:p>
    <w:p w14:paraId="46393077">
      <w:pPr>
        <w:snapToGrid w:val="0"/>
        <w:spacing w:before="120" w:beforeLines="50" w:after="50"/>
        <w:rPr>
          <w:rFonts w:ascii="宋体" w:hAnsi="宋体" w:cs="宋体"/>
          <w:bCs/>
          <w:color w:val="auto"/>
          <w:sz w:val="24"/>
          <w:szCs w:val="20"/>
          <w:highlight w:val="none"/>
        </w:rPr>
      </w:pPr>
    </w:p>
    <w:p w14:paraId="4C493FE0">
      <w:pPr>
        <w:snapToGrid w:val="0"/>
        <w:spacing w:before="120" w:beforeLines="50" w:after="50"/>
        <w:rPr>
          <w:rFonts w:ascii="宋体" w:hAnsi="宋体" w:cs="宋体"/>
          <w:bCs/>
          <w:color w:val="auto"/>
          <w:sz w:val="24"/>
          <w:szCs w:val="20"/>
          <w:highlight w:val="none"/>
        </w:rPr>
      </w:pPr>
    </w:p>
    <w:p w14:paraId="485879A3">
      <w:pPr>
        <w:snapToGrid w:val="0"/>
        <w:spacing w:before="120" w:beforeLines="50" w:after="50"/>
        <w:rPr>
          <w:rFonts w:ascii="宋体" w:hAnsi="宋体" w:cs="宋体"/>
          <w:bCs/>
          <w:color w:val="auto"/>
          <w:sz w:val="24"/>
          <w:szCs w:val="20"/>
          <w:highlight w:val="none"/>
        </w:rPr>
      </w:pPr>
    </w:p>
    <w:p w14:paraId="419E7F17">
      <w:pPr>
        <w:snapToGrid w:val="0"/>
        <w:spacing w:before="120" w:beforeLines="50" w:after="50"/>
        <w:rPr>
          <w:rFonts w:ascii="宋体" w:hAnsi="宋体" w:cs="宋体"/>
          <w:bCs/>
          <w:color w:val="auto"/>
          <w:sz w:val="24"/>
          <w:szCs w:val="20"/>
          <w:highlight w:val="none"/>
        </w:rPr>
      </w:pPr>
    </w:p>
    <w:p w14:paraId="5D97B705">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47112AB">
      <w:pPr>
        <w:snapToGrid w:val="0"/>
        <w:spacing w:before="120" w:beforeLines="50" w:after="50"/>
        <w:ind w:firstLine="540" w:firstLineChars="225"/>
        <w:rPr>
          <w:rFonts w:ascii="宋体" w:hAnsi="宋体" w:cs="宋体"/>
          <w:bCs/>
          <w:color w:val="auto"/>
          <w:sz w:val="24"/>
          <w:szCs w:val="20"/>
          <w:highlight w:val="none"/>
        </w:rPr>
      </w:pPr>
    </w:p>
    <w:p w14:paraId="1DED9C05">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C858AC1">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分标：</w:t>
      </w:r>
    </w:p>
    <w:p w14:paraId="221311F8">
      <w:pPr>
        <w:pStyle w:val="7"/>
        <w:snapToGrid w:val="0"/>
        <w:spacing w:before="50" w:after="50"/>
        <w:ind w:firstLine="540" w:firstLineChars="225"/>
        <w:rPr>
          <w:rFonts w:ascii="宋体" w:hAnsi="宋体" w:cs="宋体"/>
          <w:bCs/>
          <w:color w:val="auto"/>
          <w:sz w:val="24"/>
          <w:szCs w:val="24"/>
          <w:highlight w:val="none"/>
        </w:rPr>
      </w:pPr>
    </w:p>
    <w:p w14:paraId="07408311">
      <w:pPr>
        <w:pStyle w:val="7"/>
        <w:snapToGrid w:val="0"/>
        <w:spacing w:before="50" w:after="50"/>
        <w:ind w:firstLine="540" w:firstLineChars="225"/>
        <w:rPr>
          <w:rFonts w:ascii="宋体" w:hAnsi="宋体" w:cs="宋体"/>
          <w:bCs/>
          <w:color w:val="auto"/>
          <w:sz w:val="24"/>
          <w:szCs w:val="24"/>
          <w:highlight w:val="none"/>
        </w:rPr>
      </w:pPr>
    </w:p>
    <w:p w14:paraId="6CD95498">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607557C">
      <w:pPr>
        <w:pStyle w:val="7"/>
        <w:snapToGrid w:val="0"/>
        <w:spacing w:before="50" w:after="50"/>
        <w:ind w:firstLine="540" w:firstLineChars="225"/>
        <w:rPr>
          <w:rFonts w:ascii="宋体" w:hAnsi="宋体" w:cs="宋体"/>
          <w:bCs/>
          <w:color w:val="auto"/>
          <w:sz w:val="24"/>
          <w:szCs w:val="24"/>
          <w:highlight w:val="none"/>
        </w:rPr>
      </w:pPr>
    </w:p>
    <w:p w14:paraId="669DC65F">
      <w:pPr>
        <w:pStyle w:val="7"/>
        <w:snapToGrid w:val="0"/>
        <w:spacing w:before="50" w:after="50"/>
        <w:ind w:firstLine="960" w:firstLineChars="400"/>
        <w:rPr>
          <w:rFonts w:ascii="宋体" w:hAnsi="宋体" w:cs="宋体"/>
          <w:bCs/>
          <w:color w:val="auto"/>
          <w:sz w:val="24"/>
          <w:szCs w:val="24"/>
          <w:highlight w:val="none"/>
        </w:rPr>
      </w:pPr>
    </w:p>
    <w:p w14:paraId="158437D4">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905A49F">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77ED63CD">
      <w:pPr>
        <w:snapToGrid w:val="0"/>
        <w:spacing w:before="120" w:beforeLines="50" w:after="50"/>
        <w:rPr>
          <w:rFonts w:ascii="宋体" w:hAnsi="宋体" w:cs="宋体"/>
          <w:color w:val="auto"/>
          <w:sz w:val="24"/>
          <w:szCs w:val="20"/>
          <w:highlight w:val="none"/>
        </w:rPr>
      </w:pPr>
    </w:p>
    <w:p w14:paraId="5AAD255E">
      <w:pPr>
        <w:numPr>
          <w:ilvl w:val="2"/>
          <w:numId w:val="13"/>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0A1B8D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6F131778">
      <w:pPr>
        <w:snapToGrid w:val="0"/>
        <w:spacing w:before="50" w:after="120" w:afterLines="50"/>
        <w:jc w:val="left"/>
        <w:rPr>
          <w:rFonts w:ascii="宋体" w:hAnsi="宋体" w:cs="宋体"/>
          <w:color w:val="auto"/>
          <w:sz w:val="24"/>
          <w:highlight w:val="none"/>
        </w:rPr>
      </w:pPr>
    </w:p>
    <w:p w14:paraId="1F83A56E">
      <w:pPr>
        <w:snapToGrid w:val="0"/>
        <w:spacing w:before="50" w:after="120" w:afterLines="50"/>
        <w:jc w:val="left"/>
        <w:rPr>
          <w:rFonts w:ascii="宋体" w:hAnsi="宋体" w:cs="宋体"/>
          <w:color w:val="auto"/>
          <w:sz w:val="24"/>
          <w:highlight w:val="none"/>
        </w:rPr>
      </w:pPr>
    </w:p>
    <w:p w14:paraId="6928D2B7">
      <w:pPr>
        <w:numPr>
          <w:ilvl w:val="2"/>
          <w:numId w:val="13"/>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18029FB2">
      <w:pPr>
        <w:snapToGrid w:val="0"/>
        <w:spacing w:before="50" w:after="120" w:afterLines="50"/>
        <w:jc w:val="center"/>
        <w:rPr>
          <w:rFonts w:ascii="宋体" w:hAnsi="宋体" w:cs="宋体"/>
          <w:b/>
          <w:color w:val="auto"/>
          <w:sz w:val="28"/>
          <w:szCs w:val="28"/>
          <w:highlight w:val="none"/>
        </w:rPr>
      </w:pPr>
    </w:p>
    <w:p w14:paraId="4ECE0810">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5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000D33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36573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6C38B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326CE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2189D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318E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DF45D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7ED9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38AF9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6986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AD03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344BE3">
            <w:pPr>
              <w:spacing w:line="360" w:lineRule="auto"/>
              <w:jc w:val="center"/>
              <w:rPr>
                <w:rFonts w:ascii="宋体" w:hAnsi="宋体" w:cs="宋体"/>
                <w:color w:val="auto"/>
                <w:kern w:val="0"/>
                <w:sz w:val="24"/>
                <w:highlight w:val="none"/>
              </w:rPr>
            </w:pPr>
          </w:p>
        </w:tc>
      </w:tr>
      <w:tr w14:paraId="1913702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520E5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139D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F834E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8C780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CEFA3E">
            <w:pPr>
              <w:spacing w:line="360" w:lineRule="auto"/>
              <w:jc w:val="center"/>
              <w:rPr>
                <w:rFonts w:ascii="宋体" w:hAnsi="宋体" w:cs="宋体"/>
                <w:color w:val="auto"/>
                <w:kern w:val="0"/>
                <w:sz w:val="24"/>
                <w:highlight w:val="none"/>
              </w:rPr>
            </w:pPr>
          </w:p>
        </w:tc>
      </w:tr>
      <w:tr w14:paraId="27E3B17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2227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718A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DC8E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763FC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34A095">
            <w:pPr>
              <w:spacing w:line="360" w:lineRule="auto"/>
              <w:jc w:val="center"/>
              <w:rPr>
                <w:rFonts w:ascii="宋体" w:hAnsi="宋体" w:cs="宋体"/>
                <w:color w:val="auto"/>
                <w:kern w:val="0"/>
                <w:sz w:val="24"/>
                <w:highlight w:val="none"/>
              </w:rPr>
            </w:pPr>
          </w:p>
        </w:tc>
      </w:tr>
      <w:tr w14:paraId="25139C9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0168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2923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102B5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5702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C007ED">
            <w:pPr>
              <w:spacing w:line="360" w:lineRule="auto"/>
              <w:jc w:val="center"/>
              <w:rPr>
                <w:rFonts w:ascii="宋体" w:hAnsi="宋体" w:cs="宋体"/>
                <w:color w:val="auto"/>
                <w:kern w:val="0"/>
                <w:sz w:val="24"/>
                <w:highlight w:val="none"/>
              </w:rPr>
            </w:pPr>
          </w:p>
        </w:tc>
      </w:tr>
    </w:tbl>
    <w:p w14:paraId="222BD64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B57E08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05EFE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9801EF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0E9DAB62">
      <w:pPr>
        <w:snapToGrid w:val="0"/>
        <w:spacing w:line="360" w:lineRule="auto"/>
        <w:jc w:val="left"/>
        <w:rPr>
          <w:rFonts w:ascii="宋体" w:hAnsi="宋体" w:cs="宋体"/>
          <w:color w:val="auto"/>
          <w:sz w:val="24"/>
          <w:highlight w:val="none"/>
        </w:rPr>
      </w:pPr>
    </w:p>
    <w:p w14:paraId="406F50E9">
      <w:pPr>
        <w:snapToGrid w:val="0"/>
        <w:spacing w:line="360" w:lineRule="auto"/>
        <w:jc w:val="left"/>
        <w:rPr>
          <w:rFonts w:ascii="宋体" w:hAnsi="宋体" w:cs="宋体"/>
          <w:color w:val="auto"/>
          <w:sz w:val="24"/>
          <w:highlight w:val="none"/>
        </w:rPr>
      </w:pPr>
    </w:p>
    <w:p w14:paraId="6BA4154A">
      <w:pPr>
        <w:snapToGrid w:val="0"/>
        <w:spacing w:line="360" w:lineRule="auto"/>
        <w:jc w:val="left"/>
        <w:rPr>
          <w:rFonts w:ascii="宋体" w:hAnsi="宋体" w:cs="宋体"/>
          <w:color w:val="auto"/>
          <w:sz w:val="24"/>
          <w:highlight w:val="none"/>
        </w:rPr>
      </w:pPr>
    </w:p>
    <w:p w14:paraId="1BA4711F">
      <w:pPr>
        <w:snapToGrid w:val="0"/>
        <w:spacing w:line="360" w:lineRule="auto"/>
        <w:jc w:val="left"/>
        <w:rPr>
          <w:rFonts w:ascii="宋体" w:hAnsi="宋体" w:cs="宋体"/>
          <w:color w:val="auto"/>
          <w:sz w:val="24"/>
          <w:highlight w:val="none"/>
        </w:rPr>
      </w:pPr>
    </w:p>
    <w:p w14:paraId="4D9B2A60">
      <w:pPr>
        <w:snapToGrid w:val="0"/>
        <w:spacing w:line="360" w:lineRule="auto"/>
        <w:jc w:val="left"/>
        <w:rPr>
          <w:rFonts w:ascii="宋体" w:hAnsi="宋体" w:cs="宋体"/>
          <w:color w:val="auto"/>
          <w:sz w:val="24"/>
          <w:highlight w:val="none"/>
        </w:rPr>
      </w:pPr>
    </w:p>
    <w:p w14:paraId="69841F47">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12E3FAFF">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CE7B718">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71DAC6C1">
      <w:pPr>
        <w:snapToGrid w:val="0"/>
        <w:spacing w:before="120"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1BCA53C">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EF0598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9020F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D727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D995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801C8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4905E58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FB268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6575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FA7E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4C054">
            <w:pPr>
              <w:spacing w:line="360" w:lineRule="auto"/>
              <w:jc w:val="center"/>
              <w:rPr>
                <w:rFonts w:ascii="宋体" w:hAnsi="宋体" w:cs="宋体"/>
                <w:color w:val="auto"/>
                <w:kern w:val="0"/>
                <w:sz w:val="24"/>
                <w:highlight w:val="none"/>
              </w:rPr>
            </w:pPr>
          </w:p>
        </w:tc>
      </w:tr>
      <w:tr w14:paraId="5139CF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B89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B286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C0FB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9CDE4">
            <w:pPr>
              <w:spacing w:line="360" w:lineRule="auto"/>
              <w:jc w:val="center"/>
              <w:rPr>
                <w:rFonts w:ascii="宋体" w:hAnsi="宋体" w:cs="宋体"/>
                <w:color w:val="auto"/>
                <w:kern w:val="0"/>
                <w:sz w:val="24"/>
                <w:highlight w:val="none"/>
              </w:rPr>
            </w:pPr>
          </w:p>
        </w:tc>
      </w:tr>
      <w:tr w14:paraId="2DC3EC0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9511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A5EF6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C923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7D92C8">
            <w:pPr>
              <w:spacing w:line="360" w:lineRule="auto"/>
              <w:jc w:val="center"/>
              <w:rPr>
                <w:rFonts w:ascii="宋体" w:hAnsi="宋体" w:cs="宋体"/>
                <w:color w:val="auto"/>
                <w:kern w:val="0"/>
                <w:sz w:val="24"/>
                <w:highlight w:val="none"/>
              </w:rPr>
            </w:pPr>
          </w:p>
        </w:tc>
      </w:tr>
      <w:tr w14:paraId="48ED56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736A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99FC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521A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46157">
            <w:pPr>
              <w:spacing w:line="360" w:lineRule="auto"/>
              <w:jc w:val="center"/>
              <w:rPr>
                <w:rFonts w:ascii="宋体" w:hAnsi="宋体" w:cs="宋体"/>
                <w:color w:val="auto"/>
                <w:kern w:val="0"/>
                <w:sz w:val="24"/>
                <w:highlight w:val="none"/>
              </w:rPr>
            </w:pPr>
          </w:p>
        </w:tc>
      </w:tr>
    </w:tbl>
    <w:p w14:paraId="0E65043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9502E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648955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1AB35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162A954B">
      <w:pPr>
        <w:snapToGrid w:val="0"/>
        <w:spacing w:line="360" w:lineRule="auto"/>
        <w:ind w:firstLine="480" w:firstLineChars="200"/>
        <w:jc w:val="left"/>
        <w:rPr>
          <w:rFonts w:ascii="宋体" w:hAnsi="宋体" w:cs="宋体"/>
          <w:color w:val="auto"/>
          <w:sz w:val="24"/>
          <w:highlight w:val="none"/>
        </w:rPr>
      </w:pPr>
    </w:p>
    <w:p w14:paraId="40EA00A9">
      <w:pPr>
        <w:snapToGrid w:val="0"/>
        <w:spacing w:line="360" w:lineRule="auto"/>
        <w:jc w:val="left"/>
        <w:rPr>
          <w:rFonts w:ascii="宋体" w:hAnsi="宋体" w:cs="宋体"/>
          <w:color w:val="auto"/>
          <w:sz w:val="24"/>
          <w:highlight w:val="none"/>
        </w:rPr>
      </w:pPr>
    </w:p>
    <w:p w14:paraId="47B5934C">
      <w:pPr>
        <w:snapToGrid w:val="0"/>
        <w:spacing w:line="360" w:lineRule="auto"/>
        <w:jc w:val="left"/>
        <w:rPr>
          <w:rFonts w:ascii="宋体" w:hAnsi="宋体" w:cs="宋体"/>
          <w:color w:val="auto"/>
          <w:sz w:val="24"/>
          <w:highlight w:val="none"/>
        </w:rPr>
      </w:pPr>
    </w:p>
    <w:p w14:paraId="063476C2">
      <w:pPr>
        <w:snapToGrid w:val="0"/>
        <w:spacing w:line="360" w:lineRule="auto"/>
        <w:jc w:val="left"/>
        <w:rPr>
          <w:rFonts w:ascii="宋体" w:hAnsi="宋体" w:cs="宋体"/>
          <w:color w:val="auto"/>
          <w:sz w:val="24"/>
          <w:highlight w:val="none"/>
        </w:rPr>
      </w:pPr>
    </w:p>
    <w:p w14:paraId="47AFCF41">
      <w:pPr>
        <w:snapToGrid w:val="0"/>
        <w:spacing w:line="360" w:lineRule="auto"/>
        <w:jc w:val="left"/>
        <w:rPr>
          <w:rFonts w:ascii="宋体" w:hAnsi="宋体" w:cs="宋体"/>
          <w:color w:val="auto"/>
          <w:sz w:val="24"/>
          <w:highlight w:val="none"/>
        </w:rPr>
      </w:pPr>
    </w:p>
    <w:p w14:paraId="21952D67">
      <w:pPr>
        <w:snapToGrid w:val="0"/>
        <w:spacing w:line="360" w:lineRule="auto"/>
        <w:jc w:val="left"/>
        <w:rPr>
          <w:rFonts w:ascii="宋体" w:hAnsi="宋体" w:cs="宋体"/>
          <w:color w:val="auto"/>
          <w:sz w:val="24"/>
          <w:highlight w:val="none"/>
        </w:rPr>
      </w:pPr>
    </w:p>
    <w:p w14:paraId="62D05BFA">
      <w:pPr>
        <w:snapToGrid w:val="0"/>
        <w:spacing w:line="360" w:lineRule="auto"/>
        <w:jc w:val="left"/>
        <w:rPr>
          <w:rFonts w:ascii="宋体" w:hAnsi="宋体" w:cs="宋体"/>
          <w:color w:val="auto"/>
          <w:sz w:val="24"/>
          <w:highlight w:val="none"/>
        </w:rPr>
      </w:pPr>
    </w:p>
    <w:p w14:paraId="45326464">
      <w:pPr>
        <w:snapToGrid w:val="0"/>
        <w:spacing w:line="360" w:lineRule="auto"/>
        <w:jc w:val="left"/>
        <w:rPr>
          <w:rFonts w:ascii="宋体" w:hAnsi="宋体" w:cs="宋体"/>
          <w:color w:val="auto"/>
          <w:sz w:val="24"/>
          <w:highlight w:val="none"/>
        </w:rPr>
      </w:pPr>
    </w:p>
    <w:p w14:paraId="18D8289F">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751EF9F3">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80E46D6">
      <w:pPr>
        <w:snapToGrid w:val="0"/>
        <w:spacing w:line="360" w:lineRule="auto"/>
        <w:ind w:right="480"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5DCEA0">
      <w:pPr>
        <w:snapToGrid w:val="0"/>
        <w:spacing w:line="360" w:lineRule="auto"/>
        <w:ind w:right="480" w:firstLine="240" w:firstLineChars="100"/>
        <w:jc w:val="left"/>
        <w:rPr>
          <w:rFonts w:ascii="宋体" w:hAnsi="宋体" w:cs="宋体"/>
          <w:color w:val="auto"/>
          <w:sz w:val="24"/>
          <w:highlight w:val="none"/>
        </w:rPr>
      </w:pPr>
    </w:p>
    <w:p w14:paraId="1ABA2E37">
      <w:pPr>
        <w:snapToGrid w:val="0"/>
        <w:spacing w:line="360" w:lineRule="auto"/>
        <w:ind w:right="480" w:firstLine="240" w:firstLineChars="100"/>
        <w:jc w:val="left"/>
        <w:rPr>
          <w:rFonts w:ascii="宋体" w:hAnsi="宋体" w:cs="宋体"/>
          <w:color w:val="auto"/>
          <w:sz w:val="24"/>
          <w:highlight w:val="none"/>
        </w:rPr>
      </w:pPr>
    </w:p>
    <w:p w14:paraId="7A7087DE">
      <w:pPr>
        <w:snapToGrid w:val="0"/>
        <w:spacing w:before="120" w:beforeLines="50" w:after="50" w:line="360" w:lineRule="auto"/>
        <w:ind w:right="480" w:firstLine="240" w:firstLineChars="100"/>
        <w:jc w:val="right"/>
        <w:rPr>
          <w:rFonts w:ascii="宋体" w:hAnsi="宋体" w:cs="宋体"/>
          <w:color w:val="auto"/>
          <w:sz w:val="24"/>
          <w:highlight w:val="none"/>
        </w:rPr>
      </w:pPr>
    </w:p>
    <w:p w14:paraId="45118E55">
      <w:pPr>
        <w:snapToGrid w:val="0"/>
        <w:spacing w:before="50" w:after="120" w:afterLines="50"/>
        <w:jc w:val="left"/>
        <w:rPr>
          <w:rFonts w:ascii="宋体" w:hAnsi="宋体" w:cs="宋体"/>
          <w:color w:val="auto"/>
          <w:szCs w:val="21"/>
          <w:highlight w:val="none"/>
        </w:rPr>
      </w:pPr>
    </w:p>
    <w:p w14:paraId="3061EAF5">
      <w:pPr>
        <w:snapToGrid w:val="0"/>
        <w:spacing w:before="120" w:beforeLines="50" w:after="50"/>
        <w:jc w:val="left"/>
        <w:rPr>
          <w:rFonts w:ascii="宋体" w:hAnsi="宋体" w:cs="宋体"/>
          <w:b/>
          <w:color w:val="auto"/>
          <w:sz w:val="24"/>
          <w:szCs w:val="20"/>
          <w:highlight w:val="none"/>
        </w:rPr>
      </w:pPr>
    </w:p>
    <w:p w14:paraId="32D1AC93">
      <w:pPr>
        <w:numPr>
          <w:ilvl w:val="2"/>
          <w:numId w:val="13"/>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t>投标声明</w:t>
      </w:r>
    </w:p>
    <w:p w14:paraId="5744136F">
      <w:pPr>
        <w:snapToGrid w:val="0"/>
        <w:spacing w:before="50" w:after="120" w:afterLines="50"/>
        <w:jc w:val="left"/>
        <w:rPr>
          <w:rFonts w:ascii="宋体" w:hAnsi="宋体" w:cs="宋体"/>
          <w:color w:val="auto"/>
          <w:highlight w:val="none"/>
        </w:rPr>
      </w:pPr>
    </w:p>
    <w:p w14:paraId="78E0648D">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40194049">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668BB4EC">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5DE40EE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7BB391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48D0C40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02C84A8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2D1B616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591DC8C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545AA1A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69C051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259BF38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30B7367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6909769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737BD999">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法定代表人（或负责人）（签字或者盖章或者电子签名）：</w:t>
      </w:r>
      <w:r>
        <w:rPr>
          <w:rFonts w:hint="eastAsia" w:ascii="宋体" w:hAnsi="宋体" w:cs="宋体"/>
          <w:color w:val="auto"/>
          <w:sz w:val="24"/>
          <w:highlight w:val="none"/>
          <w:u w:val="single"/>
        </w:rPr>
        <w:t xml:space="preserve">             </w:t>
      </w:r>
    </w:p>
    <w:p w14:paraId="1FA65143">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r>
        <w:rPr>
          <w:rFonts w:hint="eastAsia" w:ascii="宋体" w:hAnsi="宋体" w:cs="宋体"/>
          <w:color w:val="auto"/>
          <w:sz w:val="24"/>
          <w:highlight w:val="none"/>
          <w:u w:val="single"/>
        </w:rPr>
        <w:t xml:space="preserve">                 </w:t>
      </w:r>
    </w:p>
    <w:p w14:paraId="0FACDA9C">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720C0210">
      <w:pPr>
        <w:spacing w:line="440" w:lineRule="exact"/>
        <w:contextualSpacing/>
        <w:rPr>
          <w:rFonts w:ascii="宋体" w:hAnsi="宋体" w:cs="宋体"/>
          <w:b/>
          <w:color w:val="auto"/>
          <w:sz w:val="24"/>
          <w:highlight w:val="none"/>
        </w:rPr>
      </w:pPr>
      <w:r>
        <w:rPr>
          <w:rFonts w:hint="eastAsia" w:ascii="宋体" w:hAnsi="宋体" w:cs="宋体"/>
          <w:b/>
          <w:color w:val="auto"/>
          <w:sz w:val="24"/>
          <w:highlight w:val="none"/>
        </w:rPr>
        <w:t>注：如为联合体投标，盖章处须加盖联合体牵头人电子签章并由联合体牵头人法定代表人（或负责人）分别签字或者盖章或者电子签名，否则投标无效。</w:t>
      </w:r>
    </w:p>
    <w:p w14:paraId="5BB226EA">
      <w:pPr>
        <w:spacing w:line="400" w:lineRule="exact"/>
        <w:contextualSpacing/>
        <w:jc w:val="left"/>
        <w:rPr>
          <w:rFonts w:ascii="宋体" w:hAnsi="宋体" w:cs="宋体"/>
          <w:color w:val="auto"/>
          <w:sz w:val="24"/>
          <w:highlight w:val="none"/>
        </w:rPr>
      </w:pPr>
    </w:p>
    <w:p w14:paraId="5638655D">
      <w:pPr>
        <w:spacing w:line="400" w:lineRule="exact"/>
        <w:contextualSpacing/>
        <w:jc w:val="left"/>
        <w:rPr>
          <w:rFonts w:ascii="宋体" w:hAnsi="宋体" w:cs="宋体"/>
          <w:color w:val="auto"/>
          <w:sz w:val="24"/>
          <w:highlight w:val="none"/>
        </w:rPr>
      </w:pPr>
    </w:p>
    <w:p w14:paraId="645018C2">
      <w:pPr>
        <w:spacing w:line="400" w:lineRule="exact"/>
        <w:contextualSpacing/>
        <w:jc w:val="left"/>
        <w:rPr>
          <w:rFonts w:ascii="宋体" w:hAnsi="宋体" w:cs="宋体"/>
          <w:color w:val="auto"/>
          <w:sz w:val="24"/>
          <w:highlight w:val="none"/>
        </w:rPr>
      </w:pPr>
    </w:p>
    <w:p w14:paraId="7D71A86E">
      <w:pPr>
        <w:pStyle w:val="19"/>
        <w:spacing w:after="120"/>
        <w:rPr>
          <w:rFonts w:ascii="宋体" w:hAnsi="宋体" w:cs="宋体"/>
          <w:color w:val="auto"/>
          <w:highlight w:val="none"/>
        </w:rPr>
      </w:pPr>
    </w:p>
    <w:p w14:paraId="1BFE042E">
      <w:pPr>
        <w:pStyle w:val="19"/>
        <w:spacing w:after="120"/>
        <w:rPr>
          <w:rFonts w:ascii="宋体" w:hAnsi="宋体" w:cs="宋体"/>
          <w:color w:val="auto"/>
          <w:highlight w:val="none"/>
        </w:rPr>
      </w:pPr>
    </w:p>
    <w:p w14:paraId="650FE582">
      <w:pPr>
        <w:rPr>
          <w:rFonts w:ascii="宋体" w:hAnsi="宋体" w:cs="宋体"/>
          <w:b/>
          <w:color w:val="auto"/>
          <w:sz w:val="28"/>
          <w:szCs w:val="28"/>
          <w:highlight w:val="none"/>
        </w:rPr>
      </w:pPr>
      <w:bookmarkStart w:id="167" w:name="_Toc19686838"/>
      <w:r>
        <w:rPr>
          <w:rFonts w:hint="eastAsia" w:ascii="宋体" w:hAnsi="宋体" w:cs="宋体"/>
          <w:b/>
          <w:color w:val="auto"/>
          <w:sz w:val="28"/>
          <w:szCs w:val="28"/>
          <w:highlight w:val="none"/>
        </w:rPr>
        <w:t>三、商务文件格式</w:t>
      </w:r>
      <w:bookmarkEnd w:id="167"/>
    </w:p>
    <w:p w14:paraId="4E73A550">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45AB3F3A">
      <w:pPr>
        <w:snapToGrid w:val="0"/>
        <w:spacing w:before="120"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3F0E80C5">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26F14EE1">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07283A7F">
      <w:pPr>
        <w:snapToGrid w:val="0"/>
        <w:spacing w:before="120" w:beforeLines="50" w:after="50"/>
        <w:rPr>
          <w:rFonts w:ascii="宋体" w:hAnsi="宋体" w:cs="宋体"/>
          <w:bCs/>
          <w:color w:val="auto"/>
          <w:sz w:val="24"/>
          <w:szCs w:val="20"/>
          <w:highlight w:val="none"/>
        </w:rPr>
      </w:pPr>
    </w:p>
    <w:p w14:paraId="15129DA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2ED4E3E3">
      <w:pPr>
        <w:snapToGrid w:val="0"/>
        <w:spacing w:before="120" w:beforeLines="50" w:after="50"/>
        <w:ind w:firstLine="540" w:firstLineChars="225"/>
        <w:rPr>
          <w:rFonts w:ascii="宋体" w:hAnsi="宋体" w:cs="宋体"/>
          <w:bCs/>
          <w:color w:val="auto"/>
          <w:sz w:val="24"/>
          <w:szCs w:val="20"/>
          <w:highlight w:val="none"/>
        </w:rPr>
      </w:pPr>
    </w:p>
    <w:p w14:paraId="6F3141EB">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C3C025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color w:val="auto"/>
          <w:sz w:val="24"/>
          <w:highlight w:val="none"/>
        </w:rPr>
        <w:t>分标：</w:t>
      </w:r>
    </w:p>
    <w:p w14:paraId="394A12AD">
      <w:pPr>
        <w:snapToGrid w:val="0"/>
        <w:spacing w:before="120" w:beforeLines="50" w:after="50"/>
        <w:ind w:firstLine="540" w:firstLineChars="225"/>
        <w:rPr>
          <w:rFonts w:ascii="宋体" w:hAnsi="宋体" w:cs="宋体"/>
          <w:bCs/>
          <w:color w:val="auto"/>
          <w:sz w:val="24"/>
          <w:szCs w:val="20"/>
          <w:highlight w:val="none"/>
        </w:rPr>
      </w:pPr>
    </w:p>
    <w:p w14:paraId="0EA44708">
      <w:pPr>
        <w:pStyle w:val="5"/>
        <w:rPr>
          <w:rFonts w:ascii="宋体" w:hAnsi="宋体" w:eastAsia="宋体" w:cs="宋体"/>
          <w:color w:val="auto"/>
          <w:highlight w:val="none"/>
        </w:rPr>
      </w:pPr>
    </w:p>
    <w:p w14:paraId="37B9FF7D">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F7D737C">
      <w:pPr>
        <w:pStyle w:val="7"/>
        <w:snapToGrid w:val="0"/>
        <w:spacing w:before="50" w:after="50"/>
        <w:ind w:firstLine="540" w:firstLineChars="225"/>
        <w:rPr>
          <w:rFonts w:ascii="宋体" w:hAnsi="宋体" w:cs="宋体"/>
          <w:bCs/>
          <w:color w:val="auto"/>
          <w:sz w:val="24"/>
          <w:szCs w:val="24"/>
          <w:highlight w:val="none"/>
        </w:rPr>
      </w:pPr>
    </w:p>
    <w:p w14:paraId="317AFF73">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B1E1F30">
      <w:pPr>
        <w:pStyle w:val="7"/>
        <w:snapToGrid w:val="0"/>
        <w:spacing w:before="50" w:after="50"/>
        <w:ind w:firstLine="960" w:firstLineChars="400"/>
        <w:rPr>
          <w:rFonts w:ascii="宋体" w:hAnsi="宋体" w:cs="宋体"/>
          <w:bCs/>
          <w:color w:val="auto"/>
          <w:sz w:val="24"/>
          <w:szCs w:val="24"/>
          <w:highlight w:val="none"/>
        </w:rPr>
      </w:pPr>
    </w:p>
    <w:p w14:paraId="33040ED5">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868FD57">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E241B5A">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2.商务文件目录</w:t>
      </w:r>
    </w:p>
    <w:p w14:paraId="2D2BC93A">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5673D107">
      <w:pPr>
        <w:snapToGrid w:val="0"/>
        <w:spacing w:before="50" w:after="120" w:afterLines="50"/>
        <w:jc w:val="left"/>
        <w:rPr>
          <w:rFonts w:ascii="宋体" w:hAnsi="宋体" w:cs="宋体"/>
          <w:color w:val="auto"/>
          <w:highlight w:val="none"/>
        </w:rPr>
      </w:pPr>
    </w:p>
    <w:p w14:paraId="237A35C5">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6CB3A3C5">
      <w:pPr>
        <w:snapToGrid w:val="0"/>
        <w:spacing w:before="120" w:beforeLines="50" w:after="50"/>
        <w:jc w:val="left"/>
        <w:rPr>
          <w:rFonts w:ascii="宋体" w:hAnsi="宋体" w:cs="宋体"/>
          <w:b/>
          <w:color w:val="auto"/>
          <w:sz w:val="24"/>
          <w:highlight w:val="none"/>
        </w:rPr>
      </w:pPr>
    </w:p>
    <w:p w14:paraId="512A186A">
      <w:pPr>
        <w:snapToGrid w:val="0"/>
        <w:spacing w:before="120" w:beforeLines="50" w:after="50"/>
        <w:ind w:left="420"/>
        <w:jc w:val="center"/>
        <w:rPr>
          <w:rFonts w:ascii="宋体" w:hAnsi="宋体" w:cs="宋体"/>
          <w:b/>
          <w:color w:val="auto"/>
          <w:spacing w:val="-17"/>
          <w:sz w:val="32"/>
          <w:szCs w:val="32"/>
          <w:highlight w:val="none"/>
        </w:rPr>
      </w:pPr>
      <w:r>
        <w:rPr>
          <w:rFonts w:hint="eastAsia" w:ascii="宋体" w:hAnsi="宋体" w:cs="宋体"/>
          <w:bCs/>
          <w:color w:val="auto"/>
          <w:spacing w:val="-17"/>
          <w:sz w:val="44"/>
          <w:szCs w:val="44"/>
          <w:highlight w:val="none"/>
        </w:rPr>
        <w:t>投标人参加本项目无围标串标行为的承诺函</w:t>
      </w:r>
    </w:p>
    <w:p w14:paraId="43D548F5">
      <w:pPr>
        <w:snapToGrid w:val="0"/>
        <w:spacing w:before="120" w:beforeLines="50" w:after="50"/>
        <w:rPr>
          <w:rFonts w:ascii="宋体" w:hAnsi="宋体" w:cs="宋体"/>
          <w:b/>
          <w:color w:val="auto"/>
          <w:sz w:val="24"/>
          <w:highlight w:val="none"/>
        </w:rPr>
      </w:pPr>
    </w:p>
    <w:p w14:paraId="06D9D208">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5C412C1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 xml:space="preserve">1.不同投标人的投标文件由同一单位或者个人编制； </w:t>
      </w:r>
    </w:p>
    <w:p w14:paraId="2B1BFF9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55F74EC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0A3E022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7EE5C89F">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7B893D4E">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4E1725B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41F361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646F9B34">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0A5CE04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67C2A332">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70DCA6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0433B55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2649E01F">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2274CD30">
      <w:pPr>
        <w:pStyle w:val="26"/>
        <w:spacing w:line="400" w:lineRule="exact"/>
        <w:ind w:firstLine="6840" w:firstLineChars="2850"/>
        <w:contextualSpacing/>
        <w:rPr>
          <w:rFonts w:hAnsi="宋体" w:cs="宋体"/>
          <w:color w:val="auto"/>
          <w:sz w:val="24"/>
          <w:szCs w:val="24"/>
          <w:highlight w:val="none"/>
        </w:rPr>
      </w:pPr>
    </w:p>
    <w:p w14:paraId="5B3AB3AE">
      <w:pPr>
        <w:pStyle w:val="26"/>
        <w:spacing w:line="400" w:lineRule="exact"/>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投标人名称（电子签章）</w:t>
      </w:r>
    </w:p>
    <w:p w14:paraId="5C1D36A8">
      <w:pPr>
        <w:pStyle w:val="26"/>
        <w:spacing w:line="400" w:lineRule="exact"/>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041D1312">
      <w:pPr>
        <w:snapToGrid w:val="0"/>
        <w:spacing w:before="120" w:beforeLines="50" w:after="50"/>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4.法定代表人（或负责人）身份证明</w:t>
      </w:r>
    </w:p>
    <w:p w14:paraId="1F25F0AA">
      <w:pPr>
        <w:spacing w:before="240" w:beforeLines="100" w:after="120" w:afterLines="50"/>
        <w:ind w:left="540"/>
        <w:jc w:val="center"/>
        <w:rPr>
          <w:rFonts w:ascii="宋体" w:hAnsi="宋体" w:cs="宋体"/>
          <w:b/>
          <w:color w:val="auto"/>
          <w:sz w:val="32"/>
          <w:szCs w:val="32"/>
          <w:highlight w:val="none"/>
        </w:rPr>
      </w:pPr>
    </w:p>
    <w:p w14:paraId="2B44EB0D">
      <w:pPr>
        <w:spacing w:before="240" w:beforeLines="100" w:after="12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法定代表人（或负责人）身份证明</w:t>
      </w:r>
    </w:p>
    <w:p w14:paraId="7ED56F2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1975B5B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57D601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425B07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0EDA84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8C503A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的法定代表人（或负责人）。</w:t>
      </w:r>
    </w:p>
    <w:p w14:paraId="774A677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A5DB78D">
      <w:pPr>
        <w:spacing w:line="500" w:lineRule="exact"/>
        <w:ind w:left="540"/>
        <w:rPr>
          <w:rFonts w:ascii="宋体" w:hAnsi="宋体" w:cs="宋体"/>
          <w:color w:val="auto"/>
          <w:sz w:val="24"/>
          <w:highlight w:val="none"/>
        </w:rPr>
      </w:pPr>
    </w:p>
    <w:p w14:paraId="29CAD81F">
      <w:pPr>
        <w:spacing w:line="500" w:lineRule="exact"/>
        <w:ind w:left="540"/>
        <w:rPr>
          <w:rFonts w:ascii="宋体" w:hAnsi="宋体" w:cs="宋体"/>
          <w:color w:val="auto"/>
          <w:sz w:val="24"/>
          <w:highlight w:val="none"/>
        </w:rPr>
      </w:pPr>
    </w:p>
    <w:p w14:paraId="13017D3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附件：法定代表人（或负责人）有效身份证正反面复印件</w:t>
      </w:r>
    </w:p>
    <w:p w14:paraId="7A968B58">
      <w:pPr>
        <w:spacing w:line="500" w:lineRule="exact"/>
        <w:ind w:left="540"/>
        <w:rPr>
          <w:rFonts w:ascii="宋体" w:hAnsi="宋体" w:cs="宋体"/>
          <w:color w:val="auto"/>
          <w:sz w:val="24"/>
          <w:highlight w:val="none"/>
        </w:rPr>
      </w:pPr>
    </w:p>
    <w:p w14:paraId="7F7BEA19">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7D70B38A">
      <w:pPr>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B128C1">
      <w:pPr>
        <w:snapToGrid w:val="0"/>
        <w:spacing w:before="120" w:beforeLines="50" w:after="50"/>
        <w:jc w:val="center"/>
        <w:rPr>
          <w:rFonts w:ascii="宋体" w:hAnsi="宋体" w:cs="宋体"/>
          <w:b/>
          <w:color w:val="auto"/>
          <w:sz w:val="24"/>
          <w:highlight w:val="none"/>
        </w:rPr>
      </w:pPr>
    </w:p>
    <w:p w14:paraId="711CB1B1">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6493133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7A1485B8">
      <w:pPr>
        <w:snapToGrid w:val="0"/>
        <w:spacing w:before="120" w:beforeLines="50" w:after="50"/>
        <w:jc w:val="center"/>
        <w:rPr>
          <w:rFonts w:ascii="宋体" w:hAnsi="宋体" w:cs="宋体"/>
          <w:b/>
          <w:color w:val="auto"/>
          <w:sz w:val="44"/>
          <w:szCs w:val="44"/>
          <w:highlight w:val="none"/>
        </w:rPr>
      </w:pPr>
    </w:p>
    <w:p w14:paraId="751D740B">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59C1CBA4">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46661BCE">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302F53F6">
      <w:pPr>
        <w:snapToGrid w:val="0"/>
        <w:spacing w:before="120" w:beforeLines="50" w:after="50"/>
        <w:jc w:val="center"/>
        <w:rPr>
          <w:rFonts w:ascii="宋体" w:hAnsi="宋体" w:cs="宋体"/>
          <w:b/>
          <w:color w:val="auto"/>
          <w:sz w:val="24"/>
          <w:highlight w:val="none"/>
        </w:rPr>
      </w:pPr>
    </w:p>
    <w:p w14:paraId="319667A8">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715719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（投标人名称）的法定代表人（或负责人），现授权委托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11DC539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743C3CD3">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72D8D05">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8FDC9F7">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附：法定代表人（或负责人）身份证明及委托代理人有效身份证正反面复印件</w:t>
      </w:r>
    </w:p>
    <w:p w14:paraId="3DFE9B45">
      <w:pPr>
        <w:spacing w:line="360" w:lineRule="auto"/>
        <w:contextualSpacing/>
        <w:rPr>
          <w:rFonts w:ascii="宋体" w:hAnsi="宋体" w:cs="宋体"/>
          <w:color w:val="auto"/>
          <w:sz w:val="24"/>
          <w:highlight w:val="none"/>
        </w:rPr>
      </w:pPr>
    </w:p>
    <w:p w14:paraId="7C38BD9C">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74B6AAD">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4D421F66">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法定代表人（或负责人）（签字或者盖章或者电子签名）：</w:t>
      </w:r>
      <w:r>
        <w:rPr>
          <w:rFonts w:hint="eastAsia" w:ascii="宋体" w:hAnsi="宋体" w:cs="宋体"/>
          <w:color w:val="auto"/>
          <w:sz w:val="24"/>
          <w:highlight w:val="none"/>
          <w:u w:val="single"/>
        </w:rPr>
        <w:t xml:space="preserve">              </w:t>
      </w:r>
    </w:p>
    <w:p w14:paraId="1ECB6227">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7EC0664F">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E580B6C">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C95B5C8">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68" w:name="_Hlk65851555"/>
      <w:bookmarkStart w:id="169" w:name="_Hlk65851620"/>
      <w:r>
        <w:rPr>
          <w:rFonts w:hint="eastAsia" w:ascii="宋体" w:hAnsi="宋体" w:cs="宋体"/>
          <w:color w:val="auto"/>
          <w:sz w:val="24"/>
          <w:highlight w:val="none"/>
        </w:rPr>
        <w:t>法定代表人（或负责人）必须在授权委托书上签字或者盖章或者电子签名，</w:t>
      </w:r>
      <w:bookmarkEnd w:id="168"/>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69"/>
    </w:p>
    <w:p w14:paraId="43B09EB1">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6C4B915A">
      <w:pPr>
        <w:pStyle w:val="5"/>
        <w:rPr>
          <w:rFonts w:ascii="宋体" w:hAnsi="宋体" w:eastAsia="宋体" w:cs="宋体"/>
          <w:color w:val="auto"/>
          <w:highlight w:val="none"/>
        </w:rPr>
      </w:pPr>
    </w:p>
    <w:p w14:paraId="39E52685">
      <w:pPr>
        <w:rPr>
          <w:rFonts w:ascii="宋体" w:hAnsi="宋体" w:cs="宋体"/>
          <w:color w:val="auto"/>
          <w:highlight w:val="none"/>
        </w:rPr>
      </w:pPr>
    </w:p>
    <w:p w14:paraId="04529866">
      <w:pPr>
        <w:rPr>
          <w:rFonts w:ascii="宋体" w:hAnsi="宋体" w:cs="宋体"/>
          <w:color w:val="auto"/>
          <w:sz w:val="24"/>
          <w:highlight w:val="none"/>
        </w:rPr>
      </w:pPr>
      <w:r>
        <w:rPr>
          <w:rFonts w:hint="eastAsia" w:ascii="宋体" w:hAnsi="宋体" w:cs="宋体"/>
          <w:b/>
          <w:color w:val="auto"/>
          <w:sz w:val="24"/>
          <w:highlight w:val="none"/>
        </w:rPr>
        <w:t>6.</w:t>
      </w:r>
      <w:r>
        <w:rPr>
          <w:rFonts w:hint="eastAsia" w:ascii="宋体" w:hAnsi="宋体"/>
          <w:b/>
          <w:color w:val="auto"/>
          <w:sz w:val="24"/>
          <w:highlight w:val="none"/>
        </w:rPr>
        <w:t>商务要求偏离表格式(注：按项目需求表具体项目修改)</w:t>
      </w:r>
    </w:p>
    <w:p w14:paraId="05124EA7">
      <w:pPr>
        <w:pStyle w:val="26"/>
        <w:rPr>
          <w:rFonts w:hAnsi="宋体" w:cs="宋体"/>
          <w:color w:val="auto"/>
          <w:sz w:val="24"/>
          <w:szCs w:val="24"/>
          <w:highlight w:val="none"/>
        </w:rPr>
      </w:pPr>
    </w:p>
    <w:p w14:paraId="3632D1A1">
      <w:pPr>
        <w:snapToGrid w:val="0"/>
        <w:spacing w:before="50"/>
        <w:jc w:val="left"/>
        <w:rPr>
          <w:rFonts w:ascii="宋体" w:hAnsi="宋体" w:cs="宋体"/>
          <w:color w:val="auto"/>
          <w:sz w:val="24"/>
          <w:highlight w:val="none"/>
          <w:u w:val="single"/>
        </w:rPr>
      </w:pPr>
    </w:p>
    <w:tbl>
      <w:tblPr>
        <w:tblStyle w:val="5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144"/>
        <w:gridCol w:w="2651"/>
      </w:tblGrid>
      <w:tr w14:paraId="7E000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54555C2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1D6725A4">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招标文件商务条款要求</w:t>
            </w:r>
          </w:p>
        </w:tc>
        <w:tc>
          <w:tcPr>
            <w:tcW w:w="1144" w:type="dxa"/>
            <w:tcBorders>
              <w:top w:val="single" w:color="auto" w:sz="4" w:space="0"/>
              <w:left w:val="single" w:color="auto" w:sz="4" w:space="0"/>
              <w:bottom w:val="single" w:color="auto" w:sz="4" w:space="0"/>
              <w:right w:val="single" w:color="auto" w:sz="4" w:space="0"/>
            </w:tcBorders>
          </w:tcPr>
          <w:p w14:paraId="32D5485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是否偏离</w:t>
            </w:r>
          </w:p>
        </w:tc>
        <w:tc>
          <w:tcPr>
            <w:tcW w:w="2651" w:type="dxa"/>
            <w:tcBorders>
              <w:top w:val="single" w:color="auto" w:sz="4" w:space="0"/>
              <w:left w:val="single" w:color="auto" w:sz="4" w:space="0"/>
              <w:bottom w:val="single" w:color="auto" w:sz="4" w:space="0"/>
              <w:right w:val="single" w:color="auto" w:sz="4" w:space="0"/>
            </w:tcBorders>
          </w:tcPr>
          <w:p w14:paraId="30FEB0E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投标人的承诺或说明</w:t>
            </w:r>
          </w:p>
        </w:tc>
      </w:tr>
      <w:tr w14:paraId="35DD0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vAlign w:val="center"/>
          </w:tcPr>
          <w:p w14:paraId="231165CC">
            <w:pPr>
              <w:rPr>
                <w:rFonts w:ascii="宋体" w:hAnsi="宋体"/>
                <w:color w:val="auto"/>
                <w:sz w:val="24"/>
                <w:highlight w:val="none"/>
              </w:rPr>
            </w:pPr>
          </w:p>
          <w:p w14:paraId="7312E168">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EB4E1AD">
            <w:pPr>
              <w:snapToGrid w:val="0"/>
              <w:spacing w:before="120" w:beforeLines="50"/>
              <w:jc w:val="center"/>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3E77E0AF">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0A63F13C">
            <w:pPr>
              <w:snapToGrid w:val="0"/>
              <w:spacing w:before="120" w:beforeLines="50"/>
              <w:jc w:val="center"/>
              <w:rPr>
                <w:rFonts w:ascii="宋体" w:hAnsi="宋体"/>
                <w:color w:val="auto"/>
                <w:sz w:val="24"/>
                <w:highlight w:val="none"/>
              </w:rPr>
            </w:pPr>
          </w:p>
        </w:tc>
      </w:tr>
      <w:tr w14:paraId="2581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022D04C">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78CF8E15">
            <w:pPr>
              <w:snapToGrid w:val="0"/>
              <w:spacing w:before="120" w:beforeLines="50"/>
              <w:rPr>
                <w:rFonts w:ascii="宋体" w:hAnsi="宋体"/>
                <w:color w:val="auto"/>
                <w:sz w:val="24"/>
                <w:highlight w:val="none"/>
                <w:u w:val="single"/>
              </w:rPr>
            </w:pPr>
          </w:p>
        </w:tc>
        <w:tc>
          <w:tcPr>
            <w:tcW w:w="1144" w:type="dxa"/>
            <w:tcBorders>
              <w:top w:val="single" w:color="auto" w:sz="4" w:space="0"/>
              <w:left w:val="single" w:color="auto" w:sz="4" w:space="0"/>
              <w:bottom w:val="single" w:color="auto" w:sz="4" w:space="0"/>
              <w:right w:val="single" w:color="auto" w:sz="4" w:space="0"/>
            </w:tcBorders>
          </w:tcPr>
          <w:p w14:paraId="6918055C">
            <w:pPr>
              <w:snapToGrid w:val="0"/>
              <w:spacing w:before="120" w:beforeLines="50"/>
              <w:ind w:left="43"/>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79389A21">
            <w:pPr>
              <w:snapToGrid w:val="0"/>
              <w:spacing w:before="120" w:beforeLines="50"/>
              <w:ind w:left="43"/>
              <w:jc w:val="center"/>
              <w:rPr>
                <w:rFonts w:ascii="宋体" w:hAnsi="宋体"/>
                <w:color w:val="auto"/>
                <w:sz w:val="24"/>
                <w:highlight w:val="none"/>
              </w:rPr>
            </w:pPr>
          </w:p>
        </w:tc>
      </w:tr>
      <w:tr w14:paraId="3E2A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1FFC8B63">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7824EF5A">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0A1F0BEB">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0A0B89B9">
            <w:pPr>
              <w:snapToGrid w:val="0"/>
              <w:spacing w:before="120" w:beforeLines="50"/>
              <w:jc w:val="center"/>
              <w:rPr>
                <w:rFonts w:ascii="宋体" w:hAnsi="宋体"/>
                <w:color w:val="auto"/>
                <w:sz w:val="24"/>
                <w:highlight w:val="none"/>
              </w:rPr>
            </w:pPr>
          </w:p>
        </w:tc>
      </w:tr>
      <w:tr w14:paraId="40DA9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741F7ABB">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C9E9A68">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276D07B5">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4153C61C">
            <w:pPr>
              <w:snapToGrid w:val="0"/>
              <w:spacing w:before="120" w:beforeLines="50"/>
              <w:jc w:val="center"/>
              <w:rPr>
                <w:rFonts w:ascii="宋体" w:hAnsi="宋体"/>
                <w:color w:val="auto"/>
                <w:sz w:val="24"/>
                <w:highlight w:val="none"/>
              </w:rPr>
            </w:pPr>
          </w:p>
        </w:tc>
      </w:tr>
      <w:tr w14:paraId="273C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6A6B802B">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4767996C">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48C134EC">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5225896F">
            <w:pPr>
              <w:snapToGrid w:val="0"/>
              <w:spacing w:before="120" w:beforeLines="50"/>
              <w:jc w:val="center"/>
              <w:rPr>
                <w:rFonts w:ascii="宋体" w:hAnsi="宋体"/>
                <w:color w:val="auto"/>
                <w:sz w:val="24"/>
                <w:highlight w:val="none"/>
              </w:rPr>
            </w:pPr>
          </w:p>
        </w:tc>
      </w:tr>
      <w:tr w14:paraId="5B6CA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CAAA56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4DD76AD8">
            <w:pPr>
              <w:snapToGrid w:val="0"/>
              <w:spacing w:before="120" w:beforeLines="50"/>
              <w:jc w:val="center"/>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2404BB62">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11C4F23E">
            <w:pPr>
              <w:snapToGrid w:val="0"/>
              <w:spacing w:before="120" w:beforeLines="50"/>
              <w:jc w:val="center"/>
              <w:rPr>
                <w:rFonts w:ascii="宋体" w:hAnsi="宋体"/>
                <w:color w:val="auto"/>
                <w:sz w:val="24"/>
                <w:highlight w:val="none"/>
              </w:rPr>
            </w:pPr>
          </w:p>
        </w:tc>
      </w:tr>
    </w:tbl>
    <w:p w14:paraId="5299DA4D">
      <w:pPr>
        <w:pStyle w:val="18"/>
        <w:ind w:left="1260" w:hanging="420"/>
        <w:rPr>
          <w:rFonts w:ascii="宋体" w:hAnsi="宋体" w:cs="宋体"/>
          <w:color w:val="auto"/>
          <w:highlight w:val="none"/>
        </w:rPr>
      </w:pPr>
      <w:r>
        <w:rPr>
          <w:rFonts w:hint="eastAsia" w:ascii="宋体" w:hAnsi="宋体" w:cs="宋体"/>
          <w:color w:val="auto"/>
          <w:highlight w:val="none"/>
        </w:rPr>
        <w:t>注：</w:t>
      </w:r>
    </w:p>
    <w:p w14:paraId="1517664C">
      <w:pPr>
        <w:pStyle w:val="20"/>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采购需求”中的商务要求逐条作明确的投标响应，并作出偏离说明。</w:t>
      </w:r>
    </w:p>
    <w:p w14:paraId="450F257A">
      <w:pPr>
        <w:pStyle w:val="18"/>
        <w:ind w:left="1262" w:hanging="422"/>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78917EC6">
      <w:pPr>
        <w:snapToGrid w:val="0"/>
        <w:spacing w:before="50" w:after="50"/>
        <w:rPr>
          <w:rFonts w:ascii="宋体" w:hAnsi="宋体" w:cs="宋体"/>
          <w:color w:val="auto"/>
          <w:sz w:val="24"/>
          <w:highlight w:val="none"/>
        </w:rPr>
      </w:pPr>
    </w:p>
    <w:p w14:paraId="7AFA4710">
      <w:pPr>
        <w:snapToGrid w:val="0"/>
        <w:spacing w:before="50" w:after="50"/>
        <w:rPr>
          <w:rFonts w:ascii="宋体" w:hAnsi="宋体" w:cs="宋体"/>
          <w:color w:val="auto"/>
          <w:sz w:val="24"/>
          <w:highlight w:val="none"/>
        </w:rPr>
      </w:pPr>
    </w:p>
    <w:p w14:paraId="0FF43854">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377364CB">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A958B54">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4D44DA1C">
      <w:pPr>
        <w:snapToGrid w:val="0"/>
        <w:spacing w:before="120" w:beforeLines="50"/>
        <w:rPr>
          <w:rFonts w:ascii="宋体" w:hAnsi="宋体" w:cs="宋体"/>
          <w:color w:val="auto"/>
          <w:sz w:val="24"/>
          <w:szCs w:val="20"/>
          <w:highlight w:val="none"/>
        </w:rPr>
      </w:pPr>
    </w:p>
    <w:p w14:paraId="0FCF1A13">
      <w:pPr>
        <w:snapToGrid w:val="0"/>
        <w:spacing w:before="120" w:beforeLines="50" w:after="50"/>
        <w:jc w:val="left"/>
        <w:rPr>
          <w:rFonts w:ascii="宋体" w:hAnsi="宋体" w:cs="宋体"/>
          <w:color w:val="auto"/>
          <w:sz w:val="24"/>
          <w:szCs w:val="20"/>
          <w:highlight w:val="none"/>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p>
    <w:p w14:paraId="0AA06543">
      <w:pPr>
        <w:rPr>
          <w:rFonts w:ascii="宋体" w:hAnsi="宋体" w:cs="宋体"/>
          <w:b/>
          <w:color w:val="auto"/>
          <w:sz w:val="28"/>
          <w:szCs w:val="28"/>
          <w:highlight w:val="none"/>
        </w:rPr>
      </w:pPr>
      <w:bookmarkStart w:id="170" w:name="_Toc19686839"/>
      <w:r>
        <w:rPr>
          <w:rFonts w:hint="eastAsia" w:ascii="宋体" w:hAnsi="宋体" w:cs="宋体"/>
          <w:b/>
          <w:color w:val="auto"/>
          <w:sz w:val="28"/>
          <w:szCs w:val="28"/>
          <w:highlight w:val="none"/>
        </w:rPr>
        <w:t>四、技术文件格式</w:t>
      </w:r>
      <w:bookmarkEnd w:id="170"/>
    </w:p>
    <w:p w14:paraId="3FDE632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353FA349">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3B1EB5F8">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2E250BC2">
      <w:pPr>
        <w:snapToGrid w:val="0"/>
        <w:spacing w:before="120" w:beforeLines="50" w:after="50"/>
        <w:rPr>
          <w:rFonts w:ascii="宋体" w:hAnsi="宋体" w:cs="宋体"/>
          <w:bCs/>
          <w:color w:val="auto"/>
          <w:sz w:val="24"/>
          <w:szCs w:val="20"/>
          <w:highlight w:val="none"/>
        </w:rPr>
      </w:pPr>
    </w:p>
    <w:p w14:paraId="6DB17D5B">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7D24BE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项目编号：</w:t>
      </w:r>
    </w:p>
    <w:p w14:paraId="78F684F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color w:val="auto"/>
          <w:sz w:val="24"/>
          <w:highlight w:val="none"/>
        </w:rPr>
        <w:t>分标：</w:t>
      </w:r>
    </w:p>
    <w:p w14:paraId="7756825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8977E8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FCD17DB">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E011EAF">
      <w:pPr>
        <w:snapToGrid w:val="0"/>
        <w:spacing w:before="120" w:beforeLines="50" w:after="50"/>
        <w:ind w:firstLine="645"/>
        <w:jc w:val="center"/>
        <w:rPr>
          <w:rFonts w:ascii="宋体" w:hAnsi="宋体" w:cs="宋体"/>
          <w:color w:val="auto"/>
          <w:sz w:val="24"/>
          <w:szCs w:val="20"/>
          <w:highlight w:val="none"/>
        </w:rPr>
      </w:pPr>
    </w:p>
    <w:p w14:paraId="68CB466E">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A9893B">
      <w:pPr>
        <w:snapToGrid w:val="0"/>
        <w:spacing w:before="50" w:after="120" w:afterLines="50" w:line="280" w:lineRule="exact"/>
        <w:ind w:left="283" w:leftChars="135"/>
        <w:jc w:val="left"/>
        <w:rPr>
          <w:rFonts w:ascii="宋体" w:hAnsi="宋体" w:cs="宋体"/>
          <w:color w:val="auto"/>
          <w:sz w:val="24"/>
          <w:szCs w:val="20"/>
          <w:highlight w:val="none"/>
        </w:rPr>
      </w:pPr>
      <w:r>
        <w:rPr>
          <w:rFonts w:hint="eastAsia" w:ascii="宋体" w:hAnsi="宋体" w:cs="宋体"/>
          <w:color w:val="auto"/>
          <w:szCs w:val="21"/>
          <w:highlight w:val="none"/>
        </w:rPr>
        <w:t>根据招标文件规定及投标人提供的材料自行编写目录。</w:t>
      </w:r>
    </w:p>
    <w:p w14:paraId="6CD03113">
      <w:pPr>
        <w:snapToGrid w:val="0"/>
        <w:spacing w:before="120" w:beforeLines="50" w:after="50"/>
        <w:jc w:val="left"/>
        <w:rPr>
          <w:rFonts w:ascii="宋体" w:hAnsi="宋体" w:cs="宋体"/>
          <w:b/>
          <w:color w:val="auto"/>
          <w:sz w:val="24"/>
          <w:highlight w:val="none"/>
        </w:rPr>
      </w:pPr>
    </w:p>
    <w:p w14:paraId="0A29F68F">
      <w:pPr>
        <w:rPr>
          <w:rFonts w:ascii="宋体" w:hAnsi="宋体"/>
          <w:color w:val="auto"/>
          <w:sz w:val="24"/>
          <w:highlight w:val="none"/>
        </w:rPr>
      </w:pPr>
      <w:r>
        <w:rPr>
          <w:rFonts w:hint="eastAsia" w:ascii="宋体" w:hAnsi="宋体" w:cs="宋体"/>
          <w:b/>
          <w:bCs/>
          <w:color w:val="auto"/>
          <w:sz w:val="24"/>
          <w:highlight w:val="none"/>
        </w:rPr>
        <w:br w:type="page"/>
      </w:r>
      <w:bookmarkStart w:id="171" w:name="_Toc19686840"/>
      <w:r>
        <w:rPr>
          <w:rFonts w:hint="eastAsia" w:ascii="宋体" w:hAnsi="宋体"/>
          <w:b/>
          <w:color w:val="auto"/>
          <w:sz w:val="24"/>
          <w:highlight w:val="none"/>
        </w:rPr>
        <w:t>3. 技术要求偏离表格式（注：按项目需求表具体项目修改）</w:t>
      </w:r>
    </w:p>
    <w:p w14:paraId="20B65A2B">
      <w:pPr>
        <w:pStyle w:val="26"/>
        <w:rPr>
          <w:rFonts w:hAnsi="宋体"/>
          <w:color w:val="auto"/>
          <w:sz w:val="24"/>
          <w:szCs w:val="24"/>
          <w:highlight w:val="none"/>
        </w:rPr>
      </w:pPr>
    </w:p>
    <w:p w14:paraId="341C4CB7">
      <w:pPr>
        <w:snapToGrid w:val="0"/>
        <w:spacing w:before="50"/>
        <w:jc w:val="left"/>
        <w:rPr>
          <w:rFonts w:ascii="宋体" w:hAnsi="宋体"/>
          <w:color w:val="auto"/>
          <w:sz w:val="24"/>
          <w:highlight w:val="none"/>
          <w:u w:val="single"/>
        </w:rPr>
      </w:pPr>
    </w:p>
    <w:tbl>
      <w:tblPr>
        <w:tblStyle w:val="5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5E5E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tcPr>
          <w:p w14:paraId="781951F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tcPr>
          <w:p w14:paraId="4449829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招标文件项目需要及技术需求</w:t>
            </w:r>
          </w:p>
        </w:tc>
        <w:tc>
          <w:tcPr>
            <w:tcW w:w="1760" w:type="dxa"/>
            <w:tcBorders>
              <w:top w:val="single" w:color="auto" w:sz="4" w:space="0"/>
              <w:left w:val="single" w:color="auto" w:sz="4" w:space="0"/>
              <w:bottom w:val="single" w:color="auto" w:sz="4" w:space="0"/>
              <w:right w:val="single" w:color="auto" w:sz="4" w:space="0"/>
            </w:tcBorders>
            <w:noWrap/>
          </w:tcPr>
          <w:p w14:paraId="64E5D79D">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tcPr>
          <w:p w14:paraId="4187ABD7">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57A1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B40DEAA">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3ED028CD">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4AAE2C6">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47CB41C6">
            <w:pPr>
              <w:snapToGrid w:val="0"/>
              <w:spacing w:before="120" w:beforeLines="50"/>
              <w:jc w:val="center"/>
              <w:rPr>
                <w:rFonts w:ascii="宋体" w:hAnsi="宋体"/>
                <w:color w:val="auto"/>
                <w:sz w:val="24"/>
                <w:highlight w:val="none"/>
              </w:rPr>
            </w:pPr>
          </w:p>
        </w:tc>
      </w:tr>
      <w:tr w14:paraId="7F64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3F3B24F">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251BE8BE">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1041918">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131297FE">
            <w:pPr>
              <w:snapToGrid w:val="0"/>
              <w:spacing w:before="120" w:beforeLines="50"/>
              <w:ind w:left="43"/>
              <w:jc w:val="center"/>
              <w:rPr>
                <w:rFonts w:ascii="宋体" w:hAnsi="宋体"/>
                <w:color w:val="auto"/>
                <w:sz w:val="24"/>
                <w:highlight w:val="none"/>
              </w:rPr>
            </w:pPr>
          </w:p>
        </w:tc>
      </w:tr>
      <w:tr w14:paraId="3AC7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tcPr>
          <w:p w14:paraId="62951A4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tcPr>
          <w:p w14:paraId="14E191D3">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66068E42">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3CE9C442">
            <w:pPr>
              <w:snapToGrid w:val="0"/>
              <w:spacing w:before="120" w:beforeLines="50"/>
              <w:jc w:val="center"/>
              <w:rPr>
                <w:rFonts w:ascii="宋体" w:hAnsi="宋体"/>
                <w:color w:val="auto"/>
                <w:sz w:val="24"/>
                <w:highlight w:val="none"/>
              </w:rPr>
            </w:pPr>
          </w:p>
        </w:tc>
      </w:tr>
    </w:tbl>
    <w:p w14:paraId="044A3F81">
      <w:pPr>
        <w:pStyle w:val="18"/>
        <w:ind w:left="1260" w:hanging="420"/>
        <w:rPr>
          <w:rFonts w:ascii="宋体" w:hAnsi="宋体"/>
          <w:color w:val="auto"/>
          <w:highlight w:val="none"/>
        </w:rPr>
      </w:pPr>
      <w:r>
        <w:rPr>
          <w:rFonts w:hint="eastAsia" w:ascii="宋体" w:hAnsi="宋体"/>
          <w:color w:val="auto"/>
          <w:highlight w:val="none"/>
        </w:rPr>
        <w:t>注：</w:t>
      </w:r>
    </w:p>
    <w:p w14:paraId="157F2082">
      <w:pPr>
        <w:pStyle w:val="20"/>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采购需求”中的项目需要及技术需求逐条作明确的投标响应，并作出偏离说明。</w:t>
      </w:r>
    </w:p>
    <w:p w14:paraId="722D2EB7">
      <w:pPr>
        <w:pStyle w:val="18"/>
        <w:ind w:left="1262" w:hanging="422"/>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1A215E2">
      <w:pPr>
        <w:snapToGrid w:val="0"/>
        <w:spacing w:before="50" w:after="50"/>
        <w:rPr>
          <w:rFonts w:ascii="宋体" w:hAnsi="宋体"/>
          <w:color w:val="auto"/>
          <w:sz w:val="24"/>
          <w:highlight w:val="none"/>
        </w:rPr>
      </w:pPr>
    </w:p>
    <w:p w14:paraId="7394A721">
      <w:pPr>
        <w:snapToGrid w:val="0"/>
        <w:spacing w:before="50" w:after="50"/>
        <w:rPr>
          <w:rFonts w:ascii="宋体" w:hAnsi="宋体"/>
          <w:color w:val="auto"/>
          <w:sz w:val="24"/>
          <w:highlight w:val="none"/>
        </w:rPr>
      </w:pPr>
    </w:p>
    <w:p w14:paraId="0DFFE30C">
      <w:pPr>
        <w:snapToGrid w:val="0"/>
        <w:spacing w:before="120" w:beforeLines="50"/>
        <w:rPr>
          <w:rFonts w:ascii="宋体" w:hAnsi="宋体"/>
          <w:color w:val="auto"/>
          <w:sz w:val="24"/>
          <w:szCs w:val="20"/>
          <w:highlight w:val="none"/>
        </w:rPr>
      </w:pPr>
    </w:p>
    <w:p w14:paraId="013B708F">
      <w:pPr>
        <w:snapToGrid w:val="0"/>
        <w:spacing w:before="50" w:after="120" w:afterLines="50"/>
        <w:jc w:val="left"/>
        <w:rPr>
          <w:rFonts w:ascii="宋体" w:hAnsi="宋体"/>
          <w:color w:val="auto"/>
          <w:sz w:val="24"/>
          <w:szCs w:val="20"/>
          <w:highlight w:val="none"/>
        </w:rPr>
      </w:pPr>
    </w:p>
    <w:p w14:paraId="2835DA93">
      <w:pPr>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法定代表人(负责人)或委托代理人（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78B58A0">
      <w:pPr>
        <w:snapToGrid w:val="0"/>
        <w:spacing w:before="50" w:after="120" w:afterLines="50"/>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20CEE8B2">
      <w:pPr>
        <w:snapToGrid w:val="0"/>
        <w:spacing w:before="50" w:after="120" w:afterLines="50"/>
        <w:jc w:val="left"/>
        <w:rPr>
          <w:rFonts w:ascii="宋体" w:hAnsi="宋体"/>
          <w:color w:val="auto"/>
          <w:sz w:val="24"/>
          <w:szCs w:val="20"/>
          <w:highlight w:val="none"/>
        </w:rPr>
      </w:pPr>
    </w:p>
    <w:p w14:paraId="2C22307F">
      <w:pPr>
        <w:snapToGrid w:val="0"/>
        <w:spacing w:before="50" w:after="120" w:afterLines="50"/>
        <w:jc w:val="left"/>
        <w:rPr>
          <w:rFonts w:ascii="宋体" w:hAnsi="宋体" w:cs="宋体"/>
          <w:b/>
          <w:color w:val="auto"/>
          <w:sz w:val="28"/>
          <w:szCs w:val="28"/>
          <w:highlight w:val="none"/>
        </w:rPr>
      </w:pPr>
    </w:p>
    <w:p w14:paraId="32D48703">
      <w:pPr>
        <w:snapToGrid w:val="0"/>
        <w:spacing w:before="50" w:after="120" w:afterLines="50"/>
        <w:jc w:val="left"/>
        <w:rPr>
          <w:rFonts w:ascii="宋体" w:hAnsi="宋体" w:cs="宋体"/>
          <w:b/>
          <w:color w:val="auto"/>
          <w:sz w:val="28"/>
          <w:szCs w:val="28"/>
          <w:highlight w:val="none"/>
        </w:rPr>
      </w:pPr>
    </w:p>
    <w:p w14:paraId="24FF767B">
      <w:pPr>
        <w:snapToGrid w:val="0"/>
        <w:spacing w:before="50" w:after="120" w:afterLines="50"/>
        <w:jc w:val="left"/>
        <w:rPr>
          <w:rFonts w:ascii="宋体" w:hAnsi="宋体" w:cs="宋体"/>
          <w:b/>
          <w:color w:val="auto"/>
          <w:sz w:val="28"/>
          <w:szCs w:val="28"/>
          <w:highlight w:val="none"/>
        </w:rPr>
      </w:pPr>
    </w:p>
    <w:p w14:paraId="19CE354A">
      <w:pPr>
        <w:snapToGrid w:val="0"/>
        <w:spacing w:before="50" w:after="120" w:afterLines="50"/>
        <w:jc w:val="left"/>
        <w:rPr>
          <w:rFonts w:ascii="宋体" w:hAnsi="宋体" w:cs="宋体"/>
          <w:b/>
          <w:color w:val="auto"/>
          <w:sz w:val="28"/>
          <w:szCs w:val="28"/>
          <w:highlight w:val="none"/>
        </w:rPr>
      </w:pPr>
    </w:p>
    <w:p w14:paraId="457B8EB2">
      <w:pPr>
        <w:snapToGrid w:val="0"/>
        <w:spacing w:before="50" w:after="120" w:afterLines="50"/>
        <w:jc w:val="left"/>
        <w:rPr>
          <w:rFonts w:ascii="宋体" w:hAnsi="宋体" w:cs="宋体"/>
          <w:b/>
          <w:color w:val="auto"/>
          <w:sz w:val="28"/>
          <w:szCs w:val="28"/>
          <w:highlight w:val="none"/>
        </w:rPr>
      </w:pPr>
    </w:p>
    <w:p w14:paraId="654C46A4">
      <w:pPr>
        <w:snapToGrid w:val="0"/>
        <w:spacing w:before="50" w:after="120" w:afterLines="50"/>
        <w:jc w:val="left"/>
        <w:rPr>
          <w:rFonts w:ascii="宋体" w:hAnsi="宋体" w:cs="宋体"/>
          <w:b/>
          <w:color w:val="auto"/>
          <w:sz w:val="28"/>
          <w:szCs w:val="28"/>
          <w:highlight w:val="none"/>
        </w:rPr>
      </w:pPr>
    </w:p>
    <w:p w14:paraId="0192A37F">
      <w:pPr>
        <w:snapToGrid w:val="0"/>
        <w:spacing w:before="50" w:after="120" w:afterLines="50"/>
        <w:jc w:val="left"/>
        <w:rPr>
          <w:rFonts w:ascii="宋体" w:hAnsi="宋体" w:cs="宋体"/>
          <w:b/>
          <w:color w:val="auto"/>
          <w:sz w:val="28"/>
          <w:szCs w:val="28"/>
          <w:highlight w:val="none"/>
        </w:rPr>
      </w:pPr>
    </w:p>
    <w:p w14:paraId="04D479BB">
      <w:pPr>
        <w:snapToGrid w:val="0"/>
        <w:spacing w:before="50" w:after="120" w:afterLines="50"/>
        <w:jc w:val="left"/>
        <w:rPr>
          <w:rFonts w:ascii="宋体" w:hAnsi="宋体" w:cs="宋体"/>
          <w:b/>
          <w:color w:val="auto"/>
          <w:sz w:val="28"/>
          <w:szCs w:val="28"/>
          <w:highlight w:val="none"/>
        </w:rPr>
      </w:pPr>
    </w:p>
    <w:p w14:paraId="23E79B8C">
      <w:pPr>
        <w:snapToGrid w:val="0"/>
        <w:spacing w:before="50" w:after="120" w:afterLines="50"/>
        <w:jc w:val="left"/>
        <w:rPr>
          <w:rFonts w:ascii="宋体" w:hAnsi="宋体" w:cs="宋体"/>
          <w:b/>
          <w:color w:val="auto"/>
          <w:sz w:val="28"/>
          <w:szCs w:val="28"/>
          <w:highlight w:val="none"/>
        </w:rPr>
      </w:pPr>
    </w:p>
    <w:p w14:paraId="3AD02784">
      <w:pPr>
        <w:snapToGrid w:val="0"/>
        <w:spacing w:before="50" w:after="120" w:afterLines="50"/>
        <w:jc w:val="left"/>
        <w:rPr>
          <w:rFonts w:ascii="宋体" w:hAnsi="宋体" w:cs="宋体"/>
          <w:b/>
          <w:color w:val="auto"/>
          <w:sz w:val="28"/>
          <w:szCs w:val="28"/>
          <w:highlight w:val="none"/>
        </w:rPr>
      </w:pPr>
    </w:p>
    <w:p w14:paraId="0EF3FAA4">
      <w:pPr>
        <w:snapToGrid w:val="0"/>
        <w:spacing w:before="50" w:after="120" w:afterLines="50"/>
        <w:jc w:val="left"/>
        <w:rPr>
          <w:rFonts w:ascii="宋体" w:hAnsi="宋体" w:cs="宋体"/>
          <w:b/>
          <w:color w:val="auto"/>
          <w:sz w:val="28"/>
          <w:szCs w:val="28"/>
          <w:highlight w:val="none"/>
        </w:rPr>
      </w:pPr>
      <w:r>
        <w:rPr>
          <w:rFonts w:hint="eastAsia" w:ascii="宋体" w:hAnsi="宋体" w:cs="宋体"/>
          <w:b/>
          <w:color w:val="auto"/>
          <w:sz w:val="28"/>
          <w:szCs w:val="28"/>
          <w:highlight w:val="none"/>
        </w:rPr>
        <w:t>五、其他文书、文件格式</w:t>
      </w:r>
      <w:bookmarkEnd w:id="171"/>
    </w:p>
    <w:p w14:paraId="7D318405">
      <w:pPr>
        <w:spacing w:before="120" w:beforeLines="50" w:after="120" w:afterLines="50" w:line="400" w:lineRule="exact"/>
        <w:rPr>
          <w:rFonts w:ascii="宋体" w:hAnsi="宋体" w:cs="宋体"/>
          <w:color w:val="auto"/>
          <w:sz w:val="24"/>
          <w:highlight w:val="none"/>
        </w:rPr>
      </w:pPr>
    </w:p>
    <w:p w14:paraId="7B03A719">
      <w:pPr>
        <w:snapToGrid w:val="0"/>
        <w:spacing w:before="120" w:beforeLines="50" w:after="50"/>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1.贵港市政府采购项目投标资格承诺函</w:t>
      </w:r>
    </w:p>
    <w:p w14:paraId="0D9A75D3">
      <w:pPr>
        <w:pStyle w:val="19"/>
        <w:spacing w:after="120"/>
        <w:rPr>
          <w:rFonts w:ascii="宋体" w:hAnsi="宋体" w:cs="宋体"/>
          <w:color w:val="auto"/>
          <w:highlight w:val="none"/>
        </w:rPr>
      </w:pPr>
    </w:p>
    <w:p w14:paraId="126F3D73">
      <w:pPr>
        <w:widowControl/>
        <w:jc w:val="center"/>
        <w:rPr>
          <w:rFonts w:ascii="宋体" w:hAnsi="宋体" w:cs="宋体"/>
          <w:color w:val="auto"/>
          <w:highlight w:val="none"/>
        </w:rPr>
      </w:pPr>
      <w:r>
        <w:rPr>
          <w:rFonts w:hint="eastAsia" w:ascii="宋体" w:hAnsi="宋体" w:cs="宋体"/>
          <w:b/>
          <w:color w:val="auto"/>
          <w:sz w:val="32"/>
          <w:szCs w:val="32"/>
          <w:highlight w:val="none"/>
        </w:rPr>
        <w:t>贵港市政府采购项目投标资格承诺函</w:t>
      </w:r>
    </w:p>
    <w:p w14:paraId="08E1790B">
      <w:pPr>
        <w:widowControl/>
        <w:spacing w:line="360" w:lineRule="auto"/>
        <w:ind w:firstLine="420" w:firstLineChars="200"/>
        <w:jc w:val="left"/>
        <w:rPr>
          <w:rFonts w:ascii="宋体" w:hAnsi="宋体" w:cs="宋体"/>
          <w:color w:val="auto"/>
          <w:kern w:val="0"/>
          <w:szCs w:val="21"/>
          <w:highlight w:val="none"/>
          <w:lang w:bidi="ar"/>
        </w:rPr>
      </w:pPr>
    </w:p>
    <w:p w14:paraId="14C1414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本公司郑重承诺，根据《中华人民共和国政府采购法》第二十二条的规定，本公司为参加政府采购活动的合格供应商。即本公司同时满足以下条件： </w:t>
      </w:r>
    </w:p>
    <w:p w14:paraId="0494885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1.具有独立承担民事责任的能力。 </w:t>
      </w:r>
    </w:p>
    <w:p w14:paraId="777F490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2.具有良好的商业信誉和健全的财务会计制度。 </w:t>
      </w:r>
    </w:p>
    <w:p w14:paraId="48F545B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3.具有履行合同所必需的设备和专业技术能力。 </w:t>
      </w:r>
    </w:p>
    <w:p w14:paraId="7FC450E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4.有依法缴纳税收和社会保障资金的良好记录。 </w:t>
      </w:r>
    </w:p>
    <w:p w14:paraId="46F50CD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5. 提交投标文件截止日期前三年内，在经营活动中没有重大 </w:t>
      </w:r>
    </w:p>
    <w:p w14:paraId="0E4D8F62">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违法记录。 </w:t>
      </w:r>
    </w:p>
    <w:p w14:paraId="172EF6D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本公司对上述承诺的真实性负责，并接受政府采购、税务、社会保障等监督管理部门、采购文件规定的资格审查机构、社会公众的监督和检查。如有虚假，将依法承担相应责任。 </w:t>
      </w:r>
    </w:p>
    <w:p w14:paraId="38AAACFA">
      <w:pPr>
        <w:widowControl/>
        <w:spacing w:line="360" w:lineRule="auto"/>
        <w:jc w:val="right"/>
        <w:rPr>
          <w:rFonts w:ascii="宋体" w:hAnsi="宋体" w:cs="宋体"/>
          <w:color w:val="auto"/>
          <w:kern w:val="0"/>
          <w:szCs w:val="21"/>
          <w:highlight w:val="none"/>
          <w:lang w:bidi="ar"/>
        </w:rPr>
      </w:pPr>
    </w:p>
    <w:p w14:paraId="37604381">
      <w:pPr>
        <w:widowControl/>
        <w:spacing w:line="360" w:lineRule="auto"/>
        <w:jc w:val="right"/>
        <w:rPr>
          <w:rFonts w:ascii="宋体" w:hAnsi="宋体" w:cs="宋体"/>
          <w:color w:val="auto"/>
          <w:kern w:val="0"/>
          <w:szCs w:val="21"/>
          <w:highlight w:val="none"/>
          <w:lang w:bidi="ar"/>
        </w:rPr>
      </w:pPr>
    </w:p>
    <w:p w14:paraId="07EF84B0">
      <w:pPr>
        <w:widowControl/>
        <w:spacing w:line="360" w:lineRule="auto"/>
        <w:jc w:val="right"/>
        <w:rPr>
          <w:rFonts w:ascii="宋体" w:hAnsi="宋体" w:cs="宋体"/>
          <w:color w:val="auto"/>
          <w:kern w:val="0"/>
          <w:szCs w:val="21"/>
          <w:highlight w:val="none"/>
          <w:lang w:bidi="ar"/>
        </w:rPr>
      </w:pPr>
    </w:p>
    <w:p w14:paraId="5D8DF054">
      <w:pPr>
        <w:widowControl/>
        <w:spacing w:line="360" w:lineRule="auto"/>
        <w:jc w:val="right"/>
        <w:rPr>
          <w:rFonts w:ascii="宋体" w:hAnsi="宋体" w:cs="宋体"/>
          <w:color w:val="auto"/>
          <w:kern w:val="0"/>
          <w:szCs w:val="21"/>
          <w:highlight w:val="none"/>
          <w:lang w:bidi="ar"/>
        </w:rPr>
      </w:pPr>
    </w:p>
    <w:p w14:paraId="01369CBC">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企业名称（盖公章或电子章）： </w:t>
      </w:r>
    </w:p>
    <w:p w14:paraId="10A024AE">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法定代表人（或负责人）（签字或者盖章或者电子签名）： </w:t>
      </w:r>
    </w:p>
    <w:p w14:paraId="76118DCC">
      <w:pPr>
        <w:widowControl/>
        <w:spacing w:line="360" w:lineRule="auto"/>
        <w:jc w:val="right"/>
        <w:rPr>
          <w:rFonts w:ascii="宋体" w:hAnsi="宋体" w:cs="宋体"/>
          <w:color w:val="auto"/>
          <w:szCs w:val="21"/>
          <w:highlight w:val="none"/>
        </w:rPr>
      </w:pPr>
      <w:r>
        <w:rPr>
          <w:rFonts w:hint="eastAsia" w:ascii="宋体" w:hAnsi="宋体" w:cs="宋体"/>
          <w:color w:val="auto"/>
          <w:kern w:val="0"/>
          <w:szCs w:val="21"/>
          <w:highlight w:val="none"/>
          <w:lang w:bidi="ar"/>
        </w:rPr>
        <w:t xml:space="preserve">日期： 年 月 日 </w:t>
      </w:r>
    </w:p>
    <w:p w14:paraId="1EF96C07">
      <w:pPr>
        <w:pStyle w:val="19"/>
        <w:spacing w:after="120"/>
        <w:rPr>
          <w:rFonts w:ascii="宋体" w:hAnsi="宋体" w:cs="宋体"/>
          <w:color w:val="auto"/>
          <w:highlight w:val="none"/>
        </w:rPr>
      </w:pPr>
    </w:p>
    <w:p w14:paraId="4A516761">
      <w:pPr>
        <w:snapToGrid w:val="0"/>
        <w:spacing w:before="120" w:beforeLines="50" w:after="50"/>
        <w:jc w:val="left"/>
        <w:rPr>
          <w:rFonts w:ascii="宋体" w:hAnsi="宋体" w:cs="宋体"/>
          <w:b/>
          <w:color w:val="auto"/>
          <w:sz w:val="24"/>
          <w:highlight w:val="none"/>
        </w:rPr>
      </w:pPr>
    </w:p>
    <w:p w14:paraId="4DED4F5F">
      <w:pPr>
        <w:snapToGrid w:val="0"/>
        <w:spacing w:before="120" w:beforeLines="50" w:after="50"/>
        <w:jc w:val="left"/>
        <w:rPr>
          <w:rFonts w:ascii="宋体" w:hAnsi="宋体" w:cs="宋体"/>
          <w:b/>
          <w:color w:val="auto"/>
          <w:sz w:val="24"/>
          <w:highlight w:val="none"/>
        </w:rPr>
      </w:pPr>
    </w:p>
    <w:p w14:paraId="37275DC8">
      <w:pPr>
        <w:snapToGrid w:val="0"/>
        <w:spacing w:before="120" w:beforeLines="50" w:after="50"/>
        <w:jc w:val="left"/>
        <w:rPr>
          <w:rFonts w:ascii="宋体" w:hAnsi="宋体" w:cs="宋体"/>
          <w:b/>
          <w:color w:val="auto"/>
          <w:sz w:val="24"/>
          <w:highlight w:val="none"/>
        </w:rPr>
      </w:pPr>
    </w:p>
    <w:p w14:paraId="2D4108CC">
      <w:pPr>
        <w:snapToGrid w:val="0"/>
        <w:spacing w:before="120" w:beforeLines="50" w:after="50"/>
        <w:jc w:val="left"/>
        <w:rPr>
          <w:rFonts w:ascii="宋体" w:hAnsi="宋体" w:cs="宋体"/>
          <w:b/>
          <w:color w:val="auto"/>
          <w:sz w:val="24"/>
          <w:highlight w:val="none"/>
        </w:rPr>
      </w:pPr>
    </w:p>
    <w:p w14:paraId="3867CEC3">
      <w:pPr>
        <w:snapToGrid w:val="0"/>
        <w:spacing w:before="120" w:beforeLines="50" w:after="50"/>
        <w:jc w:val="left"/>
        <w:rPr>
          <w:rFonts w:ascii="宋体" w:hAnsi="宋体" w:cs="宋体"/>
          <w:b/>
          <w:color w:val="auto"/>
          <w:sz w:val="24"/>
          <w:highlight w:val="none"/>
        </w:rPr>
      </w:pPr>
    </w:p>
    <w:p w14:paraId="4B929BFC">
      <w:pPr>
        <w:snapToGrid w:val="0"/>
        <w:spacing w:before="120" w:beforeLines="50" w:after="50"/>
        <w:jc w:val="left"/>
        <w:rPr>
          <w:rFonts w:ascii="宋体" w:hAnsi="宋体" w:cs="宋体"/>
          <w:b/>
          <w:color w:val="auto"/>
          <w:sz w:val="24"/>
          <w:highlight w:val="none"/>
        </w:rPr>
      </w:pPr>
    </w:p>
    <w:p w14:paraId="57DAABFB">
      <w:pPr>
        <w:snapToGrid w:val="0"/>
        <w:spacing w:before="120" w:beforeLines="50" w:after="50"/>
        <w:jc w:val="left"/>
        <w:rPr>
          <w:rFonts w:ascii="宋体" w:hAnsi="宋体" w:cs="宋体"/>
          <w:b/>
          <w:color w:val="auto"/>
          <w:sz w:val="24"/>
          <w:highlight w:val="none"/>
        </w:rPr>
      </w:pPr>
    </w:p>
    <w:p w14:paraId="1974D910">
      <w:pPr>
        <w:snapToGrid w:val="0"/>
        <w:spacing w:before="120" w:beforeLines="50" w:after="50"/>
        <w:jc w:val="left"/>
        <w:rPr>
          <w:rFonts w:ascii="宋体" w:hAnsi="宋体" w:cs="宋体"/>
          <w:b/>
          <w:color w:val="auto"/>
          <w:sz w:val="24"/>
          <w:highlight w:val="none"/>
        </w:rPr>
      </w:pPr>
    </w:p>
    <w:p w14:paraId="729B29F9">
      <w:pPr>
        <w:snapToGrid w:val="0"/>
        <w:spacing w:before="120" w:beforeLines="50" w:after="50"/>
        <w:jc w:val="left"/>
        <w:rPr>
          <w:rFonts w:ascii="宋体" w:hAnsi="宋体" w:cs="宋体"/>
          <w:b/>
          <w:color w:val="auto"/>
          <w:sz w:val="24"/>
          <w:highlight w:val="none"/>
        </w:rPr>
      </w:pPr>
    </w:p>
    <w:p w14:paraId="07FE9EBE">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t>2.中小企业声明函格式</w:t>
      </w:r>
    </w:p>
    <w:p w14:paraId="56E71C43">
      <w:pPr>
        <w:rPr>
          <w:rFonts w:ascii="宋体" w:hAnsi="宋体" w:cs="宋体"/>
          <w:color w:val="auto"/>
          <w:highlight w:val="none"/>
        </w:rPr>
      </w:pPr>
    </w:p>
    <w:p w14:paraId="00D48C37">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50E90E0F">
      <w:pPr>
        <w:spacing w:before="2" w:line="500" w:lineRule="exact"/>
        <w:rPr>
          <w:rFonts w:ascii="宋体" w:hAnsi="宋体" w:cs="宋体"/>
          <w:b/>
          <w:bCs/>
          <w:color w:val="auto"/>
          <w:sz w:val="24"/>
          <w:highlight w:val="none"/>
        </w:rPr>
      </w:pPr>
    </w:p>
    <w:p w14:paraId="49CE1978">
      <w:pPr>
        <w:pStyle w:val="19"/>
        <w:spacing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5D73E2F4">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B075981">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83A0A72">
      <w:pPr>
        <w:pStyle w:val="19"/>
        <w:spacing w:before="34" w:after="120" w:line="500" w:lineRule="exact"/>
        <w:ind w:left="765" w:right="142" w:hanging="5"/>
        <w:rPr>
          <w:rFonts w:ascii="宋体" w:hAnsi="宋体" w:cs="宋体"/>
          <w:color w:val="auto"/>
          <w:highlight w:val="none"/>
        </w:rPr>
      </w:pPr>
      <w:r>
        <w:rPr>
          <w:rFonts w:hint="eastAsia" w:ascii="宋体" w:hAnsi="宋体" w:cs="宋体"/>
          <w:color w:val="auto"/>
          <w:highlight w:val="none"/>
        </w:rPr>
        <w:t xml:space="preserve">…… </w:t>
      </w:r>
    </w:p>
    <w:p w14:paraId="16070F46">
      <w:pPr>
        <w:pStyle w:val="19"/>
        <w:spacing w:before="34"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66128896">
      <w:pPr>
        <w:pStyle w:val="19"/>
        <w:spacing w:before="34"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5D16E20">
      <w:pPr>
        <w:pStyle w:val="19"/>
        <w:spacing w:before="56" w:after="120" w:line="500" w:lineRule="exact"/>
        <w:ind w:left="3960" w:right="1808"/>
        <w:rPr>
          <w:rFonts w:ascii="宋体" w:hAnsi="宋体" w:cs="宋体"/>
          <w:color w:val="auto"/>
          <w:highlight w:val="none"/>
        </w:rPr>
      </w:pPr>
      <w:r>
        <w:rPr>
          <w:rFonts w:hint="eastAsia" w:ascii="宋体" w:hAnsi="宋体" w:cs="宋体"/>
          <w:color w:val="auto"/>
          <w:kern w:val="24"/>
          <w:highlight w:val="none"/>
        </w:rPr>
        <w:t>企业名称（电子签章）：</w:t>
      </w:r>
      <w:r>
        <w:rPr>
          <w:rFonts w:hint="eastAsia" w:ascii="宋体" w:hAnsi="宋体" w:cs="宋体"/>
          <w:color w:val="auto"/>
          <w:highlight w:val="none"/>
        </w:rPr>
        <w:t xml:space="preserve"> </w:t>
      </w:r>
    </w:p>
    <w:p w14:paraId="635AF4D5">
      <w:pPr>
        <w:pStyle w:val="19"/>
        <w:spacing w:before="56" w:after="120" w:line="500" w:lineRule="exact"/>
        <w:ind w:left="3960" w:right="1808"/>
        <w:rPr>
          <w:rFonts w:ascii="宋体" w:hAnsi="宋体" w:cs="宋体"/>
          <w:color w:val="auto"/>
          <w:highlight w:val="none"/>
        </w:rPr>
      </w:pPr>
      <w:r>
        <w:rPr>
          <w:rFonts w:hint="eastAsia" w:ascii="宋体" w:hAnsi="宋体" w:cs="宋体"/>
          <w:color w:val="auto"/>
          <w:highlight w:val="none"/>
        </w:rPr>
        <w:t>日 期：</w:t>
      </w:r>
    </w:p>
    <w:p w14:paraId="5F06E04F">
      <w:pPr>
        <w:rPr>
          <w:rFonts w:ascii="宋体" w:hAnsi="宋体" w:cs="宋体"/>
          <w:color w:val="auto"/>
          <w:sz w:val="24"/>
          <w:highlight w:val="none"/>
        </w:rPr>
      </w:pPr>
      <w:r>
        <w:rPr>
          <w:rFonts w:hint="eastAsia" w:ascii="宋体" w:hAnsi="宋体" w:cs="宋体"/>
          <w:color w:val="auto"/>
          <w:spacing w:val="6"/>
          <w:sz w:val="24"/>
          <w:highlight w:val="none"/>
        </w:rPr>
        <w:t xml:space="preserve"> </w:t>
      </w:r>
    </w:p>
    <w:p w14:paraId="756C0851">
      <w:pPr>
        <w:rPr>
          <w:rFonts w:ascii="宋体" w:hAnsi="宋体" w:cs="宋体"/>
          <w:b/>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color w:val="auto"/>
          <w:sz w:val="24"/>
          <w:highlight w:val="none"/>
        </w:rPr>
        <w:t>3.残疾人福利性单位声明函格式</w:t>
      </w:r>
    </w:p>
    <w:p w14:paraId="70A3682B">
      <w:pPr>
        <w:spacing w:line="588" w:lineRule="exact"/>
        <w:jc w:val="center"/>
        <w:rPr>
          <w:rFonts w:ascii="宋体" w:hAnsi="宋体" w:cs="宋体"/>
          <w:b/>
          <w:color w:val="auto"/>
          <w:spacing w:val="6"/>
          <w:sz w:val="32"/>
          <w:szCs w:val="32"/>
          <w:highlight w:val="none"/>
        </w:rPr>
      </w:pPr>
      <w:bookmarkStart w:id="172" w:name="OLE_LINK14"/>
      <w:bookmarkStart w:id="173" w:name="OLE_LINK13"/>
    </w:p>
    <w:p w14:paraId="34BECF4E">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bookmarkEnd w:id="172"/>
    <w:bookmarkEnd w:id="173"/>
    <w:p w14:paraId="6262DEA5">
      <w:pPr>
        <w:spacing w:line="588" w:lineRule="exact"/>
        <w:rPr>
          <w:rFonts w:ascii="宋体" w:hAnsi="宋体" w:cs="宋体"/>
          <w:b/>
          <w:color w:val="auto"/>
          <w:spacing w:val="6"/>
          <w:sz w:val="30"/>
          <w:szCs w:val="30"/>
          <w:highlight w:val="none"/>
        </w:rPr>
      </w:pPr>
    </w:p>
    <w:p w14:paraId="061EB50E">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7C08300">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1A84279">
      <w:pPr>
        <w:spacing w:line="360" w:lineRule="auto"/>
        <w:ind w:firstLine="504" w:firstLineChars="200"/>
        <w:contextualSpacing/>
        <w:rPr>
          <w:rFonts w:ascii="宋体" w:hAnsi="宋体" w:cs="宋体"/>
          <w:color w:val="auto"/>
          <w:spacing w:val="6"/>
          <w:sz w:val="24"/>
          <w:highlight w:val="none"/>
        </w:rPr>
      </w:pPr>
    </w:p>
    <w:p w14:paraId="422CF3B0">
      <w:pPr>
        <w:spacing w:line="360" w:lineRule="auto"/>
        <w:ind w:firstLine="504" w:firstLineChars="200"/>
        <w:contextualSpacing/>
        <w:rPr>
          <w:rFonts w:ascii="宋体" w:hAnsi="宋体" w:cs="宋体"/>
          <w:color w:val="auto"/>
          <w:spacing w:val="6"/>
          <w:sz w:val="24"/>
          <w:highlight w:val="none"/>
        </w:rPr>
      </w:pPr>
    </w:p>
    <w:p w14:paraId="6EDDF11B">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52367396">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19B29B36">
      <w:pPr>
        <w:spacing w:line="360" w:lineRule="auto"/>
        <w:contextualSpacing/>
        <w:rPr>
          <w:rFonts w:ascii="宋体" w:hAnsi="宋体" w:cs="宋体"/>
          <w:color w:val="auto"/>
          <w:sz w:val="24"/>
          <w:highlight w:val="none"/>
        </w:rPr>
      </w:pPr>
    </w:p>
    <w:p w14:paraId="18FB6E9D">
      <w:pPr>
        <w:spacing w:line="360" w:lineRule="auto"/>
        <w:contextualSpacing/>
        <w:rPr>
          <w:rFonts w:ascii="宋体" w:hAnsi="宋体" w:cs="宋体"/>
          <w:color w:val="auto"/>
          <w:sz w:val="24"/>
          <w:highlight w:val="none"/>
        </w:rPr>
      </w:pPr>
    </w:p>
    <w:p w14:paraId="517AB883">
      <w:pPr>
        <w:spacing w:line="360" w:lineRule="auto"/>
        <w:contextualSpacing/>
        <w:rPr>
          <w:rFonts w:ascii="宋体" w:hAnsi="宋体" w:cs="宋体"/>
          <w:color w:val="auto"/>
          <w:sz w:val="24"/>
          <w:highlight w:val="none"/>
        </w:rPr>
      </w:pPr>
    </w:p>
    <w:p w14:paraId="764CCD0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65A51F3">
      <w:pPr>
        <w:spacing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338688A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5F0178D0">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0ED2E80">
      <w:pPr>
        <w:pStyle w:val="2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7D56D46">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C7F1769">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4B1DB2F">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37CAC4B">
      <w:pPr>
        <w:pStyle w:val="2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1B2BC16">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20C6A05">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24F8022">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10F15F0">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259F111">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157BF1F">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485F0A19">
      <w:pPr>
        <w:pStyle w:val="2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6B8178D">
      <w:pPr>
        <w:pStyle w:val="2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74D8A90F">
      <w:pPr>
        <w:pStyle w:val="26"/>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154F529A">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3DF36B3">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0043D815">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3809CFF1">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49ED66D0">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1825321C">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3A3F9E65">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2E28A170">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A9C7B16">
      <w:pPr>
        <w:pStyle w:val="26"/>
        <w:spacing w:line="360" w:lineRule="auto"/>
        <w:ind w:left="25" w:leftChars="12" w:firstLine="352" w:firstLineChars="147"/>
        <w:rPr>
          <w:rFonts w:hAnsi="宋体" w:cs="宋体"/>
          <w:color w:val="auto"/>
          <w:sz w:val="24"/>
          <w:szCs w:val="24"/>
          <w:highlight w:val="none"/>
        </w:rPr>
      </w:pPr>
    </w:p>
    <w:p w14:paraId="3A689C53">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C590249">
      <w:pPr>
        <w:pStyle w:val="26"/>
        <w:spacing w:line="360" w:lineRule="auto"/>
        <w:ind w:left="25" w:leftChars="12" w:firstLine="352" w:firstLineChars="147"/>
        <w:rPr>
          <w:rFonts w:hAnsi="宋体" w:cs="宋体"/>
          <w:color w:val="auto"/>
          <w:sz w:val="24"/>
          <w:szCs w:val="24"/>
          <w:highlight w:val="none"/>
        </w:rPr>
      </w:pPr>
    </w:p>
    <w:p w14:paraId="5E603196">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8228567">
      <w:pPr>
        <w:pStyle w:val="26"/>
        <w:snapToGrid w:val="0"/>
        <w:spacing w:line="360" w:lineRule="auto"/>
        <w:rPr>
          <w:rFonts w:hAnsi="宋体" w:cs="宋体"/>
          <w:b/>
          <w:color w:val="auto"/>
          <w:sz w:val="24"/>
          <w:szCs w:val="24"/>
          <w:highlight w:val="none"/>
        </w:rPr>
      </w:pPr>
    </w:p>
    <w:p w14:paraId="0BE148D8">
      <w:pPr>
        <w:pStyle w:val="2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C26E652">
      <w:pPr>
        <w:pStyle w:val="2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777C71D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65A112">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5D917D65">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1668D260">
      <w:pPr>
        <w:pStyle w:val="26"/>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31DD5B58">
      <w:pPr>
        <w:spacing w:line="460" w:lineRule="exact"/>
        <w:rPr>
          <w:rFonts w:ascii="宋体" w:hAnsi="宋体" w:cs="宋体"/>
          <w:color w:val="auto"/>
          <w:sz w:val="44"/>
          <w:highlight w:val="none"/>
        </w:rPr>
      </w:pPr>
    </w:p>
    <w:p w14:paraId="39B6890B">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5.投诉书（格式）</w:t>
      </w:r>
    </w:p>
    <w:p w14:paraId="4F19E1C8">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05FABC8D">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3ADDD80F">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B8B7171">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2E880A3">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2B56CDB">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56D34F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D4B74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65C76815">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801D911">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3732FEEF">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454B456">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0E7D73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B99CAD0">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6E024BC4">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14B53058">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3A37D74">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D669458">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FBEFD4E">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57D4201">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7107D16">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151A234">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05A901B5">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A62CC37">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841CAD7">
      <w:pPr>
        <w:pStyle w:val="2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6EFF0AB">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60EA359">
      <w:pPr>
        <w:pStyle w:val="26"/>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95B7C75">
      <w:pPr>
        <w:pStyle w:val="26"/>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B90704C">
      <w:pPr>
        <w:pStyle w:val="26"/>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902D000">
      <w:pPr>
        <w:pStyle w:val="26"/>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6A93B29">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0454343">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58881777">
      <w:pPr>
        <w:pStyle w:val="2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A7F3127">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6E401165">
      <w:pPr>
        <w:pStyle w:val="2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E203E09">
      <w:pPr>
        <w:pStyle w:val="26"/>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4E29A49">
      <w:pPr>
        <w:pStyle w:val="26"/>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6AB0F6E">
      <w:pPr>
        <w:pStyle w:val="26"/>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1B822258">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0BBB553A">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625C588">
      <w:pPr>
        <w:pStyle w:val="26"/>
        <w:spacing w:line="360" w:lineRule="auto"/>
        <w:ind w:left="25" w:leftChars="12" w:firstLine="352" w:firstLineChars="147"/>
        <w:rPr>
          <w:rFonts w:hAnsi="宋体" w:cs="宋体"/>
          <w:color w:val="auto"/>
          <w:sz w:val="24"/>
          <w:szCs w:val="24"/>
          <w:highlight w:val="none"/>
        </w:rPr>
      </w:pPr>
    </w:p>
    <w:p w14:paraId="10CB234B">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A2CA812">
      <w:pPr>
        <w:pStyle w:val="26"/>
        <w:spacing w:line="360" w:lineRule="auto"/>
        <w:ind w:left="25" w:leftChars="12" w:firstLine="352" w:firstLineChars="147"/>
        <w:rPr>
          <w:rFonts w:hAnsi="宋体" w:cs="宋体"/>
          <w:color w:val="auto"/>
          <w:sz w:val="24"/>
          <w:szCs w:val="24"/>
          <w:highlight w:val="none"/>
        </w:rPr>
      </w:pPr>
    </w:p>
    <w:p w14:paraId="6815FB18">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C972615">
      <w:pPr>
        <w:pStyle w:val="2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r>
        <w:rPr>
          <w:rFonts w:hint="eastAsia" w:hAnsi="宋体" w:cs="宋体"/>
          <w:b/>
          <w:color w:val="auto"/>
          <w:sz w:val="24"/>
          <w:szCs w:val="24"/>
          <w:highlight w:val="none"/>
        </w:rPr>
        <w:t>说明：</w:t>
      </w:r>
    </w:p>
    <w:p w14:paraId="68A6D535">
      <w:pPr>
        <w:pStyle w:val="2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A5C695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74152E">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63669C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57801D6">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7FEB955">
      <w:pPr>
        <w:pStyle w:val="26"/>
        <w:spacing w:line="360" w:lineRule="auto"/>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0" w:type="default"/>
      <w:pgSz w:w="11906" w:h="16838"/>
      <w:pgMar w:top="1418" w:right="1418" w:bottom="1246" w:left="1418"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2D9A">
    <w:pPr>
      <w:pStyle w:val="32"/>
      <w:jc w:val="center"/>
    </w:pPr>
  </w:p>
  <w:p w14:paraId="31D4872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9C8D">
    <w:pPr>
      <w:pStyle w:val="32"/>
      <w:framePr w:wrap="around" w:vAnchor="text" w:hAnchor="margin" w:xAlign="center" w:y="1"/>
      <w:rPr>
        <w:rStyle w:val="60"/>
      </w:rPr>
    </w:pPr>
    <w:r>
      <w:fldChar w:fldCharType="begin"/>
    </w:r>
    <w:r>
      <w:rPr>
        <w:rStyle w:val="60"/>
      </w:rPr>
      <w:instrText xml:space="preserve">PAGE  </w:instrText>
    </w:r>
    <w:r>
      <w:fldChar w:fldCharType="end"/>
    </w:r>
  </w:p>
  <w:p w14:paraId="3B20FFD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EFFF">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557F">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14FEC5C">
                          <w:pPr>
                            <w:pStyle w:val="3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214FEC5C">
                    <w:pPr>
                      <w:pStyle w:val="32"/>
                    </w:pPr>
                    <w:r>
                      <w:fldChar w:fldCharType="begin"/>
                    </w:r>
                    <w:r>
                      <w:instrText xml:space="preserve"> PAGE  \* MERGEFORMAT </w:instrText>
                    </w:r>
                    <w:r>
                      <w:fldChar w:fldCharType="separate"/>
                    </w:r>
                    <w:r>
                      <w:t>49</w:t>
                    </w:r>
                    <w:r>
                      <w:fldChar w:fldCharType="end"/>
                    </w:r>
                  </w:p>
                </w:txbxContent>
              </v:textbox>
            </v:shape>
          </w:pict>
        </mc:Fallback>
      </mc:AlternateContent>
    </w:r>
  </w:p>
  <w:p w14:paraId="0168A4A5">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C716">
    <w:pPr>
      <w:pStyle w:val="32"/>
      <w:framePr w:wrap="around" w:vAnchor="text" w:hAnchor="margin" w:xAlign="center" w:y="1"/>
      <w:rPr>
        <w:rStyle w:val="60"/>
      </w:rPr>
    </w:pPr>
    <w:r>
      <w:fldChar w:fldCharType="begin"/>
    </w:r>
    <w:r>
      <w:rPr>
        <w:rStyle w:val="60"/>
      </w:rPr>
      <w:instrText xml:space="preserve">PAGE  </w:instrText>
    </w:r>
    <w:r>
      <w:fldChar w:fldCharType="end"/>
    </w:r>
  </w:p>
  <w:p w14:paraId="4BE430B7">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509A">
    <w:pPr>
      <w:pStyle w:val="32"/>
      <w:framePr w:wrap="around" w:vAnchor="text" w:hAnchor="margin" w:xAlign="right" w:y="1"/>
      <w:rPr>
        <w:rStyle w:val="60"/>
      </w:rPr>
    </w:pPr>
    <w:r>
      <w:fldChar w:fldCharType="begin"/>
    </w:r>
    <w:r>
      <w:rPr>
        <w:rStyle w:val="60"/>
      </w:rPr>
      <w:instrText xml:space="preserve">PAGE  </w:instrText>
    </w:r>
    <w:r>
      <w:fldChar w:fldCharType="separate"/>
    </w:r>
    <w:r>
      <w:rPr>
        <w:rStyle w:val="60"/>
      </w:rPr>
      <w:t>122</w:t>
    </w:r>
    <w:r>
      <w:fldChar w:fldCharType="end"/>
    </w:r>
  </w:p>
  <w:p w14:paraId="0BCD8195">
    <w:pPr>
      <w:pStyle w:val="32"/>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65F1">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E0BB">
    <w:pPr>
      <w:jc w:val="left"/>
      <w:rPr>
        <w:sz w:val="18"/>
        <w:szCs w:val="18"/>
        <w:u w:val="single"/>
      </w:rPr>
    </w:pPr>
    <w:r>
      <w:rPr>
        <w:rFonts w:hint="eastAsia"/>
        <w:sz w:val="18"/>
        <w:szCs w:val="18"/>
        <w:u w:val="single"/>
      </w:rPr>
      <w:t xml:space="preserve"> 贵港市人民医院 </w:t>
    </w:r>
    <w:r>
      <w:rPr>
        <w:sz w:val="18"/>
        <w:szCs w:val="18"/>
        <w:u w:val="single"/>
      </w:rPr>
      <w:t xml:space="preserve">  </w:t>
    </w:r>
    <w:r>
      <w:rPr>
        <w:rFonts w:hint="eastAsia"/>
        <w:sz w:val="18"/>
        <w:szCs w:val="18"/>
        <w:u w:val="single"/>
      </w:rPr>
      <w:t xml:space="preserve">招投标采购办公室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204"/>
      <w:lvlText w:val="（%1）"/>
      <w:lvlJc w:val="left"/>
      <w:pPr>
        <w:ind w:left="1140" w:hanging="720"/>
      </w:pPr>
      <w:rPr>
        <w:rFonts w:hint="default"/>
      </w:rPr>
    </w:lvl>
    <w:lvl w:ilvl="1" w:tentative="0">
      <w:start w:val="1"/>
      <w:numFmt w:val="lowerLetter"/>
      <w:pStyle w:val="20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EE4D838"/>
    <w:multiLevelType w:val="singleLevel"/>
    <w:tmpl w:val="0EE4D838"/>
    <w:lvl w:ilvl="0" w:tentative="0">
      <w:start w:val="1"/>
      <w:numFmt w:val="decimal"/>
      <w:pStyle w:val="205"/>
      <w:suff w:val="nothing"/>
      <w:lvlText w:val="（%1）"/>
      <w:lvlJc w:val="left"/>
      <w:pPr>
        <w:ind w:left="0" w:firstLine="0"/>
      </w:pPr>
    </w:lvl>
  </w:abstractNum>
  <w:abstractNum w:abstractNumId="2">
    <w:nsid w:val="1CF21060"/>
    <w:multiLevelType w:val="singleLevel"/>
    <w:tmpl w:val="1CF21060"/>
    <w:lvl w:ilvl="0" w:tentative="0">
      <w:start w:val="5"/>
      <w:numFmt w:val="chineseCounting"/>
      <w:suff w:val="space"/>
      <w:lvlText w:val="第%1章"/>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2405056"/>
    <w:multiLevelType w:val="multilevel"/>
    <w:tmpl w:val="42405056"/>
    <w:lvl w:ilvl="0" w:tentative="0">
      <w:start w:val="1"/>
      <w:numFmt w:val="decimal"/>
      <w:lvlText w:val="%1."/>
      <w:lvlJc w:val="left"/>
      <w:pPr>
        <w:ind w:left="773" w:hanging="360"/>
      </w:pPr>
      <w:rPr>
        <w:rFonts w:hint="default"/>
        <w:b/>
        <w:sz w:val="21"/>
        <w:szCs w:val="21"/>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
    <w:nsid w:val="45DF3852"/>
    <w:multiLevelType w:val="multilevel"/>
    <w:tmpl w:val="45DF38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60831A7"/>
    <w:multiLevelType w:val="multilevel"/>
    <w:tmpl w:val="560831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D071462"/>
    <w:multiLevelType w:val="multilevel"/>
    <w:tmpl w:val="5D0714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ABD14B"/>
    <w:multiLevelType w:val="singleLevel"/>
    <w:tmpl w:val="5FABD14B"/>
    <w:lvl w:ilvl="0" w:tentative="0">
      <w:start w:val="1"/>
      <w:numFmt w:val="decimal"/>
      <w:suff w:val="nothing"/>
      <w:lvlText w:val="（%1）"/>
      <w:lvlJc w:val="left"/>
    </w:lvl>
  </w:abstractNum>
  <w:abstractNum w:abstractNumId="10">
    <w:nsid w:val="70BD51E6"/>
    <w:multiLevelType w:val="multilevel"/>
    <w:tmpl w:val="70BD51E6"/>
    <w:lvl w:ilvl="0" w:tentative="0">
      <w:start w:val="1"/>
      <w:numFmt w:val="decimal"/>
      <w:lvlText w:val="%1."/>
      <w:lvlJc w:val="left"/>
      <w:pPr>
        <w:ind w:left="840" w:hanging="42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390236E"/>
    <w:multiLevelType w:val="multilevel"/>
    <w:tmpl w:val="739023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lvlOverride w:ilvl="0">
      <w:startOverride w:val="1"/>
    </w:lvlOverride>
  </w:num>
  <w:num w:numId="3">
    <w:abstractNumId w:val="11"/>
  </w:num>
  <w:num w:numId="4">
    <w:abstractNumId w:val="5"/>
  </w:num>
  <w:num w:numId="5">
    <w:abstractNumId w:val="7"/>
  </w:num>
  <w:num w:numId="6">
    <w:abstractNumId w:val="8"/>
  </w:num>
  <w:num w:numId="7">
    <w:abstractNumId w:val="10"/>
  </w:num>
  <w:num w:numId="8">
    <w:abstractNumId w:val="4"/>
  </w:num>
  <w:num w:numId="9">
    <w:abstractNumId w:val="3"/>
  </w:num>
  <w:num w:numId="10">
    <w:abstractNumId w:val="6"/>
  </w:num>
  <w:num w:numId="11">
    <w:abstractNumId w:val="9"/>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B6BF6"/>
    <w:rsid w:val="00017B66"/>
    <w:rsid w:val="00022A01"/>
    <w:rsid w:val="00031BE5"/>
    <w:rsid w:val="00033AA1"/>
    <w:rsid w:val="0003740F"/>
    <w:rsid w:val="0008291E"/>
    <w:rsid w:val="00082EB5"/>
    <w:rsid w:val="0008673D"/>
    <w:rsid w:val="000B2DB8"/>
    <w:rsid w:val="000C40D6"/>
    <w:rsid w:val="000F08D4"/>
    <w:rsid w:val="00150398"/>
    <w:rsid w:val="001551CF"/>
    <w:rsid w:val="00171294"/>
    <w:rsid w:val="001909EE"/>
    <w:rsid w:val="001C2367"/>
    <w:rsid w:val="001E3A12"/>
    <w:rsid w:val="002229A2"/>
    <w:rsid w:val="0022512A"/>
    <w:rsid w:val="00225C25"/>
    <w:rsid w:val="0022723C"/>
    <w:rsid w:val="00255B1D"/>
    <w:rsid w:val="00266827"/>
    <w:rsid w:val="00285701"/>
    <w:rsid w:val="00285B61"/>
    <w:rsid w:val="00293F69"/>
    <w:rsid w:val="002A115D"/>
    <w:rsid w:val="002D0C40"/>
    <w:rsid w:val="002D48FD"/>
    <w:rsid w:val="002D6C7F"/>
    <w:rsid w:val="00321013"/>
    <w:rsid w:val="003443FB"/>
    <w:rsid w:val="00365D6F"/>
    <w:rsid w:val="0037583F"/>
    <w:rsid w:val="00396852"/>
    <w:rsid w:val="003E6CD3"/>
    <w:rsid w:val="003F03EB"/>
    <w:rsid w:val="004042A8"/>
    <w:rsid w:val="00414C76"/>
    <w:rsid w:val="0045563E"/>
    <w:rsid w:val="00465E0F"/>
    <w:rsid w:val="004C695D"/>
    <w:rsid w:val="004E4386"/>
    <w:rsid w:val="004F5575"/>
    <w:rsid w:val="00522471"/>
    <w:rsid w:val="005356FA"/>
    <w:rsid w:val="00590DCF"/>
    <w:rsid w:val="005C6C27"/>
    <w:rsid w:val="00602AEA"/>
    <w:rsid w:val="00604853"/>
    <w:rsid w:val="00645404"/>
    <w:rsid w:val="006465FF"/>
    <w:rsid w:val="00680B6F"/>
    <w:rsid w:val="006D4336"/>
    <w:rsid w:val="006F34EB"/>
    <w:rsid w:val="0070459C"/>
    <w:rsid w:val="00707A66"/>
    <w:rsid w:val="00716E7B"/>
    <w:rsid w:val="00720138"/>
    <w:rsid w:val="0074550B"/>
    <w:rsid w:val="0077181E"/>
    <w:rsid w:val="007738C6"/>
    <w:rsid w:val="007750AF"/>
    <w:rsid w:val="0078539A"/>
    <w:rsid w:val="00795AD2"/>
    <w:rsid w:val="007A1629"/>
    <w:rsid w:val="007A69EF"/>
    <w:rsid w:val="007B4206"/>
    <w:rsid w:val="007D5A3A"/>
    <w:rsid w:val="00806702"/>
    <w:rsid w:val="00855967"/>
    <w:rsid w:val="00881C54"/>
    <w:rsid w:val="00884FBD"/>
    <w:rsid w:val="008C5C97"/>
    <w:rsid w:val="008C65D3"/>
    <w:rsid w:val="008F0328"/>
    <w:rsid w:val="00903A69"/>
    <w:rsid w:val="00913345"/>
    <w:rsid w:val="009321B6"/>
    <w:rsid w:val="00960E4B"/>
    <w:rsid w:val="00963E32"/>
    <w:rsid w:val="00984D9F"/>
    <w:rsid w:val="009941FA"/>
    <w:rsid w:val="009A6B45"/>
    <w:rsid w:val="009C07BC"/>
    <w:rsid w:val="00A219A1"/>
    <w:rsid w:val="00A21ADF"/>
    <w:rsid w:val="00A2413D"/>
    <w:rsid w:val="00A569DA"/>
    <w:rsid w:val="00AB633A"/>
    <w:rsid w:val="00AC17D9"/>
    <w:rsid w:val="00B10866"/>
    <w:rsid w:val="00B65587"/>
    <w:rsid w:val="00B74A99"/>
    <w:rsid w:val="00B95107"/>
    <w:rsid w:val="00B96C63"/>
    <w:rsid w:val="00BA3F9D"/>
    <w:rsid w:val="00BE6A1C"/>
    <w:rsid w:val="00BF339E"/>
    <w:rsid w:val="00C05F29"/>
    <w:rsid w:val="00C36F74"/>
    <w:rsid w:val="00C43CA8"/>
    <w:rsid w:val="00C658F9"/>
    <w:rsid w:val="00CA4535"/>
    <w:rsid w:val="00CC7A3B"/>
    <w:rsid w:val="00CD0108"/>
    <w:rsid w:val="00CF3B0F"/>
    <w:rsid w:val="00D105AE"/>
    <w:rsid w:val="00D172AF"/>
    <w:rsid w:val="00D340C2"/>
    <w:rsid w:val="00D557DE"/>
    <w:rsid w:val="00D75789"/>
    <w:rsid w:val="00D95D78"/>
    <w:rsid w:val="00DC6616"/>
    <w:rsid w:val="00DC733C"/>
    <w:rsid w:val="00E04F38"/>
    <w:rsid w:val="00E17840"/>
    <w:rsid w:val="00E60156"/>
    <w:rsid w:val="00EA46C4"/>
    <w:rsid w:val="00ED1215"/>
    <w:rsid w:val="00F04357"/>
    <w:rsid w:val="00F047AF"/>
    <w:rsid w:val="00F060DE"/>
    <w:rsid w:val="00F271CC"/>
    <w:rsid w:val="00F47335"/>
    <w:rsid w:val="00F53D6E"/>
    <w:rsid w:val="00F55EDC"/>
    <w:rsid w:val="00F574B5"/>
    <w:rsid w:val="00F83152"/>
    <w:rsid w:val="00F84D78"/>
    <w:rsid w:val="00FD2370"/>
    <w:rsid w:val="00FE487B"/>
    <w:rsid w:val="00FF76A9"/>
    <w:rsid w:val="05C445D0"/>
    <w:rsid w:val="06367DD0"/>
    <w:rsid w:val="09DC0C8E"/>
    <w:rsid w:val="0BFF0F7D"/>
    <w:rsid w:val="10AB4F16"/>
    <w:rsid w:val="137D2B9A"/>
    <w:rsid w:val="139B6ECD"/>
    <w:rsid w:val="14467430"/>
    <w:rsid w:val="184E784B"/>
    <w:rsid w:val="1AD35795"/>
    <w:rsid w:val="1B574037"/>
    <w:rsid w:val="1CEB6BF6"/>
    <w:rsid w:val="1ED32208"/>
    <w:rsid w:val="22640F96"/>
    <w:rsid w:val="22837BD7"/>
    <w:rsid w:val="26AF6C8C"/>
    <w:rsid w:val="2967011C"/>
    <w:rsid w:val="2A9D36CA"/>
    <w:rsid w:val="2E9F7562"/>
    <w:rsid w:val="2F300FB0"/>
    <w:rsid w:val="333F5902"/>
    <w:rsid w:val="35973B37"/>
    <w:rsid w:val="3A8A3C6B"/>
    <w:rsid w:val="3C5A2223"/>
    <w:rsid w:val="416A0352"/>
    <w:rsid w:val="458123A7"/>
    <w:rsid w:val="485458B8"/>
    <w:rsid w:val="49B3482E"/>
    <w:rsid w:val="4E703C60"/>
    <w:rsid w:val="4F033CB1"/>
    <w:rsid w:val="4F0D24A8"/>
    <w:rsid w:val="4FBC1045"/>
    <w:rsid w:val="545A24A8"/>
    <w:rsid w:val="575925A3"/>
    <w:rsid w:val="58005114"/>
    <w:rsid w:val="5C607D8B"/>
    <w:rsid w:val="626B20A9"/>
    <w:rsid w:val="6A554E4C"/>
    <w:rsid w:val="6B2B114C"/>
    <w:rsid w:val="6ECC3C23"/>
    <w:rsid w:val="72EC6569"/>
    <w:rsid w:val="73423366"/>
    <w:rsid w:val="73515934"/>
    <w:rsid w:val="7771226C"/>
    <w:rsid w:val="777B6EB6"/>
    <w:rsid w:val="7D2C7C8E"/>
    <w:rsid w:val="7EA342A8"/>
    <w:rsid w:val="7EB0669D"/>
    <w:rsid w:val="F7A9C803"/>
    <w:rsid w:val="F7D2290A"/>
    <w:rsid w:val="FDBFC8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iPriority="99"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71"/>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1"/>
    <w:link w:val="72"/>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7"/>
    <w:link w:val="73"/>
    <w:qFormat/>
    <w:uiPriority w:val="0"/>
    <w:pPr>
      <w:keepNext/>
      <w:keepLines/>
      <w:spacing w:before="280" w:after="290" w:line="372" w:lineRule="auto"/>
      <w:outlineLvl w:val="4"/>
    </w:pPr>
    <w:rPr>
      <w:rFonts w:ascii="Times New Roman" w:hAnsi="Times New Roman" w:eastAsia="宋体" w:cs="Times New Roman"/>
      <w:b/>
      <w:sz w:val="28"/>
    </w:rPr>
  </w:style>
  <w:style w:type="paragraph" w:styleId="8">
    <w:name w:val="heading 6"/>
    <w:basedOn w:val="1"/>
    <w:next w:val="7"/>
    <w:link w:val="74"/>
    <w:qFormat/>
    <w:uiPriority w:val="0"/>
    <w:pPr>
      <w:keepNext/>
      <w:keepLines/>
      <w:spacing w:before="240" w:after="64" w:line="317" w:lineRule="auto"/>
      <w:outlineLvl w:val="5"/>
    </w:pPr>
    <w:rPr>
      <w:rFonts w:ascii="Arial" w:hAnsi="Arial" w:eastAsia="黑体" w:cs="Times New Roman"/>
      <w:b/>
      <w:sz w:val="24"/>
    </w:rPr>
  </w:style>
  <w:style w:type="paragraph" w:styleId="9">
    <w:name w:val="heading 7"/>
    <w:basedOn w:val="1"/>
    <w:next w:val="7"/>
    <w:link w:val="75"/>
    <w:qFormat/>
    <w:uiPriority w:val="0"/>
    <w:pPr>
      <w:keepNext/>
      <w:keepLines/>
      <w:spacing w:before="240" w:after="64" w:line="317" w:lineRule="auto"/>
      <w:outlineLvl w:val="6"/>
    </w:pPr>
    <w:rPr>
      <w:rFonts w:ascii="Times New Roman" w:hAnsi="Times New Roman" w:eastAsia="宋体" w:cs="Times New Roman"/>
      <w:b/>
      <w:sz w:val="24"/>
    </w:rPr>
  </w:style>
  <w:style w:type="paragraph" w:styleId="10">
    <w:name w:val="heading 8"/>
    <w:basedOn w:val="1"/>
    <w:next w:val="7"/>
    <w:link w:val="76"/>
    <w:qFormat/>
    <w:uiPriority w:val="0"/>
    <w:pPr>
      <w:keepNext/>
      <w:keepLines/>
      <w:spacing w:before="240" w:after="64" w:line="317" w:lineRule="auto"/>
      <w:outlineLvl w:val="7"/>
    </w:pPr>
    <w:rPr>
      <w:rFonts w:ascii="Arial" w:hAnsi="Arial" w:eastAsia="黑体" w:cs="Times New Roman"/>
      <w:sz w:val="24"/>
    </w:rPr>
  </w:style>
  <w:style w:type="paragraph" w:styleId="11">
    <w:name w:val="heading 9"/>
    <w:basedOn w:val="1"/>
    <w:next w:val="7"/>
    <w:link w:val="77"/>
    <w:qFormat/>
    <w:uiPriority w:val="0"/>
    <w:pPr>
      <w:keepNext/>
      <w:keepLines/>
      <w:spacing w:before="240" w:after="64" w:line="317" w:lineRule="auto"/>
      <w:outlineLvl w:val="8"/>
    </w:pPr>
    <w:rPr>
      <w:rFonts w:ascii="Arial" w:hAnsi="Arial" w:eastAsia="黑体" w:cs="Times New Roman"/>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2">
    <w:name w:val="List 3"/>
    <w:basedOn w:val="1"/>
    <w:qFormat/>
    <w:uiPriority w:val="0"/>
    <w:pPr>
      <w:ind w:left="100" w:leftChars="400" w:hanging="200" w:hangingChars="200"/>
    </w:pPr>
    <w:rPr>
      <w:rFonts w:ascii="Times New Roman" w:hAnsi="Times New Roman" w:eastAsia="宋体" w:cs="Times New Roman"/>
    </w:rPr>
  </w:style>
  <w:style w:type="paragraph" w:styleId="13">
    <w:name w:val="toc 7"/>
    <w:basedOn w:val="1"/>
    <w:next w:val="1"/>
    <w:qFormat/>
    <w:uiPriority w:val="39"/>
    <w:pPr>
      <w:tabs>
        <w:tab w:val="right" w:leader="dot" w:pos="9185"/>
      </w:tabs>
      <w:adjustRightInd w:val="0"/>
      <w:spacing w:line="312" w:lineRule="atLeast"/>
      <w:ind w:left="2520"/>
      <w:textAlignment w:val="baseline"/>
    </w:pPr>
    <w:rPr>
      <w:rFonts w:ascii="Times New Roman" w:hAnsi="Times New Roman" w:eastAsia="宋体" w:cs="Times New Roman"/>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8"/>
    <w:qFormat/>
    <w:uiPriority w:val="0"/>
    <w:pPr>
      <w:shd w:val="clear" w:color="auto" w:fill="000080"/>
      <w:adjustRightInd w:val="0"/>
      <w:spacing w:line="312" w:lineRule="atLeast"/>
      <w:textAlignment w:val="baseline"/>
    </w:pPr>
    <w:rPr>
      <w:rFonts w:ascii="Times New Roman" w:hAnsi="Times New Roman" w:eastAsia="宋体" w:cs="Times New Roman"/>
      <w:kern w:val="0"/>
      <w:szCs w:val="20"/>
    </w:rPr>
  </w:style>
  <w:style w:type="paragraph" w:styleId="17">
    <w:name w:val="annotation text"/>
    <w:basedOn w:val="1"/>
    <w:link w:val="79"/>
    <w:qFormat/>
    <w:uiPriority w:val="0"/>
    <w:pPr>
      <w:jc w:val="left"/>
    </w:pPr>
    <w:rPr>
      <w:rFonts w:ascii="Times New Roman" w:hAnsi="Times New Roman" w:eastAsia="宋体" w:cs="Times New Roman"/>
    </w:rPr>
  </w:style>
  <w:style w:type="paragraph" w:styleId="18">
    <w:name w:val="Body Text 3"/>
    <w:basedOn w:val="1"/>
    <w:link w:val="80"/>
    <w:qFormat/>
    <w:uiPriority w:val="0"/>
    <w:pPr>
      <w:spacing w:line="500" w:lineRule="exact"/>
    </w:pPr>
    <w:rPr>
      <w:rFonts w:ascii="Times New Roman" w:hAnsi="Times New Roman" w:eastAsia="宋体" w:cs="Times New Roman"/>
      <w:b/>
      <w:bCs/>
      <w:sz w:val="24"/>
    </w:rPr>
  </w:style>
  <w:style w:type="paragraph" w:styleId="19">
    <w:name w:val="Body Text"/>
    <w:basedOn w:val="1"/>
    <w:link w:val="81"/>
    <w:qFormat/>
    <w:uiPriority w:val="0"/>
    <w:pPr>
      <w:spacing w:line="380" w:lineRule="exact"/>
    </w:pPr>
    <w:rPr>
      <w:rFonts w:ascii="Times New Roman" w:hAnsi="Times New Roman" w:eastAsia="宋体" w:cs="Times New Roman"/>
      <w:sz w:val="24"/>
    </w:rPr>
  </w:style>
  <w:style w:type="paragraph" w:styleId="20">
    <w:name w:val="Body Text Indent"/>
    <w:basedOn w:val="1"/>
    <w:link w:val="82"/>
    <w:qFormat/>
    <w:uiPriority w:val="0"/>
    <w:pPr>
      <w:ind w:firstLine="830" w:firstLineChars="352"/>
    </w:pPr>
    <w:rPr>
      <w:rFonts w:ascii="仿宋_GB2312" w:hAnsi="Times New Roman" w:eastAsia="仿宋_GB2312" w:cs="Times New Roman"/>
      <w:sz w:val="32"/>
      <w:szCs w:val="20"/>
    </w:rPr>
  </w:style>
  <w:style w:type="paragraph" w:styleId="21">
    <w:name w:val="List Number 3"/>
    <w:basedOn w:val="1"/>
    <w:qFormat/>
    <w:uiPriority w:val="0"/>
    <w:pPr>
      <w:tabs>
        <w:tab w:val="left" w:pos="1200"/>
      </w:tabs>
      <w:ind w:left="1200" w:leftChars="400" w:hanging="360" w:hangingChars="200"/>
    </w:pPr>
    <w:rPr>
      <w:rFonts w:ascii="Times New Roman" w:hAnsi="Times New Roman" w:eastAsia="宋体" w:cs="Times New Roman"/>
    </w:rPr>
  </w:style>
  <w:style w:type="paragraph" w:styleId="22">
    <w:name w:val="List 2"/>
    <w:basedOn w:val="1"/>
    <w:qFormat/>
    <w:uiPriority w:val="0"/>
    <w:pPr>
      <w:ind w:left="100" w:leftChars="200" w:hanging="200" w:hangingChars="200"/>
    </w:pPr>
    <w:rPr>
      <w:rFonts w:ascii="Times New Roman" w:hAnsi="Times New Roman" w:eastAsia="宋体" w:cs="Times New Roman"/>
      <w:sz w:val="28"/>
    </w:rPr>
  </w:style>
  <w:style w:type="paragraph" w:styleId="2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4">
    <w:name w:val="toc 5"/>
    <w:basedOn w:val="1"/>
    <w:next w:val="1"/>
    <w:uiPriority w:val="39"/>
    <w:pPr>
      <w:tabs>
        <w:tab w:val="right" w:leader="dot" w:pos="9185"/>
      </w:tabs>
      <w:adjustRightInd w:val="0"/>
      <w:spacing w:line="312" w:lineRule="atLeast"/>
      <w:ind w:left="1680"/>
      <w:textAlignment w:val="baseline"/>
    </w:pPr>
    <w:rPr>
      <w:rFonts w:ascii="Times New Roman" w:hAnsi="Times New Roman" w:eastAsia="宋体" w:cs="Times New Roman"/>
      <w:kern w:val="0"/>
      <w:szCs w:val="20"/>
    </w:rPr>
  </w:style>
  <w:style w:type="paragraph" w:styleId="25">
    <w:name w:val="toc 3"/>
    <w:basedOn w:val="1"/>
    <w:next w:val="1"/>
    <w:qFormat/>
    <w:uiPriority w:val="39"/>
    <w:pPr>
      <w:ind w:left="840" w:leftChars="400"/>
    </w:pPr>
    <w:rPr>
      <w:rFonts w:ascii="Times New Roman" w:hAnsi="Times New Roman" w:eastAsia="宋体" w:cs="Times New Roman"/>
    </w:rPr>
  </w:style>
  <w:style w:type="paragraph" w:styleId="26">
    <w:name w:val="Plain Text"/>
    <w:basedOn w:val="1"/>
    <w:link w:val="83"/>
    <w:qFormat/>
    <w:uiPriority w:val="0"/>
    <w:rPr>
      <w:rFonts w:ascii="宋体" w:hAnsi="Courier New" w:eastAsia="宋体" w:cs="Courier New"/>
      <w:szCs w:val="21"/>
    </w:rPr>
  </w:style>
  <w:style w:type="paragraph" w:styleId="27">
    <w:name w:val="toc 8"/>
    <w:basedOn w:val="1"/>
    <w:next w:val="1"/>
    <w:qFormat/>
    <w:uiPriority w:val="39"/>
    <w:pPr>
      <w:tabs>
        <w:tab w:val="right" w:leader="dot" w:pos="9185"/>
      </w:tabs>
      <w:adjustRightInd w:val="0"/>
      <w:spacing w:line="312" w:lineRule="atLeast"/>
      <w:ind w:left="2940"/>
      <w:textAlignment w:val="baseline"/>
    </w:pPr>
    <w:rPr>
      <w:rFonts w:ascii="Times New Roman" w:hAnsi="Times New Roman" w:eastAsia="宋体" w:cs="Times New Roman"/>
      <w:kern w:val="0"/>
      <w:szCs w:val="20"/>
    </w:rPr>
  </w:style>
  <w:style w:type="paragraph" w:styleId="28">
    <w:name w:val="Date"/>
    <w:basedOn w:val="1"/>
    <w:next w:val="1"/>
    <w:link w:val="84"/>
    <w:qFormat/>
    <w:uiPriority w:val="0"/>
    <w:pPr>
      <w:ind w:left="100" w:leftChars="2500"/>
    </w:pPr>
    <w:rPr>
      <w:rFonts w:ascii="宋体" w:hAnsi="Courier New" w:eastAsia="宋体" w:cs="Times New Roman"/>
      <w:szCs w:val="21"/>
    </w:rPr>
  </w:style>
  <w:style w:type="paragraph" w:styleId="29">
    <w:name w:val="Body Text Indent 2"/>
    <w:basedOn w:val="1"/>
    <w:link w:val="85"/>
    <w:uiPriority w:val="0"/>
    <w:pPr>
      <w:ind w:firstLine="630"/>
    </w:pPr>
    <w:rPr>
      <w:rFonts w:ascii="Times New Roman" w:hAnsi="Times New Roman" w:eastAsia="宋体" w:cs="Times New Roman"/>
      <w:sz w:val="32"/>
      <w:szCs w:val="20"/>
    </w:rPr>
  </w:style>
  <w:style w:type="paragraph" w:styleId="30">
    <w:name w:val="endnote text"/>
    <w:basedOn w:val="1"/>
    <w:link w:val="183"/>
    <w:unhideWhenUsed/>
    <w:qFormat/>
    <w:uiPriority w:val="99"/>
    <w:pPr>
      <w:snapToGrid w:val="0"/>
      <w:jc w:val="left"/>
    </w:pPr>
    <w:rPr>
      <w:rFonts w:ascii="Times New Roman" w:hAnsi="Times New Roman" w:eastAsia="宋体" w:cs="Times New Roman"/>
    </w:rPr>
  </w:style>
  <w:style w:type="paragraph" w:styleId="31">
    <w:name w:val="Balloon Text"/>
    <w:basedOn w:val="1"/>
    <w:link w:val="86"/>
    <w:qFormat/>
    <w:uiPriority w:val="0"/>
    <w:rPr>
      <w:rFonts w:ascii="Times New Roman" w:hAnsi="Times New Roman" w:eastAsia="宋体" w:cs="Times New Roman"/>
      <w:sz w:val="18"/>
      <w:szCs w:val="18"/>
    </w:rPr>
  </w:style>
  <w:style w:type="paragraph" w:styleId="32">
    <w:name w:val="footer"/>
    <w:basedOn w:val="1"/>
    <w:link w:val="68"/>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eastAsia="宋体" w:cs="Times New Roman"/>
    </w:rPr>
  </w:style>
  <w:style w:type="paragraph" w:styleId="34">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rFonts w:ascii="Times New Roman" w:hAnsi="Times New Roman" w:eastAsia="宋体" w:cs="Times New Roman"/>
      <w:kern w:val="0"/>
      <w:szCs w:val="20"/>
    </w:rPr>
  </w:style>
  <w:style w:type="paragraph" w:styleId="37">
    <w:name w:val="List"/>
    <w:basedOn w:val="1"/>
    <w:qFormat/>
    <w:uiPriority w:val="0"/>
    <w:pPr>
      <w:ind w:left="200" w:hanging="200" w:hangingChars="200"/>
    </w:pPr>
    <w:rPr>
      <w:rFonts w:ascii="Times New Roman" w:hAnsi="Times New Roman" w:eastAsia="宋体" w:cs="Times New Roman"/>
      <w:sz w:val="28"/>
    </w:rPr>
  </w:style>
  <w:style w:type="paragraph" w:styleId="38">
    <w:name w:val="footnote text"/>
    <w:basedOn w:val="1"/>
    <w:link w:val="184"/>
    <w:unhideWhenUsed/>
    <w:qFormat/>
    <w:uiPriority w:val="99"/>
    <w:pPr>
      <w:snapToGrid w:val="0"/>
      <w:jc w:val="left"/>
    </w:pPr>
    <w:rPr>
      <w:rFonts w:ascii="Times New Roman" w:hAnsi="Times New Roman" w:eastAsia="宋体" w:cs="Times New Roman"/>
      <w:sz w:val="18"/>
      <w:szCs w:val="18"/>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rFonts w:ascii="Times New Roman" w:hAnsi="Times New Roman" w:eastAsia="宋体" w:cs="Times New Roman"/>
      <w:kern w:val="0"/>
      <w:szCs w:val="20"/>
    </w:rPr>
  </w:style>
  <w:style w:type="paragraph" w:styleId="40">
    <w:name w:val="List 5"/>
    <w:basedOn w:val="1"/>
    <w:qFormat/>
    <w:uiPriority w:val="0"/>
    <w:pPr>
      <w:ind w:left="2100" w:hanging="420"/>
    </w:pPr>
    <w:rPr>
      <w:rFonts w:ascii="Times New Roman" w:hAnsi="Times New Roman" w:eastAsia="宋体" w:cs="Times New Roman"/>
      <w:szCs w:val="20"/>
    </w:rPr>
  </w:style>
  <w:style w:type="paragraph" w:styleId="41">
    <w:name w:val="Body Text Indent 3"/>
    <w:basedOn w:val="1"/>
    <w:link w:val="87"/>
    <w:qFormat/>
    <w:uiPriority w:val="0"/>
    <w:pPr>
      <w:spacing w:after="120"/>
      <w:ind w:left="420" w:leftChars="200"/>
    </w:pPr>
    <w:rPr>
      <w:rFonts w:ascii="Times New Roman" w:hAnsi="Times New Roman" w:eastAsia="宋体" w:cs="Times New Roman"/>
      <w:sz w:val="16"/>
      <w:szCs w:val="16"/>
    </w:rPr>
  </w:style>
  <w:style w:type="paragraph" w:styleId="4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43">
    <w:name w:val="toc 2"/>
    <w:basedOn w:val="1"/>
    <w:next w:val="1"/>
    <w:qFormat/>
    <w:uiPriority w:val="39"/>
    <w:pPr>
      <w:ind w:left="420" w:leftChars="200"/>
    </w:pPr>
    <w:rPr>
      <w:rFonts w:ascii="Times New Roman" w:hAnsi="Times New Roman" w:eastAsia="宋体" w:cs="Times New Roman"/>
    </w:rPr>
  </w:style>
  <w:style w:type="paragraph" w:styleId="44">
    <w:name w:val="toc 9"/>
    <w:basedOn w:val="1"/>
    <w:next w:val="1"/>
    <w:qFormat/>
    <w:uiPriority w:val="39"/>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45">
    <w:name w:val="Body Text 2"/>
    <w:basedOn w:val="1"/>
    <w:link w:val="88"/>
    <w:qFormat/>
    <w:uiPriority w:val="0"/>
    <w:pPr>
      <w:spacing w:after="120" w:line="480" w:lineRule="auto"/>
    </w:pPr>
    <w:rPr>
      <w:rFonts w:ascii="Times New Roman" w:hAnsi="Times New Roman" w:eastAsia="宋体" w:cs="Times New Roman"/>
    </w:rPr>
  </w:style>
  <w:style w:type="paragraph" w:styleId="46">
    <w:name w:val="List 4"/>
    <w:basedOn w:val="1"/>
    <w:uiPriority w:val="0"/>
    <w:pPr>
      <w:ind w:left="100" w:leftChars="600" w:hanging="200" w:hangingChars="200"/>
    </w:pPr>
    <w:rPr>
      <w:rFonts w:ascii="Times New Roman" w:hAnsi="Times New Roman" w:eastAsia="宋体" w:cs="Times New Roman"/>
    </w:rPr>
  </w:style>
  <w:style w:type="paragraph" w:styleId="47">
    <w:name w:val="List Continue 2"/>
    <w:basedOn w:val="1"/>
    <w:uiPriority w:val="0"/>
    <w:pPr>
      <w:spacing w:after="120"/>
      <w:ind w:left="840" w:leftChars="400"/>
    </w:pPr>
    <w:rPr>
      <w:rFonts w:ascii="Times New Roman" w:hAnsi="Times New Roman" w:eastAsia="宋体" w:cs="Times New Roman"/>
    </w:rPr>
  </w:style>
  <w:style w:type="paragraph" w:styleId="4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9">
    <w:name w:val="Normal (Web)"/>
    <w:basedOn w:val="1"/>
    <w:qFormat/>
    <w:uiPriority w:val="99"/>
    <w:pPr>
      <w:spacing w:beforeAutospacing="1" w:afterAutospacing="1"/>
      <w:jc w:val="left"/>
    </w:pPr>
    <w:rPr>
      <w:rFonts w:cs="Times New Roman"/>
      <w:kern w:val="0"/>
      <w:sz w:val="24"/>
    </w:rPr>
  </w:style>
  <w:style w:type="paragraph" w:styleId="50">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51">
    <w:name w:val="Title"/>
    <w:basedOn w:val="1"/>
    <w:link w:val="90"/>
    <w:qFormat/>
    <w:uiPriority w:val="10"/>
    <w:pPr>
      <w:jc w:val="center"/>
    </w:pPr>
    <w:rPr>
      <w:rFonts w:ascii="Times New Roman" w:hAnsi="Times New Roman" w:eastAsia="宋体" w:cs="Times New Roman"/>
      <w:sz w:val="30"/>
    </w:rPr>
  </w:style>
  <w:style w:type="paragraph" w:styleId="52">
    <w:name w:val="annotation subject"/>
    <w:basedOn w:val="17"/>
    <w:next w:val="17"/>
    <w:link w:val="91"/>
    <w:qFormat/>
    <w:uiPriority w:val="99"/>
    <w:rPr>
      <w:b/>
      <w:bCs/>
    </w:rPr>
  </w:style>
  <w:style w:type="paragraph" w:styleId="53">
    <w:name w:val="Body Text First Indent"/>
    <w:basedOn w:val="19"/>
    <w:link w:val="92"/>
    <w:qFormat/>
    <w:uiPriority w:val="0"/>
    <w:pPr>
      <w:spacing w:after="120" w:line="240" w:lineRule="auto"/>
      <w:ind w:firstLine="420" w:firstLineChars="100"/>
    </w:pPr>
    <w:rPr>
      <w:sz w:val="21"/>
    </w:rPr>
  </w:style>
  <w:style w:type="paragraph" w:styleId="54">
    <w:name w:val="Body Text First Indent 2"/>
    <w:basedOn w:val="20"/>
    <w:link w:val="93"/>
    <w:qFormat/>
    <w:uiPriority w:val="0"/>
    <w:pPr>
      <w:spacing w:after="120"/>
      <w:ind w:left="420" w:leftChars="200" w:firstLine="420" w:firstLineChars="200"/>
    </w:pPr>
    <w:rPr>
      <w:rFonts w:ascii="Times New Roman" w:eastAsia="宋体"/>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endnote reference"/>
    <w:unhideWhenUsed/>
    <w:uiPriority w:val="99"/>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basedOn w:val="57"/>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unhideWhenUsed/>
    <w:uiPriority w:val="99"/>
    <w:rPr>
      <w:vertAlign w:val="superscript"/>
    </w:rPr>
  </w:style>
  <w:style w:type="character" w:styleId="66">
    <w:name w:val="HTML Sample"/>
    <w:unhideWhenUsed/>
    <w:uiPriority w:val="99"/>
    <w:rPr>
      <w:rFonts w:ascii="Courier New" w:hAnsi="Courier New"/>
    </w:rPr>
  </w:style>
  <w:style w:type="character" w:customStyle="1" w:styleId="67">
    <w:name w:val="页眉 字符"/>
    <w:basedOn w:val="57"/>
    <w:link w:val="34"/>
    <w:uiPriority w:val="99"/>
    <w:rPr>
      <w:rFonts w:asciiTheme="minorHAnsi" w:hAnsiTheme="minorHAnsi" w:eastAsiaTheme="minorEastAsia" w:cstheme="minorBidi"/>
      <w:kern w:val="2"/>
      <w:sz w:val="18"/>
      <w:szCs w:val="18"/>
    </w:rPr>
  </w:style>
  <w:style w:type="character" w:customStyle="1" w:styleId="68">
    <w:name w:val="页脚 字符"/>
    <w:basedOn w:val="57"/>
    <w:link w:val="32"/>
    <w:uiPriority w:val="99"/>
    <w:rPr>
      <w:rFonts w:asciiTheme="minorHAnsi" w:hAnsiTheme="minorHAnsi" w:eastAsiaTheme="minorEastAsia" w:cstheme="minorBidi"/>
      <w:kern w:val="2"/>
      <w:sz w:val="18"/>
      <w:szCs w:val="18"/>
    </w:rPr>
  </w:style>
  <w:style w:type="character" w:customStyle="1" w:styleId="69">
    <w:name w:val="标题 1 字符"/>
    <w:basedOn w:val="57"/>
    <w:link w:val="2"/>
    <w:uiPriority w:val="0"/>
    <w:rPr>
      <w:b/>
      <w:bCs/>
      <w:kern w:val="44"/>
      <w:sz w:val="44"/>
      <w:szCs w:val="44"/>
    </w:rPr>
  </w:style>
  <w:style w:type="character" w:customStyle="1" w:styleId="70">
    <w:name w:val="标题 2 字符"/>
    <w:basedOn w:val="57"/>
    <w:link w:val="3"/>
    <w:uiPriority w:val="0"/>
    <w:rPr>
      <w:rFonts w:ascii="Arial" w:hAnsi="Arial" w:eastAsia="黑体"/>
      <w:b/>
      <w:bCs/>
      <w:kern w:val="2"/>
      <w:sz w:val="32"/>
      <w:szCs w:val="32"/>
    </w:rPr>
  </w:style>
  <w:style w:type="character" w:customStyle="1" w:styleId="71">
    <w:name w:val="标题 3 字符"/>
    <w:basedOn w:val="57"/>
    <w:link w:val="4"/>
    <w:uiPriority w:val="0"/>
    <w:rPr>
      <w:b/>
      <w:bCs/>
      <w:kern w:val="2"/>
      <w:sz w:val="32"/>
      <w:szCs w:val="32"/>
    </w:rPr>
  </w:style>
  <w:style w:type="character" w:customStyle="1" w:styleId="72">
    <w:name w:val="标题 4 字符"/>
    <w:basedOn w:val="57"/>
    <w:link w:val="5"/>
    <w:uiPriority w:val="0"/>
    <w:rPr>
      <w:rFonts w:ascii="Arial" w:hAnsi="Arial" w:eastAsia="黑体"/>
      <w:sz w:val="28"/>
    </w:rPr>
  </w:style>
  <w:style w:type="character" w:customStyle="1" w:styleId="73">
    <w:name w:val="标题 5 字符"/>
    <w:basedOn w:val="57"/>
    <w:link w:val="6"/>
    <w:uiPriority w:val="0"/>
    <w:rPr>
      <w:b/>
      <w:kern w:val="2"/>
      <w:sz w:val="28"/>
      <w:szCs w:val="24"/>
    </w:rPr>
  </w:style>
  <w:style w:type="character" w:customStyle="1" w:styleId="74">
    <w:name w:val="标题 6 字符"/>
    <w:basedOn w:val="57"/>
    <w:link w:val="8"/>
    <w:qFormat/>
    <w:uiPriority w:val="0"/>
    <w:rPr>
      <w:rFonts w:ascii="Arial" w:hAnsi="Arial" w:eastAsia="黑体"/>
      <w:b/>
      <w:kern w:val="2"/>
      <w:sz w:val="24"/>
      <w:szCs w:val="24"/>
    </w:rPr>
  </w:style>
  <w:style w:type="character" w:customStyle="1" w:styleId="75">
    <w:name w:val="标题 7 字符"/>
    <w:basedOn w:val="57"/>
    <w:link w:val="9"/>
    <w:uiPriority w:val="0"/>
    <w:rPr>
      <w:b/>
      <w:kern w:val="2"/>
      <w:sz w:val="24"/>
      <w:szCs w:val="24"/>
    </w:rPr>
  </w:style>
  <w:style w:type="character" w:customStyle="1" w:styleId="76">
    <w:name w:val="标题 8 字符"/>
    <w:basedOn w:val="57"/>
    <w:link w:val="10"/>
    <w:uiPriority w:val="0"/>
    <w:rPr>
      <w:rFonts w:ascii="Arial" w:hAnsi="Arial" w:eastAsia="黑体"/>
      <w:kern w:val="2"/>
      <w:sz w:val="24"/>
      <w:szCs w:val="24"/>
    </w:rPr>
  </w:style>
  <w:style w:type="character" w:customStyle="1" w:styleId="77">
    <w:name w:val="标题 9 字符"/>
    <w:basedOn w:val="57"/>
    <w:link w:val="11"/>
    <w:qFormat/>
    <w:uiPriority w:val="0"/>
    <w:rPr>
      <w:rFonts w:ascii="Arial" w:hAnsi="Arial" w:eastAsia="黑体"/>
      <w:kern w:val="2"/>
      <w:sz w:val="21"/>
      <w:szCs w:val="24"/>
    </w:rPr>
  </w:style>
  <w:style w:type="character" w:customStyle="1" w:styleId="78">
    <w:name w:val="文档结构图 字符"/>
    <w:basedOn w:val="57"/>
    <w:link w:val="16"/>
    <w:uiPriority w:val="0"/>
    <w:rPr>
      <w:sz w:val="21"/>
      <w:shd w:val="clear" w:color="auto" w:fill="000080"/>
    </w:rPr>
  </w:style>
  <w:style w:type="character" w:customStyle="1" w:styleId="79">
    <w:name w:val="批注文字 字符"/>
    <w:basedOn w:val="57"/>
    <w:link w:val="17"/>
    <w:qFormat/>
    <w:uiPriority w:val="0"/>
    <w:rPr>
      <w:kern w:val="2"/>
      <w:sz w:val="21"/>
      <w:szCs w:val="24"/>
    </w:rPr>
  </w:style>
  <w:style w:type="character" w:customStyle="1" w:styleId="80">
    <w:name w:val="正文文本 3 字符"/>
    <w:basedOn w:val="57"/>
    <w:link w:val="18"/>
    <w:qFormat/>
    <w:uiPriority w:val="0"/>
    <w:rPr>
      <w:b/>
      <w:bCs/>
      <w:kern w:val="2"/>
      <w:sz w:val="24"/>
      <w:szCs w:val="24"/>
    </w:rPr>
  </w:style>
  <w:style w:type="character" w:customStyle="1" w:styleId="81">
    <w:name w:val="正文文本 字符"/>
    <w:basedOn w:val="57"/>
    <w:link w:val="19"/>
    <w:qFormat/>
    <w:uiPriority w:val="0"/>
    <w:rPr>
      <w:kern w:val="2"/>
      <w:sz w:val="24"/>
      <w:szCs w:val="24"/>
    </w:rPr>
  </w:style>
  <w:style w:type="character" w:customStyle="1" w:styleId="82">
    <w:name w:val="正文文本缩进 字符"/>
    <w:basedOn w:val="57"/>
    <w:link w:val="20"/>
    <w:uiPriority w:val="0"/>
    <w:rPr>
      <w:rFonts w:ascii="仿宋_GB2312" w:eastAsia="仿宋_GB2312"/>
      <w:kern w:val="2"/>
      <w:sz w:val="32"/>
    </w:rPr>
  </w:style>
  <w:style w:type="character" w:customStyle="1" w:styleId="83">
    <w:name w:val="纯文本 字符"/>
    <w:basedOn w:val="57"/>
    <w:link w:val="26"/>
    <w:qFormat/>
    <w:uiPriority w:val="0"/>
    <w:rPr>
      <w:rFonts w:ascii="宋体" w:hAnsi="Courier New" w:cs="Courier New"/>
      <w:kern w:val="2"/>
      <w:sz w:val="21"/>
      <w:szCs w:val="21"/>
    </w:rPr>
  </w:style>
  <w:style w:type="character" w:customStyle="1" w:styleId="84">
    <w:name w:val="日期 字符"/>
    <w:basedOn w:val="57"/>
    <w:link w:val="28"/>
    <w:qFormat/>
    <w:uiPriority w:val="0"/>
    <w:rPr>
      <w:rFonts w:ascii="宋体" w:hAnsi="Courier New"/>
      <w:kern w:val="2"/>
      <w:sz w:val="21"/>
      <w:szCs w:val="21"/>
    </w:rPr>
  </w:style>
  <w:style w:type="character" w:customStyle="1" w:styleId="85">
    <w:name w:val="正文文本缩进 2 字符"/>
    <w:basedOn w:val="57"/>
    <w:link w:val="29"/>
    <w:qFormat/>
    <w:uiPriority w:val="0"/>
    <w:rPr>
      <w:kern w:val="2"/>
      <w:sz w:val="32"/>
    </w:rPr>
  </w:style>
  <w:style w:type="character" w:customStyle="1" w:styleId="86">
    <w:name w:val="批注框文本 字符"/>
    <w:basedOn w:val="57"/>
    <w:link w:val="31"/>
    <w:qFormat/>
    <w:uiPriority w:val="0"/>
    <w:rPr>
      <w:kern w:val="2"/>
      <w:sz w:val="18"/>
      <w:szCs w:val="18"/>
    </w:rPr>
  </w:style>
  <w:style w:type="character" w:customStyle="1" w:styleId="87">
    <w:name w:val="正文文本缩进 3 字符"/>
    <w:basedOn w:val="57"/>
    <w:link w:val="41"/>
    <w:qFormat/>
    <w:uiPriority w:val="0"/>
    <w:rPr>
      <w:kern w:val="2"/>
      <w:sz w:val="16"/>
      <w:szCs w:val="16"/>
    </w:rPr>
  </w:style>
  <w:style w:type="character" w:customStyle="1" w:styleId="88">
    <w:name w:val="正文文本 2 字符"/>
    <w:basedOn w:val="57"/>
    <w:link w:val="45"/>
    <w:qFormat/>
    <w:uiPriority w:val="0"/>
    <w:rPr>
      <w:kern w:val="2"/>
      <w:sz w:val="21"/>
      <w:szCs w:val="24"/>
    </w:rPr>
  </w:style>
  <w:style w:type="character" w:customStyle="1" w:styleId="89">
    <w:name w:val="HTML 预设格式 字符"/>
    <w:basedOn w:val="57"/>
    <w:link w:val="48"/>
    <w:qFormat/>
    <w:uiPriority w:val="0"/>
    <w:rPr>
      <w:rFonts w:ascii="黑体" w:hAnsi="Courier New" w:eastAsia="黑体"/>
    </w:rPr>
  </w:style>
  <w:style w:type="character" w:customStyle="1" w:styleId="90">
    <w:name w:val="标题 字符"/>
    <w:basedOn w:val="57"/>
    <w:link w:val="51"/>
    <w:qFormat/>
    <w:uiPriority w:val="10"/>
    <w:rPr>
      <w:kern w:val="2"/>
      <w:sz w:val="30"/>
      <w:szCs w:val="24"/>
    </w:rPr>
  </w:style>
  <w:style w:type="character" w:customStyle="1" w:styleId="91">
    <w:name w:val="批注主题 字符"/>
    <w:basedOn w:val="79"/>
    <w:link w:val="52"/>
    <w:qFormat/>
    <w:uiPriority w:val="99"/>
    <w:rPr>
      <w:b/>
      <w:bCs/>
      <w:kern w:val="2"/>
      <w:sz w:val="21"/>
      <w:szCs w:val="24"/>
    </w:rPr>
  </w:style>
  <w:style w:type="character" w:customStyle="1" w:styleId="92">
    <w:name w:val="正文文本首行缩进 字符"/>
    <w:basedOn w:val="81"/>
    <w:link w:val="53"/>
    <w:qFormat/>
    <w:uiPriority w:val="0"/>
    <w:rPr>
      <w:kern w:val="2"/>
      <w:sz w:val="21"/>
      <w:szCs w:val="24"/>
    </w:rPr>
  </w:style>
  <w:style w:type="character" w:customStyle="1" w:styleId="93">
    <w:name w:val="正文文本首行缩进 2 字符"/>
    <w:basedOn w:val="82"/>
    <w:link w:val="54"/>
    <w:qFormat/>
    <w:uiPriority w:val="0"/>
    <w:rPr>
      <w:rFonts w:ascii="仿宋_GB2312" w:eastAsia="仿宋_GB2312"/>
      <w:kern w:val="2"/>
      <w:sz w:val="21"/>
      <w:szCs w:val="24"/>
    </w:rPr>
  </w:style>
  <w:style w:type="character" w:customStyle="1" w:styleId="94">
    <w:name w:val="small"/>
    <w:qFormat/>
    <w:uiPriority w:val="0"/>
  </w:style>
  <w:style w:type="character" w:customStyle="1" w:styleId="95">
    <w:name w:val="white"/>
    <w:qFormat/>
    <w:uiPriority w:val="0"/>
  </w:style>
  <w:style w:type="character" w:customStyle="1" w:styleId="96">
    <w:name w:val="z-窗体顶端 字符"/>
    <w:link w:val="97"/>
    <w:qFormat/>
    <w:uiPriority w:val="0"/>
    <w:rPr>
      <w:rFonts w:ascii="Arial"/>
      <w:vanish/>
      <w:kern w:val="2"/>
      <w:sz w:val="16"/>
      <w:szCs w:val="24"/>
    </w:rPr>
  </w:style>
  <w:style w:type="paragraph" w:customStyle="1" w:styleId="97">
    <w:name w:val="z-窗体顶端1"/>
    <w:basedOn w:val="1"/>
    <w:next w:val="1"/>
    <w:link w:val="96"/>
    <w:qFormat/>
    <w:uiPriority w:val="0"/>
    <w:pPr>
      <w:pBdr>
        <w:bottom w:val="single" w:color="auto" w:sz="6" w:space="1"/>
      </w:pBdr>
      <w:jc w:val="center"/>
    </w:pPr>
    <w:rPr>
      <w:rFonts w:ascii="Arial" w:hAnsi="Times New Roman" w:eastAsia="宋体" w:cs="Times New Roman"/>
      <w:vanish/>
      <w:sz w:val="16"/>
    </w:rPr>
  </w:style>
  <w:style w:type="character" w:customStyle="1" w:styleId="98">
    <w:name w:val="z-窗体顶端 字符1"/>
    <w:basedOn w:val="57"/>
    <w:semiHidden/>
    <w:qFormat/>
    <w:uiPriority w:val="99"/>
    <w:rPr>
      <w:rFonts w:ascii="Arial" w:hAnsi="Arial" w:cs="Arial" w:eastAsiaTheme="minorEastAsia"/>
      <w:vanish/>
      <w:kern w:val="2"/>
      <w:sz w:val="16"/>
      <w:szCs w:val="16"/>
    </w:rPr>
  </w:style>
  <w:style w:type="character" w:customStyle="1" w:styleId="99">
    <w:name w:val="f151"/>
    <w:qFormat/>
    <w:uiPriority w:val="0"/>
    <w:rPr>
      <w:sz w:val="23"/>
      <w:szCs w:val="23"/>
    </w:rPr>
  </w:style>
  <w:style w:type="character" w:customStyle="1" w:styleId="100">
    <w:name w:val="apple-converted-space"/>
    <w:qFormat/>
    <w:uiPriority w:val="0"/>
  </w:style>
  <w:style w:type="character" w:customStyle="1" w:styleId="101">
    <w:name w:val="gray12"/>
    <w:qFormat/>
    <w:uiPriority w:val="0"/>
  </w:style>
  <w:style w:type="character" w:customStyle="1" w:styleId="102">
    <w:name w:val="style21"/>
    <w:qFormat/>
    <w:uiPriority w:val="0"/>
    <w:rPr>
      <w:sz w:val="17"/>
      <w:szCs w:val="17"/>
    </w:rPr>
  </w:style>
  <w:style w:type="character" w:customStyle="1" w:styleId="103">
    <w:name w:val="mark8"/>
    <w:qFormat/>
    <w:uiPriority w:val="0"/>
    <w:rPr>
      <w:b/>
      <w:bCs/>
      <w:sz w:val="21"/>
      <w:szCs w:val="21"/>
    </w:rPr>
  </w:style>
  <w:style w:type="character" w:customStyle="1" w:styleId="104">
    <w:name w:val="content2"/>
    <w:qFormat/>
    <w:uiPriority w:val="0"/>
  </w:style>
  <w:style w:type="character" w:customStyle="1" w:styleId="105">
    <w:name w:val="1ji Char"/>
    <w:link w:val="106"/>
    <w:qFormat/>
    <w:uiPriority w:val="0"/>
    <w:rPr>
      <w:rFonts w:ascii="宋体" w:hAnsi="宋体"/>
      <w:b/>
      <w:bCs/>
      <w:kern w:val="44"/>
      <w:sz w:val="36"/>
      <w:szCs w:val="44"/>
    </w:rPr>
  </w:style>
  <w:style w:type="paragraph" w:customStyle="1" w:styleId="106">
    <w:name w:val="1ji"/>
    <w:basedOn w:val="2"/>
    <w:link w:val="105"/>
    <w:qFormat/>
    <w:uiPriority w:val="0"/>
    <w:pPr>
      <w:keepLines w:val="0"/>
      <w:widowControl/>
      <w:spacing w:before="0" w:after="0" w:line="240" w:lineRule="auto"/>
      <w:jc w:val="center"/>
    </w:pPr>
    <w:rPr>
      <w:rFonts w:ascii="宋体" w:hAnsi="宋体"/>
      <w:sz w:val="36"/>
    </w:rPr>
  </w:style>
  <w:style w:type="character" w:customStyle="1" w:styleId="107">
    <w:name w:val="case31"/>
    <w:qFormat/>
    <w:uiPriority w:val="0"/>
    <w:rPr>
      <w:rFonts w:hint="default"/>
      <w:sz w:val="21"/>
      <w:szCs w:val="21"/>
    </w:rPr>
  </w:style>
  <w:style w:type="character" w:customStyle="1" w:styleId="108">
    <w:name w:val="批注文字 Char2"/>
    <w:qFormat/>
    <w:uiPriority w:val="0"/>
    <w:rPr>
      <w:kern w:val="2"/>
      <w:sz w:val="21"/>
      <w:szCs w:val="24"/>
      <w:lang w:bidi="ar-SA"/>
    </w:rPr>
  </w:style>
  <w:style w:type="character" w:customStyle="1" w:styleId="109">
    <w:name w:val="标题3 Char"/>
    <w:link w:val="110"/>
    <w:qFormat/>
    <w:uiPriority w:val="0"/>
    <w:rPr>
      <w:rFonts w:ascii="宋体" w:hAnsi="宋体"/>
      <w:b/>
      <w:bCs/>
      <w:kern w:val="44"/>
      <w:sz w:val="24"/>
      <w:szCs w:val="24"/>
    </w:rPr>
  </w:style>
  <w:style w:type="paragraph" w:customStyle="1" w:styleId="110">
    <w:name w:val="标题3"/>
    <w:basedOn w:val="2"/>
    <w:link w:val="109"/>
    <w:qFormat/>
    <w:uiPriority w:val="0"/>
    <w:pPr>
      <w:spacing w:before="0" w:beforeLines="50" w:after="0" w:afterLines="50" w:line="400" w:lineRule="exact"/>
    </w:pPr>
    <w:rPr>
      <w:rFonts w:ascii="宋体" w:hAnsi="宋体"/>
      <w:sz w:val="24"/>
      <w:szCs w:val="24"/>
    </w:rPr>
  </w:style>
  <w:style w:type="character" w:customStyle="1" w:styleId="111">
    <w:name w:val="graytext1"/>
    <w:qFormat/>
    <w:uiPriority w:val="0"/>
    <w:rPr>
      <w:color w:val="666666"/>
    </w:rPr>
  </w:style>
  <w:style w:type="character" w:customStyle="1" w:styleId="112">
    <w:name w:val="font01"/>
    <w:qFormat/>
    <w:uiPriority w:val="0"/>
    <w:rPr>
      <w:rFonts w:hint="eastAsia" w:ascii="宋体" w:hAnsi="宋体" w:eastAsia="宋体"/>
      <w:color w:val="000000"/>
      <w:sz w:val="22"/>
      <w:szCs w:val="22"/>
      <w:u w:val="none"/>
    </w:rPr>
  </w:style>
  <w:style w:type="character" w:customStyle="1" w:styleId="113">
    <w:name w:val="short_text1"/>
    <w:qFormat/>
    <w:uiPriority w:val="0"/>
    <w:rPr>
      <w:sz w:val="26"/>
    </w:rPr>
  </w:style>
  <w:style w:type="character" w:customStyle="1" w:styleId="114">
    <w:name w:val="unnamed3"/>
    <w:qFormat/>
    <w:uiPriority w:val="0"/>
  </w:style>
  <w:style w:type="character" w:customStyle="1" w:styleId="115">
    <w:name w:val="062"/>
    <w:qFormat/>
    <w:uiPriority w:val="0"/>
    <w:rPr>
      <w:rFonts w:ascii="宋体" w:hAnsi="宋体"/>
      <w:b/>
      <w:bCs/>
      <w:sz w:val="32"/>
    </w:rPr>
  </w:style>
  <w:style w:type="character" w:customStyle="1" w:styleId="116">
    <w:name w:val="style11"/>
    <w:qFormat/>
    <w:uiPriority w:val="0"/>
    <w:rPr>
      <w:rFonts w:hint="default" w:ascii="Arial" w:hAnsi="Arial" w:cs="Arial"/>
    </w:rPr>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text11"/>
    <w:qFormat/>
    <w:uiPriority w:val="0"/>
    <w:rPr>
      <w:rFonts w:hint="default" w:ascii="Verdana" w:hAnsi="Verdana"/>
      <w:color w:val="4E4E4E"/>
      <w:sz w:val="18"/>
      <w:szCs w:val="18"/>
    </w:rPr>
  </w:style>
  <w:style w:type="character" w:customStyle="1" w:styleId="119">
    <w:name w:val="1051"/>
    <w:qFormat/>
    <w:uiPriority w:val="0"/>
    <w:rPr>
      <w:sz w:val="21"/>
      <w:szCs w:val="21"/>
    </w:rPr>
  </w:style>
  <w:style w:type="paragraph" w:customStyle="1" w:styleId="12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1">
    <w:name w:val="List Paragraph1"/>
    <w:basedOn w:val="1"/>
    <w:qFormat/>
    <w:uiPriority w:val="0"/>
    <w:pPr>
      <w:ind w:firstLine="420" w:firstLineChars="200"/>
    </w:pPr>
    <w:rPr>
      <w:rFonts w:ascii="Calibri" w:hAnsi="Calibri" w:eastAsia="宋体" w:cs="Times New Roman"/>
      <w:szCs w:val="22"/>
    </w:rPr>
  </w:style>
  <w:style w:type="paragraph" w:customStyle="1" w:styleId="122">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1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rPr>
  </w:style>
  <w:style w:type="paragraph" w:customStyle="1" w:styleId="126">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27">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3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1"/>
    <w:basedOn w:val="1"/>
    <w:qFormat/>
    <w:uiPriority w:val="0"/>
    <w:rPr>
      <w:rFonts w:ascii="Times New Roman" w:hAnsi="Times New Roman" w:eastAsia="宋体" w:cs="Times New Roman"/>
      <w:szCs w:val="21"/>
    </w:rPr>
  </w:style>
  <w:style w:type="paragraph" w:customStyle="1" w:styleId="133">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34">
    <w:name w:val="次小点说明 Char"/>
    <w:basedOn w:val="7"/>
    <w:qFormat/>
    <w:uiPriority w:val="0"/>
    <w:pPr>
      <w:ind w:firstLine="0"/>
    </w:pPr>
    <w:rPr>
      <w:sz w:val="24"/>
      <w:szCs w:val="24"/>
    </w:rPr>
  </w:style>
  <w:style w:type="paragraph" w:customStyle="1" w:styleId="135">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136">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3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38">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styleId="139">
    <w:name w:val="List Paragraph"/>
    <w:basedOn w:val="1"/>
    <w:qFormat/>
    <w:uiPriority w:val="34"/>
    <w:pPr>
      <w:ind w:firstLine="420" w:firstLineChars="200"/>
    </w:pPr>
    <w:rPr>
      <w:rFonts w:ascii="Calibri" w:hAnsi="Calibri" w:eastAsia="宋体" w:cs="Times New Roman"/>
      <w:szCs w:val="22"/>
    </w:rPr>
  </w:style>
  <w:style w:type="paragraph" w:customStyle="1" w:styleId="14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141">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42">
    <w:name w:val="Char Char Char Char Char Char Char"/>
    <w:basedOn w:val="1"/>
    <w:uiPriority w:val="0"/>
    <w:rPr>
      <w:rFonts w:ascii="Times New Roman" w:hAnsi="Times New Roman" w:eastAsia="宋体" w:cs="Times New Roman"/>
    </w:rPr>
  </w:style>
  <w:style w:type="paragraph" w:customStyle="1" w:styleId="143">
    <w:name w:val="缺省文本"/>
    <w:basedOn w:val="1"/>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44">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145">
    <w:name w:val="Char Char Char 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6">
    <w:name w:val="样式1"/>
    <w:basedOn w:val="1"/>
    <w:uiPriority w:val="0"/>
    <w:pPr>
      <w:spacing w:before="120" w:after="120" w:line="300" w:lineRule="auto"/>
    </w:pPr>
    <w:rPr>
      <w:rFonts w:ascii="宋体" w:hAnsi="宋体" w:eastAsia="宋体" w:cs="Times New Roman"/>
      <w:b/>
      <w:sz w:val="24"/>
      <w:szCs w:val="20"/>
    </w:rPr>
  </w:style>
  <w:style w:type="paragraph" w:customStyle="1" w:styleId="147">
    <w:name w:val="Char21"/>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148">
    <w:name w:val="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默认段落字体 Para Char1"/>
    <w:next w:val="1"/>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51">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152">
    <w:name w:val="正文首行缩进两字符"/>
    <w:basedOn w:val="1"/>
    <w:uiPriority w:val="0"/>
    <w:pPr>
      <w:spacing w:line="360" w:lineRule="auto"/>
      <w:ind w:firstLine="200" w:firstLineChars="200"/>
    </w:pPr>
    <w:rPr>
      <w:rFonts w:ascii="Times New Roman" w:hAnsi="Times New Roman" w:eastAsia="宋体" w:cs="Times New Roman"/>
    </w:rPr>
  </w:style>
  <w:style w:type="paragraph" w:customStyle="1" w:styleId="153">
    <w:name w:val="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4">
    <w:name w:val="444"/>
    <w:basedOn w:val="1"/>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155">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156">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57">
    <w:name w:val="a9"/>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58">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59">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160">
    <w:name w:val="Char Char Char"/>
    <w:basedOn w:val="1"/>
    <w:qFormat/>
    <w:uiPriority w:val="0"/>
    <w:rPr>
      <w:rFonts w:ascii="Tahoma" w:hAnsi="Tahoma" w:eastAsia="宋体" w:cs="Times New Roman"/>
      <w:sz w:val="24"/>
      <w:szCs w:val="20"/>
    </w:rPr>
  </w:style>
  <w:style w:type="paragraph" w:customStyle="1" w:styleId="161">
    <w:name w:val="表格"/>
    <w:basedOn w:val="1"/>
    <w:qFormat/>
    <w:uiPriority w:val="0"/>
    <w:pPr>
      <w:spacing w:line="400" w:lineRule="exact"/>
    </w:pPr>
    <w:rPr>
      <w:rFonts w:ascii="Times New Roman" w:hAnsi="Times New Roman" w:eastAsia="宋体" w:cs="Times New Roman"/>
      <w:sz w:val="24"/>
    </w:rPr>
  </w:style>
  <w:style w:type="paragraph" w:customStyle="1" w:styleId="16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63">
    <w:name w:val="tgt1"/>
    <w:basedOn w:val="1"/>
    <w:qFormat/>
    <w:uiPriority w:val="0"/>
    <w:pPr>
      <w:widowControl/>
      <w:spacing w:after="150"/>
      <w:jc w:val="left"/>
    </w:pPr>
    <w:rPr>
      <w:rFonts w:ascii="宋体" w:hAnsi="宋体" w:eastAsia="宋体" w:cs="宋体"/>
      <w:kern w:val="0"/>
      <w:sz w:val="24"/>
    </w:rPr>
  </w:style>
  <w:style w:type="paragraph" w:customStyle="1" w:styleId="164">
    <w:name w:val="Char Char Char2"/>
    <w:basedOn w:val="16"/>
    <w:qFormat/>
    <w:uiPriority w:val="0"/>
    <w:pPr>
      <w:adjustRightInd/>
      <w:spacing w:line="240" w:lineRule="auto"/>
      <w:textAlignment w:val="auto"/>
    </w:pPr>
    <w:rPr>
      <w:rFonts w:ascii="Tahoma" w:hAnsi="Tahoma"/>
      <w:kern w:val="2"/>
      <w:sz w:val="24"/>
      <w:szCs w:val="24"/>
    </w:rPr>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7">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8">
    <w:name w:val="1"/>
    <w:basedOn w:val="1"/>
    <w:next w:val="26"/>
    <w:qFormat/>
    <w:uiPriority w:val="0"/>
    <w:rPr>
      <w:rFonts w:ascii="宋体" w:hAnsi="Courier New" w:eastAsia="宋体" w:cs="Times New Roman"/>
      <w:szCs w:val="20"/>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170">
    <w:name w:val="Char Char Char Char Char Char Char1"/>
    <w:basedOn w:val="1"/>
    <w:qFormat/>
    <w:uiPriority w:val="0"/>
    <w:rPr>
      <w:rFonts w:ascii="Times New Roman" w:hAnsi="Times New Roman" w:eastAsia="宋体" w:cs="Times New Roman"/>
    </w:rPr>
  </w:style>
  <w:style w:type="paragraph" w:customStyle="1" w:styleId="171">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172">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3">
    <w:name w:val="列出段落1"/>
    <w:basedOn w:val="1"/>
    <w:qFormat/>
    <w:uiPriority w:val="99"/>
    <w:pPr>
      <w:adjustRightInd w:val="0"/>
      <w:spacing w:line="360" w:lineRule="atLeast"/>
      <w:ind w:firstLine="420" w:firstLineChars="200"/>
      <w:jc w:val="left"/>
      <w:textAlignment w:val="baseline"/>
    </w:pPr>
    <w:rPr>
      <w:rFonts w:ascii="Calibri" w:hAnsi="Calibri" w:eastAsia="宋体" w:cs="Times New Roman"/>
      <w:kern w:val="0"/>
      <w:sz w:val="24"/>
      <w:szCs w:val="22"/>
    </w:rPr>
  </w:style>
  <w:style w:type="paragraph" w:customStyle="1" w:styleId="174">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175">
    <w:name w:val="普通 (Web)"/>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176">
    <w:name w:val="批注文字 字符1"/>
    <w:qFormat/>
    <w:uiPriority w:val="0"/>
    <w:rPr>
      <w:kern w:val="2"/>
      <w:sz w:val="21"/>
      <w:szCs w:val="24"/>
    </w:rPr>
  </w:style>
  <w:style w:type="character" w:customStyle="1" w:styleId="177">
    <w:name w:val="未处理的提及1"/>
    <w:unhideWhenUsed/>
    <w:qFormat/>
    <w:uiPriority w:val="99"/>
    <w:rPr>
      <w:color w:val="605E5C"/>
      <w:shd w:val="clear" w:color="auto" w:fill="E1DFDD"/>
    </w:rPr>
  </w:style>
  <w:style w:type="character" w:customStyle="1" w:styleId="178">
    <w:name w:val="纯文本 字符1"/>
    <w:qFormat/>
    <w:uiPriority w:val="99"/>
    <w:rPr>
      <w:rFonts w:ascii="宋体" w:hAnsi="Courier New" w:eastAsia="宋体" w:cs="Courier New"/>
      <w:kern w:val="2"/>
      <w:sz w:val="21"/>
      <w:szCs w:val="21"/>
      <w:lang w:val="en-US" w:eastAsia="zh-CN" w:bidi="ar-SA"/>
    </w:rPr>
  </w:style>
  <w:style w:type="character" w:customStyle="1" w:styleId="179">
    <w:name w:val="正文文本 字符1"/>
    <w:qFormat/>
    <w:uiPriority w:val="99"/>
    <w:rPr>
      <w:kern w:val="2"/>
      <w:sz w:val="24"/>
      <w:szCs w:val="24"/>
    </w:rPr>
  </w:style>
  <w:style w:type="paragraph" w:customStyle="1" w:styleId="180">
    <w:name w:val="正文-2字符首行缩进"/>
    <w:basedOn w:val="1"/>
    <w:link w:val="181"/>
    <w:qFormat/>
    <w:uiPriority w:val="0"/>
    <w:pPr>
      <w:widowControl/>
      <w:spacing w:line="360" w:lineRule="auto"/>
      <w:ind w:firstLine="200" w:firstLineChars="200"/>
    </w:pPr>
    <w:rPr>
      <w:rFonts w:ascii="仿宋_GB2312" w:hAnsi="Calibri" w:eastAsia="仿宋_GB2312" w:cs="Times New Roman"/>
      <w:kern w:val="0"/>
      <w:sz w:val="28"/>
      <w:szCs w:val="22"/>
    </w:rPr>
  </w:style>
  <w:style w:type="character" w:customStyle="1" w:styleId="181">
    <w:name w:val="正文-2字符首行缩进 Char"/>
    <w:link w:val="180"/>
    <w:qFormat/>
    <w:uiPriority w:val="0"/>
    <w:rPr>
      <w:rFonts w:ascii="仿宋_GB2312" w:hAnsi="Calibri" w:eastAsia="仿宋_GB2312"/>
      <w:sz w:val="28"/>
      <w:szCs w:val="22"/>
    </w:rPr>
  </w:style>
  <w:style w:type="table" w:customStyle="1" w:styleId="182">
    <w:name w:val="网格型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
    <w:name w:val="尾注文本 字符"/>
    <w:basedOn w:val="57"/>
    <w:link w:val="30"/>
    <w:qFormat/>
    <w:uiPriority w:val="99"/>
    <w:rPr>
      <w:kern w:val="2"/>
      <w:sz w:val="21"/>
      <w:szCs w:val="24"/>
    </w:rPr>
  </w:style>
  <w:style w:type="character" w:customStyle="1" w:styleId="184">
    <w:name w:val="脚注文本 字符"/>
    <w:basedOn w:val="57"/>
    <w:link w:val="38"/>
    <w:qFormat/>
    <w:uiPriority w:val="99"/>
    <w:rPr>
      <w:kern w:val="2"/>
      <w:sz w:val="18"/>
      <w:szCs w:val="18"/>
    </w:rPr>
  </w:style>
  <w:style w:type="paragraph" w:customStyle="1" w:styleId="185">
    <w:name w:val="表格文字115"/>
    <w:basedOn w:val="1"/>
    <w:qFormat/>
    <w:uiPriority w:val="0"/>
    <w:pPr>
      <w:jc w:val="left"/>
    </w:pPr>
    <w:rPr>
      <w:rFonts w:ascii="Times New Roman" w:hAnsi="Times New Roman" w:eastAsia="宋体" w:cs="Times New Roman"/>
      <w:bCs/>
      <w:spacing w:val="10"/>
      <w:kern w:val="0"/>
      <w:sz w:val="24"/>
    </w:rPr>
  </w:style>
  <w:style w:type="paragraph" w:customStyle="1" w:styleId="186">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7">
    <w:name w:val="apple-style-span"/>
    <w:qFormat/>
    <w:uiPriority w:val="0"/>
  </w:style>
  <w:style w:type="character" w:customStyle="1" w:styleId="188">
    <w:name w:val="无"/>
    <w:qFormat/>
    <w:uiPriority w:val="0"/>
  </w:style>
  <w:style w:type="character" w:customStyle="1" w:styleId="189">
    <w:name w:val="font41"/>
    <w:qFormat/>
    <w:uiPriority w:val="0"/>
    <w:rPr>
      <w:rFonts w:hint="eastAsia" w:ascii="宋体" w:hAnsi="宋体" w:eastAsia="宋体" w:cs="宋体"/>
      <w:color w:val="000000"/>
      <w:sz w:val="20"/>
      <w:szCs w:val="20"/>
      <w:u w:val="none"/>
    </w:rPr>
  </w:style>
  <w:style w:type="character" w:customStyle="1" w:styleId="190">
    <w:name w:val="font21"/>
    <w:qFormat/>
    <w:uiPriority w:val="0"/>
    <w:rPr>
      <w:rFonts w:hint="default" w:ascii="Times New Roman" w:hAnsi="Times New Roman" w:cs="Times New Roman"/>
      <w:color w:val="000000"/>
      <w:sz w:val="20"/>
      <w:szCs w:val="20"/>
      <w:u w:val="none"/>
    </w:rPr>
  </w:style>
  <w:style w:type="character" w:customStyle="1" w:styleId="191">
    <w:name w:val="font51"/>
    <w:qFormat/>
    <w:uiPriority w:val="0"/>
    <w:rPr>
      <w:rFonts w:hint="default" w:ascii="Times New Roman" w:hAnsi="Times New Roman" w:cs="Times New Roman"/>
      <w:color w:val="000000"/>
      <w:sz w:val="20"/>
      <w:szCs w:val="20"/>
      <w:u w:val="none"/>
    </w:rPr>
  </w:style>
  <w:style w:type="character" w:customStyle="1" w:styleId="192">
    <w:name w:val="textcontents"/>
    <w:qFormat/>
    <w:uiPriority w:val="0"/>
  </w:style>
  <w:style w:type="character" w:customStyle="1" w:styleId="193">
    <w:name w:val="headline-content4"/>
    <w:qFormat/>
    <w:uiPriority w:val="0"/>
  </w:style>
  <w:style w:type="character" w:customStyle="1" w:styleId="194">
    <w:name w:val="正文文本缩进 Char1"/>
    <w:semiHidden/>
    <w:qFormat/>
    <w:locked/>
    <w:uiPriority w:val="0"/>
    <w:rPr>
      <w:rFonts w:ascii="仿宋_GB2312" w:hAnsi="Times New Roman" w:eastAsia="仿宋_GB2312"/>
      <w:sz w:val="32"/>
    </w:rPr>
  </w:style>
  <w:style w:type="character" w:customStyle="1" w:styleId="195">
    <w:name w:val="font31"/>
    <w:qFormat/>
    <w:uiPriority w:val="0"/>
    <w:rPr>
      <w:rFonts w:hint="default" w:ascii="Times New Roman" w:hAnsi="Times New Roman" w:cs="Times New Roman"/>
      <w:color w:val="000000"/>
      <w:sz w:val="20"/>
      <w:szCs w:val="20"/>
      <w:u w:val="none"/>
    </w:rPr>
  </w:style>
  <w:style w:type="character" w:customStyle="1" w:styleId="196">
    <w:name w:val="批注文字 Char1"/>
    <w:semiHidden/>
    <w:qFormat/>
    <w:locked/>
    <w:uiPriority w:val="0"/>
    <w:rPr>
      <w:rFonts w:ascii="Times New Roman" w:hAnsi="Times New Roman"/>
      <w:kern w:val="2"/>
      <w:sz w:val="21"/>
      <w:szCs w:val="24"/>
    </w:rPr>
  </w:style>
  <w:style w:type="paragraph" w:customStyle="1" w:styleId="197">
    <w:name w:val="纯文本1"/>
    <w:basedOn w:val="1"/>
    <w:qFormat/>
    <w:uiPriority w:val="0"/>
    <w:rPr>
      <w:rFonts w:ascii="宋体" w:hAnsi="Courier New" w:eastAsia="宋体" w:cs="Century"/>
      <w:szCs w:val="21"/>
    </w:rPr>
  </w:style>
  <w:style w:type="paragraph" w:customStyle="1" w:styleId="1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99">
    <w:name w:val="标题3（采购需求）"/>
    <w:basedOn w:val="110"/>
    <w:next w:val="1"/>
    <w:qFormat/>
    <w:uiPriority w:val="0"/>
    <w:pPr>
      <w:spacing w:beforeLines="0" w:afterLines="0" w:line="360" w:lineRule="auto"/>
      <w:outlineLvl w:val="2"/>
    </w:pPr>
    <w:rPr>
      <w:bCs w:val="0"/>
      <w:kern w:val="0"/>
    </w:rPr>
  </w:style>
  <w:style w:type="character" w:customStyle="1" w:styleId="200">
    <w:name w:val="NormalCharacter"/>
    <w:semiHidden/>
    <w:qFormat/>
    <w:uiPriority w:val="0"/>
  </w:style>
  <w:style w:type="paragraph" w:customStyle="1" w:styleId="201">
    <w:name w:val="正文2"/>
    <w:basedOn w:val="1"/>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paragraph" w:customStyle="1" w:styleId="202">
    <w:name w:val="表格文字"/>
    <w:basedOn w:val="1"/>
    <w:qFormat/>
    <w:uiPriority w:val="0"/>
    <w:pPr>
      <w:spacing w:before="25" w:after="25"/>
    </w:pPr>
    <w:rPr>
      <w:rFonts w:ascii="Times New Roman" w:hAnsi="Times New Roman" w:eastAsia="宋体" w:cs="Times New Roman"/>
      <w:bCs/>
      <w:spacing w:val="10"/>
      <w:szCs w:val="20"/>
    </w:rPr>
  </w:style>
  <w:style w:type="paragraph" w:customStyle="1" w:styleId="203">
    <w:name w:val="正文首行缩进1"/>
    <w:qFormat/>
    <w:uiPriority w:val="0"/>
    <w:pPr>
      <w:ind w:firstLine="672"/>
    </w:pPr>
    <w:rPr>
      <w:rFonts w:ascii="宋体" w:hAnsi="宋体" w:eastAsia="宋体" w:cs="宋体"/>
      <w:lang w:val="en-US" w:eastAsia="zh-CN" w:bidi="ar-SA"/>
    </w:rPr>
  </w:style>
  <w:style w:type="paragraph" w:customStyle="1" w:styleId="204">
    <w:name w:val="附录标识"/>
    <w:basedOn w:val="205"/>
    <w:qFormat/>
    <w:uiPriority w:val="0"/>
    <w:pPr>
      <w:numPr>
        <w:ilvl w:val="0"/>
        <w:numId w:val="1"/>
      </w:numPr>
      <w:tabs>
        <w:tab w:val="left" w:pos="6405"/>
      </w:tabs>
      <w:spacing w:after="200"/>
    </w:pPr>
    <w:rPr>
      <w:sz w:val="21"/>
    </w:rPr>
  </w:style>
  <w:style w:type="paragraph" w:customStyle="1" w:styleId="20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6">
    <w:name w:val="附录章标题"/>
    <w:next w:val="207"/>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附录表标题"/>
    <w:next w:val="20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0">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11">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12">
    <w:name w:val="一级条标题"/>
    <w:basedOn w:val="213"/>
    <w:next w:val="207"/>
    <w:qFormat/>
    <w:uiPriority w:val="0"/>
    <w:pPr>
      <w:spacing w:line="240" w:lineRule="auto"/>
      <w:ind w:left="420"/>
      <w:outlineLvl w:val="2"/>
    </w:pPr>
  </w:style>
  <w:style w:type="paragraph" w:customStyle="1" w:styleId="21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14">
    <w:name w:val="Table Text"/>
    <w:basedOn w:val="1"/>
    <w:semiHidden/>
    <w:qFormat/>
    <w:uiPriority w:val="0"/>
    <w:rPr>
      <w:rFonts w:ascii="宋体" w:hAnsi="宋体" w:eastAsia="宋体" w:cs="宋体"/>
      <w:sz w:val="20"/>
      <w:szCs w:val="20"/>
      <w:lang w:eastAsia="en-US"/>
    </w:rPr>
  </w:style>
  <w:style w:type="character" w:customStyle="1" w:styleId="215">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42643</Words>
  <Characters>44611</Characters>
  <Lines>371</Lines>
  <Paragraphs>104</Paragraphs>
  <TotalTime>7</TotalTime>
  <ScaleCrop>false</ScaleCrop>
  <LinksUpToDate>false</LinksUpToDate>
  <CharactersWithSpaces>50149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2025-08-12T00:20:00Z</dcterms:created>
  <dc:creator>寻</dc:creator>
  <cp:lastModifiedBy>WPS_1670586151</cp:lastModifiedBy>
  <dcterms:modified xsi:type="dcterms:W3CDTF">2025-08-13T02:30:36Z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F7783B0CAE424B88B6AEDDD04AD5BCC9_11</vt:lpwstr>
  </property>
  <property fmtid="{D5CDD505-2E9C-101B-9397-08002B2CF9AE}" pid="4" name="KSOTemplateDocerSaveRecord">
    <vt:lpwstr>eyJoZGlkIjoiZmJmMDM4MmMwMTRjNWY0ZDI3NjNkNjAxZTkxYmEyMGMiLCJ1c2VySWQiOiIxNDQwMTM4MDUxIn0=</vt:lpwstr>
  </property>
</Properties>
</file>