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0BA05">
      <w:pPr>
        <w:spacing w:before="312" w:beforeLines="100" w:after="156" w:afterLines="50" w:line="600" w:lineRule="exact"/>
        <w:jc w:val="center"/>
        <w:rPr>
          <w:rFonts w:hint="eastAsia" w:ascii="方正小标宋简体" w:hAnsi="宋体" w:eastAsia="方正小标宋简体"/>
          <w:color w:val="auto"/>
          <w:sz w:val="52"/>
          <w:szCs w:val="52"/>
          <w:highlight w:val="none"/>
        </w:rPr>
      </w:pPr>
    </w:p>
    <w:p w14:paraId="1C3A7BA4">
      <w:pPr>
        <w:spacing w:line="360" w:lineRule="auto"/>
        <w:jc w:val="center"/>
        <w:rPr>
          <w:rFonts w:hint="eastAsia" w:ascii="方正小标宋简体" w:hAnsi="宋体" w:eastAsia="方正小标宋简体"/>
          <w:color w:val="auto"/>
          <w:sz w:val="52"/>
          <w:szCs w:val="52"/>
          <w:highlight w:val="none"/>
        </w:rPr>
      </w:pPr>
      <w:bookmarkStart w:id="0" w:name="OLE_LINK1"/>
      <w:r>
        <w:rPr>
          <w:rFonts w:hint="eastAsia" w:ascii="方正小标宋简体" w:hAnsi="宋体" w:eastAsia="方正小标宋简体"/>
          <w:color w:val="auto"/>
          <w:sz w:val="52"/>
          <w:szCs w:val="52"/>
          <w:highlight w:val="none"/>
        </w:rPr>
        <w:t>云之龙咨询集团有限公司</w:t>
      </w:r>
    </w:p>
    <w:bookmarkEnd w:id="0"/>
    <w:p w14:paraId="0AC49480">
      <w:pPr>
        <w:spacing w:before="156" w:beforeLines="50" w:line="360" w:lineRule="auto"/>
        <w:jc w:val="center"/>
        <w:rPr>
          <w:rFonts w:hint="eastAsia" w:ascii="宋体" w:hAnsi="宋体"/>
          <w:i/>
          <w:color w:val="auto"/>
          <w:sz w:val="52"/>
          <w:szCs w:val="52"/>
          <w:highlight w:val="none"/>
        </w:rPr>
      </w:pPr>
    </w:p>
    <w:p w14:paraId="768438B6">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042E1E28">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4F37B05E">
      <w:pPr>
        <w:snapToGrid w:val="0"/>
        <w:spacing w:before="156" w:beforeLines="50"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754132A3">
      <w:pPr>
        <w:snapToGrid w:val="0"/>
        <w:spacing w:line="360" w:lineRule="auto"/>
        <w:rPr>
          <w:rFonts w:hint="eastAsia" w:ascii="仿宋_GB2312" w:hAnsi="宋体" w:eastAsia="仿宋_GB2312"/>
          <w:color w:val="auto"/>
          <w:sz w:val="30"/>
          <w:szCs w:val="72"/>
          <w:highlight w:val="none"/>
        </w:rPr>
      </w:pPr>
    </w:p>
    <w:p w14:paraId="341E2229">
      <w:pPr>
        <w:pStyle w:val="12"/>
        <w:snapToGrid w:val="0"/>
        <w:spacing w:line="360" w:lineRule="auto"/>
        <w:ind w:firstLine="1205" w:firstLineChars="4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高端智能重症救护综合模拟人</w:t>
      </w:r>
    </w:p>
    <w:p w14:paraId="759578B3">
      <w:pPr>
        <w:snapToGrid w:val="0"/>
        <w:spacing w:line="360" w:lineRule="auto"/>
        <w:ind w:firstLine="1145" w:firstLineChars="400"/>
        <w:rPr>
          <w:rFonts w:hint="eastAsia" w:ascii="仿宋_GB2312" w:hAnsi="宋体" w:eastAsia="仿宋_GB2312"/>
          <w:color w:val="auto"/>
          <w:sz w:val="30"/>
          <w:szCs w:val="72"/>
          <w:highlight w:val="none"/>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WZZC2025-J1-990277-YZLZ</w:t>
      </w:r>
      <w:r>
        <w:rPr>
          <w:rFonts w:hint="eastAsia" w:ascii="仿宋_GB2312" w:hAnsi="宋体" w:eastAsia="仿宋_GB2312"/>
          <w:b/>
          <w:color w:val="auto"/>
          <w:sz w:val="30"/>
          <w:szCs w:val="48"/>
          <w:highlight w:val="none"/>
        </w:rPr>
        <w:t xml:space="preserve"> </w:t>
      </w:r>
    </w:p>
    <w:p w14:paraId="76F5C2BA">
      <w:pPr>
        <w:pStyle w:val="12"/>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梧州市红十字会医院</w:t>
      </w:r>
      <w:r>
        <w:rPr>
          <w:rFonts w:hint="eastAsia" w:ascii="仿宋_GB2312" w:hAnsi="宋体" w:eastAsia="仿宋_GB2312"/>
          <w:b/>
          <w:bCs/>
          <w:color w:val="auto"/>
          <w:w w:val="95"/>
          <w:sz w:val="30"/>
          <w:szCs w:val="30"/>
          <w:highlight w:val="none"/>
        </w:rPr>
        <w:t xml:space="preserve"> </w:t>
      </w:r>
    </w:p>
    <w:p w14:paraId="159568CB">
      <w:pPr>
        <w:pStyle w:val="12"/>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bCs/>
          <w:color w:val="auto"/>
          <w:w w:val="95"/>
          <w:sz w:val="30"/>
          <w:szCs w:val="30"/>
          <w:highlight w:val="none"/>
          <w:lang w:eastAsia="zh-CN"/>
        </w:rPr>
        <w:t>云之龙咨询集团有限公司</w:t>
      </w:r>
    </w:p>
    <w:p w14:paraId="69047B42">
      <w:pPr>
        <w:pStyle w:val="12"/>
        <w:snapToGrid w:val="0"/>
        <w:spacing w:line="360" w:lineRule="auto"/>
        <w:ind w:firstLine="1125" w:firstLineChars="393"/>
        <w:jc w:val="both"/>
        <w:rPr>
          <w:rFonts w:hint="eastAsia" w:ascii="仿宋_GB2312" w:hAnsi="宋体" w:eastAsia="仿宋_GB2312"/>
          <w:b/>
          <w:bCs/>
          <w:color w:val="auto"/>
          <w:w w:val="95"/>
          <w:sz w:val="30"/>
          <w:szCs w:val="30"/>
          <w:highlight w:val="none"/>
        </w:rPr>
      </w:pPr>
    </w:p>
    <w:p w14:paraId="7D6C725F">
      <w:pPr>
        <w:pStyle w:val="12"/>
        <w:snapToGrid w:val="0"/>
        <w:spacing w:line="360" w:lineRule="auto"/>
        <w:ind w:firstLine="1125" w:firstLineChars="393"/>
        <w:jc w:val="both"/>
        <w:rPr>
          <w:rFonts w:hint="eastAsia" w:ascii="仿宋_GB2312" w:hAnsi="宋体" w:eastAsia="仿宋_GB2312"/>
          <w:b/>
          <w:bCs/>
          <w:color w:val="auto"/>
          <w:w w:val="95"/>
          <w:sz w:val="30"/>
          <w:szCs w:val="30"/>
          <w:highlight w:val="none"/>
        </w:rPr>
      </w:pPr>
    </w:p>
    <w:p w14:paraId="03E0EBCD">
      <w:pPr>
        <w:pStyle w:val="12"/>
        <w:snapToGrid w:val="0"/>
        <w:spacing w:line="360" w:lineRule="auto"/>
        <w:ind w:firstLine="841" w:firstLineChars="294"/>
        <w:rPr>
          <w:rFonts w:hint="eastAsia"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val="en-US" w:eastAsia="zh-CN"/>
        </w:rPr>
        <w:t>2025</w:t>
      </w:r>
      <w:r>
        <w:rPr>
          <w:rFonts w:hint="eastAsia" w:ascii="仿宋_GB2312" w:hAnsi="宋体" w:eastAsia="仿宋_GB2312" w:cs="Times New Roman"/>
          <w:b/>
          <w:bCs/>
          <w:color w:val="auto"/>
          <w:w w:val="95"/>
          <w:sz w:val="30"/>
          <w:szCs w:val="30"/>
          <w:highlight w:val="none"/>
        </w:rPr>
        <w:t>年</w:t>
      </w:r>
      <w:r>
        <w:rPr>
          <w:rFonts w:hint="eastAsia" w:ascii="仿宋_GB2312" w:hAnsi="宋体" w:eastAsia="仿宋_GB2312" w:cs="Times New Roman"/>
          <w:b/>
          <w:bCs/>
          <w:color w:val="auto"/>
          <w:w w:val="95"/>
          <w:sz w:val="30"/>
          <w:szCs w:val="30"/>
          <w:highlight w:val="none"/>
          <w:lang w:val="en-US" w:eastAsia="zh-CN"/>
        </w:rPr>
        <w:t>10</w:t>
      </w:r>
      <w:r>
        <w:rPr>
          <w:rFonts w:hint="eastAsia" w:ascii="仿宋_GB2312" w:hAnsi="宋体" w:eastAsia="仿宋_GB2312" w:cs="Times New Roman"/>
          <w:b/>
          <w:bCs/>
          <w:color w:val="auto"/>
          <w:w w:val="95"/>
          <w:sz w:val="30"/>
          <w:szCs w:val="30"/>
          <w:highlight w:val="none"/>
        </w:rPr>
        <w:t>月</w:t>
      </w:r>
      <w:r>
        <w:rPr>
          <w:rFonts w:hint="eastAsia" w:ascii="仿宋_GB2312" w:hAnsi="宋体" w:eastAsia="仿宋_GB2312" w:cs="Times New Roman"/>
          <w:b/>
          <w:bCs/>
          <w:color w:val="auto"/>
          <w:w w:val="95"/>
          <w:sz w:val="30"/>
          <w:szCs w:val="30"/>
          <w:highlight w:val="none"/>
          <w:lang w:val="en-US" w:eastAsia="zh-CN"/>
        </w:rPr>
        <w:t>24</w:t>
      </w:r>
      <w:r>
        <w:rPr>
          <w:rFonts w:hint="eastAsia" w:ascii="仿宋_GB2312" w:hAnsi="宋体" w:eastAsia="仿宋_GB2312" w:cs="Times New Roman"/>
          <w:b/>
          <w:bCs/>
          <w:color w:val="auto"/>
          <w:w w:val="95"/>
          <w:sz w:val="30"/>
          <w:szCs w:val="30"/>
          <w:highlight w:val="none"/>
        </w:rPr>
        <w:t>日</w:t>
      </w:r>
    </w:p>
    <w:p w14:paraId="7DDEE26F">
      <w:pPr>
        <w:tabs>
          <w:tab w:val="left" w:pos="1080"/>
        </w:tabs>
        <w:spacing w:line="360" w:lineRule="exact"/>
        <w:ind w:firstLine="480"/>
        <w:rPr>
          <w:rFonts w:hint="eastAsia" w:ascii="宋体" w:hAnsi="宋体"/>
          <w:b/>
          <w:color w:val="auto"/>
          <w:sz w:val="44"/>
          <w:szCs w:val="44"/>
          <w:highlight w:val="none"/>
        </w:rPr>
      </w:pPr>
      <w:r>
        <w:rPr>
          <w:rFonts w:ascii="仿宋_GB2312" w:hAnsi="宋体" w:eastAsia="仿宋_GB2312"/>
          <w:b/>
          <w:color w:val="auto"/>
          <w:sz w:val="30"/>
          <w:szCs w:val="30"/>
          <w:highlight w:val="none"/>
        </w:rPr>
        <w:br w:type="page"/>
      </w:r>
    </w:p>
    <w:p w14:paraId="6E83CFFA">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0F9F29A">
      <w:pPr>
        <w:spacing w:line="400" w:lineRule="exact"/>
        <w:jc w:val="center"/>
        <w:rPr>
          <w:rFonts w:hint="eastAsia" w:ascii="宋体" w:hAnsi="宋体"/>
          <w:b/>
          <w:color w:val="auto"/>
          <w:sz w:val="44"/>
          <w:szCs w:val="44"/>
          <w:highlight w:val="none"/>
        </w:rPr>
      </w:pPr>
    </w:p>
    <w:p w14:paraId="732E528A">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"_Toc74322008"</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第一章</w:t>
      </w:r>
      <w:r>
        <w:rPr>
          <w:rStyle w:val="27"/>
          <w:rFonts w:ascii="宋体" w:hAnsi="宋体"/>
          <w:b/>
          <w:color w:val="auto"/>
          <w:sz w:val="24"/>
          <w:highlight w:val="none"/>
        </w:rPr>
        <w:t xml:space="preserve"> </w:t>
      </w:r>
      <w:r>
        <w:rPr>
          <w:rStyle w:val="27"/>
          <w:rFonts w:hint="eastAsia" w:ascii="宋体" w:hAnsi="宋体"/>
          <w:b/>
          <w:color w:val="auto"/>
          <w:sz w:val="24"/>
          <w:highlight w:val="none"/>
        </w:rPr>
        <w:t>竞争性谈判公告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_Toc74322008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2CA440AD">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"_Toc74322009"</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第二章</w:t>
      </w:r>
      <w:r>
        <w:rPr>
          <w:rStyle w:val="27"/>
          <w:rFonts w:ascii="宋体" w:hAnsi="宋体"/>
          <w:b/>
          <w:color w:val="auto"/>
          <w:sz w:val="24"/>
          <w:highlight w:val="none"/>
        </w:rPr>
        <w:t xml:space="preserve"> </w:t>
      </w:r>
      <w:r>
        <w:rPr>
          <w:rStyle w:val="27"/>
          <w:rFonts w:hint="eastAsia" w:ascii="宋体" w:hAnsi="宋体"/>
          <w:b/>
          <w:color w:val="auto"/>
          <w:sz w:val="24"/>
          <w:highlight w:val="none"/>
        </w:rPr>
        <w:t>供应商须知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_Toc74322009 \h </w:instrText>
      </w:r>
      <w:r>
        <w:rPr>
          <w:rFonts w:ascii="宋体" w:hAnsi="宋体"/>
          <w:b/>
          <w:color w:val="auto"/>
          <w:sz w:val="24"/>
          <w:highlight w:val="none"/>
        </w:rPr>
        <w:fldChar w:fldCharType="separate"/>
      </w:r>
      <w:r>
        <w:rPr>
          <w:rFonts w:ascii="宋体" w:hAnsi="宋体"/>
          <w:b/>
          <w:color w:val="auto"/>
          <w:sz w:val="24"/>
          <w:highlight w:val="none"/>
        </w:rPr>
        <w:t>5</w:t>
      </w:r>
      <w:r>
        <w:rPr>
          <w:rFonts w:ascii="宋体" w:hAnsi="宋体"/>
          <w:b/>
          <w:color w:val="auto"/>
          <w:sz w:val="24"/>
          <w:highlight w:val="none"/>
        </w:rPr>
        <w:fldChar w:fldCharType="end"/>
      </w:r>
      <w:r>
        <w:rPr>
          <w:rFonts w:ascii="宋体" w:hAnsi="宋体"/>
          <w:b/>
          <w:color w:val="auto"/>
          <w:sz w:val="24"/>
          <w:highlight w:val="none"/>
        </w:rPr>
        <w:fldChar w:fldCharType="end"/>
      </w:r>
    </w:p>
    <w:p w14:paraId="59F78F12">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"_Toc74322010"</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第三章</w:t>
      </w:r>
      <w:r>
        <w:rPr>
          <w:rStyle w:val="27"/>
          <w:rFonts w:ascii="宋体" w:hAnsi="宋体"/>
          <w:b/>
          <w:color w:val="auto"/>
          <w:sz w:val="24"/>
          <w:highlight w:val="none"/>
        </w:rPr>
        <w:t xml:space="preserve"> </w:t>
      </w:r>
      <w:r>
        <w:rPr>
          <w:rStyle w:val="27"/>
          <w:rFonts w:hint="eastAsia" w:ascii="宋体" w:hAnsi="宋体"/>
          <w:b/>
          <w:color w:val="auto"/>
          <w:sz w:val="24"/>
          <w:highlight w:val="none"/>
        </w:rPr>
        <w:t>采购需求</w:t>
      </w:r>
      <w:bookmarkStart w:id="1" w:name="_Hlt82166985"/>
      <w:r>
        <w:rPr>
          <w:rFonts w:ascii="宋体" w:hAnsi="宋体"/>
          <w:b/>
          <w:color w:val="auto"/>
          <w:sz w:val="24"/>
          <w:highlight w:val="none"/>
        </w:rPr>
        <w:tab/>
      </w:r>
      <w:bookmarkEnd w:id="1"/>
      <w:r>
        <w:rPr>
          <w:rFonts w:ascii="宋体" w:hAnsi="宋体"/>
          <w:b/>
          <w:color w:val="auto"/>
          <w:sz w:val="24"/>
          <w:highlight w:val="none"/>
        </w:rPr>
        <w:fldChar w:fldCharType="begin"/>
      </w:r>
      <w:r>
        <w:rPr>
          <w:rFonts w:ascii="宋体" w:hAnsi="宋体"/>
          <w:b/>
          <w:color w:val="auto"/>
          <w:sz w:val="24"/>
          <w:highlight w:val="none"/>
        </w:rPr>
        <w:instrText xml:space="preserve"> PAGEREF _Toc74322010 \h </w:instrText>
      </w:r>
      <w:r>
        <w:rPr>
          <w:rFonts w:ascii="宋体" w:hAnsi="宋体"/>
          <w:b/>
          <w:color w:val="auto"/>
          <w:sz w:val="24"/>
          <w:highlight w:val="none"/>
        </w:rPr>
        <w:fldChar w:fldCharType="separate"/>
      </w:r>
      <w:r>
        <w:rPr>
          <w:rFonts w:ascii="宋体" w:hAnsi="宋体"/>
          <w:b/>
          <w:color w:val="auto"/>
          <w:sz w:val="24"/>
          <w:highlight w:val="none"/>
        </w:rPr>
        <w:t>22</w:t>
      </w:r>
      <w:r>
        <w:rPr>
          <w:rFonts w:ascii="宋体" w:hAnsi="宋体"/>
          <w:b/>
          <w:color w:val="auto"/>
          <w:sz w:val="24"/>
          <w:highlight w:val="none"/>
        </w:rPr>
        <w:fldChar w:fldCharType="end"/>
      </w:r>
      <w:r>
        <w:rPr>
          <w:rFonts w:ascii="宋体" w:hAnsi="宋体"/>
          <w:b/>
          <w:color w:val="auto"/>
          <w:sz w:val="24"/>
          <w:highlight w:val="none"/>
        </w:rPr>
        <w:fldChar w:fldCharType="end"/>
      </w:r>
    </w:p>
    <w:p w14:paraId="792FF365">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"_Toc74322011"</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第四章</w:t>
      </w:r>
      <w:r>
        <w:rPr>
          <w:rStyle w:val="27"/>
          <w:rFonts w:ascii="宋体" w:hAnsi="宋体"/>
          <w:b/>
          <w:color w:val="auto"/>
          <w:sz w:val="24"/>
          <w:highlight w:val="none"/>
        </w:rPr>
        <w:t xml:space="preserve"> </w:t>
      </w:r>
      <w:r>
        <w:rPr>
          <w:rStyle w:val="27"/>
          <w:rFonts w:hint="eastAsia" w:ascii="宋体" w:hAnsi="宋体"/>
          <w:b/>
          <w:color w:val="auto"/>
          <w:sz w:val="24"/>
          <w:highlight w:val="none"/>
        </w:rPr>
        <w:t>评审程序和评定成交的标准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_Toc74322011 \h </w:instrText>
      </w:r>
      <w:r>
        <w:rPr>
          <w:rFonts w:ascii="宋体" w:hAnsi="宋体"/>
          <w:b/>
          <w:color w:val="auto"/>
          <w:sz w:val="24"/>
          <w:highlight w:val="none"/>
        </w:rPr>
        <w:fldChar w:fldCharType="separate"/>
      </w:r>
      <w:r>
        <w:rPr>
          <w:rFonts w:ascii="宋体" w:hAnsi="宋体"/>
          <w:b/>
          <w:color w:val="auto"/>
          <w:sz w:val="24"/>
          <w:highlight w:val="none"/>
        </w:rPr>
        <w:t>34</w:t>
      </w:r>
      <w:r>
        <w:rPr>
          <w:rFonts w:ascii="宋体" w:hAnsi="宋体"/>
          <w:b/>
          <w:color w:val="auto"/>
          <w:sz w:val="24"/>
          <w:highlight w:val="none"/>
        </w:rPr>
        <w:fldChar w:fldCharType="end"/>
      </w:r>
      <w:r>
        <w:rPr>
          <w:rFonts w:ascii="宋体" w:hAnsi="宋体"/>
          <w:b/>
          <w:color w:val="auto"/>
          <w:sz w:val="24"/>
          <w:highlight w:val="none"/>
        </w:rPr>
        <w:fldChar w:fldCharType="end"/>
      </w:r>
    </w:p>
    <w:p w14:paraId="6BC89D76">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"_Toc74322012"</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第五章</w:t>
      </w:r>
      <w:r>
        <w:rPr>
          <w:rStyle w:val="27"/>
          <w:rFonts w:ascii="宋体" w:hAnsi="宋体"/>
          <w:b/>
          <w:color w:val="auto"/>
          <w:sz w:val="24"/>
          <w:highlight w:val="none"/>
        </w:rPr>
        <w:t xml:space="preserve"> </w:t>
      </w:r>
      <w:r>
        <w:rPr>
          <w:rStyle w:val="27"/>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_Toc74322012 \h </w:instrText>
      </w:r>
      <w:r>
        <w:rPr>
          <w:rFonts w:ascii="宋体" w:hAnsi="宋体"/>
          <w:b/>
          <w:color w:val="auto"/>
          <w:sz w:val="24"/>
          <w:highlight w:val="none"/>
        </w:rPr>
        <w:fldChar w:fldCharType="separate"/>
      </w:r>
      <w:r>
        <w:rPr>
          <w:rFonts w:ascii="宋体" w:hAnsi="宋体"/>
          <w:b/>
          <w:color w:val="auto"/>
          <w:sz w:val="24"/>
          <w:highlight w:val="none"/>
        </w:rPr>
        <w:t>40</w:t>
      </w:r>
      <w:r>
        <w:rPr>
          <w:rFonts w:ascii="宋体" w:hAnsi="宋体"/>
          <w:b/>
          <w:color w:val="auto"/>
          <w:sz w:val="24"/>
          <w:highlight w:val="none"/>
        </w:rPr>
        <w:fldChar w:fldCharType="end"/>
      </w:r>
      <w:r>
        <w:rPr>
          <w:rFonts w:ascii="宋体" w:hAnsi="宋体"/>
          <w:b/>
          <w:color w:val="auto"/>
          <w:sz w:val="24"/>
          <w:highlight w:val="none"/>
        </w:rPr>
        <w:fldChar w:fldCharType="end"/>
      </w:r>
    </w:p>
    <w:p w14:paraId="7AA11886">
      <w:pPr>
        <w:pStyle w:val="18"/>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7"/>
          <w:rFonts w:ascii="宋体" w:hAnsi="宋体"/>
          <w:b/>
          <w:color w:val="auto"/>
          <w:sz w:val="24"/>
          <w:highlight w:val="none"/>
        </w:rPr>
        <w:instrText xml:space="preserve"> </w:instrText>
      </w:r>
      <w:r>
        <w:rPr>
          <w:rFonts w:ascii="宋体" w:hAnsi="宋体"/>
          <w:b/>
          <w:color w:val="auto"/>
          <w:sz w:val="24"/>
          <w:highlight w:val="none"/>
        </w:rPr>
        <w:instrText xml:space="preserve">HYPERLINK \l "_Toc74322013"</w:instrText>
      </w:r>
      <w:r>
        <w:rPr>
          <w:rStyle w:val="27"/>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7"/>
          <w:rFonts w:hint="eastAsia" w:ascii="宋体" w:hAnsi="宋体"/>
          <w:b/>
          <w:color w:val="auto"/>
          <w:sz w:val="24"/>
          <w:highlight w:val="none"/>
        </w:rPr>
        <w:t>第六章</w:t>
      </w:r>
      <w:r>
        <w:rPr>
          <w:rStyle w:val="27"/>
          <w:rFonts w:ascii="宋体" w:hAnsi="宋体"/>
          <w:b/>
          <w:color w:val="auto"/>
          <w:sz w:val="24"/>
          <w:highlight w:val="none"/>
        </w:rPr>
        <w:t xml:space="preserve"> </w:t>
      </w:r>
      <w:r>
        <w:rPr>
          <w:rStyle w:val="27"/>
          <w:rFonts w:hint="eastAsia" w:ascii="宋体" w:hAnsi="宋体"/>
          <w:b/>
          <w:color w:val="auto"/>
          <w:sz w:val="24"/>
          <w:highlight w:val="none"/>
        </w:rPr>
        <w:t>合同文本</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_Toc74322013 \h </w:instrText>
      </w:r>
      <w:r>
        <w:rPr>
          <w:rFonts w:ascii="宋体" w:hAnsi="宋体"/>
          <w:b/>
          <w:color w:val="auto"/>
          <w:sz w:val="24"/>
          <w:highlight w:val="none"/>
        </w:rPr>
        <w:fldChar w:fldCharType="separate"/>
      </w:r>
      <w:r>
        <w:rPr>
          <w:rFonts w:ascii="宋体" w:hAnsi="宋体"/>
          <w:b/>
          <w:color w:val="auto"/>
          <w:sz w:val="24"/>
          <w:highlight w:val="none"/>
        </w:rPr>
        <w:t>64</w:t>
      </w:r>
      <w:r>
        <w:rPr>
          <w:rFonts w:ascii="宋体" w:hAnsi="宋体"/>
          <w:b/>
          <w:color w:val="auto"/>
          <w:sz w:val="24"/>
          <w:highlight w:val="none"/>
        </w:rPr>
        <w:fldChar w:fldCharType="end"/>
      </w:r>
      <w:r>
        <w:rPr>
          <w:rFonts w:ascii="宋体" w:hAnsi="宋体"/>
          <w:b/>
          <w:color w:val="auto"/>
          <w:sz w:val="24"/>
          <w:highlight w:val="none"/>
        </w:rPr>
        <w:fldChar w:fldCharType="end"/>
      </w:r>
    </w:p>
    <w:p w14:paraId="4D6AB045">
      <w:pPr>
        <w:pStyle w:val="19"/>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5FA400EA">
      <w:pPr>
        <w:spacing w:line="400" w:lineRule="exact"/>
        <w:jc w:val="left"/>
        <w:rPr>
          <w:rFonts w:hint="eastAsia" w:ascii="宋体" w:hAnsi="宋体"/>
          <w:b/>
          <w:color w:val="auto"/>
          <w:sz w:val="32"/>
          <w:szCs w:val="32"/>
          <w:highlight w:val="none"/>
        </w:rPr>
      </w:pPr>
    </w:p>
    <w:p w14:paraId="0C54052C">
      <w:pPr>
        <w:spacing w:line="400" w:lineRule="exact"/>
        <w:jc w:val="center"/>
        <w:rPr>
          <w:rFonts w:hint="eastAsia" w:ascii="宋体" w:hAnsi="宋体"/>
          <w:b/>
          <w:color w:val="auto"/>
          <w:sz w:val="32"/>
          <w:szCs w:val="32"/>
          <w:highlight w:val="none"/>
        </w:rPr>
      </w:pPr>
    </w:p>
    <w:p w14:paraId="18ED8B32">
      <w:pPr>
        <w:spacing w:line="400" w:lineRule="exact"/>
        <w:jc w:val="center"/>
        <w:rPr>
          <w:rFonts w:hint="eastAsia" w:ascii="宋体" w:hAnsi="宋体"/>
          <w:b/>
          <w:color w:val="auto"/>
          <w:sz w:val="32"/>
          <w:szCs w:val="32"/>
          <w:highlight w:val="none"/>
        </w:rPr>
      </w:pPr>
    </w:p>
    <w:p w14:paraId="7C6D8E58">
      <w:pPr>
        <w:spacing w:line="400" w:lineRule="exact"/>
        <w:jc w:val="center"/>
        <w:rPr>
          <w:rFonts w:hint="eastAsia" w:ascii="宋体" w:hAnsi="宋体"/>
          <w:b/>
          <w:color w:val="auto"/>
          <w:sz w:val="32"/>
          <w:szCs w:val="32"/>
          <w:highlight w:val="none"/>
        </w:rPr>
      </w:pPr>
    </w:p>
    <w:p w14:paraId="212938AC">
      <w:pPr>
        <w:spacing w:line="400" w:lineRule="exact"/>
        <w:jc w:val="center"/>
        <w:rPr>
          <w:rFonts w:hint="eastAsia" w:ascii="宋体" w:hAnsi="宋体"/>
          <w:b/>
          <w:color w:val="auto"/>
          <w:sz w:val="32"/>
          <w:szCs w:val="32"/>
          <w:highlight w:val="none"/>
        </w:rPr>
      </w:pPr>
    </w:p>
    <w:p w14:paraId="2CCC6D49">
      <w:pPr>
        <w:spacing w:line="400" w:lineRule="exact"/>
        <w:rPr>
          <w:rFonts w:hint="eastAsia" w:ascii="宋体" w:hAnsi="宋体"/>
          <w:b/>
          <w:color w:val="auto"/>
          <w:sz w:val="32"/>
          <w:szCs w:val="32"/>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458FF612">
      <w:pPr>
        <w:pStyle w:val="2"/>
        <w:spacing w:after="100" w:line="480" w:lineRule="auto"/>
        <w:jc w:val="center"/>
        <w:rPr>
          <w:rFonts w:hint="eastAsia"/>
          <w:color w:val="auto"/>
          <w:highlight w:val="none"/>
        </w:rPr>
      </w:pPr>
      <w:bookmarkStart w:id="2" w:name="_Toc74322008"/>
      <w:r>
        <w:rPr>
          <w:rFonts w:hint="eastAsia"/>
          <w:color w:val="auto"/>
          <w:highlight w:val="none"/>
        </w:rPr>
        <w:t>第一章 竞争性谈判公告</w:t>
      </w:r>
      <w:bookmarkEnd w:id="2"/>
    </w:p>
    <w:p w14:paraId="52E62BE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竞争性谈判公告</w:t>
      </w:r>
    </w:p>
    <w:p w14:paraId="7A297AFB">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bookmarkStart w:id="3" w:name="_Hlk37430271"/>
      <w:r>
        <w:rPr>
          <w:rFonts w:hint="eastAsia" w:ascii="宋体" w:hAnsi="宋体"/>
          <w:color w:val="auto"/>
          <w:szCs w:val="21"/>
          <w:highlight w:val="none"/>
        </w:rPr>
        <w:t>项目概况</w:t>
      </w:r>
    </w:p>
    <w:p w14:paraId="418B9F5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lang w:eastAsia="zh-CN"/>
        </w:rPr>
        <w:t>高端智能重症救护综合模拟人</w:t>
      </w:r>
      <w:r>
        <w:rPr>
          <w:rFonts w:hint="eastAsia" w:ascii="宋体" w:hAnsi="宋体"/>
          <w:color w:val="auto"/>
          <w:szCs w:val="21"/>
          <w:highlight w:val="none"/>
        </w:rPr>
        <w:t xml:space="preserve"> 采购项目的潜在供应商应在广西政府采购云平台（https://www.gcy.zfcg.gxzf.gov.cn/）获取（下载）竞争性谈判文件，并于</w:t>
      </w:r>
      <w:r>
        <w:rPr>
          <w:rFonts w:hint="eastAsia" w:ascii="宋体" w:hAnsi="宋体"/>
          <w:color w:val="auto"/>
          <w:szCs w:val="21"/>
          <w:highlight w:val="none"/>
          <w:u w:val="single"/>
          <w:lang w:val="en-US" w:eastAsia="zh-CN"/>
        </w:rPr>
        <w:t>2025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094C21A5">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黑体" w:hAnsi="黑体" w:eastAsia="黑体"/>
          <w:color w:val="auto"/>
          <w:sz w:val="24"/>
          <w:highlight w:val="none"/>
        </w:rPr>
      </w:pPr>
      <w:bookmarkStart w:id="4" w:name="_Toc28359089"/>
      <w:bookmarkStart w:id="5" w:name="_Toc71366040"/>
      <w:bookmarkStart w:id="6" w:name="_Toc28359012"/>
      <w:bookmarkStart w:id="7" w:name="_Toc35393798"/>
      <w:bookmarkStart w:id="8" w:name="_Toc35393629"/>
      <w:bookmarkStart w:id="9" w:name="_Toc71365362"/>
      <w:r>
        <w:rPr>
          <w:rFonts w:hint="eastAsia" w:ascii="黑体" w:hAnsi="黑体" w:eastAsia="黑体"/>
          <w:color w:val="auto"/>
          <w:sz w:val="24"/>
          <w:highlight w:val="none"/>
        </w:rPr>
        <w:t>一、项目基本情况</w:t>
      </w:r>
      <w:bookmarkEnd w:id="4"/>
      <w:bookmarkEnd w:id="5"/>
      <w:bookmarkEnd w:id="6"/>
      <w:bookmarkEnd w:id="7"/>
      <w:bookmarkEnd w:id="8"/>
      <w:bookmarkEnd w:id="9"/>
    </w:p>
    <w:p w14:paraId="6BEAE8F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WZZC2025-J1-990277-YZLZ</w:t>
      </w:r>
    </w:p>
    <w:p w14:paraId="29D3C4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lang w:eastAsia="zh-CN"/>
        </w:rPr>
        <w:t>高端智能重症救护综合模拟人</w:t>
      </w:r>
    </w:p>
    <w:p w14:paraId="0F75171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采购方式：竞争性谈判</w:t>
      </w:r>
    </w:p>
    <w:p w14:paraId="72D4393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eastAsia="zh-CN"/>
        </w:rPr>
        <w:t>1900000.00元</w:t>
      </w:r>
    </w:p>
    <w:p w14:paraId="79835F3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rPr>
        <w:t>）：</w:t>
      </w:r>
      <w:r>
        <w:rPr>
          <w:rFonts w:hint="eastAsia" w:ascii="宋体" w:hAnsi="宋体"/>
          <w:color w:val="auto"/>
          <w:szCs w:val="21"/>
          <w:highlight w:val="none"/>
          <w:lang w:val="en-US" w:eastAsia="zh-CN"/>
        </w:rPr>
        <w:t>1900000.00元</w:t>
      </w:r>
    </w:p>
    <w:p w14:paraId="1496E1D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采购需求：</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1982"/>
        <w:gridCol w:w="1144"/>
        <w:gridCol w:w="4810"/>
      </w:tblGrid>
      <w:tr w14:paraId="6F483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77C9802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ascii="宋体" w:hAnsi="宋体"/>
                <w:color w:val="auto"/>
                <w:szCs w:val="21"/>
                <w:highlight w:val="none"/>
                <w:u w:val="single"/>
              </w:rPr>
              <w:t xml:space="preserve"> </w:t>
            </w:r>
            <w:r>
              <w:rPr>
                <w:rFonts w:hint="eastAsia" w:ascii="宋体" w:hAnsi="宋体"/>
                <w:color w:val="auto"/>
                <w:szCs w:val="21"/>
                <w:highlight w:val="none"/>
              </w:rPr>
              <w:t>分标；预算金额：</w:t>
            </w:r>
            <w:r>
              <w:rPr>
                <w:rFonts w:hint="eastAsia" w:ascii="宋体" w:hAnsi="宋体"/>
                <w:color w:val="auto"/>
                <w:szCs w:val="21"/>
                <w:highlight w:val="none"/>
                <w:lang w:eastAsia="zh-CN"/>
              </w:rPr>
              <w:t>1900000.00元</w:t>
            </w:r>
          </w:p>
        </w:tc>
      </w:tr>
      <w:tr w14:paraId="3F69F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14:paraId="0EE0CE5E">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序号</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2EA7C733">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标的的名称</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F0222DF">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数量及</w:t>
            </w:r>
          </w:p>
          <w:p w14:paraId="305C32B9">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单位</w:t>
            </w:r>
          </w:p>
        </w:tc>
        <w:tc>
          <w:tcPr>
            <w:tcW w:w="4810" w:type="dxa"/>
            <w:tcBorders>
              <w:top w:val="single" w:color="auto" w:sz="4" w:space="0"/>
              <w:left w:val="single" w:color="auto" w:sz="4" w:space="0"/>
              <w:bottom w:val="single" w:color="auto" w:sz="4" w:space="0"/>
              <w:right w:val="single" w:color="auto" w:sz="4" w:space="0"/>
            </w:tcBorders>
            <w:noWrap w:val="0"/>
            <w:vAlign w:val="center"/>
          </w:tcPr>
          <w:p w14:paraId="42118E2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简要技术需求或者服务要求</w:t>
            </w:r>
          </w:p>
        </w:tc>
      </w:tr>
      <w:tr w14:paraId="52358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9" w:type="dxa"/>
            <w:tcBorders>
              <w:top w:val="single" w:color="auto" w:sz="4" w:space="0"/>
              <w:left w:val="single" w:color="auto" w:sz="4" w:space="0"/>
              <w:bottom w:val="single" w:color="auto" w:sz="4" w:space="0"/>
              <w:right w:val="single" w:color="auto" w:sz="4" w:space="0"/>
            </w:tcBorders>
            <w:noWrap w:val="0"/>
            <w:vAlign w:val="center"/>
          </w:tcPr>
          <w:p w14:paraId="138DB1F0">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01</w:t>
            </w:r>
          </w:p>
        </w:tc>
        <w:tc>
          <w:tcPr>
            <w:tcW w:w="1982" w:type="dxa"/>
            <w:tcBorders>
              <w:top w:val="single" w:color="auto" w:sz="4" w:space="0"/>
              <w:left w:val="single" w:color="auto" w:sz="4" w:space="0"/>
              <w:bottom w:val="single" w:color="auto" w:sz="4" w:space="0"/>
              <w:right w:val="single" w:color="auto" w:sz="4" w:space="0"/>
            </w:tcBorders>
            <w:noWrap w:val="0"/>
            <w:vAlign w:val="center"/>
          </w:tcPr>
          <w:p w14:paraId="64F41101">
            <w:pPr>
              <w:keepNext w:val="0"/>
              <w:keepLines w:val="0"/>
              <w:pageBreakBefore w:val="0"/>
              <w:kinsoku/>
              <w:wordWrap/>
              <w:overflowPunct/>
              <w:topLinePunct w:val="0"/>
              <w:autoSpaceDE/>
              <w:autoSpaceDN/>
              <w:bidi w:val="0"/>
              <w:adjustRightInd/>
              <w:snapToGrid w:val="0"/>
              <w:spacing w:line="400" w:lineRule="exact"/>
              <w:jc w:val="center"/>
              <w:textAlignment w:val="auto"/>
              <w:rPr>
                <w:rFonts w:ascii="宋体" w:hAnsi="宋体"/>
                <w:color w:val="auto"/>
                <w:szCs w:val="21"/>
                <w:highlight w:val="none"/>
              </w:rPr>
            </w:pPr>
            <w:r>
              <w:rPr>
                <w:rFonts w:hint="eastAsia" w:ascii="宋体" w:hAnsi="宋体"/>
                <w:color w:val="auto"/>
                <w:szCs w:val="21"/>
                <w:highlight w:val="none"/>
                <w:lang w:eastAsia="zh-CN"/>
              </w:rPr>
              <w:t>高端智能重症救护综合模拟人</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6AEF7D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1套</w:t>
            </w:r>
          </w:p>
        </w:tc>
        <w:tc>
          <w:tcPr>
            <w:tcW w:w="4810" w:type="dxa"/>
            <w:tcBorders>
              <w:top w:val="single" w:color="auto" w:sz="4" w:space="0"/>
              <w:left w:val="single" w:color="auto" w:sz="4" w:space="0"/>
              <w:bottom w:val="single" w:color="auto" w:sz="4" w:space="0"/>
              <w:right w:val="single" w:color="auto" w:sz="4" w:space="0"/>
            </w:tcBorders>
            <w:noWrap w:val="0"/>
            <w:vAlign w:val="center"/>
          </w:tcPr>
          <w:p w14:paraId="64C75C38">
            <w:pPr>
              <w:keepNext w:val="0"/>
              <w:keepLines w:val="0"/>
              <w:pageBreakBefore w:val="0"/>
              <w:numPr>
                <w:ilvl w:val="0"/>
                <w:numId w:val="0"/>
              </w:numPr>
              <w:kinsoku/>
              <w:wordWrap/>
              <w:overflowPunct/>
              <w:topLinePunct w:val="0"/>
              <w:autoSpaceDE/>
              <w:autoSpaceDN/>
              <w:bidi w:val="0"/>
              <w:adjustRightInd/>
              <w:snapToGrid w:val="0"/>
              <w:spacing w:line="400" w:lineRule="exact"/>
              <w:jc w:val="both"/>
              <w:textAlignment w:val="auto"/>
              <w:rPr>
                <w:rFonts w:hint="default" w:ascii="宋体" w:hAnsi="宋体" w:eastAsia="宋体"/>
                <w:color w:val="auto"/>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各功能模块可通过无线系统与模拟人连接；</w:t>
            </w:r>
            <w:r>
              <w:rPr>
                <w:rFonts w:hint="eastAsia" w:ascii="宋体" w:hAnsi="宋体"/>
                <w:color w:val="auto"/>
                <w:szCs w:val="21"/>
                <w:highlight w:val="none"/>
              </w:rPr>
              <w:t>具体</w:t>
            </w:r>
            <w:r>
              <w:rPr>
                <w:rFonts w:hint="eastAsia" w:ascii="宋体" w:hAnsi="宋体" w:eastAsia="宋体"/>
                <w:color w:val="auto"/>
                <w:szCs w:val="21"/>
                <w:highlight w:val="none"/>
                <w:lang w:val="en-US" w:eastAsia="zh-CN"/>
              </w:rPr>
              <w:t>详见附件：采购需求</w:t>
            </w:r>
            <w:r>
              <w:rPr>
                <w:rFonts w:hint="eastAsia" w:ascii="宋体" w:hAnsi="宋体"/>
                <w:color w:val="auto"/>
                <w:szCs w:val="21"/>
                <w:highlight w:val="none"/>
                <w:lang w:val="en-US" w:eastAsia="zh-CN"/>
              </w:rPr>
              <w:t>。</w:t>
            </w:r>
          </w:p>
        </w:tc>
      </w:tr>
    </w:tbl>
    <w:p w14:paraId="1E3BE8F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自合同签订之日起30天内，需完成全部货物的供货、安装调试，并通过最终验收合格后交付使用。</w:t>
      </w:r>
    </w:p>
    <w:p w14:paraId="6881E4B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4A7DD828">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黑体" w:hAnsi="黑体" w:eastAsia="黑体"/>
          <w:color w:val="auto"/>
          <w:sz w:val="24"/>
          <w:highlight w:val="none"/>
        </w:rPr>
      </w:pPr>
      <w:bookmarkStart w:id="10" w:name="_Toc28359013"/>
      <w:bookmarkStart w:id="11" w:name="_Toc28359090"/>
      <w:bookmarkStart w:id="12" w:name="_Toc71366041"/>
      <w:bookmarkStart w:id="13" w:name="_Toc35393799"/>
      <w:bookmarkStart w:id="14" w:name="_Toc35393630"/>
      <w:bookmarkStart w:id="15" w:name="_Toc71365363"/>
      <w:r>
        <w:rPr>
          <w:rFonts w:hint="eastAsia" w:ascii="黑体" w:hAnsi="黑体" w:eastAsia="黑体"/>
          <w:color w:val="auto"/>
          <w:sz w:val="24"/>
          <w:highlight w:val="none"/>
        </w:rPr>
        <w:t>二、供应商的资格条件：</w:t>
      </w:r>
      <w:bookmarkEnd w:id="10"/>
      <w:bookmarkEnd w:id="11"/>
      <w:bookmarkEnd w:id="12"/>
      <w:bookmarkEnd w:id="13"/>
      <w:bookmarkEnd w:id="14"/>
      <w:bookmarkEnd w:id="15"/>
    </w:p>
    <w:p w14:paraId="1922CB3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bookmarkStart w:id="16" w:name="_Toc28359014"/>
      <w:bookmarkStart w:id="17" w:name="_Toc28359091"/>
      <w:r>
        <w:rPr>
          <w:rFonts w:hint="eastAsia" w:ascii="宋体" w:hAnsi="宋体"/>
          <w:color w:val="auto"/>
          <w:szCs w:val="21"/>
          <w:highlight w:val="none"/>
        </w:rPr>
        <w:t>1.满足《中华人民共和国政府采购法》第二十二条规定；</w:t>
      </w:r>
    </w:p>
    <w:p w14:paraId="5884D93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专门面向中小企业采购，提供的货物须全部由符合政策要求的中型、小型、微型企业（包括监狱企业及残疾人福利单位）制造，须提供中小企业声明函【属于残疾人福利性单位的提供残疾人福利性单位声明函，属于监狱企业的提供由省级以上监狱管理局、戒毒管理局（含新疆生产建设兵团）出具的属于监狱企业的证明文件】</w:t>
      </w:r>
      <w:r>
        <w:rPr>
          <w:rFonts w:hint="eastAsia" w:ascii="宋体" w:hAnsi="宋体"/>
          <w:color w:val="auto"/>
          <w:szCs w:val="21"/>
          <w:highlight w:val="none"/>
          <w:lang w:eastAsia="zh-CN"/>
        </w:rPr>
        <w:t>；</w:t>
      </w:r>
    </w:p>
    <w:p w14:paraId="63FC8D8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3.本项目的特定资格要求</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无</w:t>
      </w:r>
      <w:r>
        <w:rPr>
          <w:rFonts w:hint="eastAsia" w:ascii="宋体" w:hAnsi="宋体"/>
          <w:color w:val="auto"/>
          <w:szCs w:val="21"/>
          <w:highlight w:val="none"/>
        </w:rPr>
        <w:t>。</w:t>
      </w:r>
    </w:p>
    <w:p w14:paraId="05CE330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黑体" w:hAnsi="黑体" w:eastAsia="黑体"/>
          <w:color w:val="auto"/>
          <w:sz w:val="24"/>
          <w:highlight w:val="none"/>
        </w:rPr>
      </w:pPr>
      <w:bookmarkStart w:id="18" w:name="_Toc71365364"/>
      <w:bookmarkStart w:id="19" w:name="_Toc35393631"/>
      <w:bookmarkStart w:id="20" w:name="_Toc35393800"/>
      <w:bookmarkStart w:id="21" w:name="_Toc71366042"/>
      <w:r>
        <w:rPr>
          <w:rFonts w:hint="eastAsia" w:ascii="黑体" w:hAnsi="黑体" w:eastAsia="黑体"/>
          <w:color w:val="auto"/>
          <w:sz w:val="24"/>
          <w:highlight w:val="none"/>
        </w:rPr>
        <w:t>三、获取竞争性谈判文件</w:t>
      </w:r>
      <w:bookmarkEnd w:id="16"/>
      <w:bookmarkEnd w:id="17"/>
      <w:bookmarkEnd w:id="18"/>
      <w:bookmarkEnd w:id="19"/>
      <w:bookmarkEnd w:id="20"/>
      <w:bookmarkEnd w:id="21"/>
    </w:p>
    <w:p w14:paraId="0A018F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w:t>
      </w:r>
      <w:r>
        <w:rPr>
          <w:rFonts w:hint="eastAsia" w:ascii="宋体" w:hAnsi="宋体" w:eastAsia="宋体" w:cs="宋体"/>
          <w:bCs/>
          <w:color w:val="auto"/>
          <w:kern w:val="0"/>
          <w:szCs w:val="21"/>
          <w:highlight w:val="none"/>
          <w:lang w:val="en-US" w:eastAsia="zh-CN"/>
        </w:rPr>
        <w:t>2025</w:t>
      </w:r>
      <w:r>
        <w:rPr>
          <w:rFonts w:hint="eastAsia" w:ascii="宋体" w:hAnsi="宋体" w:eastAsia="宋体" w:cs="宋体"/>
          <w:bCs/>
          <w:color w:val="auto"/>
          <w:kern w:val="0"/>
          <w:szCs w:val="21"/>
          <w:highlight w:val="none"/>
        </w:rPr>
        <w:t>年</w:t>
      </w:r>
      <w:r>
        <w:rPr>
          <w:rFonts w:hint="eastAsia" w:ascii="宋体" w:hAnsi="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24</w:t>
      </w:r>
      <w:r>
        <w:rPr>
          <w:rFonts w:hint="eastAsia" w:ascii="宋体" w:hAnsi="宋体" w:eastAsia="宋体" w:cs="宋体"/>
          <w:bCs/>
          <w:color w:val="auto"/>
          <w:kern w:val="0"/>
          <w:szCs w:val="21"/>
          <w:highlight w:val="none"/>
        </w:rPr>
        <w:t>日至</w:t>
      </w:r>
      <w:r>
        <w:rPr>
          <w:rFonts w:hint="eastAsia" w:ascii="宋体" w:hAnsi="宋体" w:eastAsia="宋体" w:cs="宋体"/>
          <w:bCs/>
          <w:color w:val="auto"/>
          <w:kern w:val="0"/>
          <w:szCs w:val="21"/>
          <w:highlight w:val="none"/>
          <w:lang w:val="en-US" w:eastAsia="zh-CN"/>
        </w:rPr>
        <w:t>2025</w:t>
      </w:r>
      <w:r>
        <w:rPr>
          <w:rFonts w:hint="eastAsia" w:ascii="宋体" w:hAnsi="宋体" w:eastAsia="宋体" w:cs="宋体"/>
          <w:bCs/>
          <w:color w:val="auto"/>
          <w:kern w:val="0"/>
          <w:szCs w:val="21"/>
          <w:highlight w:val="none"/>
        </w:rPr>
        <w:t>年</w:t>
      </w:r>
      <w:r>
        <w:rPr>
          <w:rFonts w:hint="eastAsia" w:ascii="宋体" w:hAnsi="宋体" w:cs="宋体"/>
          <w:bCs/>
          <w:color w:val="auto"/>
          <w:kern w:val="0"/>
          <w:szCs w:val="21"/>
          <w:highlight w:val="none"/>
          <w:lang w:val="en-US" w:eastAsia="zh-CN"/>
        </w:rPr>
        <w:t>10</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29</w:t>
      </w:r>
      <w:r>
        <w:rPr>
          <w:rFonts w:hint="eastAsia" w:ascii="宋体" w:hAnsi="宋体" w:eastAsia="宋体" w:cs="宋体"/>
          <w:bCs/>
          <w:color w:val="auto"/>
          <w:kern w:val="0"/>
          <w:szCs w:val="21"/>
          <w:highlight w:val="none"/>
        </w:rPr>
        <w:t>日，每天上午</w:t>
      </w:r>
      <w:r>
        <w:rPr>
          <w:rFonts w:hint="eastAsia" w:ascii="宋体" w:hAnsi="宋体" w:eastAsia="宋体" w:cs="宋体"/>
          <w:bCs/>
          <w:color w:val="auto"/>
          <w:kern w:val="0"/>
          <w:szCs w:val="21"/>
          <w:highlight w:val="none"/>
          <w:lang w:val="en-US" w:eastAsia="zh-CN"/>
        </w:rPr>
        <w:t>8:00</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lang w:val="en-US" w:eastAsia="zh-CN"/>
        </w:rPr>
        <w:t>12:00</w:t>
      </w:r>
      <w:r>
        <w:rPr>
          <w:rFonts w:hint="eastAsia" w:ascii="宋体" w:hAnsi="宋体" w:eastAsia="宋体" w:cs="宋体"/>
          <w:bCs/>
          <w:color w:val="auto"/>
          <w:kern w:val="0"/>
          <w:szCs w:val="21"/>
          <w:highlight w:val="none"/>
        </w:rPr>
        <w:t>，下午</w:t>
      </w:r>
      <w:r>
        <w:rPr>
          <w:rFonts w:hint="eastAsia" w:ascii="宋体" w:hAnsi="宋体" w:eastAsia="宋体" w:cs="宋体"/>
          <w:bCs/>
          <w:color w:val="auto"/>
          <w:kern w:val="0"/>
          <w:szCs w:val="21"/>
          <w:highlight w:val="none"/>
          <w:lang w:val="en-US" w:eastAsia="zh-CN"/>
        </w:rPr>
        <w:t>3:00</w:t>
      </w:r>
      <w:r>
        <w:rPr>
          <w:rFonts w:hint="eastAsia" w:ascii="宋体" w:hAnsi="宋体" w:eastAsia="宋体" w:cs="宋体"/>
          <w:bCs/>
          <w:color w:val="auto"/>
          <w:kern w:val="0"/>
          <w:szCs w:val="21"/>
          <w:highlight w:val="none"/>
        </w:rPr>
        <w:t>至</w:t>
      </w:r>
      <w:r>
        <w:rPr>
          <w:rFonts w:hint="eastAsia" w:ascii="宋体" w:hAnsi="宋体" w:eastAsia="宋体" w:cs="宋体"/>
          <w:bCs/>
          <w:color w:val="auto"/>
          <w:kern w:val="0"/>
          <w:szCs w:val="21"/>
          <w:highlight w:val="none"/>
          <w:lang w:val="en-US" w:eastAsia="zh-CN"/>
        </w:rPr>
        <w:t>6:00</w:t>
      </w:r>
      <w:r>
        <w:rPr>
          <w:rFonts w:hint="eastAsia" w:ascii="宋体" w:hAnsi="宋体" w:eastAsia="宋体" w:cs="宋体"/>
          <w:bCs/>
          <w:color w:val="auto"/>
          <w:kern w:val="0"/>
          <w:szCs w:val="21"/>
          <w:highlight w:val="none"/>
        </w:rPr>
        <w:t>（北京时间）</w:t>
      </w:r>
    </w:p>
    <w:p w14:paraId="3920D2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地点：广西政府采购云平台（https://www.gcy.zfcg.gxzf.gov.cn/）</w:t>
      </w:r>
    </w:p>
    <w:p w14:paraId="2B4756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kern w:val="0"/>
          <w:szCs w:val="21"/>
          <w:highlight w:val="none"/>
        </w:rPr>
      </w:pPr>
      <w:r>
        <w:rPr>
          <w:rFonts w:hint="eastAsia" w:ascii="宋体" w:hAnsi="宋体" w:eastAsia="宋体" w:cs="宋体"/>
          <w:bCs/>
          <w:color w:val="auto"/>
          <w:kern w:val="0"/>
          <w:szCs w:val="21"/>
          <w:highlight w:val="none"/>
        </w:rPr>
        <w:t>方式：网上下载。本项目不提供纸质文件，潜在供应商需使用账号登录或者使用CA登录广西政府采购云平台（http</w:t>
      </w:r>
      <w:r>
        <w:rPr>
          <w:rFonts w:hint="eastAsia" w:ascii="宋体" w:hAnsi="宋体" w:cs="宋体"/>
          <w:bCs/>
          <w:color w:val="auto"/>
          <w:kern w:val="0"/>
          <w:szCs w:val="21"/>
          <w:highlight w:val="none"/>
        </w:rPr>
        <w:t>s://www.gcy.zfcg.gxzf.gov.cn/）-进入“项目采购”应用，在获取采购文件菜单中选择项目，获取竞争性谈判文件。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通过其他方式获取谈判文件的，将有可能导致供应商无法在广西政府采购云平台编制及上传响应文件。</w:t>
      </w:r>
    </w:p>
    <w:p w14:paraId="155090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 w:val="0"/>
          <w:iCs/>
          <w:color w:val="auto"/>
          <w:szCs w:val="21"/>
          <w:highlight w:val="none"/>
          <w:u w:val="single"/>
        </w:rPr>
        <w:t>0</w:t>
      </w:r>
      <w:r>
        <w:rPr>
          <w:rFonts w:hint="eastAsia" w:ascii="宋体" w:hAnsi="宋体" w:cs="宋体"/>
          <w:color w:val="auto"/>
          <w:szCs w:val="21"/>
          <w:highlight w:val="none"/>
        </w:rPr>
        <w:t>元</w:t>
      </w:r>
    </w:p>
    <w:p w14:paraId="27E37B86">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黑体" w:hAnsi="黑体" w:eastAsia="黑体"/>
          <w:color w:val="auto"/>
          <w:sz w:val="24"/>
          <w:highlight w:val="none"/>
        </w:rPr>
      </w:pPr>
      <w:bookmarkStart w:id="22" w:name="_Toc35393632"/>
      <w:bookmarkStart w:id="23" w:name="_Toc28359092"/>
      <w:bookmarkStart w:id="24" w:name="_Toc71365365"/>
      <w:bookmarkStart w:id="25" w:name="_Toc28359015"/>
      <w:bookmarkStart w:id="26" w:name="_Toc71366043"/>
      <w:bookmarkStart w:id="27" w:name="_Toc35393801"/>
      <w:r>
        <w:rPr>
          <w:rFonts w:hint="eastAsia" w:ascii="黑体" w:hAnsi="黑体" w:eastAsia="黑体"/>
          <w:color w:val="auto"/>
          <w:sz w:val="24"/>
          <w:highlight w:val="none"/>
        </w:rPr>
        <w:t>四、响应文件提交</w:t>
      </w:r>
      <w:bookmarkEnd w:id="22"/>
      <w:bookmarkEnd w:id="23"/>
      <w:bookmarkEnd w:id="24"/>
      <w:bookmarkEnd w:id="25"/>
      <w:bookmarkEnd w:id="26"/>
      <w:bookmarkEnd w:id="27"/>
    </w:p>
    <w:p w14:paraId="72FEB64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bCs/>
          <w:color w:val="auto"/>
          <w:szCs w:val="21"/>
          <w:highlight w:val="none"/>
          <w:u w:val="single"/>
          <w:lang w:val="en-US" w:eastAsia="zh-CN"/>
        </w:rPr>
        <w:t>2025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10</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rPr>
        <w:t>（北京时间，法定节假日除外）</w:t>
      </w:r>
    </w:p>
    <w:p w14:paraId="6EA5DF17">
      <w:pPr>
        <w:keepNext w:val="0"/>
        <w:keepLines w:val="0"/>
        <w:pageBreakBefore w:val="0"/>
        <w:kinsoku/>
        <w:wordWrap/>
        <w:overflowPunct/>
        <w:topLinePunct w:val="0"/>
        <w:autoSpaceDE/>
        <w:autoSpaceDN/>
        <w:bidi w:val="0"/>
        <w:adjustRightInd/>
        <w:spacing w:line="400" w:lineRule="exact"/>
        <w:ind w:left="422"/>
        <w:textAlignment w:val="auto"/>
        <w:rPr>
          <w:rFonts w:hint="eastAsia" w:ascii="宋体" w:hAnsi="宋体"/>
          <w:bCs/>
          <w:color w:val="auto"/>
          <w:szCs w:val="21"/>
          <w:highlight w:val="none"/>
          <w:u w:val="single"/>
        </w:rPr>
      </w:pPr>
      <w:r>
        <w:rPr>
          <w:rFonts w:hint="eastAsia" w:ascii="宋体" w:hAnsi="宋体"/>
          <w:color w:val="auto"/>
          <w:szCs w:val="21"/>
          <w:highlight w:val="none"/>
        </w:rPr>
        <w:t>地点：广西政府采购云平台（https://www.gcy.zfcg.gxzf.gov.cn/）</w:t>
      </w:r>
    </w:p>
    <w:p w14:paraId="5A8EC957">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黑体" w:hAnsi="黑体" w:eastAsia="黑体"/>
          <w:color w:val="auto"/>
          <w:sz w:val="24"/>
          <w:highlight w:val="none"/>
        </w:rPr>
      </w:pPr>
      <w:bookmarkStart w:id="28" w:name="_Toc35393802"/>
      <w:bookmarkStart w:id="29" w:name="_Toc28359093"/>
      <w:bookmarkStart w:id="30" w:name="_Toc35393633"/>
      <w:bookmarkStart w:id="31" w:name="_Toc71366044"/>
      <w:bookmarkStart w:id="32" w:name="_Toc28359016"/>
      <w:bookmarkStart w:id="33" w:name="_Toc71365366"/>
      <w:r>
        <w:rPr>
          <w:rFonts w:hint="eastAsia" w:ascii="黑体" w:hAnsi="黑体" w:eastAsia="黑体"/>
          <w:color w:val="auto"/>
          <w:sz w:val="24"/>
          <w:highlight w:val="none"/>
        </w:rPr>
        <w:t>五、开启</w:t>
      </w:r>
      <w:bookmarkEnd w:id="28"/>
      <w:bookmarkEnd w:id="29"/>
      <w:bookmarkEnd w:id="30"/>
      <w:bookmarkEnd w:id="31"/>
      <w:bookmarkEnd w:id="32"/>
      <w:bookmarkEnd w:id="33"/>
    </w:p>
    <w:p w14:paraId="2BDE889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lang w:val="en-US" w:eastAsia="zh-CN"/>
        </w:rPr>
        <w:t>2025年10月30日09：30</w:t>
      </w:r>
      <w:r>
        <w:rPr>
          <w:rFonts w:hint="eastAsia" w:ascii="宋体" w:hAnsi="宋体"/>
          <w:bCs/>
          <w:color w:val="auto"/>
          <w:szCs w:val="21"/>
          <w:highlight w:val="none"/>
          <w:u w:val="single"/>
        </w:rPr>
        <w:t>（北京时间）</w:t>
      </w:r>
    </w:p>
    <w:p w14:paraId="5F71184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地点：广西政府采购云平台（https://www.gcy.zfcg.gxzf.gov.cn/）</w:t>
      </w:r>
    </w:p>
    <w:p w14:paraId="2071930A">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黑体" w:hAnsi="黑体" w:eastAsia="黑体"/>
          <w:color w:val="auto"/>
          <w:sz w:val="24"/>
          <w:highlight w:val="none"/>
        </w:rPr>
      </w:pPr>
      <w:bookmarkStart w:id="34" w:name="_Toc28359094"/>
      <w:bookmarkStart w:id="35" w:name="_Toc35393803"/>
      <w:bookmarkStart w:id="36" w:name="_Toc35393634"/>
      <w:bookmarkStart w:id="37" w:name="_Toc71365367"/>
      <w:bookmarkStart w:id="38" w:name="_Toc28359017"/>
      <w:bookmarkStart w:id="39" w:name="_Toc71366045"/>
      <w:r>
        <w:rPr>
          <w:rFonts w:hint="eastAsia" w:ascii="黑体" w:hAnsi="黑体" w:eastAsia="黑体"/>
          <w:color w:val="auto"/>
          <w:sz w:val="24"/>
          <w:highlight w:val="none"/>
        </w:rPr>
        <w:t>六、公告期限</w:t>
      </w:r>
      <w:bookmarkEnd w:id="34"/>
      <w:bookmarkEnd w:id="35"/>
      <w:bookmarkEnd w:id="36"/>
      <w:bookmarkEnd w:id="37"/>
      <w:bookmarkEnd w:id="38"/>
      <w:bookmarkEnd w:id="39"/>
    </w:p>
    <w:p w14:paraId="06B68A0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5CB03755">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黑体" w:hAnsi="黑体" w:eastAsia="黑体"/>
          <w:color w:val="auto"/>
          <w:sz w:val="24"/>
          <w:highlight w:val="none"/>
        </w:rPr>
      </w:pPr>
      <w:bookmarkStart w:id="40" w:name="_Toc35393804"/>
      <w:bookmarkStart w:id="41" w:name="_Toc71366046"/>
      <w:bookmarkStart w:id="42" w:name="_Toc71365368"/>
      <w:bookmarkStart w:id="43" w:name="_Toc35393635"/>
      <w:r>
        <w:rPr>
          <w:rFonts w:hint="eastAsia" w:ascii="黑体" w:hAnsi="黑体" w:eastAsia="黑体"/>
          <w:color w:val="auto"/>
          <w:sz w:val="24"/>
          <w:highlight w:val="none"/>
        </w:rPr>
        <w:t>七、其他补充事宜</w:t>
      </w:r>
      <w:bookmarkEnd w:id="40"/>
      <w:bookmarkEnd w:id="41"/>
      <w:bookmarkEnd w:id="42"/>
      <w:bookmarkEnd w:id="43"/>
    </w:p>
    <w:p w14:paraId="038B03E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0C057CF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www.ccgp.gov.cn（中国政府采购网）、zfcg.gxzf.gov.cn（广西壮族自治区政府采购网）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http://117.141.250.58:10030/info/107809（梧州市政府采购网）</w:t>
      </w:r>
      <w:r>
        <w:rPr>
          <w:rFonts w:hint="eastAsia" w:ascii="宋体" w:hAnsi="宋体" w:cs="宋体"/>
          <w:color w:val="auto"/>
          <w:kern w:val="0"/>
          <w:szCs w:val="21"/>
          <w:highlight w:val="none"/>
          <w:lang w:eastAsia="zh-CN"/>
        </w:rPr>
        <w:t>。</w:t>
      </w:r>
    </w:p>
    <w:p w14:paraId="1781B6A6">
      <w:pPr>
        <w:keepNext w:val="0"/>
        <w:keepLines w:val="0"/>
        <w:pageBreakBefore w:val="0"/>
        <w:kinsoku/>
        <w:wordWrap/>
        <w:overflowPunct/>
        <w:topLinePunct w:val="0"/>
        <w:autoSpaceDE/>
        <w:autoSpaceDN/>
        <w:bidi w:val="0"/>
        <w:adjustRightInd/>
        <w:spacing w:line="400" w:lineRule="exact"/>
        <w:ind w:firstLine="424" w:firstLineChars="202"/>
        <w:textAlignment w:val="auto"/>
        <w:rPr>
          <w:rFonts w:hint="eastAsia" w:ascii="宋体" w:hAnsi="宋体" w:cs="宋体"/>
          <w:color w:val="auto"/>
          <w:kern w:val="0"/>
          <w:szCs w:val="21"/>
          <w:highlight w:val="none"/>
        </w:rPr>
      </w:pPr>
      <w:bookmarkStart w:id="44" w:name="_Hlk37429674"/>
      <w:bookmarkStart w:id="45" w:name="_Toc35393636"/>
      <w:bookmarkStart w:id="46" w:name="_Toc71366047"/>
      <w:bookmarkStart w:id="47" w:name="_Toc28359018"/>
      <w:bookmarkStart w:id="48" w:name="_Toc28359095"/>
      <w:bookmarkStart w:id="49" w:name="_Toc71365369"/>
      <w:bookmarkStart w:id="50" w:name="_Toc35393805"/>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12ABA64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（1）政府采购促进中小企业发展。</w:t>
      </w:r>
    </w:p>
    <w:p w14:paraId="7C72485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（2）政府采购支持采用本国产品的政策。</w:t>
      </w:r>
    </w:p>
    <w:p w14:paraId="74C9579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（3）强制采购节能产品；优先采购节能产品、环境标志产品。</w:t>
      </w:r>
    </w:p>
    <w:p w14:paraId="369CE4F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（4）政府采购促进残疾人就业政策。</w:t>
      </w:r>
    </w:p>
    <w:p w14:paraId="05D0943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（5）政府采购支持监狱企业发展。</w:t>
      </w:r>
    </w:p>
    <w:p w14:paraId="5B2CD314">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3CD1EA04">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4EED2CCB">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w:t>
      </w:r>
      <w:r>
        <w:rPr>
          <w:rFonts w:hint="eastAsia" w:ascii="宋体" w:hAnsi="宋体" w:cs="宋体"/>
          <w:bCs/>
          <w:color w:val="auto"/>
          <w:kern w:val="0"/>
          <w:szCs w:val="21"/>
          <w:highlight w:val="none"/>
        </w:rPr>
        <w:t>请致电客服热线：95763或者0771-3381253</w:t>
      </w:r>
      <w:r>
        <w:rPr>
          <w:rFonts w:hint="eastAsia" w:ascii="宋体" w:hAnsi="宋体"/>
          <w:color w:val="auto"/>
          <w:szCs w:val="21"/>
          <w:highlight w:val="none"/>
        </w:rPr>
        <w:t>）</w:t>
      </w:r>
      <w:r>
        <w:rPr>
          <w:rFonts w:hint="eastAsia" w:ascii="宋体" w:hAnsi="宋体"/>
          <w:color w:val="auto"/>
          <w:szCs w:val="21"/>
          <w:highlight w:val="none"/>
        </w:rPr>
        <w:t>。</w:t>
      </w:r>
    </w:p>
    <w:p w14:paraId="6E8CCE4F">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41B6D09E">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3231F9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w:t>
      </w:r>
      <w:r>
        <w:rPr>
          <w:rFonts w:hint="eastAsia" w:ascii="宋体" w:hAnsi="宋体" w:cs="宋体"/>
          <w:color w:val="auto"/>
          <w:kern w:val="0"/>
          <w:szCs w:val="21"/>
          <w:highlight w:val="none"/>
          <w:lang w:eastAsia="zh-CN"/>
        </w:rPr>
        <w:t>具备</w:t>
      </w:r>
      <w:r>
        <w:rPr>
          <w:rFonts w:hint="eastAsia" w:ascii="宋体" w:hAnsi="宋体" w:cs="宋体"/>
          <w:color w:val="auto"/>
          <w:kern w:val="0"/>
          <w:szCs w:val="21"/>
          <w:highlight w:val="none"/>
        </w:rPr>
        <w:t>摄像头及语音功能且互联网网络状况良好的电脑登录广西政府采购云平台远程开标大厅参与本次谈判，否则后果自负。</w:t>
      </w:r>
    </w:p>
    <w:bookmarkEnd w:id="44"/>
    <w:p w14:paraId="0F2519E5">
      <w:pPr>
        <w:keepNext w:val="0"/>
        <w:keepLines w:val="0"/>
        <w:pageBreakBefore w:val="0"/>
        <w:kinsoku/>
        <w:wordWrap/>
        <w:overflowPunct/>
        <w:topLinePunct w:val="0"/>
        <w:autoSpaceDE/>
        <w:autoSpaceDN/>
        <w:bidi w:val="0"/>
        <w:adjustRightInd/>
        <w:spacing w:line="400" w:lineRule="exact"/>
        <w:ind w:firstLine="360" w:firstLineChars="150"/>
        <w:textAlignment w:val="auto"/>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5"/>
      <w:bookmarkEnd w:id="46"/>
      <w:bookmarkEnd w:id="47"/>
      <w:bookmarkEnd w:id="48"/>
      <w:bookmarkEnd w:id="49"/>
      <w:bookmarkEnd w:id="50"/>
    </w:p>
    <w:p w14:paraId="6CC8CF0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bookmarkStart w:id="51" w:name="_Toc35393637"/>
      <w:bookmarkStart w:id="52" w:name="_Toc35393806"/>
      <w:bookmarkStart w:id="53" w:name="_Toc28359096"/>
      <w:bookmarkStart w:id="54" w:name="_Toc28359019"/>
      <w:r>
        <w:rPr>
          <w:rFonts w:hint="eastAsia" w:ascii="宋体" w:hAnsi="宋体" w:cs="宋体"/>
          <w:color w:val="auto"/>
          <w:kern w:val="0"/>
          <w:szCs w:val="21"/>
          <w:highlight w:val="none"/>
        </w:rPr>
        <w:t>1.采购人信息</w:t>
      </w:r>
      <w:bookmarkEnd w:id="51"/>
      <w:bookmarkEnd w:id="52"/>
      <w:bookmarkEnd w:id="53"/>
      <w:bookmarkEnd w:id="54"/>
    </w:p>
    <w:p w14:paraId="68953C01">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lang w:eastAsia="zh-CN"/>
        </w:rPr>
        <w:t>梧州市红十字会医院</w:t>
      </w:r>
    </w:p>
    <w:p w14:paraId="47B5425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bCs/>
          <w:color w:val="auto"/>
          <w:szCs w:val="21"/>
          <w:highlight w:val="none"/>
        </w:rPr>
      </w:pPr>
      <w:bookmarkStart w:id="55" w:name="_Toc28359097"/>
      <w:bookmarkStart w:id="56" w:name="_Toc35393638"/>
      <w:bookmarkStart w:id="57" w:name="_Toc35393807"/>
      <w:bookmarkStart w:id="58" w:name="_Toc28359020"/>
      <w:r>
        <w:rPr>
          <w:rFonts w:hint="eastAsia" w:ascii="宋体" w:hAnsi="宋体"/>
          <w:bCs/>
          <w:color w:val="auto"/>
          <w:szCs w:val="21"/>
          <w:highlight w:val="none"/>
        </w:rPr>
        <w:t>地    址：</w:t>
      </w:r>
      <w:r>
        <w:rPr>
          <w:rFonts w:hint="eastAsia" w:ascii="宋体" w:hAnsi="宋体"/>
          <w:bCs/>
          <w:color w:val="auto"/>
          <w:szCs w:val="21"/>
          <w:highlight w:val="none"/>
          <w:u w:val="single"/>
        </w:rPr>
        <w:t>广西梧州市万秀区新兴一路3-1号</w:t>
      </w:r>
    </w:p>
    <w:p w14:paraId="1B4B32D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bCs/>
          <w:color w:val="auto"/>
          <w:szCs w:val="21"/>
          <w:highlight w:val="none"/>
          <w:lang w:val="en-US" w:eastAsia="zh-CN"/>
        </w:rPr>
      </w:pPr>
      <w:r>
        <w:rPr>
          <w:rFonts w:hint="eastAsia" w:ascii="宋体" w:hAnsi="宋体"/>
          <w:bCs/>
          <w:color w:val="auto"/>
          <w:szCs w:val="21"/>
          <w:highlight w:val="none"/>
        </w:rPr>
        <w:t>联系方式：</w:t>
      </w:r>
      <w:r>
        <w:rPr>
          <w:rFonts w:hint="eastAsia" w:ascii="宋体" w:hAnsi="宋体"/>
          <w:bCs/>
          <w:color w:val="auto"/>
          <w:szCs w:val="21"/>
          <w:highlight w:val="none"/>
          <w:u w:val="single"/>
        </w:rPr>
        <w:t>潘湛晖；0774-3821961</w:t>
      </w:r>
      <w:r>
        <w:rPr>
          <w:rFonts w:hint="eastAsia" w:ascii="宋体" w:hAnsi="宋体"/>
          <w:bCs/>
          <w:color w:val="auto"/>
          <w:szCs w:val="21"/>
          <w:highlight w:val="none"/>
          <w:u w:val="single"/>
          <w:lang w:val="en-US" w:eastAsia="zh-CN"/>
        </w:rPr>
        <w:t xml:space="preserve"> </w:t>
      </w:r>
    </w:p>
    <w:p w14:paraId="6812313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bookmarkEnd w:id="55"/>
      <w:bookmarkEnd w:id="56"/>
      <w:bookmarkEnd w:id="57"/>
      <w:bookmarkEnd w:id="58"/>
    </w:p>
    <w:p w14:paraId="76C007A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rPr>
        <w:t>云之龙咨询集团有限公司</w:t>
      </w:r>
    </w:p>
    <w:p w14:paraId="109408E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梧州市新兴三路30号神冠豪都B栋1单元1008号房</w:t>
      </w:r>
    </w:p>
    <w:p w14:paraId="1C2D566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olor w:val="auto"/>
          <w:szCs w:val="21"/>
          <w:highlight w:val="none"/>
          <w:u w:val="single"/>
          <w:lang w:eastAsia="zh-CN"/>
        </w:rPr>
        <w:t>周子然、陈丽莹</w:t>
      </w:r>
      <w:r>
        <w:rPr>
          <w:rFonts w:hint="eastAsia" w:ascii="宋体" w:hAnsi="宋体"/>
          <w:color w:val="auto"/>
          <w:szCs w:val="21"/>
          <w:highlight w:val="none"/>
          <w:u w:val="single"/>
        </w:rPr>
        <w:t>，0774-3859935</w:t>
      </w:r>
    </w:p>
    <w:p w14:paraId="1A913C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color w:val="auto"/>
          <w:kern w:val="0"/>
          <w:szCs w:val="21"/>
          <w:highlight w:val="none"/>
        </w:rPr>
      </w:pPr>
      <w:bookmarkStart w:id="59" w:name="_Toc28359098"/>
      <w:bookmarkStart w:id="60" w:name="_Toc35393808"/>
      <w:bookmarkStart w:id="61" w:name="_Toc35393639"/>
      <w:bookmarkStart w:id="62" w:name="_Toc28359021"/>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9"/>
      <w:bookmarkEnd w:id="60"/>
      <w:bookmarkEnd w:id="61"/>
      <w:bookmarkEnd w:id="62"/>
    </w:p>
    <w:p w14:paraId="6CDFF520">
      <w:pPr>
        <w:pStyle w:val="7"/>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u w:val="none"/>
          <w:lang w:val="en-US" w:eastAsia="zh-CN"/>
        </w:rPr>
      </w:pPr>
      <w:r>
        <w:rPr>
          <w:rFonts w:hint="eastAsia" w:hAnsi="宋体"/>
          <w:color w:val="auto"/>
          <w:sz w:val="21"/>
          <w:highlight w:val="none"/>
        </w:rPr>
        <w:t>项目联系人：</w:t>
      </w:r>
      <w:r>
        <w:rPr>
          <w:rFonts w:hint="eastAsia" w:hAnsi="宋体"/>
          <w:color w:val="auto"/>
          <w:sz w:val="21"/>
          <w:highlight w:val="none"/>
          <w:u w:val="single"/>
          <w:lang w:eastAsia="zh-CN"/>
        </w:rPr>
        <w:t>周子然、陈丽莹</w:t>
      </w:r>
      <w:r>
        <w:rPr>
          <w:rFonts w:hint="eastAsia" w:hAnsi="宋体"/>
          <w:color w:val="auto"/>
          <w:sz w:val="21"/>
          <w:highlight w:val="none"/>
          <w:u w:val="single"/>
          <w:lang w:val="en-US" w:eastAsia="zh-CN"/>
        </w:rPr>
        <w:t xml:space="preserve">  </w:t>
      </w:r>
      <w:r>
        <w:rPr>
          <w:rFonts w:hint="eastAsia" w:ascii="宋体" w:hAnsi="宋体"/>
          <w:color w:val="auto"/>
          <w:szCs w:val="21"/>
          <w:highlight w:val="none"/>
        </w:rPr>
        <w:t>电　　话：</w:t>
      </w:r>
      <w:r>
        <w:rPr>
          <w:rFonts w:hint="eastAsia" w:ascii="宋体" w:hAnsi="宋体"/>
          <w:color w:val="auto"/>
          <w:szCs w:val="21"/>
          <w:highlight w:val="none"/>
          <w:u w:val="single"/>
        </w:rPr>
        <w:t>0774-3859935</w:t>
      </w:r>
      <w:r>
        <w:rPr>
          <w:rFonts w:hint="eastAsia" w:ascii="宋体" w:hAnsi="宋体"/>
          <w:color w:val="auto"/>
          <w:szCs w:val="21"/>
          <w:highlight w:val="none"/>
          <w:u w:val="none"/>
          <w:lang w:val="en-US" w:eastAsia="zh-CN"/>
        </w:rPr>
        <w:t xml:space="preserve"> </w:t>
      </w:r>
    </w:p>
    <w:p w14:paraId="6F4AD659">
      <w:pPr>
        <w:pStyle w:val="7"/>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eastAsia="宋体"/>
          <w:color w:val="auto"/>
          <w:highlight w:val="none"/>
          <w:lang w:val="en-US" w:eastAsia="zh-CN"/>
        </w:rPr>
      </w:pPr>
      <w:r>
        <w:rPr>
          <w:rFonts w:hint="eastAsia"/>
          <w:color w:val="auto"/>
          <w:highlight w:val="none"/>
          <w:lang w:val="en-US" w:eastAsia="zh-CN"/>
        </w:rPr>
        <w:t>附件：采购需求</w:t>
      </w:r>
    </w:p>
    <w:bookmarkEnd w:id="3"/>
    <w:p w14:paraId="65608862">
      <w:pPr>
        <w:pStyle w:val="2"/>
        <w:jc w:val="center"/>
        <w:rPr>
          <w:rFonts w:hint="eastAsia"/>
          <w:color w:val="auto"/>
          <w:highlight w:val="none"/>
        </w:rPr>
      </w:pPr>
      <w:bookmarkStart w:id="63" w:name="_Toc74322009"/>
      <w:r>
        <w:rPr>
          <w:rFonts w:hint="eastAsia"/>
          <w:color w:val="auto"/>
          <w:highlight w:val="none"/>
        </w:rPr>
        <w:br w:type="page"/>
      </w:r>
      <w:r>
        <w:rPr>
          <w:rFonts w:hint="eastAsia"/>
          <w:color w:val="auto"/>
          <w:highlight w:val="none"/>
        </w:rPr>
        <w:t>第二章 供应商须知</w:t>
      </w:r>
      <w:bookmarkEnd w:id="63"/>
    </w:p>
    <w:p w14:paraId="1575EB26">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63AD147E">
      <w:pPr>
        <w:spacing w:line="400" w:lineRule="exact"/>
        <w:jc w:val="center"/>
        <w:rPr>
          <w:rFonts w:hint="eastAsia" w:ascii="宋体" w:hAnsi="宋体"/>
          <w:b/>
          <w:color w:val="auto"/>
          <w:sz w:val="32"/>
          <w:szCs w:val="32"/>
          <w:highlight w:val="none"/>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751D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187DF09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14:paraId="0120924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7299E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5D45A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13BE8D4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75B8CCA0">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3224EE0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52AFBC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ECDF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AABF2F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597CA9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5ACEB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FC3C2A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noWrap w:val="0"/>
            <w:vAlign w:val="center"/>
          </w:tcPr>
          <w:p w14:paraId="43B30A27">
            <w:pPr>
              <w:spacing w:line="360" w:lineRule="auto"/>
              <w:rPr>
                <w:rFonts w:hint="eastAsia" w:ascii="宋体" w:hAnsi="宋体" w:cs="宋体"/>
                <w:color w:val="auto"/>
                <w:szCs w:val="21"/>
                <w:highlight w:val="none"/>
              </w:rPr>
            </w:pPr>
            <w:r>
              <w:rPr>
                <w:rFonts w:hint="eastAsia" w:ascii="宋体" w:hAnsi="宋体"/>
                <w:color w:val="auto"/>
                <w:szCs w:val="21"/>
                <w:highlight w:val="none"/>
              </w:rPr>
              <w:t>如接受联合体竞标，联合体竞标要求如下：</w:t>
            </w:r>
            <w:r>
              <w:rPr>
                <w:rFonts w:hint="eastAsia" w:ascii="宋体" w:hAnsi="宋体"/>
                <w:color w:val="auto"/>
                <w:szCs w:val="21"/>
                <w:highlight w:val="none"/>
                <w:lang w:eastAsia="zh-CN"/>
              </w:rPr>
              <w:t>无</w:t>
            </w:r>
          </w:p>
        </w:tc>
      </w:tr>
      <w:tr w14:paraId="5CB88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63CAD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49A5B6F9">
            <w:pPr>
              <w:pStyle w:val="7"/>
              <w:spacing w:line="360" w:lineRule="auto"/>
              <w:rPr>
                <w:rFonts w:hint="eastAsia"/>
                <w:color w:val="auto"/>
                <w:highlight w:val="none"/>
                <w:lang w:val="en-US" w:eastAsia="zh-CN"/>
              </w:rPr>
            </w:pPr>
            <w:r>
              <w:rPr>
                <w:rFonts w:hint="eastAsia"/>
                <w:color w:val="auto"/>
                <w:highlight w:val="none"/>
                <w:lang w:val="en-US" w:eastAsia="zh-CN"/>
              </w:rPr>
              <w:t>☑不允许分包</w:t>
            </w:r>
          </w:p>
          <w:p w14:paraId="26646C89">
            <w:pPr>
              <w:pStyle w:val="7"/>
              <w:spacing w:line="360" w:lineRule="auto"/>
              <w:rPr>
                <w:rFonts w:hint="eastAsia"/>
                <w:color w:val="auto"/>
                <w:highlight w:val="none"/>
                <w:lang w:val="en-US" w:eastAsia="zh-CN"/>
              </w:rPr>
            </w:pPr>
            <w:r>
              <w:rPr>
                <w:rFonts w:hint="eastAsia"/>
                <w:color w:val="auto"/>
                <w:highlight w:val="none"/>
                <w:lang w:val="en-US" w:eastAsia="zh-CN"/>
              </w:rPr>
              <w:t>□允许分包</w:t>
            </w:r>
          </w:p>
          <w:p w14:paraId="007F66A8">
            <w:pPr>
              <w:pStyle w:val="7"/>
              <w:spacing w:line="360" w:lineRule="auto"/>
              <w:rPr>
                <w:rFonts w:hint="eastAsia"/>
                <w:color w:val="auto"/>
                <w:highlight w:val="none"/>
                <w:u w:val="single"/>
                <w:lang w:val="en-US" w:eastAsia="zh-CN"/>
              </w:rPr>
            </w:pPr>
            <w:r>
              <w:rPr>
                <w:rFonts w:hint="eastAsia"/>
                <w:color w:val="auto"/>
                <w:highlight w:val="none"/>
                <w:lang w:val="en-US" w:eastAsia="zh-CN"/>
              </w:rPr>
              <w:t>分包内容：</w:t>
            </w:r>
            <w:r>
              <w:rPr>
                <w:rFonts w:hint="eastAsia"/>
                <w:color w:val="auto"/>
                <w:highlight w:val="none"/>
                <w:u w:val="single"/>
                <w:lang w:val="en-US" w:eastAsia="zh-CN"/>
              </w:rPr>
              <w:t xml:space="preserve">                                     。</w:t>
            </w:r>
          </w:p>
          <w:p w14:paraId="4F24F091">
            <w:pPr>
              <w:pStyle w:val="7"/>
              <w:spacing w:line="360" w:lineRule="auto"/>
              <w:rPr>
                <w:rFonts w:hint="eastAsia"/>
                <w:color w:val="auto"/>
                <w:highlight w:val="none"/>
                <w:u w:val="single"/>
                <w:lang w:val="en-US" w:eastAsia="zh-CN"/>
              </w:rPr>
            </w:pPr>
            <w:r>
              <w:rPr>
                <w:rFonts w:hint="eastAsia"/>
                <w:color w:val="auto"/>
                <w:highlight w:val="none"/>
                <w:lang w:val="en-US" w:eastAsia="zh-CN"/>
              </w:rPr>
              <w:t>分包金额或者比例：</w:t>
            </w:r>
            <w:r>
              <w:rPr>
                <w:rFonts w:hint="eastAsia"/>
                <w:color w:val="auto"/>
                <w:highlight w:val="none"/>
                <w:u w:val="single"/>
                <w:lang w:val="en-US" w:eastAsia="zh-CN"/>
              </w:rPr>
              <w:t xml:space="preserve">                                     。</w:t>
            </w:r>
          </w:p>
          <w:p w14:paraId="42F5B006">
            <w:pPr>
              <w:pStyle w:val="7"/>
              <w:spacing w:line="360" w:lineRule="auto"/>
              <w:rPr>
                <w:rFonts w:hint="eastAsia"/>
                <w:color w:val="auto"/>
                <w:highlight w:val="none"/>
                <w:u w:val="single"/>
                <w:lang w:val="en-US" w:eastAsia="zh-CN"/>
              </w:rPr>
            </w:pPr>
            <w:r>
              <w:rPr>
                <w:rFonts w:hint="eastAsia" w:ascii="宋体" w:hAnsi="宋体"/>
                <w:color w:val="auto"/>
                <w:szCs w:val="21"/>
                <w:highlight w:val="none"/>
                <w:lang w:val="en-US" w:eastAsia="zh-CN"/>
              </w:rPr>
              <w:t>分包供应商必须具备的资质：</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w:t>
            </w:r>
          </w:p>
        </w:tc>
      </w:tr>
      <w:tr w14:paraId="7AB1F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71A6B1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7912" w:type="dxa"/>
            <w:noWrap w:val="0"/>
            <w:vAlign w:val="center"/>
          </w:tcPr>
          <w:p w14:paraId="5D68FD8E">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提供相同品牌产品（非单一产品采购项目的，指核心产品）的不同供应商最后报价相同时，按照下列方式确定一个供应商获得</w:t>
            </w:r>
            <w:r>
              <w:rPr>
                <w:rFonts w:hint="eastAsia" w:ascii="宋体" w:hAnsi="宋体"/>
                <w:color w:val="auto"/>
                <w:szCs w:val="21"/>
                <w:highlight w:val="none"/>
                <w:lang w:eastAsia="zh-CN"/>
              </w:rPr>
              <w:t>成交供应商</w:t>
            </w:r>
            <w:r>
              <w:rPr>
                <w:rFonts w:hint="eastAsia" w:ascii="宋体" w:hAnsi="宋体"/>
                <w:color w:val="auto"/>
                <w:szCs w:val="21"/>
                <w:highlight w:val="none"/>
              </w:rPr>
              <w:t>推荐资格：</w:t>
            </w:r>
          </w:p>
          <w:p w14:paraId="1C76AB2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p w14:paraId="3D159633">
            <w:pPr>
              <w:pStyle w:val="7"/>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☑技术参数正偏离项数多的优先、均无正偏离或正偏离项数一致时负偏离项数少的优先、保修期长优先、交付时间（交货期）短优先、响应时间短优先的顺序排列。</w:t>
            </w:r>
          </w:p>
        </w:tc>
      </w:tr>
      <w:tr w14:paraId="3B39D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F008DA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0"/>
            <w:vAlign w:val="center"/>
          </w:tcPr>
          <w:p w14:paraId="5D9FFF21">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0BFD5DC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w:t>
            </w:r>
            <w:r>
              <w:rPr>
                <w:rFonts w:hint="eastAsia" w:ascii="宋体" w:hAnsi="宋体" w:cs="宋体"/>
                <w:b/>
                <w:bCs/>
                <w:color w:val="auto"/>
                <w:szCs w:val="21"/>
                <w:highlight w:val="none"/>
              </w:rPr>
              <w:t>营业执照等证明文件</w:t>
            </w:r>
            <w:r>
              <w:rPr>
                <w:rFonts w:hint="eastAsia" w:ascii="宋体" w:hAnsi="宋体" w:cs="宋体"/>
                <w:color w:val="auto"/>
                <w:szCs w:val="21"/>
                <w:highlight w:val="none"/>
              </w:rPr>
              <w:t>（如营业执照或者事业单位法人证书或者执业许可证或者登记证书等），供应商为自然人的提供其身份证复印件；（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A0E5DAB">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rPr>
              <w:t>至</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w:t>
            </w:r>
            <w:r>
              <w:rPr>
                <w:rFonts w:hint="eastAsia" w:ascii="宋体" w:hAnsi="宋体" w:cs="宋体"/>
                <w:color w:val="auto"/>
                <w:szCs w:val="21"/>
                <w:highlight w:val="none"/>
              </w:rPr>
              <w:t>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F0337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rPr>
              <w:t>至</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内</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w:t>
            </w:r>
            <w:r>
              <w:rPr>
                <w:rFonts w:hint="eastAsia" w:ascii="宋体" w:hAnsi="宋体" w:cs="宋体"/>
                <w:color w:val="auto"/>
                <w:szCs w:val="21"/>
                <w:highlight w:val="none"/>
              </w:rPr>
              <w:t>的依法缴纳社会保障资金的缴费凭证（</w:t>
            </w:r>
            <w:r>
              <w:rPr>
                <w:rFonts w:hint="eastAsia"/>
                <w:color w:val="auto"/>
                <w:highlight w:val="none"/>
              </w:rPr>
              <w:t>如：</w:t>
            </w:r>
            <w:r>
              <w:rPr>
                <w:rFonts w:hint="eastAsia" w:ascii="宋体" w:hAnsi="宋体" w:cs="宋体"/>
                <w:color w:val="auto"/>
                <w:szCs w:val="21"/>
                <w:highlight w:val="none"/>
              </w:rPr>
              <w:t>专用收据、社会保险缴纳清单或者社保部门的证明</w:t>
            </w:r>
            <w:r>
              <w:rPr>
                <w:rFonts w:hint="eastAsia" w:ascii="宋体" w:hAnsi="宋体" w:cs="宋体"/>
                <w:color w:val="auto"/>
                <w:szCs w:val="21"/>
                <w:highlight w:val="none"/>
                <w:lang w:eastAsia="zh-CN"/>
              </w:rPr>
              <w:t>等</w:t>
            </w:r>
            <w:r>
              <w:rPr>
                <w:rFonts w:hint="eastAsia" w:ascii="宋体" w:hAnsi="宋体" w:cs="宋体"/>
                <w:color w:val="auto"/>
                <w:szCs w:val="21"/>
                <w:highlight w:val="none"/>
              </w:rPr>
              <w:t>）复印件；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BB95805">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4.供应商</w:t>
            </w:r>
            <w:r>
              <w:rPr>
                <w:rFonts w:hint="eastAsia"/>
                <w:color w:val="auto"/>
                <w:szCs w:val="21"/>
                <w:highlight w:val="none"/>
              </w:rPr>
              <w:t>财务状况报告（</w:t>
            </w:r>
            <w:r>
              <w:rPr>
                <w:rFonts w:hint="eastAsia" w:ascii="宋体" w:hAnsi="宋体" w:eastAsia="宋体" w:cs="宋体"/>
                <w:color w:val="auto"/>
                <w:szCs w:val="21"/>
                <w:highlight w:val="none"/>
                <w:u w:val="single"/>
                <w:lang w:val="en-US" w:eastAsia="zh-CN"/>
              </w:rPr>
              <w:t>2024</w:t>
            </w:r>
            <w:r>
              <w:rPr>
                <w:rFonts w:hint="eastAsia" w:ascii="宋体" w:hAnsi="宋体" w:eastAsia="宋体" w:cs="宋体"/>
                <w:color w:val="auto"/>
                <w:szCs w:val="21"/>
                <w:highlight w:val="none"/>
              </w:rPr>
              <w:t>年</w:t>
            </w:r>
            <w:r>
              <w:rPr>
                <w:rFonts w:hint="eastAsia"/>
                <w:color w:val="auto"/>
                <w:szCs w:val="21"/>
                <w:highlight w:val="none"/>
              </w:rPr>
              <w:t>度财务报表复印件，或者银行出具的资信证明，或者中国人民银行征信中心出具的信用报告（企业竞标的提供企业信用报告，自然人竞标的提供个人信用报告）；供应商属于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w:t>
            </w:r>
            <w:r>
              <w:rPr>
                <w:color w:val="auto"/>
                <w:highlight w:val="none"/>
              </w:rPr>
              <w:t>时间</w:t>
            </w:r>
            <w:r>
              <w:rPr>
                <w:rFonts w:hint="eastAsia"/>
                <w:color w:val="auto"/>
                <w:kern w:val="0"/>
                <w:highlight w:val="none"/>
              </w:rPr>
              <w:t>在规定年度之后</w:t>
            </w:r>
            <w:r>
              <w:rPr>
                <w:color w:val="auto"/>
                <w:highlight w:val="none"/>
              </w:rPr>
              <w:t>的</w:t>
            </w:r>
            <w:r>
              <w:rPr>
                <w:rFonts w:hint="eastAsia"/>
                <w:color w:val="auto"/>
                <w:szCs w:val="21"/>
                <w:highlight w:val="none"/>
              </w:rPr>
              <w:t>法人或其他组织</w:t>
            </w:r>
            <w:r>
              <w:rPr>
                <w:color w:val="auto"/>
                <w:highlight w:val="none"/>
              </w:rPr>
              <w:t>，需提供成立</w:t>
            </w:r>
            <w:r>
              <w:rPr>
                <w:rFonts w:hint="eastAsia"/>
                <w:color w:val="auto"/>
                <w:highlight w:val="none"/>
              </w:rPr>
              <w:t>之日起至响应文件提交截止时间前</w:t>
            </w:r>
            <w:r>
              <w:rPr>
                <w:color w:val="auto"/>
                <w:highlight w:val="none"/>
              </w:rPr>
              <w:t>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73D39A8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05A36C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 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0EF96D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 竞标声明（格式后附）；（</w:t>
            </w:r>
            <w:r>
              <w:rPr>
                <w:rFonts w:hint="eastAsia" w:ascii="宋体" w:hAnsi="宋体" w:cs="宋体"/>
                <w:b/>
                <w:color w:val="auto"/>
                <w:szCs w:val="21"/>
                <w:highlight w:val="none"/>
              </w:rPr>
              <w:t>必须提供，否则响应文件按无效</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652914F0">
            <w:pPr>
              <w:snapToGrid w:val="0"/>
              <w:spacing w:line="360" w:lineRule="auto"/>
              <w:jc w:val="left"/>
              <w:rPr>
                <w:rFonts w:hint="eastAsia" w:eastAsia="宋体"/>
                <w:color w:val="auto"/>
                <w:highlight w:val="none"/>
                <w:lang w:eastAsia="zh-CN"/>
              </w:rPr>
            </w:pPr>
            <w:r>
              <w:rPr>
                <w:rFonts w:hint="eastAsia" w:ascii="宋体" w:hAnsi="宋体"/>
                <w:color w:val="auto"/>
                <w:szCs w:val="21"/>
                <w:highlight w:val="none"/>
                <w:lang w:val="en-US" w:eastAsia="zh-CN"/>
              </w:rPr>
              <w:t>8.《中小企业声明函》（格式后附）；</w:t>
            </w:r>
            <w:r>
              <w:rPr>
                <w:rFonts w:hint="eastAsia"/>
                <w:color w:val="auto"/>
                <w:highlight w:val="none"/>
              </w:rPr>
              <w:t>【如属于残疾人福利性单位的提供残疾人福利性单位声明函，属于监狱企业的提供由省级以上监狱管理局、戒毒管理局（含新疆生产建设兵团）出具的属于监狱企业的证明文件】</w:t>
            </w:r>
            <w:r>
              <w:rPr>
                <w:rFonts w:hint="eastAsia"/>
                <w:color w:val="auto"/>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w:t>
            </w:r>
            <w:r>
              <w:rPr>
                <w:rFonts w:hint="eastAsia" w:ascii="宋体" w:hAnsi="宋体" w:cs="宋体"/>
                <w:b/>
                <w:color w:val="auto"/>
                <w:szCs w:val="21"/>
                <w:highlight w:val="none"/>
                <w:lang w:eastAsia="zh-CN"/>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1B27B17E">
            <w:pPr>
              <w:snapToGrid w:val="0"/>
              <w:spacing w:line="360" w:lineRule="auto"/>
              <w:jc w:val="left"/>
              <w:rPr>
                <w:rFonts w:hint="eastAsia" w:ascii="宋体" w:hAnsi="宋体" w:eastAsia="宋体"/>
                <w:i/>
                <w:color w:val="auto"/>
                <w:szCs w:val="21"/>
                <w:highlight w:val="none"/>
                <w:lang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除谈判文件规定必须提供以外，供应商认为需要提供的其他证明材料</w:t>
            </w:r>
            <w:r>
              <w:rPr>
                <w:rFonts w:hint="eastAsia" w:ascii="宋体" w:hAnsi="宋体" w:cs="宋体"/>
                <w:color w:val="auto"/>
                <w:szCs w:val="21"/>
                <w:highlight w:val="none"/>
                <w:lang w:eastAsia="zh-CN"/>
              </w:rPr>
              <w:t>。</w:t>
            </w:r>
          </w:p>
          <w:p w14:paraId="37ACA918">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132DFCD4">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p>
        </w:tc>
      </w:tr>
      <w:tr w14:paraId="2D561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33E561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54F653B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2714DB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0102A23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2.供应商认为需要提供的其他有关资料。</w:t>
            </w:r>
          </w:p>
        </w:tc>
      </w:tr>
      <w:tr w14:paraId="13191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16962E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0"/>
            <w:vAlign w:val="center"/>
          </w:tcPr>
          <w:p w14:paraId="3754B85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商务技术文件</w:t>
            </w:r>
          </w:p>
          <w:p w14:paraId="6B209D7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5E27904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3CF02B50">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3253B7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4.竞标保证金提交凭证；（</w:t>
            </w:r>
            <w:r>
              <w:rPr>
                <w:rFonts w:hint="eastAsia"/>
                <w:b/>
                <w:bCs/>
                <w:color w:val="auto"/>
                <w:highlight w:val="none"/>
              </w:rPr>
              <w:t>必须提供</w:t>
            </w:r>
            <w:r>
              <w:rPr>
                <w:rFonts w:hint="eastAsia" w:ascii="宋体" w:hAnsi="宋体" w:cs="宋体"/>
                <w:b/>
                <w:color w:val="auto"/>
                <w:szCs w:val="21"/>
                <w:highlight w:val="none"/>
              </w:rPr>
              <w:t>，否则响应文件按无效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75ACC2B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038C5C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6A924F8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7.货物配置清单（均不含报价）（格式后附）；（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5A25CC8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8.技术要求偏离表（格式后附）；（</w:t>
            </w:r>
            <w:r>
              <w:rPr>
                <w:rFonts w:hint="eastAsia" w:ascii="宋体" w:hAnsi="宋体" w:cs="宋体"/>
                <w:b/>
                <w:color w:val="auto"/>
                <w:szCs w:val="21"/>
                <w:highlight w:val="none"/>
              </w:rPr>
              <w:t>必须提供，否则响应文件按无效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2B8E928B">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.供应商认为需要提供的其他有关资料。</w:t>
            </w:r>
          </w:p>
          <w:p w14:paraId="0D813927">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注：以上标明“必须提供”材料复印件的，必须加盖供应商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w:t>
            </w:r>
            <w:r>
              <w:rPr>
                <w:rFonts w:hint="eastAsia" w:ascii="宋体" w:hAnsi="宋体" w:eastAsia="宋体" w:cs="宋体"/>
                <w:b/>
                <w:bCs/>
                <w:color w:val="auto"/>
                <w:szCs w:val="21"/>
                <w:highlight w:val="none"/>
              </w:rPr>
              <w:t>响应</w:t>
            </w:r>
            <w:r>
              <w:rPr>
                <w:rFonts w:hint="eastAsia" w:ascii="宋体" w:hAnsi="宋体" w:cs="宋体"/>
                <w:b/>
                <w:color w:val="auto"/>
                <w:szCs w:val="21"/>
                <w:highlight w:val="none"/>
              </w:rPr>
              <w:t>处理。</w:t>
            </w:r>
          </w:p>
        </w:tc>
      </w:tr>
      <w:tr w14:paraId="0FAF4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8D10E3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5304494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竞标报价</w:t>
            </w:r>
            <w:r>
              <w:rPr>
                <w:rFonts w:hint="eastAsia" w:ascii="宋体" w:hAnsi="宋体" w:eastAsia="宋体" w:cs="宋体"/>
                <w:bCs/>
                <w:color w:val="auto"/>
                <w:sz w:val="21"/>
                <w:szCs w:val="21"/>
                <w:highlight w:val="none"/>
              </w:rPr>
              <w:t>包含货物采购、制造、改造、包装、运输、劳务、管理、利润、税金、保险、协调、装卸、调试、培训、相关软硬件平台使用服务费、第三方检测验收费用（如有）、承诺售后服务期限内售后服务费用以及相关文件规定及合同包含的所有风险、责任等各项应有费用</w:t>
            </w:r>
            <w:r>
              <w:rPr>
                <w:rFonts w:hint="eastAsia" w:ascii="宋体" w:hAnsi="宋体" w:cs="宋体"/>
                <w:color w:val="auto"/>
                <w:szCs w:val="21"/>
                <w:highlight w:val="none"/>
              </w:rPr>
              <w:t>。</w:t>
            </w:r>
          </w:p>
        </w:tc>
      </w:tr>
      <w:tr w14:paraId="082FC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4BDCF2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0"/>
            <w:vAlign w:val="center"/>
          </w:tcPr>
          <w:p w14:paraId="6307ED73">
            <w:pPr>
              <w:pStyle w:val="6"/>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90</w:t>
            </w:r>
            <w:r>
              <w:rPr>
                <w:rFonts w:hint="eastAsia" w:ascii="宋体" w:hAnsi="宋体" w:cs="宋体"/>
                <w:color w:val="auto"/>
                <w:kern w:val="2"/>
                <w:sz w:val="21"/>
                <w:szCs w:val="21"/>
                <w:highlight w:val="none"/>
              </w:rPr>
              <w:t>日。</w:t>
            </w:r>
          </w:p>
        </w:tc>
      </w:tr>
      <w:tr w14:paraId="112C1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994121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5E0D9D3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□本项目不收取竞标保证金。</w:t>
            </w:r>
          </w:p>
          <w:p w14:paraId="3AF4DFBC">
            <w:pPr>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本项目收取竞标保证金，具体规定如下：</w:t>
            </w:r>
          </w:p>
          <w:p w14:paraId="6C531F42">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竞标保证金人民币</w:t>
            </w:r>
            <w:r>
              <w:rPr>
                <w:rFonts w:hint="eastAsia" w:ascii="宋体" w:hAnsi="宋体" w:cs="宋体"/>
                <w:color w:val="auto"/>
                <w:kern w:val="0"/>
                <w:szCs w:val="21"/>
                <w:highlight w:val="none"/>
                <w:u w:val="single"/>
                <w:lang w:val="en-US" w:eastAsia="zh-CN"/>
              </w:rPr>
              <w:t>19000</w:t>
            </w:r>
            <w:r>
              <w:rPr>
                <w:rFonts w:hint="eastAsia" w:ascii="宋体" w:hAnsi="宋体" w:cs="宋体"/>
                <w:color w:val="auto"/>
                <w:kern w:val="0"/>
                <w:szCs w:val="21"/>
                <w:highlight w:val="none"/>
              </w:rPr>
              <w:t>元。</w:t>
            </w:r>
          </w:p>
          <w:p w14:paraId="38F9FDE4">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银行、保险机构出具的保函（包含电子保函），禁止采用现钞方式。采用银行转账方式的，在响应文件提交截止时间前交至指定账户并且到账（开户银行：中信银行南宁东葛支行，开户名称：云之龙咨询集团有限公司梧州分公司，银行账号：8113001013700074625）；采用支票、汇票、本票或者保函等方式的，在响应文件提交截止时间前，供应商必须提交单独密封的支票、汇票、本票或者保函原件（电子保函</w:t>
            </w:r>
            <w:r>
              <w:rPr>
                <w:rFonts w:hint="eastAsia" w:ascii="宋体" w:hAnsi="宋体" w:cs="宋体"/>
                <w:color w:val="auto"/>
                <w:kern w:val="0"/>
                <w:szCs w:val="21"/>
                <w:highlight w:val="none"/>
                <w:lang w:eastAsia="zh-CN"/>
              </w:rPr>
              <w:t>须提交复印件并加盖供应商公章</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否则视为无效竞标保证金</w:t>
            </w:r>
            <w:r>
              <w:rPr>
                <w:rFonts w:hint="eastAsia" w:ascii="宋体" w:hAnsi="宋体" w:cs="宋体"/>
                <w:color w:val="auto"/>
                <w:kern w:val="0"/>
                <w:szCs w:val="21"/>
                <w:highlight w:val="none"/>
              </w:rPr>
              <w:t>。</w:t>
            </w:r>
          </w:p>
          <w:p w14:paraId="31EC7C6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相关要求：</w:t>
            </w:r>
          </w:p>
          <w:p w14:paraId="59E8EBD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892447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2.竞标保证金采用支票、汇票、本票或者银行、保险机构出具的保函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交纳方式的，供应商应将支票、汇票、本票或者银行、保险机构出具的保函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在响应文件提交截止时间前采用现场或邮寄方式（现场提交地址：梧州市新兴三路30号神冠豪都B栋1单元1008号房；邮寄地址：梧州市新兴三路30号神冠豪都B栋1单元1008号房，收件人：</w:t>
            </w:r>
            <w:r>
              <w:rPr>
                <w:rFonts w:hint="eastAsia"/>
                <w:color w:val="auto"/>
                <w:highlight w:val="none"/>
                <w:lang w:eastAsia="zh-CN"/>
              </w:rPr>
              <w:t>周子然、陈丽莹</w:t>
            </w:r>
            <w:r>
              <w:rPr>
                <w:rFonts w:hint="eastAsia"/>
                <w:color w:val="auto"/>
                <w:highlight w:val="none"/>
              </w:rPr>
              <w:t>，联系方式：0774-3859935）</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w:t>
            </w:r>
            <w:r>
              <w:rPr>
                <w:rFonts w:hint="eastAsia" w:ascii="宋体" w:hAnsi="宋体"/>
                <w:color w:val="auto"/>
                <w:szCs w:val="21"/>
                <w:highlight w:val="none"/>
                <w:lang w:eastAsia="zh-CN"/>
              </w:rPr>
              <w:t>须提交复印件并加盖供应商公章</w:t>
            </w:r>
            <w:r>
              <w:rPr>
                <w:rFonts w:hint="eastAsia" w:ascii="宋体" w:hAnsi="宋体"/>
                <w:color w:val="auto"/>
                <w:szCs w:val="21"/>
                <w:highlight w:val="none"/>
              </w:rPr>
              <w:t>）提交给采购人或者采购代理机构。</w:t>
            </w:r>
          </w:p>
          <w:p w14:paraId="563AED86">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4727341B">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5ED1AF17">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5EF40931">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3DE49897">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3AA1814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4.保函有效期低于竞标有效期的，视为无效竞标保证金。</w:t>
            </w:r>
          </w:p>
          <w:p w14:paraId="512D3500">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5.竞标保证金采用银行、保险机构出具的保函（包含电子保函）为有条件保函的，视为无效竞标保证金。</w:t>
            </w:r>
          </w:p>
        </w:tc>
      </w:tr>
      <w:tr w14:paraId="5A202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02AEA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7912" w:type="dxa"/>
            <w:noWrap w:val="0"/>
            <w:vAlign w:val="center"/>
          </w:tcPr>
          <w:p w14:paraId="098CD5B9">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p w14:paraId="4338B2C3">
            <w:pPr>
              <w:autoSpaceDE w:val="0"/>
              <w:autoSpaceDN w:val="0"/>
              <w:adjustRightIn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w:t>
            </w:r>
            <w:r>
              <w:rPr>
                <w:rFonts w:hint="eastAsia"/>
                <w:color w:val="auto"/>
                <w:highlight w:val="none"/>
              </w:rPr>
              <w:t>本项目接受电子备份响应文件。</w:t>
            </w:r>
          </w:p>
        </w:tc>
      </w:tr>
      <w:tr w14:paraId="16068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00B2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4726F69A">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704F21B3">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430A3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CDA7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3CE3E049">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人。</w:t>
            </w:r>
          </w:p>
        </w:tc>
      </w:tr>
      <w:tr w14:paraId="4FBC1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noWrap w:val="0"/>
            <w:vAlign w:val="center"/>
          </w:tcPr>
          <w:p w14:paraId="6DD5FC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0"/>
            <w:vAlign w:val="center"/>
          </w:tcPr>
          <w:p w14:paraId="0D6AED73">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346196F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Ansi="宋体"/>
                <w:color w:val="auto"/>
                <w:highlight w:val="none"/>
                <w:u w:val="single"/>
              </w:rPr>
              <w:t xml:space="preserve"> </w:t>
            </w:r>
            <w:r>
              <w:rPr>
                <w:rFonts w:hint="eastAsia" w:hAnsi="宋体"/>
                <w:color w:val="auto"/>
                <w:highlight w:val="none"/>
                <w:u w:val="single"/>
                <w:lang w:val="en-US" w:eastAsia="zh-CN"/>
              </w:rPr>
              <w:t>30</w:t>
            </w:r>
            <w:r>
              <w:rPr>
                <w:rFonts w:hAnsi="宋体"/>
                <w:color w:val="auto"/>
                <w:highlight w:val="none"/>
                <w:u w:val="single"/>
              </w:rPr>
              <w:t xml:space="preserve"> </w:t>
            </w:r>
            <w:r>
              <w:rPr>
                <w:rFonts w:hint="eastAsia" w:hAnsi="宋体"/>
                <w:color w:val="auto"/>
                <w:highlight w:val="none"/>
              </w:rPr>
              <w:t>分钟</w:t>
            </w:r>
          </w:p>
        </w:tc>
      </w:tr>
      <w:tr w14:paraId="72B6A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65F7928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26</w:t>
            </w:r>
          </w:p>
        </w:tc>
        <w:tc>
          <w:tcPr>
            <w:tcW w:w="7912" w:type="dxa"/>
            <w:noWrap w:val="0"/>
            <w:vAlign w:val="center"/>
          </w:tcPr>
          <w:p w14:paraId="3557C007">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14A1BEE8">
            <w:pPr>
              <w:spacing w:line="360" w:lineRule="auto"/>
              <w:contextualSpacing/>
              <w:rPr>
                <w:rFonts w:hint="eastAsia" w:ascii="宋体" w:hAnsi="宋体" w:cs="宋体"/>
                <w:i w:val="0"/>
                <w:iCs/>
                <w:color w:val="auto"/>
                <w:szCs w:val="21"/>
                <w:highlight w:val="none"/>
              </w:rPr>
            </w:pPr>
            <w:r>
              <w:rPr>
                <w:rFonts w:hint="eastAsia" w:ascii="宋体" w:hAnsi="宋体" w:cs="宋体"/>
                <w:i w:val="0"/>
                <w:iCs/>
                <w:color w:val="auto"/>
                <w:szCs w:val="21"/>
                <w:highlight w:val="none"/>
                <w:lang w:eastAsia="zh-CN"/>
              </w:rPr>
              <w:t>☑</w:t>
            </w:r>
            <w:r>
              <w:rPr>
                <w:rFonts w:hint="eastAsia" w:ascii="宋体" w:hAnsi="宋体" w:cs="宋体"/>
                <w:i w:val="0"/>
                <w:iCs/>
                <w:color w:val="auto"/>
                <w:szCs w:val="21"/>
                <w:highlight w:val="none"/>
              </w:rPr>
              <w:t>带“▲”的实质性要求正偏离项数多的优先、均无正偏离或者正偏离项数一致时负偏离项数少的优先、</w:t>
            </w:r>
            <w:r>
              <w:rPr>
                <w:rFonts w:hint="eastAsia" w:ascii="宋体" w:hAnsi="宋体" w:cs="宋体"/>
                <w:i w:val="0"/>
                <w:iCs/>
                <w:color w:val="auto"/>
                <w:szCs w:val="21"/>
                <w:highlight w:val="none"/>
                <w:lang w:eastAsia="zh-CN"/>
              </w:rPr>
              <w:t>保修期</w:t>
            </w:r>
            <w:r>
              <w:rPr>
                <w:rFonts w:hint="eastAsia" w:ascii="宋体" w:hAnsi="宋体" w:cs="宋体"/>
                <w:i w:val="0"/>
                <w:iCs/>
                <w:color w:val="auto"/>
                <w:szCs w:val="21"/>
                <w:highlight w:val="none"/>
              </w:rPr>
              <w:t>长优先、</w:t>
            </w:r>
            <w:r>
              <w:rPr>
                <w:rFonts w:hint="eastAsia" w:ascii="宋体" w:hAnsi="宋体" w:cs="宋体"/>
                <w:i w:val="0"/>
                <w:iCs/>
                <w:color w:val="auto"/>
                <w:szCs w:val="21"/>
                <w:highlight w:val="none"/>
                <w:lang w:eastAsia="zh-CN"/>
              </w:rPr>
              <w:t>交付时间（</w:t>
            </w:r>
            <w:r>
              <w:rPr>
                <w:rFonts w:hint="eastAsia" w:ascii="宋体" w:hAnsi="宋体" w:cs="宋体"/>
                <w:i w:val="0"/>
                <w:iCs/>
                <w:color w:val="auto"/>
                <w:szCs w:val="21"/>
                <w:highlight w:val="none"/>
              </w:rPr>
              <w:t>交货期</w:t>
            </w:r>
            <w:r>
              <w:rPr>
                <w:rFonts w:hint="eastAsia" w:ascii="宋体" w:hAnsi="宋体" w:cs="宋体"/>
                <w:i w:val="0"/>
                <w:iCs/>
                <w:color w:val="auto"/>
                <w:szCs w:val="21"/>
                <w:highlight w:val="none"/>
                <w:lang w:eastAsia="zh-CN"/>
              </w:rPr>
              <w:t>）</w:t>
            </w:r>
            <w:r>
              <w:rPr>
                <w:rFonts w:hint="eastAsia" w:ascii="宋体" w:hAnsi="宋体" w:cs="宋体"/>
                <w:i w:val="0"/>
                <w:iCs/>
                <w:color w:val="auto"/>
                <w:szCs w:val="21"/>
                <w:highlight w:val="none"/>
              </w:rPr>
              <w:t>短优先、响应时间短优先的顺序推荐。</w:t>
            </w:r>
          </w:p>
          <w:p w14:paraId="16EECB71">
            <w:pPr>
              <w:snapToGrid w:val="0"/>
              <w:spacing w:line="360" w:lineRule="auto"/>
              <w:rPr>
                <w:rFonts w:hint="eastAsia" w:ascii="宋体" w:hAnsi="宋体" w:cs="宋体"/>
                <w:color w:val="auto"/>
                <w:szCs w:val="21"/>
                <w:highlight w:val="none"/>
              </w:rPr>
            </w:pPr>
            <w:r>
              <w:rPr>
                <w:rFonts w:hint="eastAsia" w:ascii="宋体" w:hAnsi="宋体" w:cs="宋体"/>
                <w:i w:val="0"/>
                <w:iCs/>
                <w:color w:val="auto"/>
                <w:szCs w:val="21"/>
                <w:highlight w:val="none"/>
              </w:rPr>
              <w:t>□由谈判小组推荐代表随机抽取。</w:t>
            </w:r>
          </w:p>
        </w:tc>
      </w:tr>
      <w:tr w14:paraId="1D2A4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38B5971E">
            <w:pPr>
              <w:spacing w:line="360" w:lineRule="auto"/>
              <w:jc w:val="center"/>
              <w:rPr>
                <w:rFonts w:hint="eastAsia" w:ascii="宋体" w:hAnsi="宋体" w:cs="宋体"/>
                <w:color w:val="auto"/>
                <w:szCs w:val="21"/>
                <w:highlight w:val="none"/>
              </w:rPr>
            </w:pPr>
          </w:p>
        </w:tc>
        <w:tc>
          <w:tcPr>
            <w:tcW w:w="7912" w:type="dxa"/>
            <w:noWrap w:val="0"/>
            <w:vAlign w:val="center"/>
          </w:tcPr>
          <w:p w14:paraId="202CBCA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111A9E3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项</w:t>
            </w:r>
            <w:r>
              <w:rPr>
                <w:rFonts w:hint="eastAsia" w:ascii="宋体" w:hAnsi="宋体" w:cs="宋体"/>
                <w:color w:val="auto"/>
                <w:szCs w:val="21"/>
                <w:highlight w:val="none"/>
              </w:rPr>
              <w:t>。</w:t>
            </w:r>
          </w:p>
        </w:tc>
      </w:tr>
      <w:tr w14:paraId="6B489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46FE57E">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noWrap w:val="0"/>
            <w:vAlign w:val="center"/>
          </w:tcPr>
          <w:p w14:paraId="2122CE2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673BC76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□本项目收取履约保证金，具体规定如下：</w:t>
            </w:r>
          </w:p>
          <w:p w14:paraId="4D0CE99D">
            <w:pPr>
              <w:spacing w:line="360" w:lineRule="auto"/>
              <w:contextualSpacing/>
              <w:rPr>
                <w:rFonts w:hint="eastAsia" w:ascii="宋体" w:hAnsi="宋体"/>
                <w:color w:val="auto"/>
                <w:szCs w:val="21"/>
                <w:highlight w:val="none"/>
              </w:rPr>
            </w:pPr>
            <w:r>
              <w:rPr>
                <w:rFonts w:hint="eastAsia" w:ascii="宋体" w:hAnsi="宋体" w:cs="宋体"/>
                <w:color w:val="auto"/>
                <w:szCs w:val="21"/>
                <w:highlight w:val="none"/>
              </w:rPr>
              <w:t>履约保证金金额：每分标按成交金额的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w:t>
            </w:r>
          </w:p>
          <w:p w14:paraId="6E21BF98">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履约保证金提交方式：银行转账、支票、汇票、本票或者银行、保险机构出具的保函等非现金方式（参照竞标保证金）。</w:t>
            </w:r>
          </w:p>
          <w:p w14:paraId="7B19F55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履约保证金缴纳期限</w:t>
            </w:r>
            <w:r>
              <w:rPr>
                <w:rFonts w:hint="eastAsia" w:ascii="宋体" w:hAnsi="宋体"/>
                <w:color w:val="auto"/>
                <w:szCs w:val="21"/>
                <w:highlight w:val="none"/>
                <w:lang w:eastAsia="zh-CN"/>
              </w:rPr>
              <w:t>：</w:t>
            </w:r>
            <w:r>
              <w:rPr>
                <w:i w:val="0"/>
                <w:iCs w:val="0"/>
                <w:color w:val="auto"/>
                <w:highlight w:val="none"/>
              </w:rPr>
              <w:t xml:space="preserve"> </w:t>
            </w:r>
            <w:r>
              <w:rPr>
                <w:rFonts w:hint="eastAsia" w:ascii="宋体" w:hAnsi="宋体"/>
                <w:i w:val="0"/>
                <w:iCs w:val="0"/>
                <w:color w:val="auto"/>
                <w:szCs w:val="21"/>
                <w:highlight w:val="none"/>
                <w:u w:val="single"/>
              </w:rPr>
              <w:t>自成交通知书发出之日起     日内</w:t>
            </w:r>
            <w:r>
              <w:rPr>
                <w:rFonts w:hint="eastAsia" w:ascii="宋体" w:hAnsi="宋体"/>
                <w:color w:val="auto"/>
                <w:szCs w:val="21"/>
                <w:highlight w:val="none"/>
              </w:rPr>
              <w:t>。</w:t>
            </w:r>
          </w:p>
          <w:p w14:paraId="75BC43D4">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w:t>
            </w:r>
          </w:p>
          <w:p w14:paraId="24661C4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6E817A4E">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p>
          <w:p w14:paraId="3928ACDE">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2F04EA6F">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p>
          <w:p w14:paraId="438F8B99">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0BFFA42B">
            <w:pPr>
              <w:spacing w:line="360" w:lineRule="auto"/>
              <w:contextualSpacing/>
              <w:rPr>
                <w:rFonts w:hint="eastAsia" w:ascii="宋体" w:hAnsi="宋体" w:cs="宋体"/>
                <w:b/>
                <w:color w:val="auto"/>
                <w:kern w:val="0"/>
                <w:sz w:val="24"/>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b/>
                <w:color w:val="auto"/>
                <w:szCs w:val="21"/>
                <w:highlight w:val="none"/>
              </w:rPr>
              <w:t xml:space="preserve"> </w:t>
            </w:r>
            <w:bookmarkStart w:id="64" w:name="_Hlk54170335"/>
            <w:r>
              <w:rPr>
                <w:rFonts w:hint="eastAsia" w:ascii="宋体" w:hAnsi="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highlight w:val="none"/>
              </w:rPr>
              <w:t>。</w:t>
            </w:r>
            <w:bookmarkEnd w:id="64"/>
          </w:p>
          <w:p w14:paraId="49A601C8">
            <w:pPr>
              <w:spacing w:line="360" w:lineRule="auto"/>
              <w:contextualSpacing/>
              <w:rPr>
                <w:rFonts w:hint="eastAsia"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b/>
                <w:color w:val="auto"/>
                <w:szCs w:val="21"/>
                <w:highlight w:val="none"/>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14:paraId="1899DEB6">
            <w:pPr>
              <w:snapToGrid w:val="0"/>
              <w:spacing w:line="360" w:lineRule="auto"/>
              <w:rPr>
                <w:rFonts w:hint="eastAsia"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4D8B7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1E26B2">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noWrap w:val="0"/>
            <w:vAlign w:val="center"/>
          </w:tcPr>
          <w:p w14:paraId="33F1B44A">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108082B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4E92629A">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6749A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6261B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0"/>
            <w:vAlign w:val="center"/>
          </w:tcPr>
          <w:p w14:paraId="56CB40A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6D23356C">
            <w:pPr>
              <w:pStyle w:val="12"/>
              <w:snapToGrid w:val="0"/>
              <w:spacing w:line="360" w:lineRule="auto"/>
              <w:rPr>
                <w:rFonts w:hint="eastAsia" w:ascii="宋体" w:hAnsi="宋体" w:eastAsia="宋体" w:cs="宋体"/>
                <w:color w:val="auto"/>
                <w:kern w:val="2"/>
                <w:sz w:val="21"/>
                <w:highlight w:val="none"/>
                <w:lang w:val="en-US" w:eastAsia="zh-CN"/>
              </w:rPr>
            </w:pPr>
            <w:r>
              <w:rPr>
                <w:rFonts w:hint="eastAsia" w:hAnsi="宋体" w:cs="宋体"/>
                <w:color w:val="auto"/>
                <w:kern w:val="2"/>
                <w:sz w:val="21"/>
                <w:highlight w:val="none"/>
                <w:lang w:val="en-US" w:eastAsia="zh-CN"/>
              </w:rPr>
              <w:t>质</w:t>
            </w:r>
            <w:r>
              <w:rPr>
                <w:rFonts w:hint="eastAsia" w:ascii="宋体" w:hAnsi="宋体" w:eastAsia="宋体" w:cs="宋体"/>
                <w:color w:val="auto"/>
                <w:kern w:val="2"/>
                <w:sz w:val="21"/>
                <w:highlight w:val="none"/>
                <w:lang w:val="en-US" w:eastAsia="zh-CN"/>
              </w:rPr>
              <w:t>疑联系部门及联系方式：云之龙咨询集团有限公司，联系电话：0774-3859935，通讯地址：（梧州市新兴三路30号神冠豪都B栋1单元1008号房）</w:t>
            </w:r>
          </w:p>
          <w:p w14:paraId="1BD702DA">
            <w:pPr>
              <w:pStyle w:val="12"/>
              <w:snapToGrid w:val="0"/>
              <w:spacing w:line="360" w:lineRule="auto"/>
              <w:rPr>
                <w:rFonts w:hint="eastAsia" w:hAnsi="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业务时间：工作日每天上午8时00分到12时00分，下午3时00分到6时00分。</w:t>
            </w:r>
          </w:p>
        </w:tc>
      </w:tr>
      <w:tr w14:paraId="6EC90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B3B2B0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noWrap w:val="0"/>
            <w:vAlign w:val="center"/>
          </w:tcPr>
          <w:p w14:paraId="098A29DE">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04FFCEA9">
            <w:pPr>
              <w:pStyle w:val="7"/>
              <w:rPr>
                <w:rFonts w:hint="default"/>
                <w:color w:val="auto"/>
                <w:highlight w:val="none"/>
                <w:u w:val="single"/>
                <w:lang w:val="en-US" w:eastAsia="zh-CN"/>
              </w:rPr>
            </w:pPr>
            <w:r>
              <w:rPr>
                <w:rFonts w:hint="eastAsia" w:ascii="宋体" w:hAnsi="宋体" w:eastAsia="宋体" w:cs="宋体"/>
                <w:color w:val="auto"/>
                <w:kern w:val="2"/>
                <w:sz w:val="21"/>
                <w:highlight w:val="none"/>
                <w:lang w:val="en-US" w:eastAsia="zh-CN"/>
              </w:rPr>
              <w:t>☑本项目代理服务费</w:t>
            </w:r>
            <w:r>
              <w:rPr>
                <w:rFonts w:hint="eastAsia"/>
                <w:color w:val="auto"/>
                <w:highlight w:val="none"/>
                <w:lang w:eastAsia="zh-CN"/>
              </w:rPr>
              <w:t>在采购代理机构发出成交通知书后</w:t>
            </w:r>
            <w:r>
              <w:rPr>
                <w:rFonts w:hint="eastAsia"/>
                <w:color w:val="auto"/>
                <w:highlight w:val="none"/>
                <w:u w:val="single"/>
                <w:lang w:val="en-US" w:eastAsia="zh-CN"/>
              </w:rPr>
              <w:t>3个工作日</w:t>
            </w:r>
            <w:r>
              <w:rPr>
                <w:rFonts w:hint="eastAsia"/>
                <w:color w:val="auto"/>
                <w:highlight w:val="none"/>
                <w:u w:val="none"/>
                <w:lang w:val="en-US" w:eastAsia="zh-CN"/>
              </w:rPr>
              <w:t>内由成交供应商支付。</w:t>
            </w:r>
          </w:p>
          <w:p w14:paraId="33AA3011">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w:t>
            </w:r>
          </w:p>
          <w:p w14:paraId="2199B844">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□采购人支付。</w:t>
            </w:r>
          </w:p>
          <w:p w14:paraId="54FA6304">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2CAE918">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□以成交金额为计费额，按本须知正文第32.1条规定的货物类标准采用差额定率累进法计算出收费基准价格，采购代理收费以收费基准价格收取。</w:t>
            </w:r>
          </w:p>
          <w:p w14:paraId="3D10F020">
            <w:pPr>
              <w:pStyle w:val="12"/>
              <w:snapToGrid w:val="0"/>
              <w:spacing w:line="360" w:lineRule="auto"/>
              <w:rPr>
                <w:rFonts w:hAnsi="宋体" w:cs="宋体"/>
                <w:color w:val="auto"/>
                <w:sz w:val="21"/>
                <w:highlight w:val="none"/>
                <w:u w:val="single"/>
                <w:lang w:val="en-US" w:eastAsia="zh-CN"/>
              </w:rPr>
            </w:pPr>
            <w:r>
              <w:rPr>
                <w:rFonts w:hint="eastAsia" w:hAnsi="宋体" w:cs="宋体"/>
                <w:color w:val="auto"/>
                <w:sz w:val="21"/>
                <w:highlight w:val="none"/>
                <w:lang w:val="en-US" w:eastAsia="zh-CN"/>
              </w:rPr>
              <w:t>☑固定采购代理收费人民币</w:t>
            </w:r>
            <w:r>
              <w:rPr>
                <w:rFonts w:hint="eastAsia" w:hAnsi="宋体" w:cs="宋体"/>
                <w:color w:val="auto"/>
                <w:sz w:val="21"/>
                <w:highlight w:val="none"/>
                <w:u w:val="single"/>
                <w:lang w:val="en-US" w:eastAsia="zh-CN"/>
              </w:rPr>
              <w:t xml:space="preserve"> 贰万肆仟玖佰元整（</w:t>
            </w:r>
            <w:r>
              <w:rPr>
                <w:rFonts w:hint="default" w:ascii="Arial" w:hAnsi="Arial" w:cs="Arial"/>
                <w:color w:val="auto"/>
                <w:sz w:val="21"/>
                <w:highlight w:val="none"/>
                <w:u w:val="single"/>
                <w:lang w:val="en-US" w:eastAsia="zh-CN"/>
              </w:rPr>
              <w:t>¥</w:t>
            </w:r>
            <w:r>
              <w:rPr>
                <w:rFonts w:hint="eastAsia" w:hAnsi="宋体" w:cs="宋体"/>
                <w:color w:val="auto"/>
                <w:sz w:val="21"/>
                <w:highlight w:val="none"/>
                <w:u w:val="single"/>
                <w:lang w:val="en-US" w:eastAsia="zh-CN"/>
              </w:rPr>
              <w:t>24900.00）。</w:t>
            </w:r>
          </w:p>
          <w:p w14:paraId="319BA898">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 采购代理费收取银行账户</w:t>
            </w:r>
          </w:p>
          <w:p w14:paraId="304F1491">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开户名称：云之龙咨询集团有限公司梧州分公司</w:t>
            </w:r>
          </w:p>
          <w:p w14:paraId="7DD9E776">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开户银行：中信银行南宁东葛支行</w:t>
            </w:r>
          </w:p>
          <w:p w14:paraId="7BE0BA0B">
            <w:pPr>
              <w:pStyle w:val="12"/>
              <w:snapToGrid w:val="0"/>
              <w:spacing w:line="360" w:lineRule="auto"/>
              <w:rPr>
                <w:rFonts w:hint="eastAsia" w:hAnsi="宋体" w:cs="宋体"/>
                <w:color w:val="auto"/>
                <w:sz w:val="21"/>
                <w:highlight w:val="none"/>
                <w:u w:val="single"/>
                <w:lang w:val="en-US" w:eastAsia="zh-CN"/>
              </w:rPr>
            </w:pPr>
            <w:r>
              <w:rPr>
                <w:rFonts w:hint="eastAsia" w:hAnsi="宋体" w:cs="宋体"/>
                <w:color w:val="auto"/>
                <w:sz w:val="21"/>
                <w:highlight w:val="none"/>
                <w:lang w:val="en-US" w:eastAsia="zh-CN"/>
              </w:rPr>
              <w:t>银行账号：8113001014500158361</w:t>
            </w:r>
          </w:p>
        </w:tc>
      </w:tr>
      <w:tr w14:paraId="0BA10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B0E582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0"/>
            <w:vAlign w:val="center"/>
          </w:tcPr>
          <w:p w14:paraId="17428AA3">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解释：</w:t>
            </w:r>
            <w:r>
              <w:rPr>
                <w:rFonts w:hAnsi="宋体" w:cs="宋体"/>
                <w:color w:val="auto"/>
                <w:sz w:val="21"/>
                <w:highlight w:val="none"/>
                <w:lang w:val="en-US" w:eastAsia="zh-CN"/>
              </w:rPr>
              <w:t>构成本</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的各个组成文件应互为解释，互为说明；除</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中有特别规定外，仅适用于</w:t>
            </w:r>
            <w:r>
              <w:rPr>
                <w:rFonts w:hint="eastAsia" w:hAnsi="宋体" w:cs="宋体"/>
                <w:color w:val="auto"/>
                <w:sz w:val="21"/>
                <w:highlight w:val="none"/>
                <w:lang w:val="en-US" w:eastAsia="zh-CN"/>
              </w:rPr>
              <w:t>竞标</w:t>
            </w:r>
            <w:r>
              <w:rPr>
                <w:rFonts w:hAnsi="宋体" w:cs="宋体"/>
                <w:color w:val="auto"/>
                <w:sz w:val="21"/>
                <w:highlight w:val="none"/>
                <w:lang w:val="en-US" w:eastAsia="zh-CN"/>
              </w:rPr>
              <w:t>阶段的规定，按</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w:t>
            </w:r>
            <w:r>
              <w:rPr>
                <w:rFonts w:hint="eastAsia" w:hAnsi="宋体" w:cs="宋体"/>
                <w:color w:val="auto"/>
                <w:sz w:val="21"/>
                <w:highlight w:val="none"/>
                <w:lang w:val="en-US" w:eastAsia="zh-CN"/>
              </w:rPr>
              <w:t>竞争性谈判</w:t>
            </w:r>
            <w:r>
              <w:rPr>
                <w:rFonts w:hAnsi="宋体" w:cs="宋体"/>
                <w:color w:val="auto"/>
                <w:sz w:val="21"/>
                <w:highlight w:val="none"/>
                <w:lang w:val="en-US" w:eastAsia="zh-CN"/>
              </w:rPr>
              <w:t>公告、</w:t>
            </w:r>
            <w:r>
              <w:rPr>
                <w:rFonts w:hint="eastAsia" w:hAnsi="宋体" w:cs="宋体"/>
                <w:color w:val="auto"/>
                <w:sz w:val="21"/>
                <w:highlight w:val="none"/>
                <w:lang w:val="en-US" w:eastAsia="zh-CN"/>
              </w:rPr>
              <w:t>供应商</w:t>
            </w:r>
            <w:r>
              <w:rPr>
                <w:rFonts w:hAnsi="宋体" w:cs="宋体"/>
                <w:color w:val="auto"/>
                <w:sz w:val="21"/>
                <w:highlight w:val="none"/>
                <w:lang w:val="en-US" w:eastAsia="zh-CN"/>
              </w:rPr>
              <w:t>须知</w:t>
            </w:r>
            <w:r>
              <w:rPr>
                <w:rFonts w:hint="eastAsia" w:hAnsi="宋体" w:cs="宋体"/>
                <w:color w:val="auto"/>
                <w:sz w:val="21"/>
                <w:highlight w:val="none"/>
                <w:lang w:val="en-US" w:eastAsia="zh-CN"/>
              </w:rPr>
              <w:t>、采购需求</w:t>
            </w:r>
            <w:r>
              <w:rPr>
                <w:rFonts w:hAnsi="宋体" w:cs="宋体"/>
                <w:color w:val="auto"/>
                <w:sz w:val="21"/>
                <w:highlight w:val="none"/>
                <w:lang w:val="en-US" w:eastAsia="zh-CN"/>
              </w:rPr>
              <w:t>、</w:t>
            </w:r>
            <w:r>
              <w:rPr>
                <w:rFonts w:hint="eastAsia" w:hAnsi="宋体" w:cs="宋体"/>
                <w:color w:val="auto"/>
                <w:sz w:val="21"/>
                <w:highlight w:val="none"/>
                <w:lang w:val="en-US" w:eastAsia="zh-CN"/>
              </w:rPr>
              <w:t>评审程序和评定成交的标准</w:t>
            </w:r>
            <w:r>
              <w:rPr>
                <w:rFonts w:hAnsi="宋体" w:cs="宋体"/>
                <w:color w:val="auto"/>
                <w:sz w:val="21"/>
                <w:highlight w:val="none"/>
                <w:lang w:val="en-US" w:eastAsia="zh-CN"/>
              </w:rPr>
              <w:t>、</w:t>
            </w:r>
            <w:r>
              <w:rPr>
                <w:rFonts w:hint="eastAsia" w:hAnsi="宋体" w:cs="宋体"/>
                <w:color w:val="auto"/>
                <w:sz w:val="21"/>
                <w:highlight w:val="none"/>
                <w:lang w:val="en-US" w:eastAsia="zh-CN"/>
              </w:rPr>
              <w:t>响应</w:t>
            </w:r>
            <w:r>
              <w:rPr>
                <w:rFonts w:hAnsi="宋体" w:cs="宋体"/>
                <w:color w:val="auto"/>
                <w:sz w:val="21"/>
                <w:highlight w:val="none"/>
                <w:lang w:val="en-US" w:eastAsia="zh-CN"/>
              </w:rPr>
              <w:t>文件格式</w:t>
            </w:r>
            <w:r>
              <w:rPr>
                <w:rFonts w:hint="eastAsia" w:hAnsi="宋体" w:cs="宋体"/>
                <w:color w:val="auto"/>
                <w:sz w:val="21"/>
                <w:highlight w:val="none"/>
                <w:lang w:val="en-US" w:eastAsia="zh-CN"/>
              </w:rPr>
              <w:t>、合同文本</w:t>
            </w:r>
            <w:r>
              <w:rPr>
                <w:rFonts w:hAnsi="宋体" w:cs="宋体"/>
                <w:color w:val="auto"/>
                <w:sz w:val="21"/>
                <w:highlight w:val="none"/>
                <w:lang w:val="en-US" w:eastAsia="zh-CN"/>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与同步更新的</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不一致时以</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为准。按本款前述规定仍不能形成结论的，由</w:t>
            </w:r>
            <w:r>
              <w:rPr>
                <w:rFonts w:hint="eastAsia" w:hAnsi="宋体" w:cs="宋体"/>
                <w:color w:val="auto"/>
                <w:sz w:val="21"/>
                <w:highlight w:val="none"/>
                <w:lang w:val="en-US" w:eastAsia="zh-CN"/>
              </w:rPr>
              <w:t>采购</w:t>
            </w:r>
            <w:r>
              <w:rPr>
                <w:rFonts w:hAnsi="宋体" w:cs="宋体"/>
                <w:color w:val="auto"/>
                <w:sz w:val="21"/>
                <w:highlight w:val="none"/>
                <w:lang w:val="en-US" w:eastAsia="zh-CN"/>
              </w:rPr>
              <w:t>人</w:t>
            </w:r>
            <w:r>
              <w:rPr>
                <w:rFonts w:hint="eastAsia" w:hAnsi="宋体" w:cs="宋体"/>
                <w:color w:val="auto"/>
                <w:sz w:val="21"/>
                <w:highlight w:val="none"/>
                <w:lang w:val="en-US" w:eastAsia="zh-CN"/>
              </w:rPr>
              <w:t>或者采购代理机构</w:t>
            </w:r>
            <w:r>
              <w:rPr>
                <w:rFonts w:hAnsi="宋体" w:cs="宋体"/>
                <w:color w:val="auto"/>
                <w:sz w:val="21"/>
                <w:highlight w:val="none"/>
                <w:lang w:val="en-US" w:eastAsia="zh-CN"/>
              </w:rPr>
              <w:t>负责解释。</w:t>
            </w:r>
          </w:p>
        </w:tc>
      </w:tr>
      <w:tr w14:paraId="5329E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C938E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noWrap w:val="0"/>
            <w:vAlign w:val="center"/>
          </w:tcPr>
          <w:p w14:paraId="49E134EE">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31F53BA5">
            <w:pPr>
              <w:pStyle w:val="12"/>
              <w:snapToGrid w:val="0"/>
              <w:spacing w:line="360" w:lineRule="auto"/>
              <w:rPr>
                <w:rFonts w:hAnsi="宋体" w:cs="宋体"/>
                <w:bCs/>
                <w:color w:val="auto"/>
                <w:sz w:val="21"/>
                <w:highlight w:val="none"/>
                <w:lang w:val="en-US" w:eastAsia="zh-CN"/>
              </w:rPr>
            </w:pPr>
            <w:r>
              <w:rPr>
                <w:rFonts w:hint="eastAsia" w:hAnsi="宋体" w:cs="宋体"/>
                <w:bCs/>
                <w:color w:val="auto"/>
                <w:sz w:val="21"/>
                <w:highlight w:val="none"/>
                <w:lang w:val="en-US" w:eastAsia="zh-CN"/>
              </w:rPr>
              <w:t>2.本谈判文件所称的“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2A73C804">
            <w:pPr>
              <w:pStyle w:val="12"/>
              <w:snapToGrid w:val="0"/>
              <w:spacing w:line="360" w:lineRule="auto"/>
              <w:rPr>
                <w:rFonts w:hint="eastAsia" w:hAnsi="宋体" w:cs="宋体"/>
                <w:bCs/>
                <w:color w:val="auto"/>
                <w:sz w:val="21"/>
                <w:highlight w:val="none"/>
                <w:lang w:val="en-US" w:eastAsia="zh-CN"/>
              </w:rPr>
            </w:pPr>
            <w:r>
              <w:rPr>
                <w:rFonts w:hint="eastAsia" w:hAnsi="宋体" w:cs="宋体"/>
                <w:color w:val="auto"/>
                <w:sz w:val="21"/>
                <w:highlight w:val="none"/>
                <w:lang w:val="en-US" w:eastAsia="zh-CN"/>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lang w:val="en-US" w:eastAsia="zh-CN"/>
              </w:rPr>
              <w:t>营业执照或者执业许可证等证照上</w:t>
            </w:r>
            <w:r>
              <w:rPr>
                <w:rFonts w:hint="eastAsia" w:hAnsi="宋体" w:cs="宋体"/>
                <w:color w:val="auto"/>
                <w:sz w:val="21"/>
                <w:highlight w:val="none"/>
                <w:lang w:val="en-US" w:eastAsia="zh-CN"/>
              </w:rPr>
              <w:t>的负责人，本谈判文件所称自然人指参与竞标的自然人本人，</w:t>
            </w:r>
            <w:r>
              <w:rPr>
                <w:rFonts w:hint="eastAsia" w:hAnsi="宋体" w:cs="宋体"/>
                <w:bCs/>
                <w:color w:val="auto"/>
                <w:sz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6588BABA">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4.本谈判文件中描述供应商的“签字”是指供应商的法定代表人或者委托代理人亲自在文件规定签署处亲笔写上个人的名字的行为，私章、签字章、印鉴、影印等其他形式均不能代替亲笔签字。</w:t>
            </w:r>
          </w:p>
          <w:p w14:paraId="58D8FD66">
            <w:pPr>
              <w:pStyle w:val="12"/>
              <w:snapToGrid w:val="0"/>
              <w:spacing w:line="360" w:lineRule="auto"/>
              <w:rPr>
                <w:rFonts w:hint="eastAsia" w:hAnsi="宋体" w:cs="宋体"/>
                <w:color w:val="auto"/>
                <w:sz w:val="21"/>
                <w:highlight w:val="none"/>
                <w:lang w:val="en-US" w:eastAsia="zh-CN"/>
              </w:rPr>
            </w:pPr>
            <w:r>
              <w:rPr>
                <w:rFonts w:hAnsi="宋体" w:cs="宋体"/>
                <w:color w:val="auto"/>
                <w:sz w:val="21"/>
                <w:highlight w:val="none"/>
                <w:lang w:val="en-US" w:eastAsia="zh-CN"/>
              </w:rPr>
              <w:t>5.</w:t>
            </w:r>
            <w:r>
              <w:rPr>
                <w:rFonts w:hint="eastAsia" w:hAnsi="宋体" w:cs="宋体"/>
                <w:color w:val="auto"/>
                <w:sz w:val="21"/>
                <w:highlight w:val="none"/>
                <w:lang w:val="en-US" w:eastAsia="zh-CN"/>
              </w:rPr>
              <w:t>本谈判文件所称的“以上”“以下”“以内”“届满”，包括本数；所称的“不满”“超过”“以外”，不包括本数。</w:t>
            </w:r>
          </w:p>
        </w:tc>
      </w:tr>
    </w:tbl>
    <w:p w14:paraId="0512368F">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231EBAD7">
      <w:pPr>
        <w:spacing w:line="400" w:lineRule="exact"/>
        <w:jc w:val="center"/>
        <w:rPr>
          <w:rFonts w:hint="eastAsia" w:ascii="宋体" w:hAnsi="宋体"/>
          <w:b/>
          <w:color w:val="auto"/>
          <w:sz w:val="32"/>
          <w:szCs w:val="32"/>
          <w:highlight w:val="none"/>
        </w:rPr>
      </w:pPr>
    </w:p>
    <w:p w14:paraId="7B6CC202">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0CBDE184">
      <w:pPr>
        <w:spacing w:line="400" w:lineRule="exact"/>
        <w:rPr>
          <w:rFonts w:hint="eastAsia" w:ascii="宋体" w:hAnsi="宋体"/>
          <w:color w:val="auto"/>
          <w:szCs w:val="21"/>
          <w:highlight w:val="none"/>
        </w:rPr>
      </w:pPr>
    </w:p>
    <w:p w14:paraId="64A2887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6E1ACD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C64C9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5DD6B91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4CA47C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1C554EAF">
      <w:pPr>
        <w:spacing w:line="360" w:lineRule="auto"/>
        <w:ind w:firstLine="420" w:firstLineChars="200"/>
        <w:rPr>
          <w:rFonts w:hint="eastAsia" w:ascii="宋体" w:hAnsi="宋体"/>
          <w:b/>
          <w:color w:val="auto"/>
          <w:szCs w:val="21"/>
          <w:highlight w:val="none"/>
        </w:rPr>
      </w:pPr>
      <w:r>
        <w:rPr>
          <w:rFonts w:hint="eastAsia" w:ascii="宋体" w:hAnsi="宋体" w:cs="宋体"/>
          <w:color w:val="auto"/>
          <w:szCs w:val="21"/>
          <w:highlight w:val="none"/>
        </w:rPr>
        <w:t>2.2“采购代理机构”</w:t>
      </w:r>
      <w:r>
        <w:rPr>
          <w:rFonts w:hint="eastAsia" w:ascii="宋体" w:hAnsi="宋体"/>
          <w:b/>
          <w:color w:val="auto"/>
          <w:szCs w:val="21"/>
          <w:highlight w:val="none"/>
        </w:rPr>
        <w:t>是指政府采购集中采购机构和集中采购机构以外的采购代理机构。</w:t>
      </w:r>
    </w:p>
    <w:p w14:paraId="003677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943B7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53EA02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626099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0BE66D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1913F7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5FD64F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“实质性要求”是指采购需求中带“▲”的条款或者不能负偏离的条款或者已经指明不满足按响应文件按无效处理的条款。</w:t>
      </w:r>
    </w:p>
    <w:p w14:paraId="196D11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1E82E5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655655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3282F2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2D4061F5">
      <w:pPr>
        <w:spacing w:line="360" w:lineRule="auto"/>
        <w:ind w:firstLine="482" w:firstLineChars="200"/>
        <w:contextualSpacing/>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07ED7C4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34C7B4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1DDAF0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6A8FC52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63223A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F7330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756EF86C">
      <w:pPr>
        <w:spacing w:line="360" w:lineRule="auto"/>
        <w:ind w:firstLine="420" w:firstLineChars="200"/>
        <w:rPr>
          <w:rFonts w:ascii="宋体" w:hAnsi="宋体"/>
          <w:bCs/>
          <w:color w:val="auto"/>
          <w:szCs w:val="21"/>
          <w:highlight w:val="none"/>
        </w:rPr>
      </w:pPr>
      <w:bookmarkStart w:id="65"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5"/>
    </w:p>
    <w:p w14:paraId="73167AA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1AEE0AD">
      <w:pPr>
        <w:pStyle w:val="4"/>
        <w:keepNext w:val="0"/>
        <w:keepLines w:val="0"/>
        <w:spacing w:before="0" w:after="0" w:line="360" w:lineRule="auto"/>
        <w:ind w:left="420" w:leftChars="200"/>
        <w:rPr>
          <w:rFonts w:hint="eastAsia" w:ascii="宋体" w:hAnsi="宋体"/>
          <w:b w:val="0"/>
          <w:color w:val="auto"/>
          <w:sz w:val="21"/>
          <w:szCs w:val="21"/>
          <w:highlight w:val="none"/>
        </w:rPr>
      </w:pPr>
      <w:bookmarkStart w:id="66" w:name="_Toc254970673"/>
      <w:bookmarkStart w:id="67" w:name="_Toc254970532"/>
      <w:r>
        <w:rPr>
          <w:rFonts w:hint="eastAsia" w:ascii="宋体" w:hAnsi="宋体"/>
          <w:b w:val="0"/>
          <w:color w:val="auto"/>
          <w:sz w:val="21"/>
          <w:szCs w:val="21"/>
          <w:highlight w:val="none"/>
        </w:rPr>
        <w:t>6.1本项目不允许转包。</w:t>
      </w:r>
    </w:p>
    <w:p w14:paraId="3E41F314">
      <w:pPr>
        <w:pStyle w:val="4"/>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w:t>
      </w:r>
      <w:r>
        <w:rPr>
          <w:rFonts w:hint="eastAsia" w:ascii="宋体" w:hAnsi="宋体"/>
          <w:b w:val="0"/>
          <w:color w:val="auto"/>
          <w:sz w:val="21"/>
          <w:szCs w:val="21"/>
          <w:highlight w:val="none"/>
          <w:lang w:eastAsia="zh-CN"/>
        </w:rPr>
        <w:t>应的</w:t>
      </w:r>
      <w:r>
        <w:rPr>
          <w:rFonts w:hint="eastAsia" w:ascii="宋体" w:hAnsi="宋体"/>
          <w:b w:val="0"/>
          <w:color w:val="auto"/>
          <w:sz w:val="21"/>
          <w:szCs w:val="21"/>
          <w:highlight w:val="none"/>
        </w:rPr>
        <w:t>行政许可。</w:t>
      </w:r>
    </w:p>
    <w:p w14:paraId="7FE75FA2">
      <w:pPr>
        <w:pStyle w:val="4"/>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71A5AE0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6"/>
      <w:bookmarkEnd w:id="67"/>
    </w:p>
    <w:p w14:paraId="1BFDE612">
      <w:pPr>
        <w:spacing w:line="360" w:lineRule="auto"/>
        <w:ind w:firstLine="420" w:firstLineChars="200"/>
        <w:rPr>
          <w:rFonts w:hint="eastAsia" w:ascii="宋体" w:hAnsi="宋体" w:cs="宋体"/>
          <w:color w:val="auto"/>
          <w:szCs w:val="21"/>
          <w:highlight w:val="none"/>
        </w:rPr>
      </w:pPr>
      <w:bookmarkStart w:id="68" w:name="_8.1提供相同品牌产品且通过资格审查、符合性审查的不同投标人参加同一合"/>
      <w:bookmarkEnd w:id="68"/>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推荐资格，其他响应文件按无效处理。</w:t>
      </w:r>
    </w:p>
    <w:p w14:paraId="4CE31B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03BDE1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36955A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625576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0B5C4C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6F69B1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CF0D6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A0A66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F5A20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B4B6D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FBD31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0743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25E51B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eastAsia="宋体" w:cs="Times New Roman"/>
          <w:b w:val="0"/>
          <w:bCs/>
          <w:color w:val="auto"/>
          <w:kern w:val="2"/>
          <w:sz w:val="21"/>
          <w:szCs w:val="21"/>
          <w:highlight w:val="none"/>
          <w:lang w:val="en-US" w:eastAsia="zh-CN" w:bidi="ar-SA"/>
        </w:rPr>
        <w:t>，或不同供应商报名的IP地址一致的；或不同供应商竞标设备信息（</w:t>
      </w:r>
      <w:r>
        <w:rPr>
          <w:rFonts w:hint="eastAsia" w:ascii="宋体" w:hAnsi="宋体" w:cs="Times New Roman"/>
          <w:b w:val="0"/>
          <w:bCs/>
          <w:color w:val="auto"/>
          <w:kern w:val="2"/>
          <w:sz w:val="21"/>
          <w:szCs w:val="21"/>
          <w:highlight w:val="none"/>
          <w:lang w:val="en-US" w:eastAsia="zh-CN" w:bidi="ar-SA"/>
        </w:rPr>
        <w:t>包括但不限于</w:t>
      </w:r>
      <w:r>
        <w:rPr>
          <w:rFonts w:hint="eastAsia" w:ascii="宋体" w:hAnsi="宋体" w:eastAsia="宋体" w:cs="Times New Roman"/>
          <w:b w:val="0"/>
          <w:bCs/>
          <w:color w:val="auto"/>
          <w:kern w:val="2"/>
          <w:sz w:val="21"/>
          <w:szCs w:val="21"/>
          <w:highlight w:val="none"/>
          <w:lang w:val="en-US" w:eastAsia="zh-CN" w:bidi="ar-SA"/>
        </w:rPr>
        <w:t>：IP地址、MAC地址、硬盘号、CPU号、主板号）一致的；</w:t>
      </w:r>
    </w:p>
    <w:p w14:paraId="093D3B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C8E9D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645B6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65FFD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40B07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10F0DB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69" w:name="_Hlk54682620"/>
      <w:r>
        <w:rPr>
          <w:rFonts w:hint="eastAsia" w:ascii="宋体" w:hAnsi="宋体" w:cs="宋体"/>
          <w:color w:val="auto"/>
          <w:szCs w:val="21"/>
          <w:highlight w:val="none"/>
        </w:rPr>
        <w:t>，将报同级监督管理部门</w:t>
      </w:r>
      <w:bookmarkEnd w:id="69"/>
      <w:r>
        <w:rPr>
          <w:rFonts w:hint="eastAsia" w:ascii="宋体" w:hAnsi="宋体" w:cs="宋体"/>
          <w:color w:val="auto"/>
          <w:szCs w:val="21"/>
          <w:highlight w:val="none"/>
        </w:rPr>
        <w:t>：</w:t>
      </w:r>
    </w:p>
    <w:p w14:paraId="7AFE4B3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FC1C3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D691B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69D1E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641F2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FBCCC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E459E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E88713C">
      <w:pPr>
        <w:spacing w:line="360" w:lineRule="auto"/>
        <w:ind w:left="1" w:firstLine="417" w:firstLineChars="199"/>
        <w:jc w:val="center"/>
        <w:rPr>
          <w:rFonts w:hint="eastAsia" w:ascii="宋体" w:hAnsi="宋体"/>
          <w:color w:val="auto"/>
          <w:highlight w:val="none"/>
        </w:rPr>
      </w:pPr>
      <w:bookmarkStart w:id="70" w:name="_Toc254970675"/>
      <w:bookmarkStart w:id="71" w:name="_Toc254970534"/>
    </w:p>
    <w:p w14:paraId="41E55890">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二、谈判文件</w:t>
      </w:r>
      <w:bookmarkEnd w:id="70"/>
      <w:bookmarkEnd w:id="71"/>
    </w:p>
    <w:p w14:paraId="351394BC">
      <w:pPr>
        <w:spacing w:line="360" w:lineRule="auto"/>
        <w:jc w:val="center"/>
        <w:rPr>
          <w:rFonts w:hint="eastAsia" w:ascii="宋体" w:hAnsi="宋体"/>
          <w:color w:val="auto"/>
          <w:szCs w:val="21"/>
          <w:highlight w:val="none"/>
        </w:rPr>
      </w:pPr>
    </w:p>
    <w:p w14:paraId="6951A17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58ADB1B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（1）竞争性谈判公告；</w:t>
      </w:r>
    </w:p>
    <w:p w14:paraId="37FF2F4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2B8F552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4137AC57">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（4）响应文件格式</w:t>
      </w:r>
    </w:p>
    <w:p w14:paraId="50783C8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（5）合同文本；</w:t>
      </w:r>
    </w:p>
    <w:p w14:paraId="4553D64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（6）评审程序和评定成交的标准；</w:t>
      </w:r>
    </w:p>
    <w:p w14:paraId="02F894F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7641EB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w:t>
      </w:r>
      <w:r>
        <w:rPr>
          <w:rFonts w:hint="eastAsia" w:ascii="宋体" w:hAnsi="宋体"/>
          <w:color w:val="auto"/>
          <w:szCs w:val="21"/>
          <w:highlight w:val="none"/>
          <w:lang w:val="en-US" w:eastAsia="zh-CN"/>
        </w:rPr>
        <w:t>应</w:t>
      </w:r>
      <w:r>
        <w:rPr>
          <w:rFonts w:hint="eastAsia" w:ascii="宋体" w:hAnsi="宋体"/>
          <w:color w:val="auto"/>
          <w:szCs w:val="21"/>
          <w:highlight w:val="none"/>
        </w:rPr>
        <w:t>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158DF0A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4B4A1EFA">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589BFD13">
      <w:pPr>
        <w:spacing w:line="360" w:lineRule="auto"/>
        <w:rPr>
          <w:rFonts w:hint="eastAsia" w:ascii="宋体" w:hAnsi="宋体"/>
          <w:color w:val="auto"/>
          <w:szCs w:val="21"/>
          <w:highlight w:val="none"/>
        </w:rPr>
      </w:pPr>
    </w:p>
    <w:p w14:paraId="57394E05">
      <w:pPr>
        <w:spacing w:line="360" w:lineRule="auto"/>
        <w:jc w:val="center"/>
        <w:rPr>
          <w:rFonts w:hint="eastAsia" w:ascii="宋体" w:hAnsi="宋体"/>
          <w:b/>
          <w:color w:val="auto"/>
          <w:szCs w:val="21"/>
          <w:highlight w:val="none"/>
        </w:rPr>
      </w:pPr>
      <w:r>
        <w:rPr>
          <w:rFonts w:hint="eastAsia" w:ascii="宋体" w:hAnsi="宋体"/>
          <w:b/>
          <w:color w:val="auto"/>
          <w:sz w:val="32"/>
          <w:szCs w:val="32"/>
          <w:highlight w:val="none"/>
        </w:rPr>
        <w:t>三、响应文件的编制</w:t>
      </w:r>
    </w:p>
    <w:p w14:paraId="07FF940B">
      <w:pPr>
        <w:spacing w:line="360" w:lineRule="auto"/>
        <w:rPr>
          <w:rFonts w:hint="eastAsia" w:ascii="宋体" w:hAnsi="宋体"/>
          <w:color w:val="auto"/>
          <w:szCs w:val="21"/>
          <w:highlight w:val="none"/>
        </w:rPr>
      </w:pPr>
    </w:p>
    <w:p w14:paraId="58AF8F3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07A10B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452DB96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1FF126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26063C01">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29947138">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35047043">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4304BA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E5D9D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491A567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5B9D49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46DCEDC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42AE0D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1AF6E468">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69585891">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3FCB39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0257A27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49188236">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0B144D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72B8B2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50DD64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竞标报价（包含首次报价、最后报价）超过分项采购预算金额或者最高限价的，其响应文件将按无效处理。</w:t>
      </w:r>
    </w:p>
    <w:p w14:paraId="398D14C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21D7F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36ABE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承诺的竞标有效期低于采购文件规定期限的，供应商的响应文件作无效处理。</w:t>
      </w:r>
    </w:p>
    <w:p w14:paraId="6CD6CA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01D8FE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3EDC8A5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5EA200D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17.2竞标保证金的退还</w:t>
      </w:r>
    </w:p>
    <w:p w14:paraId="4BAC77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30BCB63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17.3竞标保证金不计息。</w:t>
      </w:r>
    </w:p>
    <w:p w14:paraId="0B661DF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2BEEB88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1B3CE34">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46D3226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38825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310F16E2">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10AD1AD4">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1CDA4D3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6BD185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246700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756FBB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w:t>
      </w:r>
      <w:r>
        <w:rPr>
          <w:rFonts w:hint="eastAsia" w:ascii="宋体" w:hAnsi="宋体" w:cs="宋体"/>
          <w:b/>
          <w:bCs/>
          <w:color w:val="auto"/>
          <w:szCs w:val="21"/>
          <w:highlight w:val="none"/>
        </w:rPr>
        <w:t>否则按无效响应处理</w:t>
      </w:r>
      <w:r>
        <w:rPr>
          <w:rFonts w:hint="eastAsia" w:ascii="宋体" w:hAnsi="宋体" w:cs="宋体"/>
          <w:color w:val="auto"/>
          <w:szCs w:val="21"/>
          <w:highlight w:val="none"/>
        </w:rPr>
        <w:t>。</w:t>
      </w:r>
    </w:p>
    <w:p w14:paraId="7E473B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w:t>
      </w:r>
      <w:r>
        <w:rPr>
          <w:rFonts w:hint="eastAsia"/>
          <w:b/>
          <w:bCs/>
          <w:color w:val="auto"/>
          <w:highlight w:val="none"/>
        </w:rPr>
        <w:t>并与广西政府采购云平台中获取采购文件的供应商名称一致</w:t>
      </w:r>
      <w:r>
        <w:rPr>
          <w:rFonts w:hint="eastAsia"/>
          <w:b/>
          <w:bCs/>
          <w:color w:val="auto"/>
          <w:highlight w:val="none"/>
          <w:lang w:eastAsia="zh-CN"/>
        </w:rPr>
        <w:t>。</w:t>
      </w:r>
      <w:r>
        <w:rPr>
          <w:rFonts w:hint="eastAsia" w:ascii="宋体" w:hAnsi="宋体" w:cs="宋体"/>
          <w:color w:val="auto"/>
          <w:szCs w:val="21"/>
          <w:highlight w:val="none"/>
        </w:rPr>
        <w:t>供应商为自然人的，标注的供应商名称应与身份证姓名及签名一致，</w:t>
      </w:r>
      <w:r>
        <w:rPr>
          <w:rFonts w:hint="eastAsia" w:ascii="宋体" w:hAnsi="宋体" w:cs="宋体"/>
          <w:b/>
          <w:bCs/>
          <w:color w:val="auto"/>
          <w:szCs w:val="21"/>
          <w:highlight w:val="none"/>
        </w:rPr>
        <w:t>否则其响应文件按无效响应处理</w:t>
      </w:r>
      <w:r>
        <w:rPr>
          <w:rFonts w:hint="eastAsia" w:ascii="宋体" w:hAnsi="宋体" w:cs="宋体"/>
          <w:color w:val="auto"/>
          <w:szCs w:val="21"/>
          <w:highlight w:val="none"/>
        </w:rPr>
        <w:t>。</w:t>
      </w:r>
    </w:p>
    <w:p w14:paraId="5F3A1D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42CCBCB">
      <w:pPr>
        <w:spacing w:line="360" w:lineRule="auto"/>
        <w:ind w:firstLine="482"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009CDC1E">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电子备份响应文件是指通过在线编制生成且后缀名为“</w:t>
      </w:r>
      <w:r>
        <w:rPr>
          <w:color w:val="auto"/>
          <w:highlight w:val="none"/>
        </w:rPr>
        <w:t>bfbs</w:t>
      </w:r>
      <w:r>
        <w:rPr>
          <w:rFonts w:hint="eastAsia"/>
          <w:color w:val="auto"/>
          <w:highlight w:val="none"/>
        </w:rPr>
        <w:t>”的文件，是否接受电子备份响应文件</w:t>
      </w:r>
      <w:r>
        <w:rPr>
          <w:rFonts w:hint="eastAsia"/>
          <w:color w:val="auto"/>
          <w:highlight w:val="none"/>
          <w:lang w:eastAsia="zh-CN"/>
        </w:rPr>
        <w:t>详见</w:t>
      </w:r>
      <w:r>
        <w:rPr>
          <w:rFonts w:hint="eastAsia" w:hAnsi="宋体"/>
          <w:bCs/>
          <w:color w:val="auto"/>
          <w:szCs w:val="21"/>
          <w:highlight w:val="none"/>
        </w:rPr>
        <w:t>“供应商须知前附表”。</w:t>
      </w:r>
    </w:p>
    <w:p w14:paraId="7894182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28E6F898">
      <w:pPr>
        <w:spacing w:line="360" w:lineRule="auto"/>
        <w:ind w:firstLine="420" w:firstLineChars="20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2B6E0F7E">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4DE917B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1CAC9D31">
      <w:pPr>
        <w:snapToGrid w:val="0"/>
        <w:spacing w:line="360" w:lineRule="auto"/>
        <w:ind w:firstLine="420"/>
        <w:jc w:val="left"/>
        <w:rPr>
          <w:rFonts w:hint="eastAsia" w:ascii="宋体" w:hAnsi="宋体"/>
          <w:color w:val="auto"/>
          <w:szCs w:val="21"/>
          <w:highlight w:val="none"/>
        </w:rPr>
      </w:pPr>
      <w:bookmarkStart w:id="72" w:name="_Toc254970543"/>
      <w:bookmarkStart w:id="73"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72"/>
    <w:bookmarkEnd w:id="73"/>
    <w:p w14:paraId="4C4008DB">
      <w:pPr>
        <w:pStyle w:val="55"/>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lang w:eastAsia="zh-CN"/>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4297BB7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60A8D8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2C4D38E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00C32324">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3F0534C4">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四、评审及谈判</w:t>
      </w:r>
    </w:p>
    <w:p w14:paraId="51CD02A2">
      <w:pPr>
        <w:spacing w:line="360" w:lineRule="auto"/>
        <w:ind w:left="420" w:firstLine="420"/>
        <w:rPr>
          <w:rFonts w:hint="eastAsia" w:ascii="宋体" w:hAnsi="宋体"/>
          <w:color w:val="auto"/>
          <w:szCs w:val="21"/>
          <w:highlight w:val="none"/>
        </w:rPr>
      </w:pPr>
    </w:p>
    <w:p w14:paraId="62CB6D7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2A38F3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2AB098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24EFD73">
      <w:pPr>
        <w:spacing w:line="360" w:lineRule="auto"/>
        <w:ind w:firstLine="420" w:firstLineChars="20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053F63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52F92B5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首次响应文件的开启和解密</w:t>
      </w:r>
    </w:p>
    <w:p w14:paraId="5234E343">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358E1A7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2E1A8223">
      <w:pPr>
        <w:spacing w:line="360" w:lineRule="auto"/>
        <w:ind w:firstLine="420" w:firstLineChars="200"/>
        <w:rPr>
          <w:rFonts w:hint="eastAsia"/>
          <w:color w:val="auto"/>
          <w:highlight w:val="none"/>
        </w:rPr>
      </w:pPr>
      <w:r>
        <w:rPr>
          <w:rFonts w:hint="eastAsia"/>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highlight w:val="none"/>
        </w:rPr>
        <w:t>“供应商须知前附表”。</w:t>
      </w:r>
    </w:p>
    <w:p w14:paraId="07165FE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160F3038">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02DD4546">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3E2AAB0">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219C1C65">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4C5A113F">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71D9E94F">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51C09526">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71D57A1D">
      <w:pPr>
        <w:spacing w:line="360" w:lineRule="auto"/>
        <w:ind w:firstLine="420" w:firstLineChars="200"/>
        <w:rPr>
          <w:rFonts w:hint="eastAsia"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285C5A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49E8C86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5CAC0546">
      <w:pPr>
        <w:pStyle w:val="7"/>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781CE8C4">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27.3出现下列情形之一的，采购人或者采购代理机构应当终止竞争性谈判采购活动，发布项目终止公告并说明原因，重新开展采购活动：</w:t>
      </w:r>
    </w:p>
    <w:p w14:paraId="1E4B95F7">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69828C4E">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（2）出现影响采购公正的违法、违规行为的；</w:t>
      </w:r>
    </w:p>
    <w:p w14:paraId="73DFB399">
      <w:pPr>
        <w:pStyle w:val="7"/>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2775BEE4">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02BB2FD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6B28A640">
      <w:pPr>
        <w:pStyle w:val="7"/>
        <w:spacing w:line="360" w:lineRule="auto"/>
        <w:ind w:firstLine="420" w:firstLineChars="200"/>
        <w:rPr>
          <w:rFonts w:hint="eastAsia"/>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履约保证金的金额、提交方式、退付的时间和条件详见 “供应商须知前附表”。成交供应商未按规定提交履约保证金的，视为拒绝</w:t>
      </w:r>
      <w:r>
        <w:rPr>
          <w:rFonts w:ascii="宋体" w:hAnsi="宋体" w:cs="宋体"/>
          <w:color w:val="auto"/>
          <w:szCs w:val="21"/>
          <w:highlight w:val="none"/>
          <w:lang w:val="en-US" w:eastAsia="zh-CN"/>
        </w:rPr>
        <w:t>与采购人</w:t>
      </w:r>
      <w:r>
        <w:rPr>
          <w:rFonts w:hint="eastAsia" w:ascii="宋体" w:hAnsi="宋体" w:cs="宋体"/>
          <w:color w:val="auto"/>
          <w:szCs w:val="21"/>
          <w:highlight w:val="none"/>
          <w:lang w:val="en-US" w:eastAsia="zh-CN"/>
        </w:rPr>
        <w:t>签订合同。</w:t>
      </w:r>
    </w:p>
    <w:p w14:paraId="2FD4CB98">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1F88630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2CF255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7E13AD2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4266228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19D277E5">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A7C73D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73110F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4E5A7719">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CD0239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7B69669">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0D8DE5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AF6C5C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47B77729">
      <w:pPr>
        <w:pStyle w:val="5"/>
        <w:spacing w:after="120" w:line="360" w:lineRule="auto"/>
        <w:rPr>
          <w:rFonts w:hint="eastAsia"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4BFADFD5">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5735D41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397031C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628DADA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4F80513">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D66FED5">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BEC27A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7D379A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795786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13767E7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3354EDE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475678A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4FDD3D4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02547D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1B124E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81D89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F23367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8312326">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AB7958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6C486CB9">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.1代理服务收取标准详见“供应商须知前附表”，供应商为联合体的，可以由联合体中的一方或者多方共同交纳代理服务费：</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9C9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F93BDA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35D092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4103BAE1">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509B91E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519A98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20B3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3C02DEE">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7CA7EC6A">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423C297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51C1243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0A3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D9FEFC1">
            <w:pPr>
              <w:spacing w:line="360" w:lineRule="auto"/>
              <w:rPr>
                <w:rFonts w:ascii="宋体" w:hAnsi="宋体" w:cs="宋体"/>
                <w:color w:val="auto"/>
                <w:szCs w:val="21"/>
                <w:highlight w:val="none"/>
              </w:rPr>
            </w:pPr>
            <w:r>
              <w:rPr>
                <w:rFonts w:hint="eastAsia" w:ascii="宋体" w:hAnsi="宋体" w:cs="宋体"/>
                <w:color w:val="auto"/>
                <w:szCs w:val="21"/>
                <w:highlight w:val="none"/>
              </w:rPr>
              <w:t>100万～500万元</w:t>
            </w:r>
          </w:p>
        </w:tc>
        <w:tc>
          <w:tcPr>
            <w:tcW w:w="1659" w:type="dxa"/>
            <w:noWrap w:val="0"/>
            <w:vAlign w:val="top"/>
          </w:tcPr>
          <w:p w14:paraId="1347103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4AC58D2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2267F61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439B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4F0FC59">
            <w:pPr>
              <w:spacing w:line="360" w:lineRule="auto"/>
              <w:rPr>
                <w:rFonts w:ascii="宋体" w:hAnsi="宋体" w:cs="宋体"/>
                <w:color w:val="auto"/>
                <w:szCs w:val="21"/>
                <w:highlight w:val="none"/>
              </w:rPr>
            </w:pPr>
            <w:r>
              <w:rPr>
                <w:rFonts w:hint="eastAsia" w:ascii="宋体" w:hAnsi="宋体" w:cs="宋体"/>
                <w:color w:val="auto"/>
                <w:szCs w:val="21"/>
                <w:highlight w:val="none"/>
              </w:rPr>
              <w:t>500万～1000万元</w:t>
            </w:r>
          </w:p>
        </w:tc>
        <w:tc>
          <w:tcPr>
            <w:tcW w:w="1659" w:type="dxa"/>
            <w:noWrap w:val="0"/>
            <w:vAlign w:val="top"/>
          </w:tcPr>
          <w:p w14:paraId="1D59DA73">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632A00E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51BE522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192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421072F">
            <w:pPr>
              <w:spacing w:line="360" w:lineRule="auto"/>
              <w:rPr>
                <w:rFonts w:ascii="宋体" w:hAnsi="宋体" w:cs="宋体"/>
                <w:color w:val="auto"/>
                <w:szCs w:val="21"/>
                <w:highlight w:val="none"/>
              </w:rPr>
            </w:pPr>
            <w:r>
              <w:rPr>
                <w:rFonts w:hint="eastAsia" w:ascii="宋体" w:hAnsi="宋体" w:cs="宋体"/>
                <w:color w:val="auto"/>
                <w:szCs w:val="21"/>
                <w:highlight w:val="none"/>
              </w:rPr>
              <w:t>1000万～5000万元</w:t>
            </w:r>
          </w:p>
        </w:tc>
        <w:tc>
          <w:tcPr>
            <w:tcW w:w="1659" w:type="dxa"/>
            <w:noWrap w:val="0"/>
            <w:vAlign w:val="top"/>
          </w:tcPr>
          <w:p w14:paraId="262953B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5E0AA28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7B00E18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2C64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6D82CDC">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7863624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5711355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3059CB6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3816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DFF96B">
            <w:pPr>
              <w:spacing w:line="360" w:lineRule="auto"/>
              <w:rPr>
                <w:rFonts w:ascii="宋体" w:hAnsi="宋体" w:cs="宋体"/>
                <w:color w:val="auto"/>
                <w:szCs w:val="21"/>
                <w:highlight w:val="none"/>
              </w:rPr>
            </w:pPr>
            <w:r>
              <w:rPr>
                <w:rFonts w:hint="eastAsia" w:ascii="宋体" w:hAnsi="宋体" w:cs="宋体"/>
                <w:color w:val="auto"/>
                <w:szCs w:val="21"/>
                <w:highlight w:val="none"/>
              </w:rPr>
              <w:t>1亿～5亿元</w:t>
            </w:r>
          </w:p>
        </w:tc>
        <w:tc>
          <w:tcPr>
            <w:tcW w:w="1659" w:type="dxa"/>
            <w:noWrap w:val="0"/>
            <w:vAlign w:val="top"/>
          </w:tcPr>
          <w:p w14:paraId="7A44736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2EB32C7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264D311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41A4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3C84BD1">
            <w:pPr>
              <w:spacing w:line="360" w:lineRule="auto"/>
              <w:rPr>
                <w:rFonts w:ascii="宋体" w:hAnsi="宋体" w:cs="宋体"/>
                <w:color w:val="auto"/>
                <w:szCs w:val="21"/>
                <w:highlight w:val="none"/>
              </w:rPr>
            </w:pPr>
            <w:r>
              <w:rPr>
                <w:rFonts w:hint="eastAsia" w:ascii="宋体" w:hAnsi="宋体" w:cs="宋体"/>
                <w:color w:val="auto"/>
                <w:szCs w:val="21"/>
                <w:highlight w:val="none"/>
              </w:rPr>
              <w:t>5亿～10亿元</w:t>
            </w:r>
          </w:p>
        </w:tc>
        <w:tc>
          <w:tcPr>
            <w:tcW w:w="1659" w:type="dxa"/>
            <w:noWrap w:val="0"/>
            <w:vAlign w:val="top"/>
          </w:tcPr>
          <w:p w14:paraId="7E81ACE3">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6985347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58E32CBF">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6CFC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1A4BECB">
            <w:pPr>
              <w:spacing w:line="360" w:lineRule="auto"/>
              <w:rPr>
                <w:rFonts w:ascii="宋体" w:hAnsi="宋体" w:cs="宋体"/>
                <w:color w:val="auto"/>
                <w:szCs w:val="21"/>
                <w:highlight w:val="none"/>
              </w:rPr>
            </w:pPr>
            <w:r>
              <w:rPr>
                <w:rFonts w:hint="eastAsia" w:ascii="宋体" w:hAnsi="宋体" w:cs="宋体"/>
                <w:color w:val="auto"/>
                <w:szCs w:val="21"/>
                <w:highlight w:val="none"/>
              </w:rPr>
              <w:t>10亿～50亿元</w:t>
            </w:r>
          </w:p>
        </w:tc>
        <w:tc>
          <w:tcPr>
            <w:tcW w:w="1659" w:type="dxa"/>
            <w:noWrap w:val="0"/>
            <w:vAlign w:val="top"/>
          </w:tcPr>
          <w:p w14:paraId="7B216959">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47B2E10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5368AAF3">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2940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A5BBD37">
            <w:pPr>
              <w:spacing w:line="360" w:lineRule="auto"/>
              <w:rPr>
                <w:rFonts w:ascii="宋体" w:hAnsi="宋体" w:cs="宋体"/>
                <w:color w:val="auto"/>
                <w:szCs w:val="21"/>
                <w:highlight w:val="none"/>
              </w:rPr>
            </w:pPr>
            <w:r>
              <w:rPr>
                <w:rFonts w:hint="eastAsia" w:ascii="宋体" w:hAnsi="宋体" w:cs="宋体"/>
                <w:color w:val="auto"/>
                <w:szCs w:val="21"/>
                <w:highlight w:val="none"/>
              </w:rPr>
              <w:t>50亿～100亿元</w:t>
            </w:r>
          </w:p>
        </w:tc>
        <w:tc>
          <w:tcPr>
            <w:tcW w:w="1659" w:type="dxa"/>
            <w:noWrap w:val="0"/>
            <w:vAlign w:val="top"/>
          </w:tcPr>
          <w:p w14:paraId="17BBDE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1D54CB2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4E21D50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4679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E5180F3">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729F3B3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6B7EE9A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7E148318">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11EDB129">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xml:space="preserve">注： </w:t>
      </w:r>
    </w:p>
    <w:p w14:paraId="2F82D34D">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3D906A31">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2459D955">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货物采购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7D82676E">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100 万元 ×l.5 %＝ 1.5 万元</w:t>
      </w:r>
    </w:p>
    <w:p w14:paraId="565648AB">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 150 － 100 ）万元 ×1.1%＝ 0.55 万元</w:t>
      </w:r>
    </w:p>
    <w:p w14:paraId="49397856">
      <w:pPr>
        <w:spacing w:line="360" w:lineRule="auto"/>
        <w:ind w:firstLine="420" w:firstLineChars="200"/>
        <w:contextualSpacing/>
        <w:rPr>
          <w:rFonts w:ascii="宋体" w:hAnsi="宋体" w:cs="宋体"/>
          <w:color w:val="auto"/>
          <w:highlight w:val="none"/>
        </w:rPr>
      </w:pPr>
      <w:r>
        <w:rPr>
          <w:rFonts w:ascii="宋体" w:hAnsi="宋体" w:cs="宋体"/>
          <w:color w:val="auto"/>
          <w:highlight w:val="none"/>
        </w:rPr>
        <w:t>合计收费＝ 1.5 ＋ 0.55＝ 2.05 （万元）</w:t>
      </w:r>
    </w:p>
    <w:p w14:paraId="45F9A8CF">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3684C8A3">
      <w:pPr>
        <w:pStyle w:val="12"/>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7D687B6C">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 xml:space="preserve"> 其他事</w:t>
      </w:r>
      <w:r>
        <w:rPr>
          <w:rFonts w:hint="eastAsia" w:hAnsi="宋体"/>
          <w:color w:val="auto"/>
          <w:highlight w:val="none"/>
        </w:rPr>
        <w:t>项详见“供应商须知前附表”。</w:t>
      </w:r>
    </w:p>
    <w:p w14:paraId="3447E34D">
      <w:pPr>
        <w:pStyle w:val="12"/>
        <w:spacing w:line="360" w:lineRule="auto"/>
        <w:ind w:firstLine="400" w:firstLineChars="200"/>
        <w:contextualSpacing/>
        <w:rPr>
          <w:rFonts w:hint="eastAsia" w:hAnsi="宋体"/>
          <w:color w:val="auto"/>
          <w:sz w:val="21"/>
          <w:highlight w:val="none"/>
        </w:rPr>
      </w:pPr>
      <w:r>
        <w:rPr>
          <w:rFonts w:hint="eastAsia" w:hAnsi="宋体"/>
          <w:color w:val="auto"/>
          <w:highlight w:val="none"/>
        </w:rPr>
        <w:t>3</w:t>
      </w:r>
      <w:r>
        <w:rPr>
          <w:rFonts w:hAnsi="宋体"/>
          <w:color w:val="auto"/>
          <w:highlight w:val="none"/>
        </w:rPr>
        <w:t>3.3</w:t>
      </w:r>
      <w:bookmarkStart w:id="74"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35C5B7CA">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C9B2442">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4AFF15E7">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26F778C">
      <w:pPr>
        <w:pStyle w:val="12"/>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66A8280F">
      <w:pPr>
        <w:spacing w:line="360" w:lineRule="auto"/>
        <w:ind w:firstLine="420" w:firstLineChars="200"/>
        <w:contextualSpacing/>
        <w:rPr>
          <w:rFonts w:hint="eastAsia" w:ascii="宋体" w:hAnsi="宋体" w:cs="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74"/>
    </w:p>
    <w:p w14:paraId="7644FFD3">
      <w:pPr>
        <w:pStyle w:val="9"/>
        <w:ind w:left="1" w:firstLine="3" w:firstLineChars="1"/>
        <w:rPr>
          <w:rFonts w:hint="eastAsia" w:ascii="宋体"/>
          <w:b/>
          <w:bCs/>
          <w:color w:val="auto"/>
          <w:sz w:val="18"/>
          <w:szCs w:val="18"/>
          <w:highlight w:val="none"/>
        </w:rPr>
      </w:pPr>
      <w:r>
        <w:rPr>
          <w:rFonts w:ascii="黑体" w:hAnsi="黑体" w:eastAsia="黑体" w:cs="黑体"/>
          <w:bCs/>
          <w:color w:val="auto"/>
          <w:sz w:val="32"/>
          <w:szCs w:val="32"/>
          <w:highlight w:val="none"/>
        </w:rPr>
        <w:br w:type="page"/>
      </w:r>
    </w:p>
    <w:p w14:paraId="2D7F8725">
      <w:pPr>
        <w:pStyle w:val="12"/>
        <w:snapToGrid w:val="0"/>
        <w:spacing w:before="120" w:after="120"/>
        <w:rPr>
          <w:rFonts w:hint="eastAsia" w:hAnsi="宋体"/>
          <w:color w:val="auto"/>
          <w:highlight w:val="none"/>
        </w:rPr>
      </w:pPr>
    </w:p>
    <w:p w14:paraId="11CAD6B4">
      <w:pPr>
        <w:jc w:val="left"/>
        <w:rPr>
          <w:rFonts w:hint="eastAsia" w:hAnsi="宋体"/>
          <w:b/>
          <w:color w:val="auto"/>
          <w:sz w:val="32"/>
          <w:szCs w:val="32"/>
          <w:highlight w:val="none"/>
        </w:rPr>
      </w:pPr>
    </w:p>
    <w:p w14:paraId="6FD3411D">
      <w:pPr>
        <w:pStyle w:val="2"/>
        <w:jc w:val="center"/>
        <w:rPr>
          <w:rFonts w:hint="eastAsia"/>
          <w:color w:val="auto"/>
          <w:highlight w:val="none"/>
        </w:rPr>
      </w:pPr>
      <w:bookmarkStart w:id="75" w:name="_Toc74322010"/>
      <w:r>
        <w:rPr>
          <w:rFonts w:hint="eastAsia"/>
          <w:color w:val="auto"/>
          <w:highlight w:val="none"/>
        </w:rPr>
        <w:t>第三章 采购需求</w:t>
      </w:r>
      <w:bookmarkEnd w:id="75"/>
    </w:p>
    <w:p w14:paraId="03E0CDB9">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79A9D235">
      <w:pPr>
        <w:spacing w:line="440" w:lineRule="exact"/>
        <w:jc w:val="left"/>
        <w:rPr>
          <w:rFonts w:hint="eastAsia" w:ascii="宋体" w:hAnsi="宋体" w:cs="宋体"/>
          <w:color w:val="auto"/>
          <w:szCs w:val="21"/>
          <w:highlight w:val="none"/>
        </w:rPr>
      </w:pPr>
    </w:p>
    <w:p w14:paraId="15F4188E">
      <w:pPr>
        <w:spacing w:line="360" w:lineRule="auto"/>
        <w:jc w:val="left"/>
        <w:rPr>
          <w:color w:val="auto"/>
          <w:highlight w:val="none"/>
        </w:rPr>
      </w:pPr>
      <w:r>
        <w:rPr>
          <w:rFonts w:hint="eastAsia" w:ascii="宋体" w:hAnsi="宋体" w:cs="宋体"/>
          <w:color w:val="auto"/>
          <w:szCs w:val="21"/>
          <w:highlight w:val="none"/>
        </w:rPr>
        <w:t>说明：</w:t>
      </w:r>
    </w:p>
    <w:p w14:paraId="17F80854">
      <w:pPr>
        <w:spacing w:line="360" w:lineRule="auto"/>
        <w:ind w:firstLine="420" w:firstLineChars="200"/>
        <w:jc w:val="left"/>
        <w:rPr>
          <w:rFonts w:hint="eastAsia" w:ascii="宋体" w:hAnsi="宋体" w:cs="宋体"/>
          <w:color w:val="auto"/>
          <w:szCs w:val="21"/>
          <w:highlight w:val="none"/>
        </w:rPr>
      </w:pPr>
      <w:r>
        <w:rPr>
          <w:rFonts w:hint="eastAsia"/>
          <w:color w:val="auto"/>
          <w:highlight w:val="none"/>
        </w:rPr>
        <w:t>1. 为落实政府采购政策需满足的要求</w:t>
      </w:r>
      <w:r>
        <w:rPr>
          <w:rFonts w:hint="eastAsia"/>
          <w:color w:val="auto"/>
          <w:highlight w:val="none"/>
          <w:lang w:eastAsia="zh-CN"/>
        </w:rPr>
        <w:t>：</w:t>
      </w:r>
      <w:r>
        <w:rPr>
          <w:rFonts w:hint="eastAsia" w:ascii="宋体" w:hAnsi="宋体" w:cs="宋体"/>
          <w:color w:val="auto"/>
          <w:szCs w:val="21"/>
          <w:highlight w:val="none"/>
        </w:rPr>
        <w:t>本竞争性谈判采购文件所称中小企业必须符合《政府采购促进中小企业发展管理办法》（财库〔2020〕46号）的规定。</w:t>
      </w:r>
    </w:p>
    <w:p w14:paraId="358816F7">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szCs w:val="21"/>
          <w:highlight w:val="none"/>
        </w:rPr>
        <w:t>2. “实质性要求”是指采购需求中带“▲”的条款或者不能负偏离的条款或者已经指明不满足按响应文件按无效处理的条款。</w:t>
      </w:r>
    </w:p>
    <w:p w14:paraId="63ACE39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w:t>
      </w:r>
      <w:r>
        <w:rPr>
          <w:rFonts w:hint="eastAsia" w:ascii="宋体" w:hAnsi="宋体" w:cs="宋体"/>
          <w:color w:val="auto"/>
          <w:szCs w:val="21"/>
          <w:highlight w:val="none"/>
        </w:rPr>
        <w:t>商的情形。供应商可参照或者选用其他相当的品牌、型号或者生产供应商替代。</w:t>
      </w:r>
    </w:p>
    <w:p w14:paraId="6F5CD61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 供应商应根据自身实际情况如实响应谈判文件，对谈判文件提出的要求和条件作出明确响应，</w:t>
      </w:r>
      <w:r>
        <w:rPr>
          <w:rFonts w:hint="eastAsia" w:ascii="宋体" w:hAnsi="宋体" w:cs="宋体"/>
          <w:b/>
          <w:bCs/>
          <w:color w:val="auto"/>
          <w:szCs w:val="21"/>
          <w:highlight w:val="none"/>
        </w:rPr>
        <w:t>否则将作无效响应处理</w:t>
      </w:r>
      <w:r>
        <w:rPr>
          <w:rFonts w:hint="eastAsia" w:ascii="宋体" w:hAnsi="宋体" w:cs="宋体"/>
          <w:color w:val="auto"/>
          <w:szCs w:val="21"/>
          <w:highlight w:val="none"/>
        </w:rPr>
        <w:t>。对于重要技术条款或技术参数应当在响应文件中提供技术支持资料，技术支持资料以谈判文件中规定的形式为准，否则将视为无效技术支持资料。</w:t>
      </w:r>
    </w:p>
    <w:p w14:paraId="35529867">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5.</w:t>
      </w:r>
      <w:r>
        <w:rPr>
          <w:rFonts w:hint="eastAsia"/>
          <w:color w:val="auto"/>
          <w:highlight w:val="none"/>
        </w:rPr>
        <w:t>供应商必须自行为其竞标产品侵犯他人的知识产权或者专利成果的行为承担相应法律责任。</w:t>
      </w:r>
    </w:p>
    <w:p w14:paraId="308E0E46">
      <w:pPr>
        <w:spacing w:line="360" w:lineRule="auto"/>
        <w:ind w:firstLine="420" w:firstLineChars="200"/>
        <w:jc w:val="left"/>
        <w:rPr>
          <w:rFonts w:ascii="宋体" w:hAnsi="宋体" w:cs="Arial"/>
          <w:bCs/>
          <w:color w:val="auto"/>
          <w:szCs w:val="21"/>
          <w:highlight w:val="none"/>
          <w:u w:val="single"/>
        </w:rPr>
      </w:pPr>
      <w:bookmarkStart w:id="76" w:name="_Hlk48036094"/>
      <w:r>
        <w:rPr>
          <w:rFonts w:hint="eastAsia" w:ascii="宋体" w:hAnsi="宋体" w:eastAsia="宋体" w:cs="宋体"/>
          <w:color w:val="auto"/>
          <w:sz w:val="21"/>
          <w:szCs w:val="21"/>
          <w:highlight w:val="none"/>
          <w:lang w:val="en-US" w:eastAsia="zh-CN"/>
        </w:rPr>
        <w:t>6.所属行业依照《中小企业划型标准规定》（工信部联企业〔2011〕300号）及《国民经济行业分类》（GB/T4754-2017）的有关规定执行。</w:t>
      </w:r>
      <w:r>
        <w:rPr>
          <w:rFonts w:hint="eastAsia" w:ascii="宋体" w:hAnsi="宋体" w:eastAsia="宋体" w:cs="宋体"/>
          <w:b/>
          <w:bCs/>
          <w:color w:val="auto"/>
          <w:sz w:val="21"/>
          <w:szCs w:val="21"/>
          <w:highlight w:val="none"/>
          <w:lang w:val="en-US" w:eastAsia="zh-CN"/>
        </w:rPr>
        <w:t>本项目标的所属行业为“工业”。</w:t>
      </w:r>
    </w:p>
    <w:p w14:paraId="2F60DB1A">
      <w:pPr>
        <w:spacing w:line="360" w:lineRule="auto"/>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7.</w:t>
      </w:r>
      <w:r>
        <w:rPr>
          <w:rFonts w:hint="eastAsia" w:ascii="宋体" w:hAnsi="宋体" w:cs="宋体"/>
          <w:b/>
          <w:bCs/>
          <w:color w:val="auto"/>
          <w:szCs w:val="21"/>
          <w:highlight w:val="none"/>
        </w:rPr>
        <w:t>带“▲”的条款</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须在响应文件中提供相关证明材料（</w:t>
      </w:r>
      <w:r>
        <w:rPr>
          <w:rFonts w:hint="eastAsia" w:ascii="宋体" w:hAnsi="宋体" w:cs="宋体"/>
          <w:b/>
          <w:bCs/>
          <w:color w:val="auto"/>
          <w:sz w:val="21"/>
          <w:szCs w:val="21"/>
          <w:highlight w:val="none"/>
          <w:lang w:val="en-US" w:eastAsia="zh-CN"/>
        </w:rPr>
        <w:t>证明材料包括但不限于彩页、官网和功能截图等），否则</w:t>
      </w:r>
      <w:r>
        <w:rPr>
          <w:rFonts w:hint="eastAsia" w:ascii="宋体" w:hAnsi="宋体" w:cs="宋体"/>
          <w:b/>
          <w:bCs/>
          <w:color w:val="auto"/>
          <w:szCs w:val="21"/>
          <w:highlight w:val="none"/>
        </w:rPr>
        <w:t>响应文件按无效处理</w:t>
      </w:r>
      <w:r>
        <w:rPr>
          <w:rFonts w:hint="eastAsia" w:ascii="宋体" w:hAnsi="宋体" w:cs="宋体"/>
          <w:b/>
          <w:bCs/>
          <w:color w:val="auto"/>
          <w:szCs w:val="21"/>
          <w:highlight w:val="none"/>
          <w:lang w:eastAsia="zh-CN"/>
        </w:rPr>
        <w:t>。</w:t>
      </w:r>
    </w:p>
    <w:p w14:paraId="389C9068">
      <w:pPr>
        <w:spacing w:line="360" w:lineRule="auto"/>
        <w:ind w:firstLine="308" w:firstLineChars="147"/>
        <w:jc w:val="left"/>
        <w:rPr>
          <w:rFonts w:hint="eastAsia" w:ascii="宋体" w:hAnsi="宋体" w:cs="Arial"/>
          <w:bCs/>
          <w:color w:val="auto"/>
          <w:szCs w:val="21"/>
          <w:highlight w:val="none"/>
          <w:u w:val="single"/>
        </w:rPr>
      </w:pPr>
      <w:r>
        <w:rPr>
          <w:rFonts w:hint="eastAsia" w:ascii="宋体" w:hAnsi="宋体" w:cs="Arial"/>
          <w:bCs/>
          <w:color w:val="auto"/>
          <w:szCs w:val="21"/>
          <w:highlight w:val="none"/>
          <w:u w:val="single"/>
          <w:lang w:val="en-US" w:eastAsia="zh-CN"/>
        </w:rPr>
        <w:t>1</w:t>
      </w:r>
      <w:r>
        <w:rPr>
          <w:rFonts w:hint="eastAsia" w:ascii="宋体" w:hAnsi="宋体" w:cs="Arial"/>
          <w:bCs/>
          <w:color w:val="auto"/>
          <w:szCs w:val="21"/>
          <w:highlight w:val="none"/>
          <w:u w:val="single"/>
        </w:rPr>
        <w:t xml:space="preserve">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lang w:val="en-US" w:eastAsia="zh-CN"/>
        </w:rPr>
        <w:t>1900000.00元</w:t>
      </w:r>
      <w:r>
        <w:rPr>
          <w:rFonts w:hint="eastAsia" w:ascii="宋体" w:hAnsi="宋体" w:cs="Arial"/>
          <w:bCs/>
          <w:color w:val="auto"/>
          <w:szCs w:val="21"/>
          <w:highlight w:val="none"/>
          <w:u w:val="single"/>
        </w:rPr>
        <w:t xml:space="preserve"> </w:t>
      </w:r>
    </w:p>
    <w:p w14:paraId="75E8BDC0">
      <w:pPr>
        <w:spacing w:line="360" w:lineRule="auto"/>
        <w:ind w:firstLine="310" w:firstLineChars="147"/>
        <w:jc w:val="left"/>
        <w:rPr>
          <w:rFonts w:hint="eastAsia" w:ascii="宋体" w:hAnsi="宋体"/>
          <w:b/>
          <w:color w:val="auto"/>
          <w:szCs w:val="21"/>
          <w:highlight w:val="none"/>
        </w:rPr>
      </w:pPr>
    </w:p>
    <w:bookmarkEnd w:id="76"/>
    <w:tbl>
      <w:tblPr>
        <w:tblStyle w:val="23"/>
        <w:tblW w:w="89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4"/>
        <w:gridCol w:w="1057"/>
        <w:gridCol w:w="662"/>
        <w:gridCol w:w="191"/>
        <w:gridCol w:w="6600"/>
      </w:tblGrid>
      <w:tr w14:paraId="09D17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34" w:type="dxa"/>
            <w:vAlign w:val="center"/>
          </w:tcPr>
          <w:p w14:paraId="2D26EE6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57" w:type="dxa"/>
            <w:vAlign w:val="center"/>
          </w:tcPr>
          <w:p w14:paraId="3343ED46">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标的的</w:t>
            </w:r>
          </w:p>
          <w:p w14:paraId="0FC2377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853" w:type="dxa"/>
            <w:gridSpan w:val="2"/>
            <w:vAlign w:val="center"/>
          </w:tcPr>
          <w:p w14:paraId="240B902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6600" w:type="dxa"/>
            <w:vAlign w:val="center"/>
          </w:tcPr>
          <w:p w14:paraId="205C8C2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w:t>
            </w:r>
            <w:r>
              <w:rPr>
                <w:rFonts w:hint="eastAsia" w:ascii="宋体" w:hAnsi="宋体" w:eastAsia="宋体" w:cs="宋体"/>
                <w:b/>
                <w:bCs/>
                <w:color w:val="auto"/>
                <w:sz w:val="21"/>
                <w:szCs w:val="21"/>
                <w:highlight w:val="none"/>
                <w:lang w:val="en-US" w:eastAsia="zh-CN"/>
              </w:rPr>
              <w:t>要</w:t>
            </w:r>
            <w:r>
              <w:rPr>
                <w:rFonts w:hint="eastAsia" w:ascii="宋体" w:hAnsi="宋体" w:eastAsia="宋体" w:cs="宋体"/>
                <w:b/>
                <w:bCs/>
                <w:color w:val="auto"/>
                <w:sz w:val="21"/>
                <w:szCs w:val="21"/>
                <w:highlight w:val="none"/>
              </w:rPr>
              <w:t>求</w:t>
            </w:r>
          </w:p>
        </w:tc>
      </w:tr>
      <w:tr w14:paraId="59BE7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34" w:type="dxa"/>
            <w:vAlign w:val="center"/>
          </w:tcPr>
          <w:p w14:paraId="3692D66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57" w:type="dxa"/>
            <w:vAlign w:val="center"/>
          </w:tcPr>
          <w:p w14:paraId="789BF737">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高端智能重症救护综合模拟人</w:t>
            </w:r>
          </w:p>
        </w:tc>
        <w:tc>
          <w:tcPr>
            <w:tcW w:w="853" w:type="dxa"/>
            <w:gridSpan w:val="2"/>
            <w:vAlign w:val="center"/>
          </w:tcPr>
          <w:p w14:paraId="14B95010">
            <w:pPr>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1套</w:t>
            </w:r>
          </w:p>
        </w:tc>
        <w:tc>
          <w:tcPr>
            <w:tcW w:w="6600" w:type="dxa"/>
            <w:vAlign w:val="center"/>
          </w:tcPr>
          <w:p w14:paraId="15B13DC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1.整体特征</w:t>
            </w:r>
          </w:p>
          <w:p w14:paraId="2BA5D665">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▲1.1各功能模块可通过无线系统与模拟人连接。</w:t>
            </w:r>
          </w:p>
          <w:p w14:paraId="544163CF">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▲1.2成年人体格外观。</w:t>
            </w:r>
          </w:p>
          <w:p w14:paraId="3F1FBF3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1.3具有明显的胸部体表解剖学标志。</w:t>
            </w:r>
          </w:p>
          <w:p w14:paraId="514AA6C1">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1.4模拟人关节灵活，可以摆出各种常见姿势。</w:t>
            </w:r>
          </w:p>
          <w:p w14:paraId="6C189B63">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▲1.5模拟人设计精密，系统稳定，不需要定期进行设备校准，核心功能如分泌、瞳孔自动对光反射、药物识别、血压测量、血氧测量等均不需要定期校准。</w:t>
            </w:r>
          </w:p>
          <w:p w14:paraId="6B5AE8F9">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2.监护功能</w:t>
            </w:r>
          </w:p>
          <w:p w14:paraId="16E2746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▲2.1通过自身携带的监护仪显示各种监护波形和常数，可模拟连接监护导线后出现相应监护模型和监测参数。</w:t>
            </w:r>
          </w:p>
          <w:p w14:paraId="07F64C6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▲2.2可显示以下波形：心电图、SpO₂、动脉血压等。</w:t>
            </w:r>
          </w:p>
          <w:p w14:paraId="79EB593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监测并显示以下参数：心率、脉搏、血氧饱和度、无创血压、外周体温、体核体温、有创动脉血压、肺动脉压、肺毛压、CO₂、O₂、N2O、呼吸率、TOF（四个培训阶段）、CVP（中心静脉压）、AGT(麻醉剂)、心输出率、HAL、ISO、ENF、SEV、DES、颅内压。</w:t>
            </w:r>
          </w:p>
          <w:p w14:paraId="6B38497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2.4具有调节各种监测参数的报警上下限功能，并在参数超出设定好的上下限时发出报警声。</w:t>
            </w:r>
          </w:p>
          <w:p w14:paraId="3923193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2.5具有虚拟除颤监护仪功能。</w:t>
            </w:r>
          </w:p>
          <w:p w14:paraId="751F8A8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▲2.6可显示以下辅助诊断结果：X线片、实时12导联心电图、生化检验报告等。</w:t>
            </w:r>
          </w:p>
          <w:p w14:paraId="4122890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▲2.7可进行以下操作：</w:t>
            </w:r>
          </w:p>
          <w:p w14:paraId="0CB04C15">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1)可与临床使用的监护仪一样调节波形的增幅和速度。</w:t>
            </w:r>
          </w:p>
          <w:p w14:paraId="103A2B9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2)可与临床使用的监护仪一样调节各种监测参数的报警上下限，并在参数超出设定好的上下限时发出报警声。</w:t>
            </w:r>
          </w:p>
          <w:p w14:paraId="3FDF65B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3)生命体征的数值调节支持数值直接输入修改和鼠标滚轮滚动调节两种模式，满足临床上对于生命体征变化幅度大小的不同要求。</w:t>
            </w:r>
          </w:p>
          <w:p w14:paraId="47C12C2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▲2.8系统须带有二百张以上的X线片，导师也可以再自行导入JPEG格式的X线片图。</w:t>
            </w:r>
          </w:p>
          <w:p w14:paraId="2B2A68C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▲2.9操作软件具有虚拟除颤监护仪功能：</w:t>
            </w:r>
          </w:p>
          <w:p w14:paraId="629CCB9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自动除颤和手动除颤两种模式。手动除颤模式可调节电量，手动充电和放电。自动除颤模式能够自动感应模拟人心律，判断是否需要除颤，并给出明确的语音指导施救者的操作，每2分钟分析心律，同时除颤监护仪会持续监护并显示病人的心电。</w:t>
            </w:r>
          </w:p>
          <w:p w14:paraId="291786C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2)具备节拍器功能，可选择打开或关闭。</w:t>
            </w:r>
          </w:p>
          <w:p w14:paraId="2621682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3)提供起搏器控制选项，可设置起伏器模式、心率及起搏电流输出电量。</w:t>
            </w:r>
          </w:p>
          <w:p w14:paraId="2F4C048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4)虚拟自除颤监护仪可与模拟人监护仪同屏显示，不需要额外的显示器。</w:t>
            </w:r>
          </w:p>
          <w:p w14:paraId="345013B1">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5)虚拟除颤监护仪除颤放电后能对模拟人产生效果，病情会根据病例设定自动发生变化，除颤放电操作、电击能量等会自动记录在模拟人的评估报告系统中。</w:t>
            </w:r>
          </w:p>
          <w:p w14:paraId="36174C1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2.10操作软件具有虚拟自动体外除颤仪（AED）功能：</w:t>
            </w:r>
          </w:p>
          <w:p w14:paraId="5DCE793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1)模拟真实AED的操作面板和语音提示。</w:t>
            </w:r>
          </w:p>
          <w:p w14:paraId="327BBDB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2)可执行开机、连接电极片、电击等操作，每2分钟自动分析心律。</w:t>
            </w:r>
          </w:p>
          <w:p w14:paraId="79AD44A3">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▲3)能够自动感应模拟人心律，判断是否需要除颤，并给出明确的语音指导。</w:t>
            </w:r>
          </w:p>
          <w:p w14:paraId="3CF1843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4)具备节拍器功能，可选择打开或关闭。</w:t>
            </w:r>
          </w:p>
          <w:p w14:paraId="1F782CD3">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▲5)除颤放电后能对模拟人产生效果，病情会根据病例设定自动发生变化。接上除颤器电极片，除颤放电等操作会自动记录在模拟人的评估报告系统中。</w:t>
            </w:r>
          </w:p>
          <w:p w14:paraId="5E2B4E8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3.气道功能     </w:t>
            </w:r>
          </w:p>
          <w:p w14:paraId="4B6E9F43">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3.1具备手动或自动气道开放、关闭可控功能。</w:t>
            </w:r>
          </w:p>
          <w:p w14:paraId="0B9A789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▲3.2支持仰头举颏、推举下颚等方式开放气道，开放气道自动反馈并自动记录。</w:t>
            </w:r>
          </w:p>
          <w:p w14:paraId="44720FE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3.3可用临床使用的负压吸引装置进行吸引。</w:t>
            </w:r>
          </w:p>
          <w:p w14:paraId="1578B29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▲3.4具备面罩通气功能 。</w:t>
            </w:r>
          </w:p>
          <w:p w14:paraId="2B7E348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▲3.5具备气管插管功能。</w:t>
            </w:r>
          </w:p>
          <w:p w14:paraId="6C4090C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▲3.6具备鼻胃管插管功能。</w:t>
            </w:r>
          </w:p>
          <w:p w14:paraId="1BA4BC5F">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▲3.7具备使用喉罩通气及其他气道装置功能。</w:t>
            </w:r>
          </w:p>
          <w:p w14:paraId="6520C26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▲3.8具备逆行插管功能。</w:t>
            </w:r>
          </w:p>
          <w:p w14:paraId="2F16AD7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▲3.9具备纤维支气管镜插管功能。</w:t>
            </w:r>
          </w:p>
          <w:p w14:paraId="39502A4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3.10具备进行环甲膜穿刺和外科环甲膜切开术训练功能。</w:t>
            </w:r>
          </w:p>
          <w:p w14:paraId="32657795">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3.11具备正确头部位置的监测功能。</w:t>
            </w:r>
          </w:p>
          <w:p w14:paraId="3DD04F3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3.12具有模拟多种困难气道功能。</w:t>
            </w:r>
          </w:p>
          <w:p w14:paraId="66384F6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4.呼吸系统                                                         </w:t>
            </w:r>
          </w:p>
          <w:p w14:paraId="42E015C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▲4.1模拟人具备内置呼吸系统，连接临床呼吸机可实现自主呼吸，呼吸时胸部起伏，呼吸频率可调节。</w:t>
            </w:r>
          </w:p>
          <w:p w14:paraId="71104F5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▲4.2胸部有呼吸音听诊区，可模拟正常或不正常的呼吸音。</w:t>
            </w:r>
          </w:p>
          <w:p w14:paraId="337AFFD9">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5.心脏特征</w:t>
            </w:r>
          </w:p>
          <w:p w14:paraId="1B7B4113">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▲5.1具有正常人相一致的4个心脏听诊区 ；各心脏听诊区的声音可独立调节。可进行心音听诊训练：包括正常第一、第二心音、各种病理性杂音（主动脉狭窄、奥斯汀.弗林特杂音、二尖瓣脱垂、收缩期杂音、舒张期杂音、左房室瓣狭窄开瓣锐声、低沉杂音、室间隔缺损、房间隔缺、主动脉瓣狭窄、全收缩期杂音、早期收缩期杂音）、奔马律、心包摩擦音等。</w:t>
            </w:r>
          </w:p>
          <w:p w14:paraId="37AB7B61">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▲5.2可进行4导联心电图监护。</w:t>
            </w:r>
          </w:p>
          <w:p w14:paraId="5BCC616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5.3可在监护仪上实时显示十二导联心电图。</w:t>
            </w:r>
          </w:p>
          <w:p w14:paraId="3AB6F2F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▲5.4具有除颤起搏功能。模拟人根据受到的治疗做出对应的生理反应。</w:t>
            </w:r>
          </w:p>
          <w:p w14:paraId="59D019F9">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6.循环系统特征</w:t>
            </w:r>
          </w:p>
          <w:p w14:paraId="61AC1C1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▲6.1具有血压测量功能。</w:t>
            </w:r>
          </w:p>
          <w:p w14:paraId="78D801AF">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▲6.2具备模拟多种动脉搏动功能并产生相应记录。</w:t>
            </w:r>
          </w:p>
          <w:p w14:paraId="56A5D76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6.3具有模拟不同程度的口唇紫绀功能。</w:t>
            </w:r>
          </w:p>
          <w:p w14:paraId="28587A6D">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7.具有静脉穿刺功能</w:t>
            </w:r>
          </w:p>
          <w:p w14:paraId="495F60B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8.模拟人具有自动识别大于30种药物以上的功能，根据药物可做出对应的药物反应。</w:t>
            </w:r>
          </w:p>
          <w:p w14:paraId="7B735B05">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9.CPR和AED</w:t>
            </w:r>
          </w:p>
          <w:p w14:paraId="54349210">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9.1心肺复苏及心血管急救符合心脏协会2020指南。</w:t>
            </w:r>
          </w:p>
          <w:p w14:paraId="584DF96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9.2具有实时反馈心肺复苏质量的功能，包括但不限于按压深度、按压频率、按压手位信息、按压回弹是否完全、通气潮气量、通气频率等。</w:t>
            </w:r>
          </w:p>
          <w:p w14:paraId="314954B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9.3具有出具CPR报告的功能。</w:t>
            </w:r>
          </w:p>
          <w:p w14:paraId="05E046DF">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▲9.4具有AED训练功能。</w:t>
            </w:r>
          </w:p>
          <w:p w14:paraId="1D5EDC8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10.模拟人操作软件</w:t>
            </w:r>
          </w:p>
          <w:p w14:paraId="154386F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10.1可实现人机对话功能。</w:t>
            </w:r>
          </w:p>
          <w:p w14:paraId="683BB8C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10.2系统具有两种以上的控制模式，包括但不限于手动和自动模式。</w:t>
            </w:r>
          </w:p>
          <w:p w14:paraId="0783249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11.神经系统</w:t>
            </w:r>
          </w:p>
          <w:p w14:paraId="5CEEB3E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11.1模拟人可眨眼。</w:t>
            </w:r>
          </w:p>
          <w:p w14:paraId="1C25D51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▲11.2瞳孔自动对光反射，可调同步或异步反射，自动对光反射功能设计精密，系统稳定，不需要进行校准，使用方便。</w:t>
            </w:r>
          </w:p>
          <w:p w14:paraId="7D4907F0">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11.3对光反射时可调正常及缓慢的反应速度，也可以设定为对光没有反应。</w:t>
            </w:r>
          </w:p>
          <w:p w14:paraId="1CD0548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12.分泌系统</w:t>
            </w:r>
          </w:p>
          <w:p w14:paraId="6F281248">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12.1具有分泌系统。可模拟包括流泪，流汗等功能。</w:t>
            </w:r>
          </w:p>
          <w:p w14:paraId="438F4A0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12.2具有模拟动静脉留血的功能。</w:t>
            </w:r>
          </w:p>
          <w:p w14:paraId="432CBAA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13.评估报告模块</w:t>
            </w:r>
          </w:p>
          <w:p w14:paraId="49632EC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13.1系统需有评估功能，并生成报告。</w:t>
            </w:r>
          </w:p>
          <w:p w14:paraId="460CEE0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▲13.2模拟人可以通过自身感应器自动生成日志记录。</w:t>
            </w:r>
          </w:p>
          <w:p w14:paraId="5984870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▲14.具有中文病例编辑功能，模拟人可按编辑的病例反馈出真实的反应。</w:t>
            </w:r>
          </w:p>
          <w:p w14:paraId="55CEFC1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15.配备不少于450个模拟教学案例。</w:t>
            </w:r>
          </w:p>
        </w:tc>
      </w:tr>
      <w:tr w14:paraId="355DD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944" w:type="dxa"/>
            <w:gridSpan w:val="5"/>
            <w:vAlign w:val="top"/>
          </w:tcPr>
          <w:p w14:paraId="24771172">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采购预算：</w:t>
            </w:r>
            <w:r>
              <w:rPr>
                <w:rFonts w:hint="eastAsia" w:ascii="宋体" w:hAnsi="宋体" w:eastAsia="宋体" w:cs="宋体"/>
                <w:color w:val="auto"/>
                <w:sz w:val="21"/>
                <w:szCs w:val="21"/>
                <w:highlight w:val="none"/>
                <w:lang w:val="en-US" w:eastAsia="zh-CN"/>
              </w:rPr>
              <w:t>190万元</w:t>
            </w:r>
          </w:p>
        </w:tc>
      </w:tr>
      <w:tr w14:paraId="47D8E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44" w:type="dxa"/>
            <w:gridSpan w:val="5"/>
            <w:tcBorders>
              <w:top w:val="single" w:color="auto" w:sz="4" w:space="0"/>
              <w:left w:val="single" w:color="auto" w:sz="4" w:space="0"/>
              <w:bottom w:val="single" w:color="auto" w:sz="4" w:space="0"/>
              <w:right w:val="single" w:color="auto" w:sz="4" w:space="0"/>
            </w:tcBorders>
            <w:vAlign w:val="center"/>
          </w:tcPr>
          <w:p w14:paraId="185CF04C">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▲一、商务要求</w:t>
            </w:r>
          </w:p>
        </w:tc>
      </w:tr>
      <w:tr w14:paraId="71B3D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7A031F7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合同履行期限和地点</w:t>
            </w:r>
          </w:p>
        </w:tc>
        <w:tc>
          <w:tcPr>
            <w:tcW w:w="6791" w:type="dxa"/>
            <w:gridSpan w:val="2"/>
            <w:tcBorders>
              <w:top w:val="single" w:color="auto" w:sz="4" w:space="0"/>
              <w:left w:val="single" w:color="auto" w:sz="4" w:space="0"/>
              <w:bottom w:val="single" w:color="auto" w:sz="4" w:space="0"/>
              <w:right w:val="single" w:color="auto" w:sz="4" w:space="0"/>
            </w:tcBorders>
            <w:vAlign w:val="center"/>
          </w:tcPr>
          <w:p w14:paraId="347BEB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1.合同履行期限：自合同签订之日起30天内，需完成全部货物的供货、安装调试，并通过最终验收合格后交付使用。</w:t>
            </w:r>
          </w:p>
          <w:p w14:paraId="2815CD0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lang w:eastAsia="zh-CN"/>
              </w:rPr>
              <w:t>梧州市</w:t>
            </w:r>
            <w:r>
              <w:rPr>
                <w:rFonts w:hint="eastAsia" w:ascii="宋体" w:hAnsi="宋体" w:eastAsia="宋体" w:cs="宋体"/>
                <w:color w:val="auto"/>
                <w:sz w:val="21"/>
                <w:szCs w:val="21"/>
                <w:highlight w:val="none"/>
                <w:lang w:val="en-US" w:eastAsia="zh-CN"/>
              </w:rPr>
              <w:t>采购人指定地点（梧州市红十字会医院）</w:t>
            </w:r>
            <w:r>
              <w:rPr>
                <w:rFonts w:hint="eastAsia" w:ascii="宋体" w:hAnsi="宋体" w:eastAsia="宋体" w:cs="宋体"/>
                <w:color w:val="auto"/>
                <w:sz w:val="21"/>
                <w:szCs w:val="21"/>
                <w:highlight w:val="none"/>
              </w:rPr>
              <w:t>。</w:t>
            </w:r>
          </w:p>
        </w:tc>
      </w:tr>
      <w:tr w14:paraId="4253E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10B0635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6791" w:type="dxa"/>
            <w:gridSpan w:val="2"/>
            <w:tcBorders>
              <w:top w:val="single" w:color="auto" w:sz="4" w:space="0"/>
              <w:left w:val="single" w:color="auto" w:sz="4" w:space="0"/>
              <w:bottom w:val="single" w:color="auto" w:sz="4" w:space="0"/>
              <w:right w:val="single" w:color="auto" w:sz="4" w:space="0"/>
            </w:tcBorders>
            <w:vAlign w:val="center"/>
          </w:tcPr>
          <w:p w14:paraId="1C142D5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自成交通知书发出之日起</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个日历日内</w:t>
            </w:r>
            <w:r>
              <w:rPr>
                <w:rFonts w:hint="eastAsia" w:ascii="宋体" w:hAnsi="宋体" w:eastAsia="宋体" w:cs="宋体"/>
                <w:color w:val="auto"/>
                <w:sz w:val="21"/>
                <w:szCs w:val="21"/>
                <w:highlight w:val="none"/>
              </w:rPr>
              <w:t>。</w:t>
            </w:r>
          </w:p>
        </w:tc>
      </w:tr>
      <w:tr w14:paraId="73C5D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19D1864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6791" w:type="dxa"/>
            <w:gridSpan w:val="2"/>
            <w:tcBorders>
              <w:top w:val="single" w:color="auto" w:sz="4" w:space="0"/>
              <w:left w:val="single" w:color="auto" w:sz="4" w:space="0"/>
              <w:bottom w:val="single" w:color="auto" w:sz="4" w:space="0"/>
              <w:right w:val="single" w:color="auto" w:sz="4" w:space="0"/>
            </w:tcBorders>
            <w:vAlign w:val="center"/>
          </w:tcPr>
          <w:p w14:paraId="45E5F3C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本合同采用分期付款方式结算，采购人核对发票无误后支付当期合同款至成交供应商指定对公银行</w:t>
            </w:r>
            <w:r>
              <w:rPr>
                <w:rFonts w:hint="eastAsia" w:ascii="宋体" w:hAnsi="宋体" w:cs="宋体"/>
                <w:color w:val="auto"/>
                <w:sz w:val="21"/>
                <w:szCs w:val="21"/>
                <w:highlight w:val="none"/>
                <w:lang w:eastAsia="zh-CN"/>
              </w:rPr>
              <w:t>账</w:t>
            </w:r>
            <w:r>
              <w:rPr>
                <w:rFonts w:hint="eastAsia" w:ascii="宋体" w:hAnsi="宋体" w:eastAsia="宋体" w:cs="宋体"/>
                <w:color w:val="auto"/>
                <w:sz w:val="21"/>
                <w:szCs w:val="21"/>
                <w:highlight w:val="none"/>
              </w:rPr>
              <w:t>户。</w:t>
            </w:r>
          </w:p>
          <w:p w14:paraId="2B7EDC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第一期：收到项目货物并经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验收合格入库后，通知</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开具符合税法规定的全额增值税发票并提交请款函，经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审核确认无误后，10个工作日内支付至合同总额的90%。</w:t>
            </w:r>
          </w:p>
          <w:p w14:paraId="0F69C2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第二笔款：余下10%合同款项在验收合格9个月后，成交供应商向采购人请款，采购人收到请款函后10个工作日内支付完毕。(不计利息)。</w:t>
            </w:r>
          </w:p>
          <w:p w14:paraId="18105F54">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合同签署的</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名称及发票开具单位与收款单位必须一致，在合同执行过程中，</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不得以其他不正当理由要求调整发票开具单位或收款单位，否则视为</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违约。</w:t>
            </w:r>
          </w:p>
        </w:tc>
      </w:tr>
      <w:tr w14:paraId="40232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596CF87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产品基本要求</w:t>
            </w:r>
          </w:p>
        </w:tc>
        <w:tc>
          <w:tcPr>
            <w:tcW w:w="6791" w:type="dxa"/>
            <w:gridSpan w:val="2"/>
            <w:tcBorders>
              <w:top w:val="single" w:color="auto" w:sz="4" w:space="0"/>
              <w:left w:val="single" w:color="auto" w:sz="4" w:space="0"/>
              <w:bottom w:val="single" w:color="auto" w:sz="4" w:space="0"/>
              <w:right w:val="single" w:color="auto" w:sz="4" w:space="0"/>
            </w:tcBorders>
            <w:vAlign w:val="center"/>
          </w:tcPr>
          <w:p w14:paraId="740DECE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以上产品必须是具备合法资质的制造商生产的全新正品，并满足采购文件的要求，若产品在运输或安装过程中损坏或擦伤须无偿调换相同产品。</w:t>
            </w:r>
          </w:p>
          <w:p w14:paraId="3DA498F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所投产品参数应同等或优于以上各项参数要求，产品、辅材及生产工艺符合国家相关规范。</w:t>
            </w:r>
          </w:p>
          <w:p w14:paraId="6D731EB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应保证所提供的货物或其任何一部分均不会侵犯任何第三方的专利权、商标权等，如在使用过程中出现的一切经济和法律责任均由</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负责。</w:t>
            </w:r>
          </w:p>
          <w:p w14:paraId="36453A3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所投产品必须提供产品“三包”服务；定期安排相关人员回访进行质量跟踪；保证提供临床应用和售后技术服务支持方式；保修期后提供终身维修服务及配件供应；其他售后服务按厂家承诺实行。</w:t>
            </w:r>
          </w:p>
        </w:tc>
      </w:tr>
      <w:tr w14:paraId="04BD3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4FDE06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tc>
        <w:tc>
          <w:tcPr>
            <w:tcW w:w="6791" w:type="dxa"/>
            <w:gridSpan w:val="2"/>
            <w:tcBorders>
              <w:top w:val="single" w:color="auto" w:sz="4" w:space="0"/>
              <w:left w:val="single" w:color="auto" w:sz="4" w:space="0"/>
              <w:bottom w:val="single" w:color="auto" w:sz="4" w:space="0"/>
              <w:right w:val="single" w:color="auto" w:sz="4" w:space="0"/>
            </w:tcBorders>
            <w:vAlign w:val="center"/>
          </w:tcPr>
          <w:p w14:paraId="5135EEC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成交供应商负责送货上门，安装调试。从通过验收即日起质保期内所有由于质量问题导致的软、硬件产品故障负责保修、人工及更换备件标准上门服务，并提供终身维护。 </w:t>
            </w:r>
          </w:p>
          <w:p w14:paraId="7DE226E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技术及维修服务：成交供应商应配置工程技术人员，随时提供开箱验货、安装、调试或维修等服务。 </w:t>
            </w:r>
          </w:p>
          <w:p w14:paraId="1179350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质保期：设备安装完毕通过验收投入使用之日起不少于1年。</w:t>
            </w:r>
          </w:p>
          <w:p w14:paraId="45ED110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故障处理：厂家须设有24小时服务电话，质保期内，在使用过程中发现质量问题或故障时，接到维修通知后，2小时内响应，24小时内实施维修服务。一般问题应在48小时内解决，重大问题或其</w:t>
            </w:r>
            <w:r>
              <w:rPr>
                <w:rFonts w:hint="eastAsia" w:ascii="宋体" w:hAnsi="宋体" w:eastAsia="宋体" w:cs="宋体"/>
                <w:color w:val="auto"/>
                <w:sz w:val="21"/>
                <w:szCs w:val="21"/>
                <w:highlight w:val="none"/>
                <w:lang w:val="en-US" w:eastAsia="zh-CN"/>
              </w:rPr>
              <w:t>他</w:t>
            </w:r>
            <w:r>
              <w:rPr>
                <w:rFonts w:hint="eastAsia" w:ascii="宋体" w:hAnsi="宋体" w:eastAsia="宋体" w:cs="宋体"/>
                <w:color w:val="auto"/>
                <w:sz w:val="21"/>
                <w:szCs w:val="21"/>
                <w:highlight w:val="none"/>
              </w:rPr>
              <w:t>无法迅速解决的问题应在一周内解决，所发生的一切费用由成交供应商负责。</w:t>
            </w:r>
          </w:p>
          <w:p w14:paraId="1969CE4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维修备件必须是原厂备件。</w:t>
            </w:r>
          </w:p>
          <w:p w14:paraId="241023D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其余按厂家承诺。</w:t>
            </w:r>
          </w:p>
        </w:tc>
      </w:tr>
      <w:tr w14:paraId="7FDC2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56E8CA8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验收标准（质量要求）</w:t>
            </w:r>
          </w:p>
        </w:tc>
        <w:tc>
          <w:tcPr>
            <w:tcW w:w="6791" w:type="dxa"/>
            <w:gridSpan w:val="2"/>
            <w:tcBorders>
              <w:top w:val="single" w:color="auto" w:sz="4" w:space="0"/>
              <w:left w:val="single" w:color="auto" w:sz="4" w:space="0"/>
              <w:bottom w:val="single" w:color="auto" w:sz="4" w:space="0"/>
              <w:right w:val="single" w:color="auto" w:sz="4" w:space="0"/>
            </w:tcBorders>
            <w:vAlign w:val="center"/>
          </w:tcPr>
          <w:p w14:paraId="7C2A7DA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符合现行国家相关标准、行业标准、地方标准或者其他标准、规范。</w:t>
            </w:r>
          </w:p>
        </w:tc>
      </w:tr>
      <w:tr w14:paraId="64C436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44" w:type="dxa"/>
            <w:gridSpan w:val="5"/>
            <w:tcBorders>
              <w:top w:val="single" w:color="auto" w:sz="4" w:space="0"/>
              <w:left w:val="single" w:color="auto" w:sz="4" w:space="0"/>
              <w:bottom w:val="single" w:color="auto" w:sz="4" w:space="0"/>
              <w:right w:val="single" w:color="auto" w:sz="4" w:space="0"/>
            </w:tcBorders>
            <w:vAlign w:val="center"/>
          </w:tcPr>
          <w:p w14:paraId="2906B4C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二、进口产品说</w:t>
            </w:r>
            <w:r>
              <w:rPr>
                <w:rFonts w:hint="eastAsia" w:ascii="宋体" w:hAnsi="宋体" w:eastAsia="宋体" w:cs="宋体"/>
                <w:color w:val="auto"/>
                <w:sz w:val="21"/>
                <w:szCs w:val="21"/>
                <w:highlight w:val="none"/>
                <w:lang w:val="en-US" w:eastAsia="zh-CN"/>
              </w:rPr>
              <w:t>明</w:t>
            </w:r>
          </w:p>
        </w:tc>
      </w:tr>
      <w:tr w14:paraId="504BE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53" w:type="dxa"/>
            <w:gridSpan w:val="3"/>
            <w:tcBorders>
              <w:top w:val="single" w:color="auto" w:sz="4" w:space="0"/>
              <w:left w:val="single" w:color="auto" w:sz="4" w:space="0"/>
              <w:bottom w:val="single" w:color="auto" w:sz="4" w:space="0"/>
              <w:right w:val="single" w:color="auto" w:sz="4" w:space="0"/>
            </w:tcBorders>
            <w:vAlign w:val="center"/>
          </w:tcPr>
          <w:p w14:paraId="272447B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进口产品说明</w:t>
            </w:r>
          </w:p>
        </w:tc>
        <w:tc>
          <w:tcPr>
            <w:tcW w:w="6791" w:type="dxa"/>
            <w:gridSpan w:val="2"/>
            <w:tcBorders>
              <w:top w:val="single" w:color="auto" w:sz="4" w:space="0"/>
              <w:left w:val="single" w:color="auto" w:sz="4" w:space="0"/>
              <w:bottom w:val="single" w:color="auto" w:sz="4" w:space="0"/>
              <w:right w:val="single" w:color="auto" w:sz="4" w:space="0"/>
            </w:tcBorders>
            <w:vAlign w:val="center"/>
          </w:tcPr>
          <w:p w14:paraId="0F1825E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本项目货物不接受进口产品（即通过中国海关报关验放进入中国境内且产自关境外的产品）参与竞标，如有进口产品参与竞标的，其响应文件按无效处理。</w:t>
            </w:r>
          </w:p>
        </w:tc>
      </w:tr>
    </w:tbl>
    <w:p w14:paraId="008A1EBD">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0D5B7771">
      <w:pPr>
        <w:spacing w:line="428" w:lineRule="exact"/>
        <w:ind w:left="119"/>
        <w:rPr>
          <w:rFonts w:ascii="Arial Unicode MS" w:hAnsi="Arial Unicode MS" w:eastAsia="Arial Unicode MS" w:cs="Arial Unicode MS"/>
          <w:color w:val="auto"/>
          <w:sz w:val="32"/>
          <w:szCs w:val="32"/>
          <w:highlight w:val="none"/>
        </w:rPr>
      </w:pPr>
      <w:r>
        <w:rPr>
          <w:rFonts w:hint="eastAsia" w:ascii="黑体" w:hAnsi="黑体" w:eastAsia="黑体" w:cs="黑体"/>
          <w:color w:val="auto"/>
          <w:sz w:val="32"/>
          <w:szCs w:val="32"/>
          <w:highlight w:val="none"/>
        </w:rPr>
        <w:t>附件：</w:t>
      </w:r>
    </w:p>
    <w:p w14:paraId="53E3D611">
      <w:pPr>
        <w:spacing w:before="7"/>
        <w:rPr>
          <w:rFonts w:hint="eastAsia" w:ascii="Arial Unicode MS" w:hAnsi="Arial Unicode MS" w:eastAsia="Arial Unicode MS" w:cs="Arial Unicode MS"/>
          <w:color w:val="auto"/>
          <w:sz w:val="17"/>
          <w:szCs w:val="17"/>
          <w:highlight w:val="none"/>
        </w:rPr>
      </w:pPr>
    </w:p>
    <w:p w14:paraId="197C873C">
      <w:pPr>
        <w:spacing w:line="528" w:lineRule="exact"/>
        <w:ind w:left="1871"/>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61CF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5CB10A9B">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6F849A93">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7727555">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1DDB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A6E6FE">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C24341">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1F4A315">
            <w:pPr>
              <w:pStyle w:val="60"/>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84B546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A355EF9">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212B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EFB5D">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17B03">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EB76D73">
            <w:pPr>
              <w:pStyle w:val="60"/>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93EEB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2DC060D">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7135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2AEFA">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177A9">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B1B5AFD">
            <w:pPr>
              <w:pStyle w:val="60"/>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9FFF77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68B8974">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41C1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140AC05">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2535D19">
            <w:pPr>
              <w:pStyle w:val="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48F3540">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91749A">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2CD6A06">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ED8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B1C0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04C99">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F4243">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D917D7">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1E94A39">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50E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42BF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DC61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C650BB">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3241C1A">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4958AB7">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7D1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E6951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BD484">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C436D">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9F95BB5">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0AC657B">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4AC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4ED0B">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38C2E">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408E7">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3F208D0">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CC91BBD">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2F3E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339D0">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8279A">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15DD4">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D73BBFF">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5B3E0E4">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03D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8836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763B2">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E5458">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0279A2A">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77D5EC7">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323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02A4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67CC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CC344">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9FEE41B">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302F81D">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727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E3A39">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4D41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E2FA2">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BDB1DE">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2C59C27">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175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C446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F040A">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AF95D">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BB39993">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38514BC">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2C37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CFD4A">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D3E3A">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34A30">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9FDB50D">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08D8080">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4F97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F7A86F7">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E35164C">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2D09A5B">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96A9D5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89478A6">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33A6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62C6A35">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7BADF2D">
            <w:pPr>
              <w:pStyle w:val="60"/>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F31AD00">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74BD06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4C9313AF">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DEF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55E0F24">
            <w:pPr>
              <w:pStyle w:val="60"/>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76E8DD9">
            <w:pPr>
              <w:pStyle w:val="60"/>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DC5FCFE">
            <w:pPr>
              <w:pStyle w:val="60"/>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AD30C8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4758BE8">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2EAA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F2F3010">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FE759">
            <w:pPr>
              <w:pStyle w:val="6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595FD7">
            <w:pPr>
              <w:pStyle w:val="6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00ED835">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7CF4565">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7BB1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6A5FC">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8B25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07BD5">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24F2AFD">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384AD03C">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7C18ABDA">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68BF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C38C2">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0F477">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3E098E">
            <w:pPr>
              <w:pStyle w:val="6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9A8FAE1">
            <w:pPr>
              <w:pStyle w:val="60"/>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8ECE4F9">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7E4F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01110">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A7256">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4DB03">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F57FE9">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F42A669">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6723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7F0B5">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E0855">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E01B8DE">
            <w:pPr>
              <w:pStyle w:val="60"/>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CCA535">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A35B02B">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080A2ECB">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325C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8A5A4">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36157">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826B931">
            <w:pPr>
              <w:pStyle w:val="60"/>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52D64659">
            <w:pPr>
              <w:pStyle w:val="60"/>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BA333B">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15C5D64">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59073D78">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439D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36802B3">
            <w:pPr>
              <w:pStyle w:val="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44CF1D2">
            <w:pPr>
              <w:pStyle w:val="6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CF982E1">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34880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AC7A8BC">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5AAE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82D382C">
            <w:pPr>
              <w:pStyle w:val="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B3C2470">
            <w:pPr>
              <w:pStyle w:val="60"/>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524BAD3">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FADCBF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F1A9B2A">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5A08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5663998">
            <w:pPr>
              <w:pStyle w:val="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9786D58">
            <w:pPr>
              <w:pStyle w:val="60"/>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76B645">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627B1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E0AC5FF">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7537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69EA19">
            <w:pPr>
              <w:pStyle w:val="60"/>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6569A">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4E2D49A">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1820D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62ABA2C">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4550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83C2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5C60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4BE0C6">
            <w:pPr>
              <w:pStyle w:val="60"/>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DEEE01">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84C5B40">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248A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29FD5">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0D0A4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21044">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C3D883">
            <w:pPr>
              <w:pStyle w:val="60"/>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58439DE">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1713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08C8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AD04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6EB01">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89349A7">
            <w:pPr>
              <w:pStyle w:val="60"/>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6436EAB">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4864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9359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E99F8">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04E0E32">
            <w:pPr>
              <w:pStyle w:val="60"/>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B713CD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4DE8711">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4525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46BE1">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001C7">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EF32ED">
            <w:pPr>
              <w:pStyle w:val="60"/>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06EF9A9">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04A3471">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1B08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ABF9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FEF4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DA6C6">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9730DC8">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43AE7E6">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2AB6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208E6">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A588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3A930">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5C40EC8">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68BC3B5">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0CBA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B16F">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46392">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48D65">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EF1AF3D">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9D0A2F3">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19C3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2716BE">
            <w:pPr>
              <w:pStyle w:val="6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42ABA5">
            <w:pPr>
              <w:pStyle w:val="60"/>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F9F1F86">
            <w:pPr>
              <w:pStyle w:val="60"/>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36D7D8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8588329">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30CE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1FCD9">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3AB5F">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09A1E6B">
            <w:pPr>
              <w:pStyle w:val="60"/>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DCB0FB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E9824B0">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4C7A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A70E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59E2B">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8DBB258">
            <w:pPr>
              <w:pStyle w:val="6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45FEB9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B119932">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136D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08CFD">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F5DFF">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45F74D">
            <w:pPr>
              <w:pStyle w:val="60"/>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FFC181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942A304">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5590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2AE59DB">
            <w:pPr>
              <w:pStyle w:val="6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318463F">
            <w:pPr>
              <w:pStyle w:val="60"/>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05B1351">
            <w:pPr>
              <w:pStyle w:val="60"/>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BE3BD6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BBBCDBD">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4106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F1A1E9A">
            <w:pPr>
              <w:pStyle w:val="6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6066D1A">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720B028">
            <w:pPr>
              <w:pStyle w:val="60"/>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58F0455">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7848B70">
            <w:pPr>
              <w:pStyle w:val="6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2F06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DEA42F9">
            <w:pPr>
              <w:pStyle w:val="6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92D87EE">
            <w:pPr>
              <w:pStyle w:val="60"/>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E4B5304">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442993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A35D5B6">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5F26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E0CFAC">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BCBE6">
            <w:pPr>
              <w:pStyle w:val="60"/>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D90855">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F226C1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6175A82">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6A1F71EA">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7268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B4A04">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71797">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FD383FA">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804859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18A2B44">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51B2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C5D2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E994C">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9991303">
            <w:pPr>
              <w:pStyle w:val="6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818BFA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312FA22">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54AC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07A5185D">
            <w:pPr>
              <w:pStyle w:val="6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7B77040">
            <w:pPr>
              <w:pStyle w:val="60"/>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6595CF">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BAE680">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60279EA">
            <w:pPr>
              <w:pStyle w:val="60"/>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1FBB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D41C495">
            <w:pPr>
              <w:pStyle w:val="6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20A7375">
            <w:pPr>
              <w:pStyle w:val="60"/>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79F5007">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B4C7B28">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A30D730">
            <w:pPr>
              <w:pStyle w:val="60"/>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7E11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7DF42DE">
            <w:pPr>
              <w:pStyle w:val="6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E080970">
            <w:pPr>
              <w:pStyle w:val="60"/>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B747CD8">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C768DA2">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8DF8D4E">
            <w:pPr>
              <w:pStyle w:val="6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1D64E353">
      <w:pPr>
        <w:pStyle w:val="9"/>
        <w:spacing w:line="360" w:lineRule="auto"/>
        <w:rPr>
          <w:rFonts w:hint="eastAsia"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7EE52B3F">
      <w:pPr>
        <w:pStyle w:val="9"/>
        <w:spacing w:line="360" w:lineRule="auto"/>
        <w:ind w:firstLine="465"/>
        <w:rPr>
          <w:rFonts w:hint="eastAsia" w:ascii="宋体" w:hAnsi="宋体"/>
          <w:color w:val="auto"/>
          <w:szCs w:val="21"/>
          <w:highlight w:val="none"/>
        </w:rPr>
      </w:pPr>
      <w:r>
        <w:rPr>
          <w:rFonts w:hint="eastAsia" w:ascii="宋体" w:hAnsi="宋体"/>
          <w:color w:val="auto"/>
          <w:szCs w:val="21"/>
          <w:highlight w:val="none"/>
        </w:rPr>
        <w:t>2.以“★”标注的为政府强制采购产品。</w:t>
      </w:r>
    </w:p>
    <w:p w14:paraId="609C8F07">
      <w:pPr>
        <w:pStyle w:val="9"/>
        <w:spacing w:line="360" w:lineRule="auto"/>
        <w:ind w:firstLine="465"/>
        <w:rPr>
          <w:rFonts w:hint="eastAsia"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51A6B8B5">
      <w:pPr>
        <w:widowControl/>
        <w:jc w:val="left"/>
        <w:rPr>
          <w:rFonts w:hint="eastAsia" w:ascii="宋体" w:hAnsi="宋体" w:cs="宋体"/>
          <w:color w:val="auto"/>
          <w:sz w:val="20"/>
          <w:szCs w:val="20"/>
          <w:highlight w:val="none"/>
        </w:rPr>
      </w:pPr>
    </w:p>
    <w:p w14:paraId="409973C7">
      <w:pPr>
        <w:widowControl/>
        <w:jc w:val="left"/>
        <w:rPr>
          <w:rFonts w:hint="eastAsia" w:ascii="宋体" w:hAnsi="宋体" w:cs="宋体"/>
          <w:color w:val="auto"/>
          <w:sz w:val="20"/>
          <w:szCs w:val="20"/>
          <w:highlight w:val="none"/>
        </w:rPr>
      </w:pPr>
    </w:p>
    <w:p w14:paraId="49E13E2A">
      <w:pPr>
        <w:widowControl/>
        <w:jc w:val="left"/>
        <w:rPr>
          <w:rFonts w:hint="eastAsia" w:ascii="黑体" w:hAnsi="黑体" w:eastAsia="黑体" w:cs="黑体"/>
          <w:color w:val="auto"/>
          <w:sz w:val="32"/>
          <w:szCs w:val="32"/>
          <w:highlight w:val="none"/>
        </w:rPr>
      </w:pPr>
      <w:bookmarkStart w:id="86" w:name="_GoBack"/>
      <w:bookmarkEnd w:id="86"/>
      <w:r>
        <w:rPr>
          <w:rFonts w:hint="eastAsia"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241CB52D">
      <w:pPr>
        <w:pStyle w:val="9"/>
        <w:jc w:val="center"/>
        <w:rPr>
          <w:rFonts w:hint="eastAsia"/>
          <w:b/>
          <w:color w:val="auto"/>
          <w:sz w:val="28"/>
          <w:szCs w:val="28"/>
          <w:highlight w:val="none"/>
        </w:rPr>
      </w:pPr>
      <w:r>
        <w:rPr>
          <w:rFonts w:hint="eastAsia"/>
          <w:b/>
          <w:color w:val="auto"/>
          <w:sz w:val="28"/>
          <w:szCs w:val="28"/>
          <w:highlight w:val="none"/>
        </w:rPr>
        <w:t>中小企业划型标准规定</w:t>
      </w:r>
    </w:p>
    <w:p w14:paraId="52D85289">
      <w:pPr>
        <w:pStyle w:val="9"/>
        <w:jc w:val="center"/>
        <w:rPr>
          <w:rFonts w:ascii="宋体" w:hAnsi="宋体"/>
          <w:color w:val="auto"/>
          <w:szCs w:val="21"/>
          <w:highlight w:val="none"/>
        </w:rPr>
      </w:pPr>
      <w:r>
        <w:rPr>
          <w:rFonts w:hint="eastAsia" w:ascii="宋体" w:hAnsi="宋体"/>
          <w:color w:val="auto"/>
          <w:szCs w:val="21"/>
          <w:highlight w:val="none"/>
        </w:rPr>
        <w:t>工信部联企业</w:t>
      </w:r>
      <w:r>
        <w:rPr>
          <w:rFonts w:hint="eastAsia" w:ascii="宋体" w:hAnsi="宋体"/>
          <w:color w:val="auto"/>
          <w:szCs w:val="21"/>
          <w:highlight w:val="none"/>
          <w:lang w:eastAsia="zh-CN"/>
        </w:rPr>
        <w:t>〔2011〕300号</w:t>
      </w:r>
    </w:p>
    <w:p w14:paraId="6D839D92">
      <w:pPr>
        <w:pStyle w:val="9"/>
        <w:rPr>
          <w:rFonts w:hint="eastAsia"/>
          <w:color w:val="auto"/>
          <w:szCs w:val="21"/>
          <w:highlight w:val="none"/>
        </w:rPr>
      </w:pPr>
    </w:p>
    <w:p w14:paraId="7CF3D881">
      <w:pPr>
        <w:pStyle w:val="9"/>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w:t>
      </w:r>
      <w:r>
        <w:rPr>
          <w:rFonts w:hint="eastAsia"/>
          <w:color w:val="auto"/>
          <w:szCs w:val="21"/>
          <w:highlight w:val="none"/>
          <w:lang w:eastAsia="zh-CN"/>
        </w:rPr>
        <w:t>〔2009〕36号</w:t>
      </w:r>
      <w:r>
        <w:rPr>
          <w:color w:val="auto"/>
          <w:szCs w:val="21"/>
          <w:highlight w:val="none"/>
        </w:rPr>
        <w:t>)</w:t>
      </w:r>
      <w:r>
        <w:rPr>
          <w:rFonts w:hint="eastAsia"/>
          <w:color w:val="auto"/>
          <w:szCs w:val="21"/>
          <w:highlight w:val="none"/>
        </w:rPr>
        <w:t>，制定本规定。</w:t>
      </w:r>
    </w:p>
    <w:p w14:paraId="7AC2D544">
      <w:pPr>
        <w:pStyle w:val="9"/>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3718DA36">
      <w:pPr>
        <w:pStyle w:val="9"/>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8C546F">
      <w:pPr>
        <w:pStyle w:val="9"/>
        <w:rPr>
          <w:color w:val="auto"/>
          <w:szCs w:val="21"/>
          <w:highlight w:val="none"/>
        </w:rPr>
      </w:pPr>
      <w:r>
        <w:rPr>
          <w:rFonts w:hint="eastAsia"/>
          <w:color w:val="auto"/>
          <w:szCs w:val="21"/>
          <w:highlight w:val="none"/>
        </w:rPr>
        <w:t>　　四、各行业划型标准为：</w:t>
      </w:r>
    </w:p>
    <w:p w14:paraId="7F9A2965">
      <w:pPr>
        <w:pStyle w:val="9"/>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483E406B">
      <w:pPr>
        <w:pStyle w:val="9"/>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2464C99E">
      <w:pPr>
        <w:pStyle w:val="9"/>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73823438">
      <w:pPr>
        <w:pStyle w:val="9"/>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72EEC737">
      <w:pPr>
        <w:pStyle w:val="9"/>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279908A">
      <w:pPr>
        <w:pStyle w:val="9"/>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0354FB23">
      <w:pPr>
        <w:pStyle w:val="9"/>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C1FF195">
      <w:pPr>
        <w:pStyle w:val="9"/>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FDF726C">
      <w:pPr>
        <w:pStyle w:val="9"/>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18BCD8AA">
      <w:pPr>
        <w:pStyle w:val="9"/>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4DDCE561">
      <w:pPr>
        <w:pStyle w:val="9"/>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345AA62E">
      <w:pPr>
        <w:pStyle w:val="9"/>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6396FFE3">
      <w:pPr>
        <w:pStyle w:val="9"/>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6148A95E">
      <w:pPr>
        <w:pStyle w:val="9"/>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521BD208">
      <w:pPr>
        <w:pStyle w:val="9"/>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462F6F74">
      <w:pPr>
        <w:pStyle w:val="9"/>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42B2C772">
      <w:pPr>
        <w:pStyle w:val="9"/>
        <w:rPr>
          <w:color w:val="auto"/>
          <w:szCs w:val="21"/>
          <w:highlight w:val="none"/>
        </w:rPr>
      </w:pPr>
      <w:r>
        <w:rPr>
          <w:rFonts w:hint="eastAsia"/>
          <w:color w:val="auto"/>
          <w:szCs w:val="21"/>
          <w:highlight w:val="none"/>
        </w:rPr>
        <w:t>　　五、企业类型的划分以统计部门的统计数据为依据。</w:t>
      </w:r>
    </w:p>
    <w:p w14:paraId="3F26F0CA">
      <w:pPr>
        <w:pStyle w:val="9"/>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49836445">
      <w:pPr>
        <w:pStyle w:val="9"/>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3DC9DF0">
      <w:pPr>
        <w:pStyle w:val="9"/>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7A31A435">
      <w:pPr>
        <w:pStyle w:val="9"/>
        <w:rPr>
          <w:color w:val="auto"/>
          <w:szCs w:val="21"/>
          <w:highlight w:val="none"/>
        </w:rPr>
      </w:pPr>
      <w:r>
        <w:rPr>
          <w:rFonts w:hint="eastAsia"/>
          <w:color w:val="auto"/>
          <w:szCs w:val="21"/>
          <w:highlight w:val="none"/>
        </w:rPr>
        <w:t>　　九、本规定由工业和信息化部、国家统计局会同有关部门负责解释。</w:t>
      </w:r>
    </w:p>
    <w:p w14:paraId="0DA3E225">
      <w:pPr>
        <w:pStyle w:val="9"/>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4501AC00">
      <w:pPr>
        <w:widowControl/>
        <w:jc w:val="left"/>
        <w:rPr>
          <w:rFonts w:ascii="宋体" w:hAnsi="宋体" w:cs="宋体"/>
          <w:color w:val="auto"/>
          <w:sz w:val="20"/>
          <w:szCs w:val="20"/>
          <w:highlight w:val="none"/>
        </w:rPr>
      </w:pPr>
    </w:p>
    <w:p w14:paraId="071373B1">
      <w:pPr>
        <w:pStyle w:val="2"/>
        <w:jc w:val="center"/>
        <w:rPr>
          <w:rFonts w:hint="eastAsia"/>
          <w:color w:val="auto"/>
          <w:highlight w:val="none"/>
        </w:rPr>
      </w:pPr>
      <w:r>
        <w:rPr>
          <w:rFonts w:ascii="宋体" w:hAnsi="宋体" w:cs="宋体"/>
          <w:color w:val="auto"/>
          <w:sz w:val="20"/>
          <w:szCs w:val="20"/>
          <w:highlight w:val="none"/>
        </w:rPr>
        <w:br w:type="page"/>
      </w:r>
      <w:bookmarkStart w:id="77" w:name="_Toc74322011"/>
      <w:r>
        <w:rPr>
          <w:rFonts w:hint="eastAsia"/>
          <w:color w:val="auto"/>
          <w:highlight w:val="none"/>
        </w:rPr>
        <w:t xml:space="preserve">第四章  </w:t>
      </w:r>
      <w:bookmarkStart w:id="78" w:name="_Hlk68601507"/>
      <w:r>
        <w:rPr>
          <w:rFonts w:hint="eastAsia"/>
          <w:color w:val="auto"/>
          <w:highlight w:val="none"/>
        </w:rPr>
        <w:t>评审程序和评定成交的标准</w:t>
      </w:r>
      <w:bookmarkEnd w:id="77"/>
      <w:bookmarkEnd w:id="78"/>
    </w:p>
    <w:p w14:paraId="39081E39">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w:t>
      </w:r>
    </w:p>
    <w:p w14:paraId="2BE03AA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46E67B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0FA850E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35B9139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0510510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5B182BC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2A06A49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3C86EF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4A0ED692">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w:t>
      </w:r>
      <w:r>
        <w:rPr>
          <w:rFonts w:hint="eastAsia" w:ascii="宋体" w:hAnsi="宋体" w:eastAsia="宋体" w:cs="宋体"/>
          <w:color w:val="auto"/>
          <w:szCs w:val="21"/>
          <w:highlight w:val="none"/>
        </w:rPr>
        <w:t>十二条规定条件的供应商）的，视同联合体存在不良信用记录。</w:t>
      </w:r>
    </w:p>
    <w:p w14:paraId="2BEA12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343F7B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供应商有下列情形之一的，资格审查不通过，其响应文件按无效处理：</w:t>
      </w:r>
    </w:p>
    <w:p w14:paraId="3DEACC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1B69E5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（2）未按谈判文件规定的方式获取本谈判文件的供应商；</w:t>
      </w:r>
    </w:p>
    <w:p w14:paraId="6CDC1BA2">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（3）响应文件中的资格证明文件缺</w:t>
      </w:r>
      <w:r>
        <w:rPr>
          <w:rFonts w:hint="eastAsia" w:ascii="宋体" w:hAnsi="宋体" w:cs="宋体"/>
          <w:color w:val="auto"/>
          <w:szCs w:val="21"/>
          <w:highlight w:val="none"/>
        </w:rPr>
        <w:t>少任一项“供应商须知前附表”资格证明文件规定的“必须提供”的文件资料的；</w:t>
      </w:r>
    </w:p>
    <w:p w14:paraId="336B162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06CCF7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2D1141E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54C5060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59D6B1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66D6EE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79A1CD">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3D21771D">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4208420A">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52825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E64C7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D111D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1736A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61753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41598F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432EEA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84215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1EAE3F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7307F1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7CE0CA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45304A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CBA62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74E03F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60D495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28975C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342A56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4967241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06E960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73737CD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7F5A1EE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79"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79"/>
    </w:p>
    <w:p w14:paraId="6EA5B62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4）响应文件标注的项目名称或者项目编号与谈判文件标注的项目名称或者项目编号不一致的；</w:t>
      </w:r>
    </w:p>
    <w:p w14:paraId="228CD2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谈判文件明确不允许分包，响应文件拟分包的；</w:t>
      </w:r>
    </w:p>
    <w:p w14:paraId="16B4FC7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6）未响应谈判文件实质性要求；</w:t>
      </w:r>
    </w:p>
    <w:p w14:paraId="78E431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19FE92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273C5D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598BF3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2FFEF5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197644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67C963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4BF966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w:t>
      </w:r>
      <w:r>
        <w:rPr>
          <w:rFonts w:hint="eastAsia" w:ascii="宋体" w:hAnsi="宋体"/>
          <w:color w:val="auto"/>
          <w:szCs w:val="21"/>
          <w:highlight w:val="none"/>
          <w:lang w:val="en-US" w:eastAsia="zh-CN"/>
        </w:rPr>
        <w:t>文件</w:t>
      </w:r>
      <w:r>
        <w:rPr>
          <w:rFonts w:hint="eastAsia" w:ascii="宋体" w:hAnsi="宋体"/>
          <w:color w:val="auto"/>
          <w:szCs w:val="21"/>
          <w:highlight w:val="none"/>
        </w:rPr>
        <w:t>要求实质性不一致的。</w:t>
      </w:r>
    </w:p>
    <w:p w14:paraId="770900E7">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C71F0F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2183733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0442C55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6CEE1CF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7B66A1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0BEEABC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74534FA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5383845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0105C5D4">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2C1A40EC">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39B76FA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5C06D7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1087038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7692E03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772BED9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70631F0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337396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55FE33C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59BC201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419D39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293B8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5FF07A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6946BA1C">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695EFF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30574AB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1E92F1B3">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5267E4DA">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eastAsia="宋体" w:cs="宋体"/>
          <w:bCs/>
          <w:color w:val="auto"/>
          <w:kern w:val="2"/>
          <w:sz w:val="21"/>
          <w:szCs w:val="21"/>
          <w:highlight w:val="none"/>
        </w:rPr>
        <w:t>本项目专门面向中小企业，不重复享受扶持政策，评审价为供应商的最后报价的价格</w:t>
      </w:r>
      <w:r>
        <w:rPr>
          <w:rFonts w:hint="eastAsia" w:ascii="宋体" w:hAnsi="宋体" w:cs="宋体"/>
          <w:color w:val="auto"/>
          <w:highlight w:val="none"/>
        </w:rPr>
        <w:t>，评审价＝最后报价。</w:t>
      </w:r>
    </w:p>
    <w:p w14:paraId="29AC9477">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二、评定成交的标准</w:t>
      </w:r>
    </w:p>
    <w:p w14:paraId="66465F0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 xml:space="preserve"> 成交候选人推荐</w:t>
      </w:r>
      <w:r>
        <w:rPr>
          <w:rFonts w:hint="eastAsia" w:ascii="黑体" w:hAnsi="黑体" w:eastAsia="黑体" w:cs="宋体"/>
          <w:b/>
          <w:bCs/>
          <w:color w:val="auto"/>
          <w:sz w:val="24"/>
          <w:highlight w:val="none"/>
          <w:lang w:val="en-US" w:eastAsia="zh-CN"/>
        </w:rPr>
        <w:t>原则</w:t>
      </w:r>
    </w:p>
    <w:p w14:paraId="6AD5703E">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w:t>
      </w:r>
      <w:r>
        <w:rPr>
          <w:rFonts w:hint="eastAsia" w:ascii="宋体" w:hAnsi="宋体" w:cs="宋体"/>
          <w:color w:val="auto"/>
          <w:highlight w:val="none"/>
          <w:lang w:val="en-US" w:eastAsia="zh-CN"/>
        </w:rPr>
        <w:t>及</w:t>
      </w:r>
      <w:r>
        <w:rPr>
          <w:rFonts w:hint="eastAsia" w:ascii="宋体" w:hAnsi="宋体" w:cs="宋体"/>
          <w:color w:val="auto"/>
          <w:highlight w:val="none"/>
        </w:rPr>
        <w:t>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7E1CA819">
      <w:pPr>
        <w:spacing w:line="360" w:lineRule="auto"/>
        <w:ind w:firstLine="420" w:firstLineChars="200"/>
        <w:rPr>
          <w:rFonts w:hint="eastAsia" w:ascii="宋体" w:hAnsi="宋体" w:cs="宋体"/>
          <w:color w:val="auto"/>
          <w:highlight w:val="none"/>
        </w:rPr>
      </w:pPr>
    </w:p>
    <w:p w14:paraId="4007A9F8">
      <w:pPr>
        <w:pStyle w:val="2"/>
        <w:jc w:val="center"/>
        <w:rPr>
          <w:rFonts w:hint="eastAsia"/>
          <w:color w:val="auto"/>
          <w:highlight w:val="none"/>
        </w:rPr>
      </w:pPr>
      <w:r>
        <w:rPr>
          <w:color w:val="auto"/>
          <w:highlight w:val="none"/>
        </w:rPr>
        <w:br w:type="page"/>
      </w:r>
    </w:p>
    <w:p w14:paraId="2BF9A912">
      <w:pPr>
        <w:rPr>
          <w:rFonts w:hint="eastAsia"/>
          <w:color w:val="auto"/>
          <w:highlight w:val="none"/>
        </w:rPr>
      </w:pPr>
    </w:p>
    <w:p w14:paraId="17BF4BF0">
      <w:pPr>
        <w:rPr>
          <w:rFonts w:hint="eastAsia"/>
          <w:color w:val="auto"/>
          <w:highlight w:val="none"/>
        </w:rPr>
      </w:pPr>
    </w:p>
    <w:p w14:paraId="4B787FFE">
      <w:pPr>
        <w:rPr>
          <w:rFonts w:hint="eastAsia"/>
          <w:color w:val="auto"/>
          <w:highlight w:val="none"/>
        </w:rPr>
      </w:pPr>
    </w:p>
    <w:p w14:paraId="3033455A">
      <w:pPr>
        <w:rPr>
          <w:rFonts w:hint="eastAsia"/>
          <w:color w:val="auto"/>
          <w:highlight w:val="none"/>
        </w:rPr>
      </w:pPr>
    </w:p>
    <w:p w14:paraId="05B75EE5">
      <w:pPr>
        <w:rPr>
          <w:rFonts w:hint="eastAsia"/>
          <w:color w:val="auto"/>
          <w:highlight w:val="none"/>
        </w:rPr>
      </w:pPr>
    </w:p>
    <w:p w14:paraId="57AB8B1B">
      <w:pPr>
        <w:rPr>
          <w:rFonts w:hint="eastAsia"/>
          <w:color w:val="auto"/>
          <w:highlight w:val="none"/>
        </w:rPr>
      </w:pPr>
    </w:p>
    <w:p w14:paraId="1DF17BCE">
      <w:pPr>
        <w:rPr>
          <w:rFonts w:hint="eastAsia"/>
          <w:color w:val="auto"/>
          <w:highlight w:val="none"/>
        </w:rPr>
      </w:pPr>
    </w:p>
    <w:p w14:paraId="04974B76">
      <w:pPr>
        <w:rPr>
          <w:rFonts w:hint="eastAsia"/>
          <w:color w:val="auto"/>
          <w:highlight w:val="none"/>
        </w:rPr>
      </w:pPr>
    </w:p>
    <w:p w14:paraId="2977C515">
      <w:pPr>
        <w:rPr>
          <w:rFonts w:hint="eastAsia"/>
          <w:color w:val="auto"/>
          <w:highlight w:val="none"/>
        </w:rPr>
      </w:pPr>
    </w:p>
    <w:p w14:paraId="1FB38023">
      <w:pPr>
        <w:rPr>
          <w:rFonts w:hint="eastAsia"/>
          <w:color w:val="auto"/>
          <w:highlight w:val="none"/>
        </w:rPr>
      </w:pPr>
    </w:p>
    <w:p w14:paraId="1E27755E">
      <w:pPr>
        <w:rPr>
          <w:rFonts w:hint="eastAsia"/>
          <w:color w:val="auto"/>
          <w:highlight w:val="none"/>
        </w:rPr>
      </w:pPr>
    </w:p>
    <w:p w14:paraId="1C363E97">
      <w:pPr>
        <w:rPr>
          <w:rFonts w:hint="eastAsia"/>
          <w:color w:val="auto"/>
          <w:highlight w:val="none"/>
        </w:rPr>
      </w:pPr>
    </w:p>
    <w:p w14:paraId="70461179">
      <w:pPr>
        <w:rPr>
          <w:rFonts w:hint="eastAsia"/>
          <w:color w:val="auto"/>
          <w:highlight w:val="none"/>
        </w:rPr>
      </w:pPr>
    </w:p>
    <w:p w14:paraId="60DD2076">
      <w:pPr>
        <w:pStyle w:val="2"/>
        <w:jc w:val="center"/>
        <w:rPr>
          <w:rFonts w:hint="eastAsia"/>
          <w:color w:val="auto"/>
          <w:highlight w:val="none"/>
        </w:rPr>
      </w:pPr>
      <w:bookmarkStart w:id="80" w:name="_Toc74322012"/>
      <w:r>
        <w:rPr>
          <w:rFonts w:hint="eastAsia"/>
          <w:color w:val="auto"/>
          <w:highlight w:val="none"/>
        </w:rPr>
        <w:t>第五章 响应文件格式</w:t>
      </w:r>
      <w:bookmarkEnd w:id="80"/>
    </w:p>
    <w:p w14:paraId="790286C9">
      <w:pPr>
        <w:spacing w:line="240" w:lineRule="atLeast"/>
        <w:rPr>
          <w:rFonts w:hint="eastAsia" w:ascii="宋体" w:hAnsi="宋体"/>
          <w:b/>
          <w:color w:val="auto"/>
          <w:sz w:val="32"/>
          <w:szCs w:val="32"/>
          <w:highlight w:val="none"/>
        </w:rPr>
      </w:pPr>
    </w:p>
    <w:p w14:paraId="39D083A5">
      <w:pPr>
        <w:spacing w:line="240" w:lineRule="atLeast"/>
        <w:rPr>
          <w:rFonts w:hint="eastAsia" w:ascii="宋体" w:hAnsi="宋体"/>
          <w:b/>
          <w:color w:val="auto"/>
          <w:sz w:val="32"/>
          <w:szCs w:val="32"/>
          <w:highlight w:val="none"/>
        </w:rPr>
      </w:pPr>
    </w:p>
    <w:p w14:paraId="607BE623">
      <w:pPr>
        <w:spacing w:line="240" w:lineRule="atLeast"/>
        <w:rPr>
          <w:rFonts w:hint="eastAsia" w:ascii="宋体" w:hAnsi="宋体"/>
          <w:b/>
          <w:color w:val="auto"/>
          <w:sz w:val="32"/>
          <w:szCs w:val="32"/>
          <w:highlight w:val="none"/>
        </w:rPr>
      </w:pPr>
    </w:p>
    <w:p w14:paraId="5C21BBBA">
      <w:pPr>
        <w:spacing w:line="240" w:lineRule="atLeast"/>
        <w:rPr>
          <w:rFonts w:hint="eastAsia" w:ascii="宋体" w:hAnsi="宋体"/>
          <w:b/>
          <w:color w:val="auto"/>
          <w:sz w:val="32"/>
          <w:szCs w:val="32"/>
          <w:highlight w:val="none"/>
        </w:rPr>
      </w:pPr>
    </w:p>
    <w:p w14:paraId="3BD3EFFB">
      <w:pPr>
        <w:spacing w:line="240" w:lineRule="atLeast"/>
        <w:rPr>
          <w:rFonts w:hint="eastAsia" w:ascii="宋体" w:hAnsi="宋体"/>
          <w:b/>
          <w:color w:val="auto"/>
          <w:sz w:val="32"/>
          <w:szCs w:val="32"/>
          <w:highlight w:val="none"/>
        </w:rPr>
      </w:pPr>
    </w:p>
    <w:p w14:paraId="6170396D">
      <w:pPr>
        <w:spacing w:line="240" w:lineRule="atLeast"/>
        <w:rPr>
          <w:rFonts w:hint="eastAsia" w:ascii="宋体" w:hAnsi="宋体"/>
          <w:b/>
          <w:color w:val="auto"/>
          <w:sz w:val="32"/>
          <w:szCs w:val="32"/>
          <w:highlight w:val="none"/>
        </w:rPr>
      </w:pPr>
    </w:p>
    <w:p w14:paraId="6B67EBB6">
      <w:pPr>
        <w:spacing w:line="240" w:lineRule="atLeast"/>
        <w:rPr>
          <w:rFonts w:hint="eastAsia" w:ascii="宋体" w:hAnsi="宋体"/>
          <w:b/>
          <w:color w:val="auto"/>
          <w:sz w:val="32"/>
          <w:szCs w:val="32"/>
          <w:highlight w:val="none"/>
        </w:rPr>
      </w:pPr>
    </w:p>
    <w:p w14:paraId="07B83585">
      <w:pPr>
        <w:spacing w:line="240" w:lineRule="atLeast"/>
        <w:rPr>
          <w:rFonts w:hint="eastAsia" w:ascii="宋体" w:hAnsi="宋体"/>
          <w:b/>
          <w:color w:val="auto"/>
          <w:sz w:val="32"/>
          <w:szCs w:val="32"/>
          <w:highlight w:val="none"/>
        </w:rPr>
      </w:pPr>
    </w:p>
    <w:p w14:paraId="0ACF2344">
      <w:pPr>
        <w:spacing w:line="240" w:lineRule="atLeast"/>
        <w:rPr>
          <w:rFonts w:hint="eastAsia" w:ascii="宋体" w:hAnsi="宋体"/>
          <w:b/>
          <w:color w:val="auto"/>
          <w:sz w:val="32"/>
          <w:szCs w:val="32"/>
          <w:highlight w:val="none"/>
        </w:rPr>
      </w:pPr>
    </w:p>
    <w:p w14:paraId="0B6FF248">
      <w:pPr>
        <w:spacing w:line="240" w:lineRule="atLeast"/>
        <w:rPr>
          <w:rFonts w:hint="eastAsia" w:ascii="宋体" w:hAnsi="宋体"/>
          <w:b/>
          <w:color w:val="auto"/>
          <w:sz w:val="32"/>
          <w:szCs w:val="32"/>
          <w:highlight w:val="none"/>
        </w:rPr>
      </w:pPr>
    </w:p>
    <w:p w14:paraId="1573AF2A">
      <w:pPr>
        <w:spacing w:line="240" w:lineRule="atLeast"/>
        <w:rPr>
          <w:rFonts w:hint="eastAsia" w:ascii="宋体" w:hAnsi="宋体"/>
          <w:b/>
          <w:color w:val="auto"/>
          <w:sz w:val="32"/>
          <w:szCs w:val="32"/>
          <w:highlight w:val="none"/>
        </w:rPr>
      </w:pPr>
    </w:p>
    <w:p w14:paraId="284F05F4">
      <w:pPr>
        <w:rPr>
          <w:rFonts w:hint="eastAsia"/>
          <w:b/>
          <w:color w:val="auto"/>
          <w:sz w:val="32"/>
          <w:szCs w:val="32"/>
          <w:highlight w:val="none"/>
        </w:rPr>
      </w:pPr>
      <w:bookmarkStart w:id="81" w:name="_Toc71366060"/>
      <w:bookmarkStart w:id="82" w:name="_Toc71365382"/>
      <w:r>
        <w:rPr>
          <w:rFonts w:hint="eastAsia"/>
          <w:b/>
          <w:color w:val="auto"/>
          <w:sz w:val="32"/>
          <w:szCs w:val="32"/>
          <w:highlight w:val="none"/>
        </w:rPr>
        <w:br w:type="page"/>
      </w:r>
      <w:r>
        <w:rPr>
          <w:rFonts w:hint="eastAsia"/>
          <w:b/>
          <w:color w:val="auto"/>
          <w:sz w:val="32"/>
          <w:szCs w:val="32"/>
          <w:highlight w:val="none"/>
        </w:rPr>
        <w:t>一、资格证明文件格式</w:t>
      </w:r>
      <w:bookmarkEnd w:id="81"/>
      <w:bookmarkEnd w:id="82"/>
    </w:p>
    <w:p w14:paraId="3A8B5D40">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4273E40D">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B4D6068">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34AB8178">
      <w:pPr>
        <w:snapToGrid w:val="0"/>
        <w:spacing w:before="156" w:beforeLines="50" w:after="50"/>
        <w:rPr>
          <w:rFonts w:hint="eastAsia" w:ascii="宋体" w:hAnsi="宋体"/>
          <w:color w:val="auto"/>
          <w:sz w:val="24"/>
          <w:szCs w:val="20"/>
          <w:highlight w:val="none"/>
        </w:rPr>
      </w:pPr>
    </w:p>
    <w:p w14:paraId="73D6A78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8EC53BA">
      <w:pPr>
        <w:snapToGrid w:val="0"/>
        <w:spacing w:before="156" w:beforeLines="50" w:after="50"/>
        <w:rPr>
          <w:rFonts w:hint="eastAsia" w:ascii="宋体" w:hAnsi="宋体"/>
          <w:bCs/>
          <w:color w:val="auto"/>
          <w:sz w:val="24"/>
          <w:szCs w:val="20"/>
          <w:highlight w:val="none"/>
        </w:rPr>
      </w:pPr>
    </w:p>
    <w:p w14:paraId="0C4D4713">
      <w:pPr>
        <w:snapToGrid w:val="0"/>
        <w:spacing w:before="156" w:beforeLines="50" w:after="50"/>
        <w:rPr>
          <w:rFonts w:hint="eastAsia" w:ascii="宋体" w:hAnsi="宋体"/>
          <w:bCs/>
          <w:color w:val="auto"/>
          <w:sz w:val="24"/>
          <w:szCs w:val="20"/>
          <w:highlight w:val="none"/>
        </w:rPr>
      </w:pPr>
    </w:p>
    <w:p w14:paraId="3281AD5E">
      <w:pPr>
        <w:snapToGrid w:val="0"/>
        <w:spacing w:before="156" w:beforeLines="50" w:after="50"/>
        <w:rPr>
          <w:rFonts w:hint="eastAsia" w:ascii="宋体" w:hAnsi="宋体"/>
          <w:bCs/>
          <w:color w:val="auto"/>
          <w:sz w:val="24"/>
          <w:szCs w:val="20"/>
          <w:highlight w:val="none"/>
        </w:rPr>
      </w:pPr>
    </w:p>
    <w:p w14:paraId="4749E365">
      <w:pPr>
        <w:snapToGrid w:val="0"/>
        <w:spacing w:before="156" w:beforeLines="50" w:after="50"/>
        <w:rPr>
          <w:rFonts w:hint="eastAsia" w:ascii="宋体" w:hAnsi="宋体"/>
          <w:bCs/>
          <w:color w:val="auto"/>
          <w:sz w:val="24"/>
          <w:szCs w:val="20"/>
          <w:highlight w:val="none"/>
        </w:rPr>
      </w:pPr>
    </w:p>
    <w:p w14:paraId="49068644">
      <w:pPr>
        <w:snapToGrid w:val="0"/>
        <w:spacing w:before="156" w:beforeLines="50" w:after="50"/>
        <w:rPr>
          <w:rFonts w:hint="eastAsia" w:ascii="宋体" w:hAnsi="宋体"/>
          <w:bCs/>
          <w:color w:val="auto"/>
          <w:sz w:val="24"/>
          <w:szCs w:val="20"/>
          <w:highlight w:val="none"/>
        </w:rPr>
      </w:pPr>
    </w:p>
    <w:p w14:paraId="7FCE18F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9AA7241">
      <w:pPr>
        <w:snapToGrid w:val="0"/>
        <w:spacing w:before="156" w:beforeLines="50" w:after="50"/>
        <w:ind w:firstLine="720" w:firstLineChars="225"/>
        <w:rPr>
          <w:rFonts w:hint="eastAsia" w:ascii="宋体" w:hAnsi="宋体" w:cs="仿宋_GB2312"/>
          <w:bCs/>
          <w:color w:val="auto"/>
          <w:sz w:val="32"/>
          <w:szCs w:val="32"/>
          <w:highlight w:val="none"/>
        </w:rPr>
      </w:pPr>
    </w:p>
    <w:p w14:paraId="196AEDEF">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11B02F4">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14AF5B2">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5297544">
      <w:pPr>
        <w:snapToGrid w:val="0"/>
        <w:spacing w:before="156" w:beforeLines="50" w:after="50"/>
        <w:ind w:firstLine="720" w:firstLineChars="225"/>
        <w:rPr>
          <w:rFonts w:hint="eastAsia" w:ascii="宋体" w:hAnsi="宋体" w:cs="仿宋_GB2312"/>
          <w:bCs/>
          <w:color w:val="auto"/>
          <w:sz w:val="32"/>
          <w:szCs w:val="32"/>
          <w:highlight w:val="none"/>
        </w:rPr>
      </w:pPr>
    </w:p>
    <w:p w14:paraId="44823B47">
      <w:pPr>
        <w:pStyle w:val="5"/>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D24F376">
      <w:pPr>
        <w:snapToGrid w:val="0"/>
        <w:spacing w:before="156" w:beforeLines="50" w:after="50"/>
        <w:ind w:firstLine="640" w:firstLineChars="200"/>
        <w:rPr>
          <w:rFonts w:hint="eastAsia" w:ascii="宋体" w:hAnsi="宋体" w:cs="仿宋_GB2312"/>
          <w:bCs/>
          <w:color w:val="auto"/>
          <w:sz w:val="32"/>
          <w:szCs w:val="32"/>
          <w:highlight w:val="none"/>
        </w:rPr>
      </w:pPr>
    </w:p>
    <w:p w14:paraId="7704A8C4">
      <w:pPr>
        <w:pStyle w:val="5"/>
        <w:snapToGrid w:val="0"/>
        <w:spacing w:before="50" w:after="50"/>
        <w:ind w:firstLine="720" w:firstLineChars="225"/>
        <w:rPr>
          <w:rFonts w:hint="eastAsia" w:ascii="宋体" w:hAnsi="宋体" w:cs="仿宋_GB2312"/>
          <w:bCs/>
          <w:color w:val="auto"/>
          <w:sz w:val="32"/>
          <w:szCs w:val="32"/>
          <w:highlight w:val="none"/>
        </w:rPr>
      </w:pPr>
    </w:p>
    <w:p w14:paraId="2CAA5601">
      <w:pPr>
        <w:pStyle w:val="5"/>
        <w:snapToGrid w:val="0"/>
        <w:spacing w:before="50" w:after="50"/>
        <w:ind w:firstLine="720" w:firstLineChars="225"/>
        <w:rPr>
          <w:rFonts w:hint="eastAsia" w:ascii="宋体" w:hAnsi="宋体" w:cs="仿宋_GB2312"/>
          <w:bCs/>
          <w:color w:val="auto"/>
          <w:sz w:val="32"/>
          <w:szCs w:val="32"/>
          <w:highlight w:val="none"/>
        </w:rPr>
      </w:pPr>
    </w:p>
    <w:p w14:paraId="28E6E440">
      <w:pPr>
        <w:pStyle w:val="5"/>
        <w:snapToGrid w:val="0"/>
        <w:spacing w:before="50" w:after="50"/>
        <w:ind w:firstLine="1280" w:firstLineChars="400"/>
        <w:rPr>
          <w:rFonts w:hint="eastAsia" w:ascii="宋体" w:hAnsi="宋体" w:cs="仿宋_GB2312"/>
          <w:bCs/>
          <w:color w:val="auto"/>
          <w:sz w:val="32"/>
          <w:szCs w:val="32"/>
          <w:highlight w:val="none"/>
        </w:rPr>
      </w:pPr>
    </w:p>
    <w:p w14:paraId="6A74F9CC">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36219DF">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2DD1068">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5A4DEFBF">
      <w:pPr>
        <w:snapToGrid w:val="0"/>
        <w:spacing w:before="156"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63FB71F3">
      <w:pPr>
        <w:spacing w:line="360" w:lineRule="auto"/>
        <w:rPr>
          <w:rFonts w:hint="eastAsia" w:ascii="宋体" w:hAnsi="宋体"/>
          <w:color w:val="auto"/>
          <w:szCs w:val="21"/>
          <w:highlight w:val="none"/>
        </w:rPr>
      </w:pPr>
    </w:p>
    <w:p w14:paraId="707E6E34">
      <w:pPr>
        <w:spacing w:line="360" w:lineRule="auto"/>
        <w:rPr>
          <w:rFonts w:hint="eastAsia" w:ascii="宋体" w:hAnsi="宋体"/>
          <w:color w:val="auto"/>
          <w:szCs w:val="21"/>
          <w:highlight w:val="none"/>
        </w:rPr>
      </w:pPr>
    </w:p>
    <w:p w14:paraId="18FDFD68">
      <w:pPr>
        <w:spacing w:line="360" w:lineRule="auto"/>
        <w:rPr>
          <w:rFonts w:hint="eastAsia" w:ascii="宋体" w:hAnsi="宋体"/>
          <w:color w:val="auto"/>
          <w:szCs w:val="21"/>
          <w:highlight w:val="none"/>
        </w:rPr>
      </w:pPr>
    </w:p>
    <w:p w14:paraId="08698D4B">
      <w:pPr>
        <w:spacing w:line="360" w:lineRule="auto"/>
        <w:rPr>
          <w:rFonts w:hint="eastAsia" w:ascii="宋体" w:hAnsi="宋体"/>
          <w:color w:val="auto"/>
          <w:szCs w:val="21"/>
          <w:highlight w:val="none"/>
        </w:rPr>
      </w:pPr>
    </w:p>
    <w:p w14:paraId="4FF139B1">
      <w:pPr>
        <w:spacing w:line="300" w:lineRule="auto"/>
        <w:rPr>
          <w:rFonts w:hint="eastAsia" w:ascii="宋体" w:hAnsi="宋体"/>
          <w:color w:val="auto"/>
          <w:szCs w:val="21"/>
          <w:highlight w:val="none"/>
        </w:rPr>
      </w:pPr>
    </w:p>
    <w:p w14:paraId="407A1012">
      <w:pPr>
        <w:spacing w:line="300" w:lineRule="auto"/>
        <w:rPr>
          <w:rFonts w:hint="eastAsia" w:ascii="宋体" w:hAnsi="宋体"/>
          <w:color w:val="auto"/>
          <w:szCs w:val="21"/>
          <w:highlight w:val="none"/>
        </w:rPr>
      </w:pPr>
    </w:p>
    <w:p w14:paraId="0BB11AE8">
      <w:pPr>
        <w:spacing w:line="300" w:lineRule="auto"/>
        <w:rPr>
          <w:rFonts w:hint="eastAsia" w:ascii="宋体" w:hAnsi="宋体"/>
          <w:color w:val="auto"/>
          <w:szCs w:val="21"/>
          <w:highlight w:val="none"/>
        </w:rPr>
      </w:pPr>
    </w:p>
    <w:p w14:paraId="7EC79782">
      <w:pPr>
        <w:spacing w:line="300" w:lineRule="auto"/>
        <w:rPr>
          <w:rFonts w:hint="eastAsia" w:ascii="宋体" w:hAnsi="宋体"/>
          <w:color w:val="auto"/>
          <w:szCs w:val="21"/>
          <w:highlight w:val="none"/>
        </w:rPr>
      </w:pPr>
    </w:p>
    <w:p w14:paraId="72D42F35">
      <w:pPr>
        <w:spacing w:line="300" w:lineRule="auto"/>
        <w:rPr>
          <w:rFonts w:hint="eastAsia" w:ascii="宋体" w:hAnsi="宋体"/>
          <w:color w:val="auto"/>
          <w:szCs w:val="21"/>
          <w:highlight w:val="none"/>
        </w:rPr>
      </w:pPr>
    </w:p>
    <w:p w14:paraId="43F0B07E">
      <w:pPr>
        <w:spacing w:line="300" w:lineRule="auto"/>
        <w:rPr>
          <w:rFonts w:hint="eastAsia" w:ascii="宋体" w:hAnsi="宋体"/>
          <w:color w:val="auto"/>
          <w:szCs w:val="21"/>
          <w:highlight w:val="none"/>
        </w:rPr>
      </w:pPr>
    </w:p>
    <w:p w14:paraId="156102F9">
      <w:pPr>
        <w:spacing w:line="300" w:lineRule="auto"/>
        <w:rPr>
          <w:rFonts w:hint="eastAsia" w:ascii="宋体" w:hAnsi="宋体"/>
          <w:color w:val="auto"/>
          <w:szCs w:val="21"/>
          <w:highlight w:val="none"/>
        </w:rPr>
      </w:pPr>
    </w:p>
    <w:p w14:paraId="445EB79B">
      <w:pPr>
        <w:spacing w:line="300" w:lineRule="auto"/>
        <w:rPr>
          <w:rFonts w:hint="eastAsia" w:ascii="宋体" w:hAnsi="宋体"/>
          <w:color w:val="auto"/>
          <w:szCs w:val="21"/>
          <w:highlight w:val="none"/>
        </w:rPr>
      </w:pPr>
    </w:p>
    <w:p w14:paraId="6262187B">
      <w:pPr>
        <w:spacing w:line="300" w:lineRule="auto"/>
        <w:rPr>
          <w:rFonts w:hint="eastAsia" w:ascii="宋体" w:hAnsi="宋体"/>
          <w:color w:val="auto"/>
          <w:szCs w:val="21"/>
          <w:highlight w:val="none"/>
        </w:rPr>
      </w:pPr>
    </w:p>
    <w:p w14:paraId="520B4069">
      <w:pPr>
        <w:spacing w:line="300" w:lineRule="auto"/>
        <w:rPr>
          <w:rFonts w:hint="eastAsia" w:ascii="宋体" w:hAnsi="宋体"/>
          <w:color w:val="auto"/>
          <w:szCs w:val="21"/>
          <w:highlight w:val="none"/>
        </w:rPr>
      </w:pPr>
    </w:p>
    <w:p w14:paraId="056195F8">
      <w:pPr>
        <w:spacing w:line="300" w:lineRule="auto"/>
        <w:rPr>
          <w:rFonts w:hint="eastAsia" w:ascii="宋体" w:hAnsi="宋体"/>
          <w:color w:val="auto"/>
          <w:szCs w:val="21"/>
          <w:highlight w:val="none"/>
        </w:rPr>
      </w:pPr>
    </w:p>
    <w:p w14:paraId="5852CDFE">
      <w:pPr>
        <w:spacing w:line="320" w:lineRule="exact"/>
        <w:jc w:val="left"/>
        <w:rPr>
          <w:rFonts w:hint="eastAsia" w:ascii="宋体" w:hAnsi="宋体"/>
          <w:color w:val="auto"/>
          <w:szCs w:val="21"/>
          <w:highlight w:val="none"/>
        </w:rPr>
      </w:pPr>
    </w:p>
    <w:p w14:paraId="36ADD0FC">
      <w:pPr>
        <w:snapToGrid w:val="0"/>
        <w:spacing w:before="156" w:beforeLines="50" w:after="50"/>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4C4D0B6C">
      <w:pPr>
        <w:snapToGrid w:val="0"/>
        <w:spacing w:before="156" w:beforeLines="50" w:after="50"/>
        <w:jc w:val="center"/>
        <w:rPr>
          <w:rFonts w:hint="eastAsia" w:ascii="宋体" w:hAnsi="宋体"/>
          <w:b/>
          <w:color w:val="auto"/>
          <w:sz w:val="32"/>
          <w:szCs w:val="32"/>
          <w:highlight w:val="none"/>
        </w:rPr>
      </w:pPr>
    </w:p>
    <w:p w14:paraId="2A1152AC">
      <w:pPr>
        <w:snapToGrid w:val="0"/>
        <w:spacing w:before="156"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589FD6BB">
      <w:pPr>
        <w:snapToGrid w:val="0"/>
        <w:spacing w:before="50" w:after="156" w:afterLines="50"/>
        <w:jc w:val="center"/>
        <w:rPr>
          <w:rFonts w:hint="eastAsia" w:ascii="宋体" w:hAnsi="宋体"/>
          <w:b/>
          <w:color w:val="auto"/>
          <w:sz w:val="32"/>
          <w:szCs w:val="32"/>
          <w:highlight w:val="none"/>
        </w:rPr>
      </w:pPr>
    </w:p>
    <w:tbl>
      <w:tblPr>
        <w:tblStyle w:val="2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1BC5E2A">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FC185D4">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571D071">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9536DF">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7AC04B">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D0962BD">
            <w:pPr>
              <w:widowControl/>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692CFB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5D9722">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C4EFF0">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2DF254">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2306E4">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0C7907">
            <w:pPr>
              <w:widowControl/>
              <w:spacing w:line="360" w:lineRule="auto"/>
              <w:jc w:val="center"/>
              <w:rPr>
                <w:rFonts w:hint="eastAsia" w:ascii="宋体" w:hAnsi="宋体" w:cs="宋体"/>
                <w:color w:val="auto"/>
                <w:kern w:val="0"/>
                <w:sz w:val="28"/>
                <w:szCs w:val="28"/>
                <w:highlight w:val="none"/>
              </w:rPr>
            </w:pPr>
          </w:p>
        </w:tc>
      </w:tr>
      <w:tr w14:paraId="71BBD70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4C59AF">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31A8CE">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748FF9">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122F6F">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883A47">
            <w:pPr>
              <w:widowControl/>
              <w:spacing w:line="360" w:lineRule="auto"/>
              <w:jc w:val="center"/>
              <w:rPr>
                <w:rFonts w:hint="eastAsia" w:ascii="宋体" w:hAnsi="宋体" w:cs="宋体"/>
                <w:color w:val="auto"/>
                <w:kern w:val="0"/>
                <w:sz w:val="28"/>
                <w:szCs w:val="28"/>
                <w:highlight w:val="none"/>
              </w:rPr>
            </w:pPr>
          </w:p>
        </w:tc>
      </w:tr>
      <w:tr w14:paraId="19BFE8A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22F4C9">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2C0CDD">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4FB8A6">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DA41C3">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5408E6">
            <w:pPr>
              <w:widowControl/>
              <w:spacing w:line="360" w:lineRule="auto"/>
              <w:jc w:val="center"/>
              <w:rPr>
                <w:rFonts w:hint="eastAsia" w:ascii="宋体" w:hAnsi="宋体" w:cs="宋体"/>
                <w:color w:val="auto"/>
                <w:kern w:val="0"/>
                <w:sz w:val="28"/>
                <w:szCs w:val="28"/>
                <w:highlight w:val="none"/>
              </w:rPr>
            </w:pPr>
          </w:p>
        </w:tc>
      </w:tr>
      <w:tr w14:paraId="2199A18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D956ED">
            <w:pPr>
              <w:widowControl/>
              <w:spacing w:line="36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A710A7">
            <w:pPr>
              <w:widowControl/>
              <w:spacing w:line="360" w:lineRule="auto"/>
              <w:jc w:val="center"/>
              <w:rPr>
                <w:rFonts w:hint="eastAsia"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57AC65">
            <w:pPr>
              <w:widowControl/>
              <w:spacing w:line="360" w:lineRule="auto"/>
              <w:jc w:val="center"/>
              <w:rPr>
                <w:rFonts w:hint="eastAsia"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D7E82D">
            <w:pPr>
              <w:widowControl/>
              <w:spacing w:line="360" w:lineRule="auto"/>
              <w:jc w:val="center"/>
              <w:rPr>
                <w:rFonts w:hint="eastAsia"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974AD">
            <w:pPr>
              <w:widowControl/>
              <w:spacing w:line="360" w:lineRule="auto"/>
              <w:jc w:val="center"/>
              <w:rPr>
                <w:rFonts w:hint="eastAsia" w:ascii="宋体" w:hAnsi="宋体" w:cs="宋体"/>
                <w:color w:val="auto"/>
                <w:kern w:val="0"/>
                <w:sz w:val="28"/>
                <w:szCs w:val="28"/>
                <w:highlight w:val="none"/>
              </w:rPr>
            </w:pPr>
          </w:p>
        </w:tc>
      </w:tr>
    </w:tbl>
    <w:p w14:paraId="08417719">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220D2A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C19493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A6DEC8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36444BDF">
      <w:pPr>
        <w:spacing w:line="360" w:lineRule="auto"/>
        <w:ind w:firstLine="420" w:firstLineChars="200"/>
        <w:contextualSpacing/>
        <w:jc w:val="left"/>
        <w:rPr>
          <w:rFonts w:ascii="宋体" w:hAnsi="宋体" w:cs="宋体"/>
          <w:color w:val="auto"/>
          <w:szCs w:val="21"/>
          <w:highlight w:val="none"/>
        </w:rPr>
      </w:pPr>
    </w:p>
    <w:p w14:paraId="4A957605">
      <w:pPr>
        <w:spacing w:line="360" w:lineRule="auto"/>
        <w:ind w:firstLine="560" w:firstLineChars="200"/>
        <w:contextualSpacing/>
        <w:jc w:val="left"/>
        <w:rPr>
          <w:rFonts w:hint="eastAsia" w:ascii="宋体" w:hAnsi="宋体" w:cs="宋体"/>
          <w:color w:val="auto"/>
          <w:sz w:val="28"/>
          <w:szCs w:val="28"/>
          <w:highlight w:val="none"/>
        </w:rPr>
      </w:pPr>
    </w:p>
    <w:p w14:paraId="31D3C351">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AD6A734">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234E52A5">
      <w:pPr>
        <w:spacing w:line="360" w:lineRule="auto"/>
        <w:ind w:right="480" w:firstLine="5280" w:firstLineChars="220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5D48CC0">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0CD96F72">
      <w:pPr>
        <w:snapToGrid w:val="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32A5363D">
      <w:pPr>
        <w:snapToGrid w:val="0"/>
        <w:jc w:val="center"/>
        <w:rPr>
          <w:rFonts w:hint="eastAsia" w:ascii="宋体" w:hAnsi="宋体"/>
          <w:b/>
          <w:color w:val="auto"/>
          <w:sz w:val="32"/>
          <w:szCs w:val="32"/>
          <w:highlight w:val="none"/>
        </w:rPr>
      </w:pPr>
    </w:p>
    <w:tbl>
      <w:tblPr>
        <w:tblStyle w:val="2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95D440F">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7C6526">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FFB0409">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A49358">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FE72DC0">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1023FF4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4A91E2">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AB8262">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6F9D30">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817A99">
            <w:pPr>
              <w:widowControl/>
              <w:wordWrap w:val="0"/>
              <w:spacing w:line="200" w:lineRule="atLeast"/>
              <w:jc w:val="center"/>
              <w:rPr>
                <w:rFonts w:ascii="宋体" w:hAnsi="宋体" w:cs="宋体"/>
                <w:color w:val="auto"/>
                <w:kern w:val="0"/>
                <w:sz w:val="28"/>
                <w:szCs w:val="28"/>
                <w:highlight w:val="none"/>
              </w:rPr>
            </w:pPr>
          </w:p>
        </w:tc>
      </w:tr>
      <w:tr w14:paraId="336C139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602FBD">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3BE961">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545B04">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40CBC8">
            <w:pPr>
              <w:widowControl/>
              <w:wordWrap w:val="0"/>
              <w:spacing w:line="200" w:lineRule="atLeast"/>
              <w:jc w:val="center"/>
              <w:rPr>
                <w:rFonts w:ascii="宋体" w:hAnsi="宋体" w:cs="宋体"/>
                <w:color w:val="auto"/>
                <w:kern w:val="0"/>
                <w:sz w:val="28"/>
                <w:szCs w:val="28"/>
                <w:highlight w:val="none"/>
              </w:rPr>
            </w:pPr>
          </w:p>
        </w:tc>
      </w:tr>
      <w:tr w14:paraId="7263CDF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776907">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60C34C">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AE826D">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516D1A">
            <w:pPr>
              <w:widowControl/>
              <w:wordWrap w:val="0"/>
              <w:spacing w:line="200" w:lineRule="atLeast"/>
              <w:jc w:val="center"/>
              <w:rPr>
                <w:rFonts w:ascii="宋体" w:hAnsi="宋体" w:cs="宋体"/>
                <w:color w:val="auto"/>
                <w:kern w:val="0"/>
                <w:sz w:val="28"/>
                <w:szCs w:val="28"/>
                <w:highlight w:val="none"/>
              </w:rPr>
            </w:pPr>
          </w:p>
        </w:tc>
      </w:tr>
      <w:tr w14:paraId="3E9B700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7F6CA0">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9E73D4">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9D5C31">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A64F0B">
            <w:pPr>
              <w:widowControl/>
              <w:wordWrap w:val="0"/>
              <w:spacing w:line="200" w:lineRule="atLeast"/>
              <w:jc w:val="center"/>
              <w:rPr>
                <w:rFonts w:ascii="宋体" w:hAnsi="宋体" w:cs="宋体"/>
                <w:color w:val="auto"/>
                <w:kern w:val="0"/>
                <w:sz w:val="28"/>
                <w:szCs w:val="28"/>
                <w:highlight w:val="none"/>
              </w:rPr>
            </w:pPr>
          </w:p>
        </w:tc>
      </w:tr>
    </w:tbl>
    <w:p w14:paraId="105E870F">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362BF15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1DDDD69">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830BC3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030857E7">
      <w:pPr>
        <w:spacing w:line="360" w:lineRule="auto"/>
        <w:contextualSpacing/>
        <w:jc w:val="left"/>
        <w:rPr>
          <w:rFonts w:hint="eastAsia" w:ascii="宋体" w:hAnsi="宋体"/>
          <w:color w:val="auto"/>
          <w:sz w:val="28"/>
          <w:szCs w:val="28"/>
          <w:highlight w:val="none"/>
        </w:rPr>
      </w:pPr>
    </w:p>
    <w:p w14:paraId="47377266">
      <w:pPr>
        <w:spacing w:line="360" w:lineRule="auto"/>
        <w:contextualSpacing/>
        <w:jc w:val="left"/>
        <w:rPr>
          <w:rFonts w:hint="eastAsia" w:ascii="宋体" w:hAnsi="宋体"/>
          <w:color w:val="auto"/>
          <w:sz w:val="28"/>
          <w:szCs w:val="28"/>
          <w:highlight w:val="none"/>
        </w:rPr>
      </w:pPr>
    </w:p>
    <w:p w14:paraId="74544B30">
      <w:pPr>
        <w:spacing w:line="360" w:lineRule="auto"/>
        <w:contextualSpacing/>
        <w:jc w:val="left"/>
        <w:rPr>
          <w:rFonts w:hint="eastAsia"/>
          <w:color w:val="auto"/>
          <w:sz w:val="28"/>
          <w:szCs w:val="28"/>
          <w:highlight w:val="none"/>
        </w:rPr>
      </w:pPr>
    </w:p>
    <w:p w14:paraId="6D9B2FCB">
      <w:pPr>
        <w:spacing w:line="360" w:lineRule="auto"/>
        <w:contextualSpacing/>
        <w:jc w:val="left"/>
        <w:rPr>
          <w:rFonts w:hint="eastAsia"/>
          <w:color w:val="auto"/>
          <w:sz w:val="28"/>
          <w:szCs w:val="28"/>
          <w:highlight w:val="none"/>
        </w:rPr>
      </w:pPr>
    </w:p>
    <w:p w14:paraId="409CFEC3">
      <w:pPr>
        <w:spacing w:line="360" w:lineRule="auto"/>
        <w:contextualSpacing/>
        <w:jc w:val="left"/>
        <w:rPr>
          <w:rFonts w:hint="eastAsia"/>
          <w:color w:val="auto"/>
          <w:sz w:val="28"/>
          <w:szCs w:val="28"/>
          <w:highlight w:val="none"/>
        </w:rPr>
      </w:pPr>
    </w:p>
    <w:p w14:paraId="5E4AEDB4">
      <w:pPr>
        <w:spacing w:line="360" w:lineRule="auto"/>
        <w:contextualSpacing/>
        <w:jc w:val="left"/>
        <w:rPr>
          <w:rFonts w:hint="eastAsia" w:ascii="宋体" w:hAnsi="宋体"/>
          <w:color w:val="auto"/>
          <w:sz w:val="28"/>
          <w:szCs w:val="28"/>
          <w:highlight w:val="none"/>
        </w:rPr>
      </w:pPr>
    </w:p>
    <w:p w14:paraId="78C1ED8D">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7267112">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0DD33092">
      <w:pPr>
        <w:spacing w:line="360" w:lineRule="auto"/>
        <w:ind w:right="480" w:firstLine="240" w:firstLineChars="10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6EAEFAED">
      <w:pPr>
        <w:spacing w:line="500" w:lineRule="exact"/>
        <w:jc w:val="center"/>
        <w:rPr>
          <w:rFonts w:hint="eastAsia" w:ascii="方正小标宋简体" w:hAnsi="宋体" w:eastAsia="方正小标宋简体"/>
          <w:b/>
          <w:color w:val="auto"/>
          <w:sz w:val="32"/>
          <w:szCs w:val="32"/>
          <w:highlight w:val="none"/>
        </w:rPr>
      </w:pPr>
      <w:r>
        <w:rPr>
          <w:rFonts w:ascii="宋体" w:hAnsi="宋体"/>
          <w:b/>
          <w:color w:val="auto"/>
          <w:sz w:val="32"/>
          <w:szCs w:val="32"/>
          <w:highlight w:val="none"/>
        </w:rPr>
        <w:br w:type="page"/>
      </w:r>
      <w:r>
        <w:rPr>
          <w:rFonts w:hint="eastAsia" w:ascii="方正小标宋简体" w:hAnsi="宋体" w:eastAsia="方正小标宋简体"/>
          <w:b/>
          <w:color w:val="auto"/>
          <w:sz w:val="32"/>
          <w:szCs w:val="32"/>
          <w:highlight w:val="none"/>
        </w:rPr>
        <w:t>竞标声明</w:t>
      </w:r>
    </w:p>
    <w:p w14:paraId="095A0E41">
      <w:pPr>
        <w:spacing w:line="320" w:lineRule="exact"/>
        <w:jc w:val="center"/>
        <w:rPr>
          <w:rFonts w:hint="eastAsia" w:ascii="宋体" w:hAnsi="宋体"/>
          <w:color w:val="auto"/>
          <w:sz w:val="24"/>
          <w:szCs w:val="20"/>
          <w:highlight w:val="none"/>
        </w:rPr>
      </w:pPr>
    </w:p>
    <w:p w14:paraId="1BA3CEF0">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7FA888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D7E1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3A7EDF0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8FCEAF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31EC18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EACFFE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60AFD1B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329812B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71A9EB4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（4）响应谈判文件规定的竞标有效期。</w:t>
      </w:r>
    </w:p>
    <w:p w14:paraId="28997C1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979816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3CC2D52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59BD54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7D72AD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1C75D0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26BFC6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5F596E3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6C2E93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83BAE6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5F4A15B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E1236B4">
      <w:pPr>
        <w:pStyle w:val="12"/>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067C6DB5">
      <w:pPr>
        <w:pStyle w:val="12"/>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w:t>
      </w:r>
      <w:r>
        <w:rPr>
          <w:rFonts w:hint="eastAsia" w:hAnsi="宋体" w:cs="宋体"/>
          <w:color w:val="auto"/>
          <w:sz w:val="24"/>
          <w:szCs w:val="24"/>
          <w:highlight w:val="none"/>
          <w:lang w:eastAsia="zh-CN"/>
        </w:rPr>
        <w:t>邮箱</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4C15B13D">
      <w:pPr>
        <w:pStyle w:val="1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1FFE2EA1">
      <w:pPr>
        <w:pStyle w:val="1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F8CA067">
      <w:pPr>
        <w:pStyle w:val="11"/>
        <w:tabs>
          <w:tab w:val="left" w:pos="939"/>
        </w:tabs>
        <w:spacing w:line="360" w:lineRule="auto"/>
        <w:ind w:left="141" w:leftChars="67" w:firstLine="360" w:firstLineChars="150"/>
        <w:rPr>
          <w:rFonts w:hint="eastAsia" w:ascii="宋体" w:hAnsi="宋体" w:cs="宋体"/>
          <w:color w:val="auto"/>
          <w:szCs w:val="21"/>
          <w:highlight w:val="none"/>
        </w:rPr>
      </w:pPr>
      <w:r>
        <w:rPr>
          <w:rFonts w:hint="eastAsia" w:ascii="宋体" w:hAnsi="宋体" w:cs="宋体"/>
          <w:color w:val="auto"/>
          <w:sz w:val="24"/>
          <w:highlight w:val="none"/>
        </w:rPr>
        <w:t>特此承诺。</w:t>
      </w:r>
    </w:p>
    <w:p w14:paraId="3463E97D">
      <w:pPr>
        <w:spacing w:line="360" w:lineRule="auto"/>
        <w:contextualSpacing/>
        <w:jc w:val="left"/>
        <w:rPr>
          <w:rFonts w:hint="eastAsia"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注：如为联合体竞标，盖章处须加盖联合体牵头人电子签章并由联合体牵头人法定代表人分别签字或者盖章或者电子签名，否则响应文件按无效处理。</w:t>
      </w:r>
    </w:p>
    <w:p w14:paraId="2D93C7B6">
      <w:pPr>
        <w:spacing w:line="360" w:lineRule="auto"/>
        <w:contextualSpacing/>
        <w:jc w:val="left"/>
        <w:rPr>
          <w:rFonts w:hint="eastAsia" w:ascii="宋体" w:hAnsi="宋体" w:cs="宋体"/>
          <w:color w:val="auto"/>
          <w:szCs w:val="21"/>
          <w:highlight w:val="none"/>
        </w:rPr>
      </w:pPr>
    </w:p>
    <w:p w14:paraId="64B10C81">
      <w:pPr>
        <w:spacing w:line="360" w:lineRule="auto"/>
        <w:ind w:firstLine="1807" w:firstLineChars="750"/>
        <w:contextualSpacing/>
        <w:rPr>
          <w:rFonts w:hint="eastAsia"/>
          <w:color w:val="auto"/>
          <w:highlight w:val="none"/>
        </w:rPr>
      </w:pPr>
      <w:r>
        <w:rPr>
          <w:rFonts w:hint="eastAsia" w:ascii="宋体" w:hAnsi="宋体" w:eastAsia="宋体" w:cs="Times New Roman"/>
          <w:b/>
          <w:bCs/>
          <w:color w:val="auto"/>
          <w:sz w:val="24"/>
          <w:highlight w:val="none"/>
        </w:rPr>
        <w:t>法定代表人</w:t>
      </w:r>
      <w:r>
        <w:rPr>
          <w:rFonts w:hint="eastAsia" w:ascii="宋体" w:hAnsi="宋体" w:eastAsia="宋体" w:cs="Times New Roman"/>
          <w:color w:val="auto"/>
          <w:sz w:val="24"/>
          <w:highlight w:val="none"/>
        </w:rPr>
        <w:t>（签字或者盖章或者</w:t>
      </w:r>
      <w:r>
        <w:rPr>
          <w:rFonts w:hint="eastAsia" w:ascii="宋体" w:hAnsi="宋体"/>
          <w:color w:val="auto"/>
          <w:sz w:val="24"/>
          <w:highlight w:val="none"/>
        </w:rPr>
        <w:t>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523EDEC0">
      <w:pPr>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供应商名称（电子签章）：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16F57748">
      <w:pPr>
        <w:spacing w:line="360" w:lineRule="auto"/>
        <w:ind w:right="482" w:firstLine="210" w:firstLineChars="100"/>
        <w:contextualSpacing/>
        <w:jc w:val="center"/>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0DAE4739">
      <w:pPr>
        <w:spacing w:line="360" w:lineRule="auto"/>
        <w:contextualSpacing/>
        <w:jc w:val="both"/>
        <w:rPr>
          <w:rFonts w:hint="eastAsia" w:ascii="宋体" w:hAnsi="宋体" w:cs="仿宋_GB2312"/>
          <w:color w:val="auto"/>
          <w:sz w:val="24"/>
          <w:highlight w:val="none"/>
        </w:rPr>
      </w:pPr>
    </w:p>
    <w:p w14:paraId="7B868192">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1D939E8C">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5F94FFBC">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10595D1">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14A9A57D">
      <w:pPr>
        <w:snapToGrid w:val="0"/>
        <w:spacing w:before="156" w:beforeLines="50" w:after="50"/>
        <w:rPr>
          <w:rFonts w:hint="eastAsia" w:ascii="宋体" w:hAnsi="宋体"/>
          <w:color w:val="auto"/>
          <w:sz w:val="24"/>
          <w:szCs w:val="20"/>
          <w:highlight w:val="none"/>
        </w:rPr>
      </w:pPr>
    </w:p>
    <w:p w14:paraId="15E57E7C">
      <w:pPr>
        <w:snapToGrid w:val="0"/>
        <w:spacing w:before="156" w:beforeLines="50" w:after="50"/>
        <w:rPr>
          <w:rFonts w:hint="eastAsia" w:ascii="宋体" w:hAnsi="宋体"/>
          <w:color w:val="auto"/>
          <w:sz w:val="24"/>
          <w:szCs w:val="20"/>
          <w:highlight w:val="none"/>
        </w:rPr>
      </w:pPr>
    </w:p>
    <w:p w14:paraId="5D133F72">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2E5CFECC">
      <w:pPr>
        <w:snapToGrid w:val="0"/>
        <w:spacing w:before="156" w:beforeLines="50" w:after="50"/>
        <w:rPr>
          <w:rFonts w:hint="eastAsia" w:ascii="宋体" w:hAnsi="宋体"/>
          <w:bCs/>
          <w:color w:val="auto"/>
          <w:sz w:val="24"/>
          <w:szCs w:val="20"/>
          <w:highlight w:val="none"/>
        </w:rPr>
      </w:pPr>
    </w:p>
    <w:p w14:paraId="683763FE">
      <w:pPr>
        <w:snapToGrid w:val="0"/>
        <w:spacing w:before="156" w:beforeLines="50" w:after="50"/>
        <w:rPr>
          <w:rFonts w:hint="eastAsia" w:ascii="宋体" w:hAnsi="宋体"/>
          <w:bCs/>
          <w:color w:val="auto"/>
          <w:sz w:val="24"/>
          <w:szCs w:val="20"/>
          <w:highlight w:val="none"/>
        </w:rPr>
      </w:pPr>
    </w:p>
    <w:p w14:paraId="771F8A2C">
      <w:pPr>
        <w:snapToGrid w:val="0"/>
        <w:spacing w:before="156" w:beforeLines="50" w:after="50"/>
        <w:rPr>
          <w:rFonts w:hint="eastAsia" w:ascii="宋体" w:hAnsi="宋体"/>
          <w:bCs/>
          <w:color w:val="auto"/>
          <w:sz w:val="24"/>
          <w:szCs w:val="20"/>
          <w:highlight w:val="none"/>
        </w:rPr>
      </w:pPr>
    </w:p>
    <w:p w14:paraId="74DC1F75">
      <w:pPr>
        <w:snapToGrid w:val="0"/>
        <w:spacing w:before="156" w:beforeLines="50" w:after="50"/>
        <w:rPr>
          <w:rFonts w:hint="eastAsia" w:ascii="宋体" w:hAnsi="宋体"/>
          <w:bCs/>
          <w:color w:val="auto"/>
          <w:sz w:val="24"/>
          <w:szCs w:val="20"/>
          <w:highlight w:val="none"/>
        </w:rPr>
      </w:pPr>
    </w:p>
    <w:p w14:paraId="57419553">
      <w:pPr>
        <w:snapToGrid w:val="0"/>
        <w:spacing w:before="156" w:beforeLines="50" w:after="50"/>
        <w:rPr>
          <w:rFonts w:hint="eastAsia" w:ascii="宋体" w:hAnsi="宋体"/>
          <w:bCs/>
          <w:color w:val="auto"/>
          <w:sz w:val="24"/>
          <w:szCs w:val="20"/>
          <w:highlight w:val="none"/>
        </w:rPr>
      </w:pPr>
    </w:p>
    <w:p w14:paraId="5190494E">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30E53D3">
      <w:pPr>
        <w:snapToGrid w:val="0"/>
        <w:spacing w:before="156" w:beforeLines="50" w:after="50"/>
        <w:ind w:firstLine="720" w:firstLineChars="225"/>
        <w:rPr>
          <w:rFonts w:hint="eastAsia" w:ascii="宋体" w:hAnsi="宋体" w:cs="仿宋_GB2312"/>
          <w:bCs/>
          <w:color w:val="auto"/>
          <w:sz w:val="32"/>
          <w:szCs w:val="32"/>
          <w:highlight w:val="none"/>
        </w:rPr>
      </w:pPr>
    </w:p>
    <w:p w14:paraId="224A0647">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61B78E6">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9A37A1E">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48C3E612">
      <w:pPr>
        <w:snapToGrid w:val="0"/>
        <w:spacing w:before="156" w:beforeLines="50" w:after="50"/>
        <w:ind w:firstLine="720" w:firstLineChars="225"/>
        <w:rPr>
          <w:rFonts w:hint="eastAsia" w:ascii="宋体" w:hAnsi="宋体" w:cs="仿宋_GB2312"/>
          <w:bCs/>
          <w:color w:val="auto"/>
          <w:sz w:val="32"/>
          <w:szCs w:val="32"/>
          <w:highlight w:val="none"/>
        </w:rPr>
      </w:pPr>
    </w:p>
    <w:p w14:paraId="39B27F05">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40596EA">
      <w:pPr>
        <w:pStyle w:val="5"/>
        <w:snapToGrid w:val="0"/>
        <w:spacing w:before="50" w:after="50"/>
        <w:ind w:firstLine="640" w:firstLineChars="200"/>
        <w:rPr>
          <w:rFonts w:hint="eastAsia" w:ascii="宋体" w:hAnsi="宋体" w:cs="仿宋_GB2312"/>
          <w:bCs/>
          <w:color w:val="auto"/>
          <w:sz w:val="32"/>
          <w:szCs w:val="32"/>
          <w:highlight w:val="none"/>
        </w:rPr>
      </w:pPr>
    </w:p>
    <w:p w14:paraId="3360FABF">
      <w:pPr>
        <w:pStyle w:val="5"/>
        <w:snapToGrid w:val="0"/>
        <w:spacing w:before="50" w:after="50"/>
        <w:ind w:firstLine="720" w:firstLineChars="225"/>
        <w:rPr>
          <w:rFonts w:hint="eastAsia" w:ascii="宋体" w:hAnsi="宋体" w:cs="仿宋_GB2312"/>
          <w:bCs/>
          <w:color w:val="auto"/>
          <w:sz w:val="32"/>
          <w:szCs w:val="32"/>
          <w:highlight w:val="none"/>
        </w:rPr>
      </w:pPr>
    </w:p>
    <w:p w14:paraId="60044373">
      <w:pPr>
        <w:pStyle w:val="5"/>
        <w:snapToGrid w:val="0"/>
        <w:spacing w:before="50" w:after="50"/>
        <w:ind w:firstLine="0"/>
        <w:rPr>
          <w:rFonts w:hint="eastAsia" w:ascii="宋体" w:hAnsi="宋体" w:cs="仿宋_GB2312"/>
          <w:bCs/>
          <w:color w:val="auto"/>
          <w:sz w:val="32"/>
          <w:szCs w:val="32"/>
          <w:highlight w:val="none"/>
        </w:rPr>
      </w:pPr>
    </w:p>
    <w:p w14:paraId="76B588FA">
      <w:pPr>
        <w:pStyle w:val="5"/>
        <w:snapToGrid w:val="0"/>
        <w:spacing w:before="50" w:after="50"/>
        <w:ind w:firstLine="1280" w:firstLineChars="400"/>
        <w:rPr>
          <w:rFonts w:hint="eastAsia" w:ascii="宋体" w:hAnsi="宋体" w:cs="仿宋_GB2312"/>
          <w:bCs/>
          <w:color w:val="auto"/>
          <w:sz w:val="32"/>
          <w:szCs w:val="32"/>
          <w:highlight w:val="none"/>
        </w:rPr>
      </w:pPr>
    </w:p>
    <w:p w14:paraId="768527F8">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BEF6E8D">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3A7BF7F8">
      <w:pPr>
        <w:tabs>
          <w:tab w:val="left" w:pos="3479"/>
        </w:tabs>
        <w:spacing w:line="520" w:lineRule="exact"/>
        <w:jc w:val="left"/>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15AFF232">
      <w:pPr>
        <w:tabs>
          <w:tab w:val="left" w:pos="3479"/>
        </w:tabs>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ascii="宋体" w:hAnsi="宋体"/>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2DE450EC">
      <w:pPr>
        <w:spacing w:line="520" w:lineRule="exact"/>
        <w:jc w:val="center"/>
        <w:rPr>
          <w:rFonts w:hint="eastAsia" w:ascii="方正小标宋简体" w:hAnsi="方正小标宋简体" w:eastAsia="方正小标宋简体" w:cs="方正小标宋简体"/>
          <w:bCs/>
          <w:color w:val="auto"/>
          <w:sz w:val="32"/>
          <w:szCs w:val="32"/>
          <w:highlight w:val="none"/>
        </w:rPr>
      </w:pPr>
    </w:p>
    <w:p w14:paraId="25BB5F5C">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分标（如有）：</w:t>
      </w:r>
      <w:r>
        <w:rPr>
          <w:rFonts w:hint="eastAsia" w:ascii="宋体" w:hAnsi="宋体" w:cs="仿宋_GB2312"/>
          <w:color w:val="auto"/>
          <w:sz w:val="24"/>
          <w:highlight w:val="none"/>
          <w:u w:val="single"/>
        </w:rPr>
        <w:t xml:space="preserve">            </w:t>
      </w:r>
    </w:p>
    <w:p w14:paraId="26119C84">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3DA2748A">
      <w:pPr>
        <w:snapToGrid w:val="0"/>
        <w:spacing w:before="50" w:after="50" w:line="360" w:lineRule="auto"/>
        <w:ind w:firstLine="5520" w:firstLineChars="2300"/>
        <w:rPr>
          <w:rFonts w:hint="eastAsia" w:ascii="宋体" w:hAnsi="宋体" w:cs="仿宋_GB2312"/>
          <w:color w:val="auto"/>
          <w:sz w:val="24"/>
          <w:highlight w:val="none"/>
        </w:rPr>
      </w:pPr>
    </w:p>
    <w:p w14:paraId="59F66D44">
      <w:pPr>
        <w:snapToGrid w:val="0"/>
        <w:spacing w:before="50" w:after="50" w:line="360" w:lineRule="auto"/>
        <w:jc w:val="right"/>
        <w:rPr>
          <w:rFonts w:hint="eastAsia" w:ascii="宋体" w:hAnsi="宋体"/>
          <w:color w:val="auto"/>
          <w:sz w:val="24"/>
          <w:highlight w:val="none"/>
        </w:rPr>
      </w:pPr>
      <w:r>
        <w:rPr>
          <w:rFonts w:hint="eastAsia" w:ascii="宋体" w:hAnsi="宋体"/>
          <w:color w:val="auto"/>
          <w:sz w:val="24"/>
          <w:highlight w:val="none"/>
        </w:rPr>
        <w:t>单位：元</w:t>
      </w:r>
    </w:p>
    <w:tbl>
      <w:tblPr>
        <w:tblStyle w:val="2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566"/>
        <w:gridCol w:w="1344"/>
        <w:gridCol w:w="1465"/>
        <w:gridCol w:w="1209"/>
        <w:gridCol w:w="1011"/>
        <w:gridCol w:w="1621"/>
      </w:tblGrid>
      <w:tr w14:paraId="11CF6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31F7FFF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875" w:type="pct"/>
            <w:tcBorders>
              <w:top w:val="single" w:color="auto" w:sz="4" w:space="0"/>
              <w:left w:val="single" w:color="auto" w:sz="4" w:space="0"/>
              <w:bottom w:val="single" w:color="auto" w:sz="4" w:space="0"/>
              <w:right w:val="single" w:color="auto" w:sz="4" w:space="0"/>
            </w:tcBorders>
            <w:noWrap w:val="0"/>
            <w:vAlign w:val="center"/>
          </w:tcPr>
          <w:p w14:paraId="178C4842">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标的的名称</w:t>
            </w:r>
          </w:p>
        </w:tc>
        <w:tc>
          <w:tcPr>
            <w:tcW w:w="751" w:type="pct"/>
            <w:tcBorders>
              <w:top w:val="single" w:color="auto" w:sz="4" w:space="0"/>
              <w:left w:val="single" w:color="auto" w:sz="4" w:space="0"/>
              <w:bottom w:val="single" w:color="auto" w:sz="4" w:space="0"/>
              <w:right w:val="single" w:color="auto" w:sz="4" w:space="0"/>
            </w:tcBorders>
            <w:noWrap w:val="0"/>
            <w:vAlign w:val="center"/>
          </w:tcPr>
          <w:p w14:paraId="212562C7">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品牌</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62D2EC7E">
            <w:pPr>
              <w:snapToGrid w:val="0"/>
              <w:spacing w:before="50" w:after="50" w:line="360" w:lineRule="auto"/>
              <w:jc w:val="center"/>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规格型号</w:t>
            </w:r>
          </w:p>
        </w:tc>
        <w:tc>
          <w:tcPr>
            <w:tcW w:w="676" w:type="pct"/>
            <w:tcBorders>
              <w:top w:val="single" w:color="auto" w:sz="4" w:space="0"/>
              <w:left w:val="single" w:color="auto" w:sz="4" w:space="0"/>
              <w:bottom w:val="single" w:color="auto" w:sz="4" w:space="0"/>
              <w:right w:val="single" w:color="auto" w:sz="4" w:space="0"/>
            </w:tcBorders>
            <w:noWrap w:val="0"/>
            <w:vAlign w:val="center"/>
          </w:tcPr>
          <w:p w14:paraId="3DC09DE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565" w:type="pct"/>
            <w:tcBorders>
              <w:top w:val="single" w:color="auto" w:sz="4" w:space="0"/>
              <w:left w:val="single" w:color="auto" w:sz="4" w:space="0"/>
              <w:bottom w:val="single" w:color="auto" w:sz="4" w:space="0"/>
              <w:right w:val="single" w:color="auto" w:sz="4" w:space="0"/>
            </w:tcBorders>
            <w:noWrap w:val="0"/>
            <w:vAlign w:val="center"/>
          </w:tcPr>
          <w:p w14:paraId="38D70009">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单价</w:t>
            </w:r>
          </w:p>
          <w:p w14:paraId="4BAB61DF">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903" w:type="pct"/>
            <w:tcBorders>
              <w:top w:val="single" w:color="auto" w:sz="4" w:space="0"/>
              <w:left w:val="single" w:color="auto" w:sz="4" w:space="0"/>
              <w:bottom w:val="single" w:color="auto" w:sz="4" w:space="0"/>
              <w:right w:val="single" w:color="auto" w:sz="4" w:space="0"/>
            </w:tcBorders>
            <w:noWrap w:val="0"/>
            <w:vAlign w:val="center"/>
          </w:tcPr>
          <w:p w14:paraId="67994E06">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lang w:val="en-US" w:eastAsia="zh-CN"/>
              </w:rPr>
              <w:t>竞</w:t>
            </w:r>
            <w:r>
              <w:rPr>
                <w:rFonts w:hint="eastAsia" w:ascii="宋体" w:hAnsi="宋体"/>
                <w:b/>
                <w:color w:val="auto"/>
                <w:sz w:val="24"/>
                <w:highlight w:val="none"/>
              </w:rPr>
              <w:t>标报价</w:t>
            </w:r>
          </w:p>
          <w:p w14:paraId="5E9AB9E9">
            <w:pPr>
              <w:snapToGrid w:val="0"/>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24086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416D6FC1">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875" w:type="pct"/>
            <w:tcBorders>
              <w:top w:val="single" w:color="auto" w:sz="4" w:space="0"/>
              <w:left w:val="single" w:color="auto" w:sz="4" w:space="0"/>
              <w:bottom w:val="single" w:color="auto" w:sz="4" w:space="0"/>
              <w:right w:val="single" w:color="auto" w:sz="4" w:space="0"/>
            </w:tcBorders>
            <w:noWrap w:val="0"/>
            <w:vAlign w:val="center"/>
          </w:tcPr>
          <w:p w14:paraId="31BB5910">
            <w:pPr>
              <w:snapToGrid w:val="0"/>
              <w:spacing w:before="50" w:after="50" w:line="360" w:lineRule="auto"/>
              <w:jc w:val="center"/>
              <w:rPr>
                <w:rFonts w:hint="eastAsia" w:ascii="宋体" w:hAnsi="宋体"/>
                <w:b/>
                <w:color w:val="auto"/>
                <w:sz w:val="24"/>
                <w:highlight w:val="none"/>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2033D870">
            <w:pPr>
              <w:snapToGrid w:val="0"/>
              <w:spacing w:before="50" w:after="50" w:line="360" w:lineRule="auto"/>
              <w:rPr>
                <w:rFonts w:hint="eastAsia" w:ascii="宋体" w:hAnsi="宋体"/>
                <w:color w:val="auto"/>
                <w:sz w:val="24"/>
                <w:highlight w:val="none"/>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59F0F5DD">
            <w:pPr>
              <w:snapToGrid w:val="0"/>
              <w:spacing w:before="50" w:after="50" w:line="360" w:lineRule="auto"/>
              <w:rPr>
                <w:rFonts w:hint="eastAsia" w:ascii="宋体" w:hAnsi="宋体"/>
                <w:color w:val="auto"/>
                <w:sz w:val="24"/>
                <w:highlight w:val="none"/>
              </w:rPr>
            </w:pPr>
          </w:p>
        </w:tc>
        <w:tc>
          <w:tcPr>
            <w:tcW w:w="676" w:type="pct"/>
            <w:tcBorders>
              <w:top w:val="single" w:color="auto" w:sz="4" w:space="0"/>
              <w:left w:val="single" w:color="auto" w:sz="4" w:space="0"/>
              <w:bottom w:val="single" w:color="auto" w:sz="4" w:space="0"/>
              <w:right w:val="single" w:color="auto" w:sz="4" w:space="0"/>
            </w:tcBorders>
            <w:noWrap w:val="0"/>
            <w:vAlign w:val="center"/>
          </w:tcPr>
          <w:p w14:paraId="6794B325">
            <w:pPr>
              <w:snapToGrid w:val="0"/>
              <w:spacing w:before="50" w:after="50" w:line="360" w:lineRule="auto"/>
              <w:rPr>
                <w:rFonts w:hint="eastAsia" w:ascii="宋体" w:hAnsi="宋体"/>
                <w:color w:val="auto"/>
                <w:sz w:val="24"/>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5A3ADE23">
            <w:pPr>
              <w:snapToGrid w:val="0"/>
              <w:spacing w:before="50" w:after="50" w:line="360" w:lineRule="auto"/>
              <w:rPr>
                <w:rFonts w:hint="eastAsia" w:ascii="宋体" w:hAnsi="宋体"/>
                <w:color w:val="auto"/>
                <w:sz w:val="24"/>
                <w:highlight w:val="none"/>
              </w:rPr>
            </w:pPr>
          </w:p>
        </w:tc>
        <w:tc>
          <w:tcPr>
            <w:tcW w:w="903" w:type="pct"/>
            <w:tcBorders>
              <w:top w:val="single" w:color="auto" w:sz="4" w:space="0"/>
              <w:left w:val="single" w:color="auto" w:sz="4" w:space="0"/>
              <w:bottom w:val="single" w:color="auto" w:sz="4" w:space="0"/>
              <w:right w:val="single" w:color="auto" w:sz="4" w:space="0"/>
            </w:tcBorders>
            <w:noWrap w:val="0"/>
            <w:vAlign w:val="center"/>
          </w:tcPr>
          <w:p w14:paraId="3E730722">
            <w:pPr>
              <w:snapToGrid w:val="0"/>
              <w:spacing w:before="50" w:after="50" w:line="360" w:lineRule="auto"/>
              <w:rPr>
                <w:rFonts w:hint="eastAsia" w:ascii="宋体" w:hAnsi="宋体"/>
                <w:color w:val="auto"/>
                <w:sz w:val="24"/>
                <w:highlight w:val="none"/>
              </w:rPr>
            </w:pPr>
          </w:p>
        </w:tc>
      </w:tr>
      <w:tr w14:paraId="03706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4213D3DA">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2</w:t>
            </w:r>
          </w:p>
        </w:tc>
        <w:tc>
          <w:tcPr>
            <w:tcW w:w="875" w:type="pct"/>
            <w:tcBorders>
              <w:top w:val="single" w:color="auto" w:sz="4" w:space="0"/>
              <w:left w:val="single" w:color="auto" w:sz="4" w:space="0"/>
              <w:bottom w:val="single" w:color="auto" w:sz="4" w:space="0"/>
              <w:right w:val="single" w:color="auto" w:sz="4" w:space="0"/>
            </w:tcBorders>
            <w:noWrap w:val="0"/>
            <w:vAlign w:val="center"/>
          </w:tcPr>
          <w:p w14:paraId="46FFC12B">
            <w:pPr>
              <w:snapToGrid w:val="0"/>
              <w:spacing w:before="50" w:after="50" w:line="360" w:lineRule="auto"/>
              <w:jc w:val="center"/>
              <w:rPr>
                <w:rFonts w:hint="eastAsia" w:ascii="宋体" w:hAnsi="宋体"/>
                <w:b/>
                <w:color w:val="auto"/>
                <w:sz w:val="24"/>
                <w:highlight w:val="none"/>
              </w:rPr>
            </w:pPr>
          </w:p>
        </w:tc>
        <w:tc>
          <w:tcPr>
            <w:tcW w:w="751" w:type="pct"/>
            <w:tcBorders>
              <w:top w:val="single" w:color="auto" w:sz="4" w:space="0"/>
              <w:left w:val="single" w:color="auto" w:sz="4" w:space="0"/>
              <w:bottom w:val="single" w:color="auto" w:sz="4" w:space="0"/>
              <w:right w:val="single" w:color="auto" w:sz="4" w:space="0"/>
            </w:tcBorders>
            <w:noWrap w:val="0"/>
            <w:vAlign w:val="center"/>
          </w:tcPr>
          <w:p w14:paraId="025041EA">
            <w:pPr>
              <w:snapToGrid w:val="0"/>
              <w:spacing w:before="50" w:after="50" w:line="360" w:lineRule="auto"/>
              <w:rPr>
                <w:rFonts w:hint="eastAsia" w:ascii="宋体" w:hAnsi="宋体"/>
                <w:color w:val="auto"/>
                <w:sz w:val="24"/>
                <w:highlight w:val="none"/>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765DDE9A">
            <w:pPr>
              <w:snapToGrid w:val="0"/>
              <w:spacing w:before="50" w:after="50" w:line="360" w:lineRule="auto"/>
              <w:rPr>
                <w:rFonts w:hint="eastAsia" w:ascii="宋体" w:hAnsi="宋体"/>
                <w:color w:val="auto"/>
                <w:sz w:val="24"/>
                <w:highlight w:val="none"/>
              </w:rPr>
            </w:pPr>
          </w:p>
        </w:tc>
        <w:tc>
          <w:tcPr>
            <w:tcW w:w="676" w:type="pct"/>
            <w:tcBorders>
              <w:top w:val="single" w:color="auto" w:sz="4" w:space="0"/>
              <w:left w:val="single" w:color="auto" w:sz="4" w:space="0"/>
              <w:bottom w:val="single" w:color="auto" w:sz="4" w:space="0"/>
              <w:right w:val="single" w:color="auto" w:sz="4" w:space="0"/>
            </w:tcBorders>
            <w:noWrap w:val="0"/>
            <w:vAlign w:val="center"/>
          </w:tcPr>
          <w:p w14:paraId="1DBD95D0">
            <w:pPr>
              <w:snapToGrid w:val="0"/>
              <w:spacing w:before="50" w:after="50" w:line="360" w:lineRule="auto"/>
              <w:rPr>
                <w:rFonts w:hint="eastAsia" w:ascii="宋体" w:hAnsi="宋体"/>
                <w:color w:val="auto"/>
                <w:sz w:val="24"/>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355B9C72">
            <w:pPr>
              <w:snapToGrid w:val="0"/>
              <w:spacing w:before="50" w:after="50" w:line="360" w:lineRule="auto"/>
              <w:rPr>
                <w:rFonts w:hint="eastAsia" w:ascii="宋体" w:hAnsi="宋体"/>
                <w:color w:val="auto"/>
                <w:sz w:val="24"/>
                <w:highlight w:val="none"/>
              </w:rPr>
            </w:pPr>
          </w:p>
        </w:tc>
        <w:tc>
          <w:tcPr>
            <w:tcW w:w="903" w:type="pct"/>
            <w:tcBorders>
              <w:top w:val="single" w:color="auto" w:sz="4" w:space="0"/>
              <w:left w:val="single" w:color="auto" w:sz="4" w:space="0"/>
              <w:bottom w:val="single" w:color="auto" w:sz="4" w:space="0"/>
              <w:right w:val="single" w:color="auto" w:sz="4" w:space="0"/>
            </w:tcBorders>
            <w:noWrap w:val="0"/>
            <w:vAlign w:val="center"/>
          </w:tcPr>
          <w:p w14:paraId="640BE7D7">
            <w:pPr>
              <w:snapToGrid w:val="0"/>
              <w:spacing w:before="50" w:after="50" w:line="360" w:lineRule="auto"/>
              <w:rPr>
                <w:rFonts w:hint="eastAsia" w:ascii="宋体" w:hAnsi="宋体"/>
                <w:color w:val="auto"/>
                <w:sz w:val="24"/>
                <w:highlight w:val="none"/>
              </w:rPr>
            </w:pPr>
          </w:p>
        </w:tc>
      </w:tr>
      <w:tr w14:paraId="512F9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0D67686E">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875" w:type="pct"/>
            <w:tcBorders>
              <w:top w:val="single" w:color="auto" w:sz="4" w:space="0"/>
              <w:left w:val="single" w:color="auto" w:sz="4" w:space="0"/>
              <w:bottom w:val="single" w:color="auto" w:sz="4" w:space="0"/>
              <w:right w:val="single" w:color="auto" w:sz="4" w:space="0"/>
            </w:tcBorders>
            <w:noWrap w:val="0"/>
            <w:vAlign w:val="center"/>
          </w:tcPr>
          <w:p w14:paraId="78CC388D">
            <w:pPr>
              <w:snapToGrid w:val="0"/>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751" w:type="pct"/>
            <w:tcBorders>
              <w:top w:val="single" w:color="auto" w:sz="4" w:space="0"/>
              <w:left w:val="single" w:color="auto" w:sz="4" w:space="0"/>
              <w:bottom w:val="single" w:color="auto" w:sz="4" w:space="0"/>
              <w:right w:val="single" w:color="auto" w:sz="4" w:space="0"/>
            </w:tcBorders>
            <w:noWrap w:val="0"/>
            <w:vAlign w:val="center"/>
          </w:tcPr>
          <w:p w14:paraId="3E2B921D">
            <w:pPr>
              <w:snapToGrid w:val="0"/>
              <w:spacing w:before="50" w:after="50" w:line="360" w:lineRule="auto"/>
              <w:rPr>
                <w:rFonts w:hint="eastAsia" w:ascii="宋体" w:hAnsi="宋体"/>
                <w:color w:val="auto"/>
                <w:sz w:val="24"/>
                <w:highlight w:val="none"/>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5BAF3693">
            <w:pPr>
              <w:snapToGrid w:val="0"/>
              <w:spacing w:before="50" w:after="50" w:line="360" w:lineRule="auto"/>
              <w:rPr>
                <w:rFonts w:hint="eastAsia" w:ascii="宋体" w:hAnsi="宋体"/>
                <w:color w:val="auto"/>
                <w:sz w:val="24"/>
                <w:highlight w:val="none"/>
              </w:rPr>
            </w:pPr>
          </w:p>
        </w:tc>
        <w:tc>
          <w:tcPr>
            <w:tcW w:w="676" w:type="pct"/>
            <w:tcBorders>
              <w:top w:val="single" w:color="auto" w:sz="4" w:space="0"/>
              <w:left w:val="single" w:color="auto" w:sz="4" w:space="0"/>
              <w:bottom w:val="single" w:color="auto" w:sz="4" w:space="0"/>
              <w:right w:val="single" w:color="auto" w:sz="4" w:space="0"/>
            </w:tcBorders>
            <w:noWrap w:val="0"/>
            <w:vAlign w:val="center"/>
          </w:tcPr>
          <w:p w14:paraId="5BDE26DB">
            <w:pPr>
              <w:snapToGrid w:val="0"/>
              <w:spacing w:before="50" w:after="50" w:line="360" w:lineRule="auto"/>
              <w:rPr>
                <w:rFonts w:hint="eastAsia" w:ascii="宋体" w:hAnsi="宋体"/>
                <w:color w:val="auto"/>
                <w:sz w:val="24"/>
                <w:highlight w:val="none"/>
              </w:rPr>
            </w:pPr>
          </w:p>
        </w:tc>
        <w:tc>
          <w:tcPr>
            <w:tcW w:w="565" w:type="pct"/>
            <w:tcBorders>
              <w:top w:val="single" w:color="auto" w:sz="4" w:space="0"/>
              <w:left w:val="single" w:color="auto" w:sz="4" w:space="0"/>
              <w:bottom w:val="single" w:color="auto" w:sz="4" w:space="0"/>
              <w:right w:val="single" w:color="auto" w:sz="4" w:space="0"/>
            </w:tcBorders>
            <w:noWrap w:val="0"/>
            <w:vAlign w:val="center"/>
          </w:tcPr>
          <w:p w14:paraId="4668F05E">
            <w:pPr>
              <w:snapToGrid w:val="0"/>
              <w:spacing w:before="50" w:after="50" w:line="360" w:lineRule="auto"/>
              <w:rPr>
                <w:rFonts w:hint="eastAsia" w:ascii="宋体" w:hAnsi="宋体"/>
                <w:color w:val="auto"/>
                <w:sz w:val="24"/>
                <w:highlight w:val="none"/>
              </w:rPr>
            </w:pPr>
          </w:p>
        </w:tc>
        <w:tc>
          <w:tcPr>
            <w:tcW w:w="903" w:type="pct"/>
            <w:tcBorders>
              <w:top w:val="single" w:color="auto" w:sz="4" w:space="0"/>
              <w:left w:val="single" w:color="auto" w:sz="4" w:space="0"/>
              <w:bottom w:val="single" w:color="auto" w:sz="4" w:space="0"/>
              <w:right w:val="single" w:color="auto" w:sz="4" w:space="0"/>
            </w:tcBorders>
            <w:noWrap w:val="0"/>
            <w:vAlign w:val="center"/>
          </w:tcPr>
          <w:p w14:paraId="4FECDBD8">
            <w:pPr>
              <w:snapToGrid w:val="0"/>
              <w:spacing w:before="50" w:after="50" w:line="360" w:lineRule="auto"/>
              <w:rPr>
                <w:rFonts w:hint="eastAsia" w:ascii="宋体" w:hAnsi="宋体"/>
                <w:color w:val="auto"/>
                <w:sz w:val="24"/>
                <w:highlight w:val="none"/>
              </w:rPr>
            </w:pPr>
          </w:p>
        </w:tc>
      </w:tr>
      <w:tr w14:paraId="5A75C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00AE9E46">
            <w:pPr>
              <w:snapToGrid w:val="0"/>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111904CE">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695166F1">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.供应商的报价表必须加盖供应商电子签章并由法定代表人或者委托代理人签</w:t>
      </w:r>
      <w:r>
        <w:rPr>
          <w:rFonts w:hint="eastAsia" w:ascii="宋体" w:hAnsi="宋体" w:cs="仿宋_GB2312"/>
          <w:color w:val="auto"/>
          <w:sz w:val="24"/>
          <w:highlight w:val="none"/>
        </w:rPr>
        <w:t>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2D09DF30">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lang w:val="en-US" w:eastAsia="zh-CN"/>
        </w:rPr>
        <w:t>2</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47C020EC">
      <w:pPr>
        <w:pStyle w:val="18"/>
        <w:rPr>
          <w:rFonts w:hint="eastAsia"/>
          <w:color w:val="auto"/>
          <w:highlight w:val="none"/>
        </w:rPr>
      </w:pPr>
    </w:p>
    <w:p w14:paraId="756E50A6">
      <w:pPr>
        <w:pStyle w:val="18"/>
        <w:rPr>
          <w:rFonts w:hint="eastAsia"/>
          <w:color w:val="auto"/>
          <w:highlight w:val="none"/>
        </w:rPr>
      </w:pPr>
    </w:p>
    <w:p w14:paraId="015C697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24873DE8">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77DA89DE">
      <w:pPr>
        <w:spacing w:line="360" w:lineRule="auto"/>
        <w:ind w:right="-817" w:rightChars="-389"/>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321597C1">
      <w:pPr>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5774DBBB">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3FEAA589">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CBD8E18">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046F917">
      <w:pPr>
        <w:snapToGrid w:val="0"/>
        <w:spacing w:before="156" w:beforeLines="50" w:after="50"/>
        <w:rPr>
          <w:rFonts w:hint="eastAsia" w:ascii="宋体" w:hAnsi="宋体"/>
          <w:color w:val="auto"/>
          <w:sz w:val="24"/>
          <w:szCs w:val="20"/>
          <w:highlight w:val="none"/>
        </w:rPr>
      </w:pPr>
    </w:p>
    <w:p w14:paraId="2142FC10">
      <w:pPr>
        <w:snapToGrid w:val="0"/>
        <w:spacing w:before="156" w:beforeLines="50" w:after="50"/>
        <w:rPr>
          <w:rFonts w:hint="eastAsia" w:ascii="宋体" w:hAnsi="宋体"/>
          <w:color w:val="auto"/>
          <w:sz w:val="24"/>
          <w:szCs w:val="20"/>
          <w:highlight w:val="none"/>
        </w:rPr>
      </w:pPr>
    </w:p>
    <w:p w14:paraId="15932488">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7C1384C1">
      <w:pPr>
        <w:snapToGrid w:val="0"/>
        <w:spacing w:before="156" w:beforeLines="50" w:after="50"/>
        <w:rPr>
          <w:rFonts w:hint="eastAsia" w:ascii="宋体" w:hAnsi="宋体"/>
          <w:bCs/>
          <w:color w:val="auto"/>
          <w:sz w:val="24"/>
          <w:szCs w:val="20"/>
          <w:highlight w:val="none"/>
        </w:rPr>
      </w:pPr>
    </w:p>
    <w:p w14:paraId="450E4DDE">
      <w:pPr>
        <w:snapToGrid w:val="0"/>
        <w:spacing w:before="156" w:beforeLines="50" w:after="50"/>
        <w:rPr>
          <w:rFonts w:hint="eastAsia" w:ascii="宋体" w:hAnsi="宋体"/>
          <w:bCs/>
          <w:color w:val="auto"/>
          <w:sz w:val="24"/>
          <w:szCs w:val="20"/>
          <w:highlight w:val="none"/>
        </w:rPr>
      </w:pPr>
    </w:p>
    <w:p w14:paraId="15F1FDE8">
      <w:pPr>
        <w:snapToGrid w:val="0"/>
        <w:spacing w:before="156" w:beforeLines="50" w:after="50"/>
        <w:rPr>
          <w:rFonts w:hint="eastAsia" w:ascii="宋体" w:hAnsi="宋体"/>
          <w:bCs/>
          <w:color w:val="auto"/>
          <w:sz w:val="24"/>
          <w:szCs w:val="20"/>
          <w:highlight w:val="none"/>
        </w:rPr>
      </w:pPr>
    </w:p>
    <w:p w14:paraId="454CA798">
      <w:pPr>
        <w:snapToGrid w:val="0"/>
        <w:spacing w:before="156" w:beforeLines="50" w:after="50"/>
        <w:rPr>
          <w:rFonts w:hint="eastAsia" w:ascii="宋体" w:hAnsi="宋体"/>
          <w:bCs/>
          <w:color w:val="auto"/>
          <w:sz w:val="24"/>
          <w:szCs w:val="20"/>
          <w:highlight w:val="none"/>
        </w:rPr>
      </w:pPr>
    </w:p>
    <w:p w14:paraId="6AB01C0D">
      <w:pPr>
        <w:snapToGrid w:val="0"/>
        <w:spacing w:before="156" w:beforeLines="50" w:after="50"/>
        <w:rPr>
          <w:rFonts w:hint="eastAsia" w:ascii="宋体" w:hAnsi="宋体"/>
          <w:bCs/>
          <w:color w:val="auto"/>
          <w:sz w:val="24"/>
          <w:szCs w:val="20"/>
          <w:highlight w:val="none"/>
        </w:rPr>
      </w:pPr>
    </w:p>
    <w:p w14:paraId="3B0D4E21">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1A31ABD">
      <w:pPr>
        <w:snapToGrid w:val="0"/>
        <w:spacing w:before="156" w:beforeLines="50" w:after="50"/>
        <w:ind w:firstLine="720" w:firstLineChars="225"/>
        <w:rPr>
          <w:rFonts w:hint="eastAsia" w:ascii="宋体" w:hAnsi="宋体" w:cs="仿宋_GB2312"/>
          <w:bCs/>
          <w:color w:val="auto"/>
          <w:sz w:val="32"/>
          <w:szCs w:val="32"/>
          <w:highlight w:val="none"/>
        </w:rPr>
      </w:pPr>
    </w:p>
    <w:p w14:paraId="72B7E19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8A5918C">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ACC0BC3">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A90F5F0">
      <w:pPr>
        <w:snapToGrid w:val="0"/>
        <w:spacing w:before="156" w:beforeLines="50" w:after="50"/>
        <w:ind w:firstLine="720" w:firstLineChars="225"/>
        <w:rPr>
          <w:rFonts w:hint="eastAsia" w:ascii="宋体" w:hAnsi="宋体" w:cs="仿宋_GB2312"/>
          <w:bCs/>
          <w:color w:val="auto"/>
          <w:sz w:val="32"/>
          <w:szCs w:val="32"/>
          <w:highlight w:val="none"/>
        </w:rPr>
      </w:pPr>
    </w:p>
    <w:p w14:paraId="07BEA3AA">
      <w:pPr>
        <w:pStyle w:val="5"/>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4D56184">
      <w:pPr>
        <w:pStyle w:val="5"/>
        <w:snapToGrid w:val="0"/>
        <w:spacing w:before="50" w:after="50"/>
        <w:ind w:firstLine="640" w:firstLineChars="200"/>
        <w:rPr>
          <w:rFonts w:hint="eastAsia" w:ascii="宋体" w:hAnsi="宋体" w:cs="仿宋_GB2312"/>
          <w:bCs/>
          <w:color w:val="auto"/>
          <w:sz w:val="32"/>
          <w:szCs w:val="32"/>
          <w:highlight w:val="none"/>
        </w:rPr>
      </w:pPr>
    </w:p>
    <w:p w14:paraId="3584E801">
      <w:pPr>
        <w:pStyle w:val="5"/>
        <w:snapToGrid w:val="0"/>
        <w:spacing w:before="50" w:after="50"/>
        <w:ind w:firstLine="720" w:firstLineChars="225"/>
        <w:rPr>
          <w:rFonts w:hint="eastAsia" w:ascii="宋体" w:hAnsi="宋体" w:cs="仿宋_GB2312"/>
          <w:bCs/>
          <w:color w:val="auto"/>
          <w:sz w:val="32"/>
          <w:szCs w:val="32"/>
          <w:highlight w:val="none"/>
        </w:rPr>
      </w:pPr>
    </w:p>
    <w:p w14:paraId="3201BB5C">
      <w:pPr>
        <w:pStyle w:val="5"/>
        <w:snapToGrid w:val="0"/>
        <w:spacing w:before="50" w:after="50"/>
        <w:ind w:firstLine="0"/>
        <w:rPr>
          <w:rFonts w:hint="eastAsia" w:ascii="宋体" w:hAnsi="宋体" w:cs="仿宋_GB2312"/>
          <w:bCs/>
          <w:color w:val="auto"/>
          <w:sz w:val="32"/>
          <w:szCs w:val="32"/>
          <w:highlight w:val="none"/>
        </w:rPr>
      </w:pPr>
    </w:p>
    <w:p w14:paraId="55167191">
      <w:pPr>
        <w:pStyle w:val="5"/>
        <w:snapToGrid w:val="0"/>
        <w:spacing w:before="50" w:after="50"/>
        <w:ind w:firstLine="1280" w:firstLineChars="400"/>
        <w:rPr>
          <w:rFonts w:hint="eastAsia" w:ascii="宋体" w:hAnsi="宋体" w:cs="仿宋_GB2312"/>
          <w:bCs/>
          <w:color w:val="auto"/>
          <w:sz w:val="32"/>
          <w:szCs w:val="32"/>
          <w:highlight w:val="none"/>
        </w:rPr>
      </w:pPr>
    </w:p>
    <w:p w14:paraId="25035A47">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E0D84A2">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3330E4B9">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2D239B8B">
      <w:pPr>
        <w:spacing w:line="400" w:lineRule="exact"/>
        <w:rPr>
          <w:rFonts w:hint="eastAsia" w:ascii="仿宋_GB2312" w:hAnsi="仿宋_GB2312" w:eastAsia="仿宋_GB2312" w:cs="仿宋_GB2312"/>
          <w:color w:val="auto"/>
          <w:sz w:val="32"/>
          <w:szCs w:val="32"/>
          <w:highlight w:val="none"/>
        </w:rPr>
      </w:pPr>
    </w:p>
    <w:p w14:paraId="1FF748E5">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24AB1B5B">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B257B6D">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239743F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78C5A83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2B2F652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551C5C2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0896D33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2C9F9F8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09F5D034">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5343143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2AFA61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1B6178B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29F1436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21BF1B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219AAE9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4496971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82F4BA7">
      <w:pPr>
        <w:spacing w:line="360" w:lineRule="auto"/>
        <w:ind w:firstLine="480" w:firstLineChars="200"/>
        <w:contextualSpacing/>
        <w:rPr>
          <w:rFonts w:hint="eastAsia" w:ascii="宋体" w:hAnsi="宋体" w:cs="仿宋_GB2312"/>
          <w:color w:val="auto"/>
          <w:sz w:val="24"/>
          <w:highlight w:val="none"/>
        </w:rPr>
      </w:pPr>
    </w:p>
    <w:p w14:paraId="48D6CF07">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3BE02759">
      <w:pPr>
        <w:spacing w:line="360" w:lineRule="auto"/>
        <w:ind w:firstLine="480" w:firstLineChars="200"/>
        <w:contextualSpacing/>
        <w:rPr>
          <w:rFonts w:hint="eastAsia" w:ascii="宋体" w:hAnsi="宋体" w:cs="仿宋_GB2312"/>
          <w:color w:val="auto"/>
          <w:sz w:val="24"/>
          <w:highlight w:val="none"/>
        </w:rPr>
      </w:pPr>
    </w:p>
    <w:p w14:paraId="77CF4320">
      <w:pPr>
        <w:spacing w:line="360" w:lineRule="auto"/>
        <w:contextualSpacing/>
        <w:rPr>
          <w:rFonts w:hint="eastAsia" w:ascii="宋体" w:hAnsi="宋体" w:cs="仿宋_GB2312"/>
          <w:color w:val="auto"/>
          <w:sz w:val="24"/>
          <w:highlight w:val="none"/>
        </w:rPr>
      </w:pPr>
    </w:p>
    <w:p w14:paraId="3D52C961">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14:paraId="66F0CFDB">
      <w:pPr>
        <w:spacing w:line="360" w:lineRule="auto"/>
        <w:ind w:firstLine="480" w:firstLineChars="20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14C08140">
      <w:pPr>
        <w:spacing w:line="360" w:lineRule="auto"/>
        <w:ind w:firstLine="640" w:firstLineChars="200"/>
        <w:contextualSpacing/>
        <w:jc w:val="center"/>
        <w:rPr>
          <w:rFonts w:hint="eastAsia" w:ascii="宋体" w:hAnsi="宋体" w:cs="仿宋_GB2312"/>
          <w:color w:val="auto"/>
          <w:sz w:val="32"/>
          <w:szCs w:val="32"/>
          <w:highlight w:val="none"/>
        </w:rPr>
      </w:pPr>
    </w:p>
    <w:p w14:paraId="77123BB3">
      <w:pPr>
        <w:spacing w:before="312" w:beforeLines="100" w:after="156" w:afterLines="50" w:line="520" w:lineRule="exact"/>
        <w:ind w:left="540"/>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0644EE31">
      <w:pPr>
        <w:spacing w:line="360" w:lineRule="auto"/>
        <w:ind w:left="540"/>
        <w:contextualSpacing/>
        <w:rPr>
          <w:rFonts w:hint="eastAsia" w:ascii="仿宋_GB2312" w:hAnsi="仿宋_GB2312" w:eastAsia="仿宋_GB2312" w:cs="仿宋_GB2312"/>
          <w:color w:val="auto"/>
          <w:sz w:val="32"/>
          <w:szCs w:val="32"/>
          <w:highlight w:val="none"/>
        </w:rPr>
      </w:pPr>
    </w:p>
    <w:p w14:paraId="1DE485A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1F2219EA">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5D00CDB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6D92C966">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4D25C660">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1B792AE">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51E0224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51F8081E">
      <w:pPr>
        <w:spacing w:line="360" w:lineRule="auto"/>
        <w:ind w:left="540"/>
        <w:contextualSpacing/>
        <w:rPr>
          <w:rFonts w:hint="eastAsia" w:ascii="宋体" w:hAnsi="宋体" w:cs="仿宋_GB2312"/>
          <w:color w:val="auto"/>
          <w:sz w:val="24"/>
          <w:highlight w:val="none"/>
        </w:rPr>
      </w:pPr>
    </w:p>
    <w:p w14:paraId="1D76BF49">
      <w:pPr>
        <w:spacing w:line="360" w:lineRule="auto"/>
        <w:ind w:left="540"/>
        <w:contextualSpacing/>
        <w:rPr>
          <w:rFonts w:hint="eastAsia" w:ascii="宋体" w:hAnsi="宋体" w:cs="仿宋_GB2312"/>
          <w:color w:val="auto"/>
          <w:sz w:val="24"/>
          <w:highlight w:val="none"/>
        </w:rPr>
      </w:pPr>
    </w:p>
    <w:p w14:paraId="51EAD74A">
      <w:pPr>
        <w:spacing w:line="360" w:lineRule="auto"/>
        <w:ind w:left="540"/>
        <w:contextualSpacing/>
        <w:rPr>
          <w:rFonts w:hint="eastAsia" w:ascii="宋体" w:hAnsi="宋体" w:cs="仿宋_GB2312"/>
          <w:color w:val="auto"/>
          <w:sz w:val="24"/>
          <w:highlight w:val="none"/>
        </w:rPr>
      </w:pPr>
    </w:p>
    <w:p w14:paraId="100E8BA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FD896BF">
      <w:pPr>
        <w:spacing w:line="360" w:lineRule="auto"/>
        <w:ind w:left="540"/>
        <w:contextualSpacing/>
        <w:rPr>
          <w:rFonts w:hint="eastAsia" w:ascii="宋体" w:hAnsi="宋体" w:cs="仿宋_GB2312"/>
          <w:color w:val="auto"/>
          <w:sz w:val="24"/>
          <w:highlight w:val="none"/>
        </w:rPr>
      </w:pPr>
    </w:p>
    <w:p w14:paraId="50D7C0F8">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74327FA7">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395D018E">
      <w:pPr>
        <w:spacing w:line="360" w:lineRule="auto"/>
        <w:contextualSpacing/>
        <w:jc w:val="center"/>
        <w:rPr>
          <w:rFonts w:hint="eastAsia" w:ascii="宋体" w:hAnsi="宋体" w:cs="仿宋_GB2312"/>
          <w:b/>
          <w:color w:val="auto"/>
          <w:sz w:val="24"/>
          <w:highlight w:val="none"/>
        </w:rPr>
      </w:pPr>
    </w:p>
    <w:p w14:paraId="17490D92">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7A20AD2A">
      <w:pPr>
        <w:adjustRightInd w:val="0"/>
        <w:snapToGrid w:val="0"/>
        <w:spacing w:line="300" w:lineRule="auto"/>
        <w:jc w:val="left"/>
        <w:rPr>
          <w:rFonts w:hint="eastAsia" w:ascii="宋体" w:hAnsi="宋体"/>
          <w:b/>
          <w:color w:val="auto"/>
          <w:szCs w:val="21"/>
          <w:highlight w:val="none"/>
        </w:rPr>
      </w:pPr>
    </w:p>
    <w:p w14:paraId="6674547C">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0ABDCEFF">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（非联合体竞标格式）</w:t>
      </w:r>
    </w:p>
    <w:p w14:paraId="2A03C981">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1D63E295">
      <w:pPr>
        <w:spacing w:line="360" w:lineRule="auto"/>
        <w:contextualSpacing/>
        <w:rPr>
          <w:rFonts w:hint="eastAsia" w:ascii="仿宋_GB2312" w:hAnsi="仿宋_GB2312" w:eastAsia="仿宋_GB2312" w:cs="仿宋_GB2312"/>
          <w:color w:val="auto"/>
          <w:sz w:val="32"/>
          <w:szCs w:val="32"/>
          <w:highlight w:val="none"/>
        </w:rPr>
      </w:pPr>
    </w:p>
    <w:p w14:paraId="34DF04D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580C622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2E4DA5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7EE2CBD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D75E7F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86D406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588DF5A">
      <w:pPr>
        <w:spacing w:line="360" w:lineRule="auto"/>
        <w:contextualSpacing/>
        <w:rPr>
          <w:rFonts w:hint="eastAsia" w:ascii="宋体" w:hAnsi="宋体" w:cs="仿宋_GB2312"/>
          <w:color w:val="auto"/>
          <w:sz w:val="24"/>
          <w:highlight w:val="none"/>
        </w:rPr>
      </w:pPr>
    </w:p>
    <w:p w14:paraId="46AFD59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EDF7C0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0DE2BFC">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7C1A1AF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4FFBAAB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075E849B">
      <w:pPr>
        <w:spacing w:line="360" w:lineRule="auto"/>
        <w:contextualSpacing/>
        <w:rPr>
          <w:rFonts w:hint="eastAsia" w:ascii="宋体" w:hAnsi="宋体" w:cs="仿宋_GB2312"/>
          <w:color w:val="auto"/>
          <w:sz w:val="24"/>
          <w:highlight w:val="none"/>
        </w:rPr>
      </w:pPr>
    </w:p>
    <w:p w14:paraId="6EED839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7C2432B3">
      <w:pPr>
        <w:spacing w:line="360" w:lineRule="auto"/>
        <w:ind w:firstLine="480" w:firstLineChars="200"/>
        <w:contextualSpacing/>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61967F67">
      <w:pPr>
        <w:spacing w:line="360" w:lineRule="auto"/>
        <w:ind w:firstLine="420" w:firstLineChars="200"/>
        <w:contextualSpacing/>
        <w:jc w:val="left"/>
        <w:rPr>
          <w:rFonts w:hint="eastAsia" w:ascii="仿宋_GB2312" w:hAnsi="仿宋_GB2312" w:eastAsia="仿宋_GB2312" w:cs="仿宋_GB2312"/>
          <w:color w:val="auto"/>
          <w:szCs w:val="21"/>
          <w:highlight w:val="none"/>
        </w:rPr>
      </w:pPr>
    </w:p>
    <w:p w14:paraId="45616004">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14:paraId="3E9287C2">
      <w:pPr>
        <w:spacing w:line="500" w:lineRule="exact"/>
        <w:jc w:val="center"/>
        <w:rPr>
          <w:rFonts w:ascii="宋体" w:hAnsi="宋体"/>
          <w:b/>
          <w:i/>
          <w:color w:val="auto"/>
          <w:sz w:val="32"/>
          <w:szCs w:val="32"/>
          <w:highlight w:val="none"/>
        </w:rPr>
      </w:pPr>
    </w:p>
    <w:p w14:paraId="3C8D1048">
      <w:pPr>
        <w:snapToGrid w:val="0"/>
        <w:spacing w:before="50"/>
        <w:jc w:val="left"/>
        <w:rPr>
          <w:rFonts w:hint="eastAsia" w:ascii="宋体" w:hAnsi="宋体"/>
          <w:color w:val="auto"/>
          <w:sz w:val="24"/>
          <w:highlight w:val="none"/>
        </w:rPr>
      </w:pPr>
    </w:p>
    <w:p w14:paraId="0FB0729F">
      <w:pPr>
        <w:pStyle w:val="12"/>
        <w:spacing w:line="360" w:lineRule="auto"/>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23"/>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24696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4AAB513">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BA4EC8E">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F4E6EE0">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BCF0666">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58DBB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42204A4">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合同履行期限和地点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944864A">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791A25C0">
            <w:pPr>
              <w:snapToGrid w:val="0"/>
              <w:spacing w:before="156" w:beforeLines="5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29FE344">
            <w:pPr>
              <w:snapToGrid w:val="0"/>
              <w:spacing w:before="156" w:beforeLines="50" w:line="360" w:lineRule="auto"/>
              <w:jc w:val="center"/>
              <w:rPr>
                <w:rFonts w:hint="eastAsia" w:ascii="宋体" w:hAnsi="宋体" w:cs="仿宋_GB2312"/>
                <w:color w:val="auto"/>
                <w:sz w:val="24"/>
                <w:highlight w:val="none"/>
              </w:rPr>
            </w:pPr>
          </w:p>
        </w:tc>
      </w:tr>
      <w:tr w14:paraId="1069E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6373468">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3C02554">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4BC1DA6">
            <w:pPr>
              <w:snapToGrid w:val="0"/>
              <w:spacing w:before="156" w:beforeLines="5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D8C0306">
            <w:pPr>
              <w:snapToGrid w:val="0"/>
              <w:spacing w:before="156" w:beforeLines="50" w:line="360" w:lineRule="auto"/>
              <w:ind w:left="43"/>
              <w:jc w:val="center"/>
              <w:rPr>
                <w:rFonts w:hint="eastAsia" w:ascii="宋体" w:hAnsi="宋体" w:cs="仿宋_GB2312"/>
                <w:color w:val="auto"/>
                <w:sz w:val="24"/>
                <w:highlight w:val="none"/>
              </w:rPr>
            </w:pPr>
          </w:p>
        </w:tc>
      </w:tr>
      <w:tr w14:paraId="2D986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5C9FBB38">
            <w:pPr>
              <w:snapToGrid w:val="0"/>
              <w:spacing w:before="156" w:beforeLines="5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B3725BE">
            <w:pPr>
              <w:snapToGrid w:val="0"/>
              <w:spacing w:before="156" w:beforeLines="5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4FDB6D3">
            <w:pPr>
              <w:snapToGrid w:val="0"/>
              <w:spacing w:before="156" w:beforeLines="5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947F97E">
            <w:pPr>
              <w:snapToGrid w:val="0"/>
              <w:spacing w:before="156" w:beforeLines="50" w:line="360" w:lineRule="auto"/>
              <w:jc w:val="center"/>
              <w:rPr>
                <w:rFonts w:hint="eastAsia" w:ascii="宋体" w:hAnsi="宋体" w:cs="仿宋_GB2312"/>
                <w:color w:val="auto"/>
                <w:sz w:val="24"/>
                <w:highlight w:val="none"/>
              </w:rPr>
            </w:pPr>
          </w:p>
        </w:tc>
      </w:tr>
    </w:tbl>
    <w:p w14:paraId="421C46F4">
      <w:pPr>
        <w:pStyle w:val="8"/>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696E2389">
      <w:pPr>
        <w:pStyle w:val="8"/>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 说明：应对照谈判文件“第三章 采购需求”中的商务要求逐条明确响应，并作出偏离说明。</w:t>
      </w:r>
    </w:p>
    <w:p w14:paraId="39F5EEF6">
      <w:pPr>
        <w:pStyle w:val="8"/>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2.供应商应根据自身的承诺，对照谈判文件要求在“偏离说明”中注明“正偏离</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负偏离”或者“无偏离”。既不属于“正偏离”也不属于“负偏离”即为“无偏离”。</w:t>
      </w:r>
    </w:p>
    <w:p w14:paraId="07248527">
      <w:pPr>
        <w:spacing w:line="360" w:lineRule="auto"/>
        <w:contextualSpacing/>
        <w:jc w:val="left"/>
        <w:rPr>
          <w:rFonts w:hint="eastAsia" w:ascii="宋体" w:hAnsi="宋体" w:cs="仿宋_GB2312"/>
          <w:color w:val="auto"/>
          <w:sz w:val="24"/>
          <w:highlight w:val="none"/>
          <w:u w:val="single"/>
        </w:rPr>
      </w:pPr>
    </w:p>
    <w:p w14:paraId="0144B432">
      <w:pPr>
        <w:spacing w:line="360" w:lineRule="auto"/>
        <w:contextualSpacing/>
        <w:jc w:val="left"/>
        <w:rPr>
          <w:rFonts w:hint="eastAsia" w:ascii="宋体" w:hAnsi="宋体" w:cs="仿宋_GB2312"/>
          <w:color w:val="auto"/>
          <w:sz w:val="24"/>
          <w:highlight w:val="none"/>
          <w:u w:val="single"/>
        </w:rPr>
      </w:pPr>
    </w:p>
    <w:p w14:paraId="6259ECA5">
      <w:pPr>
        <w:spacing w:line="360" w:lineRule="auto"/>
        <w:ind w:right="-817" w:rightChars="-389"/>
        <w:contextualSpacing/>
        <w:rPr>
          <w:rFonts w:hint="eastAsia" w:ascii="宋体" w:hAnsi="宋体" w:cs="仿宋_GB2312"/>
          <w:color w:val="auto"/>
          <w:sz w:val="24"/>
          <w:highlight w:val="none"/>
        </w:rPr>
      </w:pPr>
    </w:p>
    <w:p w14:paraId="5DFADDA5">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15650FD">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12729833">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0E7CD77D">
      <w:pPr>
        <w:adjustRightInd w:val="0"/>
        <w:snapToGrid w:val="0"/>
        <w:spacing w:line="520" w:lineRule="exact"/>
        <w:ind w:firstLine="7040" w:firstLineChars="1600"/>
        <w:jc w:val="center"/>
        <w:rPr>
          <w:rFonts w:hint="eastAsia" w:ascii="方正小标宋简体" w:hAnsi="方正小标宋简体" w:eastAsia="方正小标宋简体" w:cs="方正小标宋简体"/>
          <w:bCs/>
          <w:color w:val="auto"/>
          <w:sz w:val="44"/>
          <w:szCs w:val="44"/>
          <w:highlight w:val="none"/>
        </w:rPr>
      </w:pPr>
    </w:p>
    <w:p w14:paraId="7055E04B">
      <w:pPr>
        <w:adjustRightInd w:val="0"/>
        <w:snapToGrid w:val="0"/>
        <w:spacing w:line="520" w:lineRule="exact"/>
        <w:jc w:val="center"/>
        <w:rPr>
          <w:rFonts w:hint="eastAsia" w:ascii="宋体" w:hAnsi="宋体"/>
          <w:b/>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货物配置清单</w:t>
      </w:r>
    </w:p>
    <w:p w14:paraId="16A9FAA9">
      <w:pPr>
        <w:spacing w:line="300" w:lineRule="auto"/>
        <w:rPr>
          <w:rFonts w:hint="eastAsia" w:ascii="宋体" w:hAnsi="宋体"/>
          <w:color w:val="auto"/>
          <w:szCs w:val="21"/>
          <w:highlight w:val="none"/>
        </w:rPr>
      </w:pPr>
    </w:p>
    <w:p w14:paraId="60624196">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488FA80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B33753E">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803"/>
        <w:gridCol w:w="895"/>
        <w:gridCol w:w="1786"/>
        <w:gridCol w:w="1245"/>
        <w:gridCol w:w="737"/>
        <w:gridCol w:w="1496"/>
      </w:tblGrid>
      <w:tr w14:paraId="26485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0F48B9E3">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38A5EB9">
            <w:pPr>
              <w:snapToGrid w:val="0"/>
              <w:spacing w:before="50" w:after="5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标的的名称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4694D69F">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7A593E8E">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1786" w:type="dxa"/>
            <w:tcBorders>
              <w:top w:val="single" w:color="auto" w:sz="4" w:space="0"/>
              <w:left w:val="single" w:color="auto" w:sz="4" w:space="0"/>
              <w:bottom w:val="single" w:color="auto" w:sz="4" w:space="0"/>
              <w:right w:val="single" w:color="auto" w:sz="4" w:space="0"/>
            </w:tcBorders>
            <w:noWrap w:val="0"/>
            <w:vAlign w:val="top"/>
          </w:tcPr>
          <w:p w14:paraId="0A045F05">
            <w:pPr>
              <w:snapToGrid w:val="0"/>
              <w:spacing w:before="50" w:after="50"/>
              <w:jc w:val="center"/>
              <w:rPr>
                <w:rFonts w:ascii="宋体" w:hAnsi="宋体"/>
                <w:color w:val="auto"/>
                <w:sz w:val="24"/>
                <w:highlight w:val="none"/>
              </w:rPr>
            </w:pPr>
          </w:p>
          <w:p w14:paraId="27EAD3C7">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C54405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0D5AF7A0">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EE88ECB">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79DBF9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71ACFE98">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9BD4E14">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2C73C91B">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511AA254">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0D208B09">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11576D5">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7FC4E83">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70EE21A">
            <w:pPr>
              <w:snapToGrid w:val="0"/>
              <w:spacing w:before="50" w:after="50"/>
              <w:jc w:val="center"/>
              <w:rPr>
                <w:rFonts w:hint="eastAsia" w:ascii="宋体" w:hAnsi="宋体"/>
                <w:color w:val="auto"/>
                <w:sz w:val="24"/>
                <w:highlight w:val="none"/>
              </w:rPr>
            </w:pPr>
          </w:p>
        </w:tc>
      </w:tr>
      <w:tr w14:paraId="5AF83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5D5C7235">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0012519">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6F68D524">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6667305">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168A11F8">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C25823E">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7944447F">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1C307F2">
            <w:pPr>
              <w:snapToGrid w:val="0"/>
              <w:spacing w:before="50" w:after="50"/>
              <w:jc w:val="center"/>
              <w:rPr>
                <w:rFonts w:hint="eastAsia" w:ascii="宋体" w:hAnsi="宋体"/>
                <w:color w:val="auto"/>
                <w:sz w:val="24"/>
                <w:highlight w:val="none"/>
              </w:rPr>
            </w:pPr>
          </w:p>
        </w:tc>
      </w:tr>
      <w:tr w14:paraId="66EF0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4842B946">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F30CEA4">
            <w:pPr>
              <w:snapToGrid w:val="0"/>
              <w:spacing w:before="50" w:after="50"/>
              <w:jc w:val="center"/>
              <w:rPr>
                <w:rFonts w:hint="eastAsia"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6464FF42">
            <w:pPr>
              <w:snapToGrid w:val="0"/>
              <w:spacing w:before="50" w:after="50"/>
              <w:jc w:val="center"/>
              <w:rPr>
                <w:rFonts w:hint="eastAsia"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C7CBF1E">
            <w:pPr>
              <w:snapToGrid w:val="0"/>
              <w:spacing w:before="50" w:after="50"/>
              <w:jc w:val="center"/>
              <w:rPr>
                <w:rFonts w:hint="eastAsia"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16C0E668">
            <w:pPr>
              <w:snapToGrid w:val="0"/>
              <w:spacing w:before="50" w:after="50"/>
              <w:jc w:val="center"/>
              <w:rPr>
                <w:rFonts w:hint="eastAsia"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207F615">
            <w:pPr>
              <w:snapToGrid w:val="0"/>
              <w:spacing w:before="50" w:after="50"/>
              <w:jc w:val="center"/>
              <w:rPr>
                <w:rFonts w:hint="eastAsia"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10B5F4EC">
            <w:pPr>
              <w:snapToGrid w:val="0"/>
              <w:spacing w:before="50" w:after="50"/>
              <w:jc w:val="center"/>
              <w:rPr>
                <w:rFonts w:hint="eastAsia"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5B20FB0">
            <w:pPr>
              <w:snapToGrid w:val="0"/>
              <w:spacing w:before="50" w:after="50"/>
              <w:jc w:val="center"/>
              <w:rPr>
                <w:rFonts w:hint="eastAsia" w:ascii="宋体" w:hAnsi="宋体"/>
                <w:color w:val="auto"/>
                <w:sz w:val="24"/>
                <w:highlight w:val="none"/>
              </w:rPr>
            </w:pPr>
          </w:p>
        </w:tc>
      </w:tr>
    </w:tbl>
    <w:p w14:paraId="0E0488D0">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72594051">
      <w:pPr>
        <w:tabs>
          <w:tab w:val="left" w:pos="1065"/>
        </w:tabs>
        <w:adjustRightInd w:val="0"/>
        <w:spacing w:line="360" w:lineRule="auto"/>
        <w:contextualSpacing/>
        <w:rPr>
          <w:rFonts w:hint="eastAsia" w:ascii="宋体" w:hAnsi="宋体" w:cs="仿宋_GB2312"/>
          <w:color w:val="auto"/>
          <w:sz w:val="24"/>
          <w:highlight w:val="none"/>
        </w:rPr>
      </w:pPr>
      <w:r>
        <w:rPr>
          <w:rFonts w:hint="eastAsia" w:ascii="宋体" w:hAnsi="宋体"/>
          <w:b/>
          <w:bCs/>
          <w:color w:val="auto"/>
          <w:sz w:val="24"/>
          <w:highlight w:val="none"/>
        </w:rPr>
        <w:t>以上货物配置清单中“</w:t>
      </w:r>
      <w:r>
        <w:rPr>
          <w:rFonts w:hint="eastAsia" w:ascii="宋体" w:hAnsi="宋体"/>
          <w:b/>
          <w:bCs/>
          <w:color w:val="auto"/>
          <w:sz w:val="24"/>
          <w:highlight w:val="none"/>
          <w:lang w:val="en-US" w:eastAsia="zh-CN"/>
        </w:rPr>
        <w:t>标的的名称</w:t>
      </w:r>
      <w:r>
        <w:rPr>
          <w:rFonts w:hint="eastAsia" w:ascii="宋体" w:hAnsi="宋体"/>
          <w:b/>
          <w:bCs/>
          <w:color w:val="auto"/>
          <w:sz w:val="24"/>
          <w:highlight w:val="none"/>
        </w:rPr>
        <w:t>、数量及单位、品牌、规格型号、制造商、原产地、参数性能、指标及配置”必须如实填写完整，品牌、规格型号没有则填无，填写有缺漏的，响应文件按无效处理</w:t>
      </w:r>
      <w:r>
        <w:rPr>
          <w:rFonts w:hint="eastAsia" w:ascii="宋体" w:hAnsi="宋体"/>
          <w:b/>
          <w:color w:val="auto"/>
          <w:sz w:val="24"/>
          <w:highlight w:val="none"/>
        </w:rPr>
        <w:t>。</w:t>
      </w:r>
      <w:r>
        <w:rPr>
          <w:rFonts w:hint="eastAsia" w:ascii="宋体" w:hAnsi="宋体" w:cs="仿宋_GB2312"/>
          <w:color w:val="auto"/>
          <w:sz w:val="24"/>
          <w:highlight w:val="none"/>
        </w:rPr>
        <w:tab/>
      </w:r>
    </w:p>
    <w:p w14:paraId="00853DA9">
      <w:pPr>
        <w:adjustRightInd w:val="0"/>
        <w:spacing w:line="360" w:lineRule="auto"/>
        <w:contextualSpacing/>
        <w:jc w:val="left"/>
        <w:rPr>
          <w:rFonts w:hint="eastAsia" w:ascii="宋体" w:hAnsi="宋体" w:cs="仿宋_GB2312"/>
          <w:color w:val="auto"/>
          <w:sz w:val="24"/>
          <w:highlight w:val="none"/>
        </w:rPr>
      </w:pPr>
    </w:p>
    <w:p w14:paraId="613C374C">
      <w:pPr>
        <w:adjustRightInd w:val="0"/>
        <w:spacing w:line="360" w:lineRule="auto"/>
        <w:contextualSpacing/>
        <w:jc w:val="left"/>
        <w:rPr>
          <w:rFonts w:hint="eastAsia" w:ascii="宋体" w:hAnsi="宋体" w:cs="仿宋_GB2312"/>
          <w:color w:val="auto"/>
          <w:sz w:val="24"/>
          <w:highlight w:val="none"/>
        </w:rPr>
      </w:pPr>
    </w:p>
    <w:p w14:paraId="2CD03D96">
      <w:pPr>
        <w:adjustRightInd w:val="0"/>
        <w:spacing w:line="360" w:lineRule="auto"/>
        <w:contextualSpacing/>
        <w:jc w:val="left"/>
        <w:rPr>
          <w:rFonts w:hint="eastAsia" w:ascii="宋体" w:hAnsi="宋体" w:cs="仿宋_GB2312"/>
          <w:color w:val="auto"/>
          <w:sz w:val="24"/>
          <w:highlight w:val="none"/>
        </w:rPr>
      </w:pPr>
    </w:p>
    <w:p w14:paraId="6B7AF8B0">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F34E73B">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2DE435F">
      <w:pPr>
        <w:spacing w:line="360" w:lineRule="auto"/>
        <w:ind w:right="-817" w:rightChars="-389" w:firstLine="2880" w:firstLineChars="1200"/>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1112C058">
      <w:pPr>
        <w:adjustRightInd w:val="0"/>
        <w:snapToGrid w:val="0"/>
        <w:spacing w:line="300" w:lineRule="auto"/>
        <w:rPr>
          <w:rFonts w:hint="eastAsia" w:ascii="宋体" w:hAnsi="宋体"/>
          <w:color w:val="auto"/>
          <w:szCs w:val="21"/>
          <w:highlight w:val="none"/>
          <w:u w:val="single"/>
        </w:rPr>
      </w:pPr>
    </w:p>
    <w:p w14:paraId="1A8906BF">
      <w:pPr>
        <w:adjustRightInd w:val="0"/>
        <w:snapToGrid w:val="0"/>
        <w:spacing w:line="300" w:lineRule="auto"/>
        <w:rPr>
          <w:rFonts w:hint="eastAsia" w:ascii="宋体" w:hAnsi="宋体"/>
          <w:color w:val="auto"/>
          <w:szCs w:val="21"/>
          <w:highlight w:val="none"/>
          <w:u w:val="single"/>
        </w:rPr>
      </w:pPr>
    </w:p>
    <w:p w14:paraId="5E69B75F">
      <w:pPr>
        <w:adjustRightInd w:val="0"/>
        <w:snapToGrid w:val="0"/>
        <w:spacing w:line="300" w:lineRule="auto"/>
        <w:rPr>
          <w:rFonts w:hint="eastAsia" w:ascii="宋体" w:hAnsi="宋体"/>
          <w:color w:val="auto"/>
          <w:szCs w:val="21"/>
          <w:highlight w:val="none"/>
          <w:u w:val="single"/>
        </w:rPr>
      </w:pPr>
    </w:p>
    <w:p w14:paraId="64D08FE6">
      <w:pPr>
        <w:adjustRightInd w:val="0"/>
        <w:snapToGrid w:val="0"/>
        <w:spacing w:line="300" w:lineRule="auto"/>
        <w:rPr>
          <w:rFonts w:hint="eastAsia" w:ascii="宋体" w:hAnsi="宋体"/>
          <w:color w:val="auto"/>
          <w:szCs w:val="21"/>
          <w:highlight w:val="none"/>
          <w:u w:val="single"/>
        </w:rPr>
      </w:pPr>
    </w:p>
    <w:p w14:paraId="121ED689">
      <w:pPr>
        <w:adjustRightInd w:val="0"/>
        <w:snapToGrid w:val="0"/>
        <w:spacing w:line="300" w:lineRule="auto"/>
        <w:rPr>
          <w:rFonts w:hint="eastAsia" w:ascii="宋体" w:hAnsi="宋体"/>
          <w:color w:val="auto"/>
          <w:szCs w:val="21"/>
          <w:highlight w:val="none"/>
          <w:u w:val="single"/>
        </w:rPr>
      </w:pPr>
    </w:p>
    <w:p w14:paraId="52F781BD">
      <w:pPr>
        <w:adjustRightInd w:val="0"/>
        <w:snapToGrid w:val="0"/>
        <w:spacing w:line="300" w:lineRule="auto"/>
        <w:rPr>
          <w:rFonts w:hint="eastAsia" w:ascii="宋体" w:hAnsi="宋体"/>
          <w:color w:val="auto"/>
          <w:szCs w:val="21"/>
          <w:highlight w:val="none"/>
          <w:u w:val="single"/>
        </w:rPr>
      </w:pPr>
    </w:p>
    <w:p w14:paraId="7626D302">
      <w:pPr>
        <w:adjustRightInd w:val="0"/>
        <w:snapToGrid w:val="0"/>
        <w:spacing w:line="300" w:lineRule="auto"/>
        <w:rPr>
          <w:rFonts w:hint="eastAsia" w:ascii="宋体" w:hAnsi="宋体"/>
          <w:color w:val="auto"/>
          <w:szCs w:val="21"/>
          <w:highlight w:val="none"/>
          <w:u w:val="single"/>
        </w:rPr>
      </w:pPr>
    </w:p>
    <w:p w14:paraId="2D24CA2A">
      <w:pPr>
        <w:adjustRightInd w:val="0"/>
        <w:snapToGrid w:val="0"/>
        <w:spacing w:line="300" w:lineRule="auto"/>
        <w:rPr>
          <w:rFonts w:hint="eastAsia" w:ascii="宋体" w:hAnsi="宋体"/>
          <w:color w:val="auto"/>
          <w:szCs w:val="21"/>
          <w:highlight w:val="none"/>
          <w:u w:val="single"/>
        </w:rPr>
      </w:pPr>
    </w:p>
    <w:p w14:paraId="65AF7F27">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41EE8D6C">
      <w:pPr>
        <w:spacing w:line="520" w:lineRule="exact"/>
        <w:rPr>
          <w:rFonts w:hint="eastAsia" w:ascii="仿宋_GB2312" w:hAnsi="仿宋_GB2312" w:eastAsia="仿宋_GB2312" w:cs="仿宋_GB2312"/>
          <w:color w:val="auto"/>
          <w:sz w:val="32"/>
          <w:szCs w:val="32"/>
          <w:highlight w:val="none"/>
        </w:rPr>
      </w:pPr>
    </w:p>
    <w:p w14:paraId="062FE7E8">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2C4737F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1ECB528B">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7FA502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769F18E1">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序号</w:t>
            </w:r>
          </w:p>
        </w:tc>
        <w:tc>
          <w:tcPr>
            <w:tcW w:w="900" w:type="dxa"/>
            <w:tcBorders>
              <w:right w:val="single" w:color="auto" w:sz="4" w:space="0"/>
            </w:tcBorders>
            <w:noWrap w:val="0"/>
            <w:vAlign w:val="center"/>
          </w:tcPr>
          <w:p w14:paraId="611E6FA6">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名称</w:t>
            </w:r>
          </w:p>
        </w:tc>
        <w:tc>
          <w:tcPr>
            <w:tcW w:w="2989" w:type="dxa"/>
            <w:tcBorders>
              <w:left w:val="single" w:color="auto" w:sz="4" w:space="0"/>
            </w:tcBorders>
            <w:noWrap w:val="0"/>
            <w:vAlign w:val="center"/>
          </w:tcPr>
          <w:p w14:paraId="5CAA877F">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谈判文件要求</w:t>
            </w:r>
          </w:p>
        </w:tc>
        <w:tc>
          <w:tcPr>
            <w:tcW w:w="2690" w:type="dxa"/>
            <w:noWrap w:val="0"/>
            <w:vAlign w:val="center"/>
          </w:tcPr>
          <w:p w14:paraId="4526F59A">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竞标响应</w:t>
            </w:r>
          </w:p>
        </w:tc>
        <w:tc>
          <w:tcPr>
            <w:tcW w:w="1467" w:type="dxa"/>
            <w:noWrap w:val="0"/>
            <w:vAlign w:val="center"/>
          </w:tcPr>
          <w:p w14:paraId="622CDF7E">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偏离说明</w:t>
            </w:r>
          </w:p>
        </w:tc>
      </w:tr>
      <w:tr w14:paraId="1597FF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51089843">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w:t>
            </w:r>
          </w:p>
        </w:tc>
        <w:tc>
          <w:tcPr>
            <w:tcW w:w="900" w:type="dxa"/>
            <w:tcBorders>
              <w:right w:val="single" w:color="auto" w:sz="4" w:space="0"/>
            </w:tcBorders>
            <w:noWrap w:val="0"/>
            <w:vAlign w:val="center"/>
          </w:tcPr>
          <w:p w14:paraId="3BA45C96">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20191DC5">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66927379">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37851D96">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15E287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26C8C1CC">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2</w:t>
            </w:r>
          </w:p>
        </w:tc>
        <w:tc>
          <w:tcPr>
            <w:tcW w:w="900" w:type="dxa"/>
            <w:tcBorders>
              <w:right w:val="single" w:color="auto" w:sz="4" w:space="0"/>
            </w:tcBorders>
            <w:noWrap w:val="0"/>
            <w:vAlign w:val="center"/>
          </w:tcPr>
          <w:p w14:paraId="3FC7A6DA">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5971ECA3">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7BA0A770">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284A1FA8">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14649C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9D3CD9F">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3</w:t>
            </w:r>
          </w:p>
        </w:tc>
        <w:tc>
          <w:tcPr>
            <w:tcW w:w="900" w:type="dxa"/>
            <w:tcBorders>
              <w:right w:val="single" w:color="auto" w:sz="4" w:space="0"/>
            </w:tcBorders>
            <w:noWrap w:val="0"/>
            <w:vAlign w:val="center"/>
          </w:tcPr>
          <w:p w14:paraId="0749D7D0">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06DE3FDD">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6659773C">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3F8A5C72">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1D912B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5CB766A2">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4</w:t>
            </w:r>
          </w:p>
        </w:tc>
        <w:tc>
          <w:tcPr>
            <w:tcW w:w="900" w:type="dxa"/>
            <w:tcBorders>
              <w:right w:val="single" w:color="auto" w:sz="4" w:space="0"/>
            </w:tcBorders>
            <w:noWrap w:val="0"/>
            <w:vAlign w:val="center"/>
          </w:tcPr>
          <w:p w14:paraId="2CC0A527">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74D041BE">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01A5EA0A">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08BE595D">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2B3157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16B8CC0C">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5</w:t>
            </w:r>
          </w:p>
        </w:tc>
        <w:tc>
          <w:tcPr>
            <w:tcW w:w="900" w:type="dxa"/>
            <w:tcBorders>
              <w:right w:val="single" w:color="auto" w:sz="4" w:space="0"/>
            </w:tcBorders>
            <w:noWrap w:val="0"/>
            <w:vAlign w:val="center"/>
          </w:tcPr>
          <w:p w14:paraId="5DE1527B">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34CF36CB">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3D352B6C">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noWrap w:val="0"/>
            <w:vAlign w:val="center"/>
          </w:tcPr>
          <w:p w14:paraId="5249E29E">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r w14:paraId="707347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noWrap w:val="0"/>
            <w:vAlign w:val="center"/>
          </w:tcPr>
          <w:p w14:paraId="1A19F36A">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w:t>
            </w:r>
          </w:p>
        </w:tc>
        <w:tc>
          <w:tcPr>
            <w:tcW w:w="900" w:type="dxa"/>
            <w:tcBorders>
              <w:right w:val="single" w:color="auto" w:sz="4" w:space="0"/>
            </w:tcBorders>
            <w:noWrap w:val="0"/>
            <w:vAlign w:val="center"/>
          </w:tcPr>
          <w:p w14:paraId="1968B0EA">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989" w:type="dxa"/>
            <w:tcBorders>
              <w:left w:val="single" w:color="auto" w:sz="4" w:space="0"/>
            </w:tcBorders>
            <w:noWrap w:val="0"/>
            <w:vAlign w:val="center"/>
          </w:tcPr>
          <w:p w14:paraId="12B5DCF0">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2690" w:type="dxa"/>
            <w:noWrap w:val="0"/>
            <w:vAlign w:val="center"/>
          </w:tcPr>
          <w:p w14:paraId="79293784">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c>
          <w:tcPr>
            <w:tcW w:w="1467" w:type="dxa"/>
            <w:tcBorders>
              <w:right w:val="single" w:color="auto" w:sz="4" w:space="0"/>
            </w:tcBorders>
            <w:noWrap w:val="0"/>
            <w:vAlign w:val="center"/>
          </w:tcPr>
          <w:p w14:paraId="73F0E091">
            <w:pPr>
              <w:pStyle w:val="10"/>
              <w:spacing w:line="360" w:lineRule="auto"/>
              <w:ind w:firstLine="0" w:firstLineChars="0"/>
              <w:jc w:val="center"/>
              <w:rPr>
                <w:rFonts w:hint="eastAsia" w:ascii="宋体" w:hAnsi="宋体" w:eastAsia="宋体" w:cs="仿宋_GB2312"/>
                <w:color w:val="auto"/>
                <w:kern w:val="2"/>
                <w:sz w:val="24"/>
                <w:szCs w:val="24"/>
                <w:highlight w:val="none"/>
                <w:lang w:val="en-US" w:eastAsia="zh-CN"/>
              </w:rPr>
            </w:pPr>
          </w:p>
        </w:tc>
      </w:tr>
    </w:tbl>
    <w:p w14:paraId="36525710">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5246E133">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说明：应对照谈判文件“第三章 采购需求”中的技术要求逐条实质性响应，并作出偏离说明。</w:t>
      </w:r>
    </w:p>
    <w:p w14:paraId="3890A475">
      <w:pPr>
        <w:pStyle w:val="10"/>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2.供应商应根据竞标设备的性能指标，对照谈判文件要求，在“偏离说明”中注明“正偏离</w:t>
      </w: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负偏离”或者“无偏离”。既不属于“正偏离”也不属于“负偏离”即为“无偏离”。</w:t>
      </w:r>
    </w:p>
    <w:p w14:paraId="288F91C2">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3.供应商认为其竞标响应有正偏离的，请在技术要求偏离表中列明，且在响应文件中提供竞标产品的彩页或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或产品生产厂家出具的技术参数说明证明作为佐证，以上佐证材料均需加盖生产厂家或代理商（附生产厂家授权资料）公章。</w:t>
      </w:r>
    </w:p>
    <w:p w14:paraId="4843047F">
      <w:pPr>
        <w:pStyle w:val="10"/>
        <w:spacing w:line="360" w:lineRule="auto"/>
        <w:ind w:firstLine="0" w:firstLineChars="0"/>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如技术要求偏离表中的竞标响应与佐证材料不一致的，以佐证材料为准。</w:t>
      </w:r>
    </w:p>
    <w:p w14:paraId="30FEA912">
      <w:pPr>
        <w:pStyle w:val="10"/>
        <w:spacing w:line="360" w:lineRule="auto"/>
        <w:ind w:firstLine="0" w:firstLineChars="0"/>
        <w:contextualSpacing/>
        <w:rPr>
          <w:rFonts w:hint="eastAsia" w:ascii="宋体" w:hAnsi="宋体" w:eastAsia="宋体" w:cs="仿宋_GB2312"/>
          <w:color w:val="auto"/>
          <w:sz w:val="24"/>
          <w:szCs w:val="24"/>
          <w:highlight w:val="none"/>
        </w:rPr>
      </w:pPr>
    </w:p>
    <w:p w14:paraId="1BC0A3A9">
      <w:pPr>
        <w:spacing w:line="360" w:lineRule="auto"/>
        <w:ind w:right="-817" w:rightChars="-389"/>
        <w:contextualSpacing/>
        <w:rPr>
          <w:rFonts w:hint="eastAsia" w:ascii="宋体" w:hAnsi="宋体" w:cs="仿宋_GB2312"/>
          <w:color w:val="auto"/>
          <w:sz w:val="24"/>
          <w:highlight w:val="none"/>
        </w:rPr>
      </w:pPr>
    </w:p>
    <w:p w14:paraId="4CB68FD4">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C375371">
      <w:pPr>
        <w:spacing w:line="360" w:lineRule="auto"/>
        <w:ind w:right="-817" w:rightChars="-389" w:firstLine="2880" w:firstLineChars="1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44CE601F">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7E925DA">
      <w:pPr>
        <w:snapToGrid w:val="0"/>
        <w:spacing w:before="156" w:beforeLines="50" w:after="50"/>
        <w:jc w:val="left"/>
        <w:rPr>
          <w:rFonts w:hint="eastAsia" w:ascii="宋体" w:hAnsi="宋体"/>
          <w:color w:val="auto"/>
          <w:szCs w:val="21"/>
          <w:highlight w:val="none"/>
        </w:rPr>
      </w:pPr>
      <w:r>
        <w:rPr>
          <w:rFonts w:ascii="宋体" w:hAnsi="宋体" w:cs="仿宋_GB2312"/>
          <w:color w:val="auto"/>
          <w:sz w:val="24"/>
          <w:highlight w:val="none"/>
        </w:rPr>
        <w:br w:type="page"/>
      </w:r>
      <w:r>
        <w:rPr>
          <w:rFonts w:hint="eastAsia" w:ascii="宋体" w:hAnsi="宋体"/>
          <w:b/>
          <w:bCs/>
          <w:color w:val="auto"/>
          <w:sz w:val="24"/>
          <w:highlight w:val="none"/>
        </w:rPr>
        <w:t>其他文书、文件格式</w:t>
      </w:r>
    </w:p>
    <w:p w14:paraId="0F4A278D">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bookmarkStart w:id="83" w:name="_Toc71365383"/>
      <w:bookmarkStart w:id="84" w:name="_Toc71366061"/>
      <w:r>
        <w:rPr>
          <w:rFonts w:hint="eastAsia" w:ascii="方正小标宋简体" w:hAnsi="方正小标宋简体" w:eastAsia="方正小标宋简体" w:cs="方正小标宋简体"/>
          <w:bCs/>
          <w:color w:val="auto"/>
          <w:sz w:val="44"/>
          <w:szCs w:val="44"/>
          <w:highlight w:val="none"/>
        </w:rPr>
        <w:t>中小企业声明函（货物）</w:t>
      </w:r>
      <w:bookmarkEnd w:id="83"/>
      <w:bookmarkEnd w:id="84"/>
    </w:p>
    <w:p w14:paraId="4E200DCF">
      <w:pPr>
        <w:rPr>
          <w:rFonts w:hint="eastAsia"/>
          <w:color w:val="auto"/>
          <w:highlight w:val="none"/>
        </w:rPr>
      </w:pPr>
    </w:p>
    <w:p w14:paraId="05067835">
      <w:pPr>
        <w:pStyle w:val="9"/>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226B0AF4">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443BDFC2">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29F9840F">
      <w:pPr>
        <w:pStyle w:val="9"/>
        <w:spacing w:after="0" w:line="360" w:lineRule="auto"/>
        <w:ind w:left="142" w:right="142"/>
        <w:contextualSpacing/>
        <w:rPr>
          <w:rFonts w:ascii="宋体" w:hAnsi="宋体"/>
          <w:color w:val="auto"/>
          <w:sz w:val="24"/>
          <w:highlight w:val="none"/>
        </w:rPr>
      </w:pPr>
      <w:r>
        <w:rPr>
          <w:rFonts w:ascii="宋体" w:hAnsi="宋体"/>
          <w:color w:val="auto"/>
          <w:sz w:val="24"/>
          <w:highlight w:val="none"/>
        </w:rPr>
        <w:t xml:space="preserve">…… </w:t>
      </w:r>
    </w:p>
    <w:p w14:paraId="3AE0090F">
      <w:pPr>
        <w:pStyle w:val="9"/>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D6A1D9C">
      <w:pPr>
        <w:pStyle w:val="9"/>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18703C41">
      <w:pPr>
        <w:pStyle w:val="9"/>
        <w:spacing w:after="0" w:line="360" w:lineRule="auto"/>
        <w:ind w:left="3960" w:right="1808"/>
        <w:contextualSpacing/>
        <w:rPr>
          <w:rFonts w:hint="eastAsia" w:ascii="宋体" w:hAnsi="宋体"/>
          <w:color w:val="auto"/>
          <w:sz w:val="24"/>
          <w:highlight w:val="none"/>
        </w:rPr>
      </w:pPr>
    </w:p>
    <w:p w14:paraId="2C6CEB57">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151FAE62">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7FF886A5">
      <w:pPr>
        <w:pStyle w:val="9"/>
        <w:spacing w:after="0" w:line="360" w:lineRule="auto"/>
        <w:ind w:left="3960" w:right="1808"/>
        <w:contextualSpacing/>
        <w:rPr>
          <w:color w:val="auto"/>
          <w:highlight w:val="none"/>
        </w:rPr>
      </w:pPr>
    </w:p>
    <w:p w14:paraId="6C52448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6F5B960">
      <w:pPr>
        <w:spacing w:line="360" w:lineRule="auto"/>
        <w:contextualSpacing/>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25BAD48D">
      <w:pPr>
        <w:spacing w:line="520" w:lineRule="exact"/>
        <w:rPr>
          <w:rFonts w:hint="eastAsia" w:ascii="仿宋_GB2312" w:hAnsi="仿宋_GB2312" w:eastAsia="仿宋_GB2312" w:cs="仿宋_GB2312"/>
          <w:color w:val="auto"/>
          <w:sz w:val="32"/>
          <w:szCs w:val="32"/>
          <w:highlight w:val="none"/>
        </w:rPr>
      </w:pPr>
    </w:p>
    <w:p w14:paraId="750C8AB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3F6755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564222DF">
      <w:pPr>
        <w:spacing w:line="360" w:lineRule="auto"/>
        <w:contextualSpacing/>
        <w:rPr>
          <w:rFonts w:hint="eastAsia" w:ascii="宋体" w:hAnsi="宋体" w:cs="仿宋_GB2312"/>
          <w:color w:val="auto"/>
          <w:sz w:val="24"/>
          <w:highlight w:val="none"/>
        </w:rPr>
      </w:pPr>
    </w:p>
    <w:p w14:paraId="63C7D257">
      <w:pPr>
        <w:spacing w:line="360" w:lineRule="auto"/>
        <w:contextualSpacing/>
        <w:rPr>
          <w:rFonts w:hint="eastAsia" w:ascii="宋体" w:hAnsi="宋体" w:cs="仿宋_GB2312"/>
          <w:color w:val="auto"/>
          <w:sz w:val="24"/>
          <w:highlight w:val="none"/>
        </w:rPr>
      </w:pPr>
    </w:p>
    <w:p w14:paraId="6C151F68">
      <w:pPr>
        <w:spacing w:line="360" w:lineRule="auto"/>
        <w:contextualSpacing/>
        <w:rPr>
          <w:rFonts w:hint="eastAsia" w:ascii="宋体" w:hAnsi="宋体" w:cs="仿宋_GB2312"/>
          <w:color w:val="auto"/>
          <w:sz w:val="24"/>
          <w:highlight w:val="none"/>
        </w:rPr>
      </w:pPr>
    </w:p>
    <w:p w14:paraId="7D595651">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2947794E">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644F1B96">
      <w:pPr>
        <w:spacing w:line="360" w:lineRule="auto"/>
        <w:contextualSpacing/>
        <w:rPr>
          <w:rFonts w:hint="eastAsia" w:ascii="宋体" w:hAnsi="宋体" w:cs="仿宋_GB2312"/>
          <w:color w:val="auto"/>
          <w:sz w:val="24"/>
          <w:highlight w:val="none"/>
        </w:rPr>
      </w:pPr>
    </w:p>
    <w:p w14:paraId="779F8FEB">
      <w:pPr>
        <w:spacing w:line="360" w:lineRule="auto"/>
        <w:contextualSpacing/>
        <w:rPr>
          <w:rFonts w:hint="eastAsia" w:ascii="宋体" w:hAnsi="宋体" w:cs="仿宋_GB2312"/>
          <w:color w:val="auto"/>
          <w:sz w:val="24"/>
          <w:highlight w:val="none"/>
        </w:rPr>
      </w:pPr>
    </w:p>
    <w:p w14:paraId="7493FE48">
      <w:pPr>
        <w:spacing w:line="360" w:lineRule="auto"/>
        <w:contextualSpacing/>
        <w:rPr>
          <w:rFonts w:hint="eastAsia" w:ascii="宋体" w:hAnsi="宋体" w:cs="仿宋_GB2312"/>
          <w:color w:val="auto"/>
          <w:sz w:val="24"/>
          <w:highlight w:val="none"/>
        </w:rPr>
      </w:pPr>
    </w:p>
    <w:p w14:paraId="788C9CA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w:t>
      </w:r>
      <w:r>
        <w:rPr>
          <w:rFonts w:hint="eastAsia" w:ascii="宋体" w:hAnsi="宋体" w:cs="仿宋_GB2312"/>
          <w:color w:val="auto"/>
          <w:sz w:val="24"/>
          <w:highlight w:val="none"/>
          <w:lang w:val="en-US" w:eastAsia="zh-CN"/>
        </w:rPr>
        <w:t>成交</w:t>
      </w:r>
      <w:r>
        <w:rPr>
          <w:rFonts w:hint="eastAsia" w:ascii="宋体" w:hAnsi="宋体" w:cs="仿宋_GB2312"/>
          <w:color w:val="auto"/>
          <w:sz w:val="24"/>
          <w:highlight w:val="none"/>
        </w:rPr>
        <w:t>结果时，同时公告其《残疾人福利性单位声明函》，接受社会监督。</w:t>
      </w:r>
    </w:p>
    <w:p w14:paraId="15907BE5">
      <w:pPr>
        <w:spacing w:line="360" w:lineRule="auto"/>
        <w:jc w:val="center"/>
        <w:rPr>
          <w:rFonts w:hint="eastAsia" w:ascii="宋体" w:hAnsi="宋体"/>
          <w:b/>
          <w:bCs/>
          <w:color w:val="auto"/>
          <w:sz w:val="32"/>
          <w:szCs w:val="32"/>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14:paraId="7C287FE6">
      <w:pPr>
        <w:spacing w:line="360" w:lineRule="auto"/>
        <w:jc w:val="center"/>
        <w:rPr>
          <w:rFonts w:hint="eastAsia" w:ascii="宋体" w:hAnsi="宋体"/>
          <w:b/>
          <w:bCs/>
          <w:color w:val="auto"/>
          <w:sz w:val="32"/>
          <w:szCs w:val="32"/>
          <w:highlight w:val="none"/>
        </w:rPr>
      </w:pPr>
    </w:p>
    <w:p w14:paraId="6109BC02">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35E48EC7">
      <w:pPr>
        <w:pStyle w:val="12"/>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C286823">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4CE2173">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8EAEBC1">
      <w:pPr>
        <w:pStyle w:val="12"/>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DEF42DF">
      <w:pPr>
        <w:pStyle w:val="12"/>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54D3C34">
      <w:pPr>
        <w:pStyle w:val="1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FC7D25A">
      <w:pPr>
        <w:pStyle w:val="1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76B1697B">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E441387">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178FED9">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BAF4F7E">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0E51DA9A">
      <w:pPr>
        <w:pStyle w:val="1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526DF118">
      <w:pPr>
        <w:pStyle w:val="1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1F5DF9CE">
      <w:pPr>
        <w:pStyle w:val="12"/>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5EA4C589">
      <w:pPr>
        <w:pStyle w:val="12"/>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31B27538">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1DB6757">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AE3F0EC">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6279F295">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53F10647">
      <w:pPr>
        <w:pStyle w:val="12"/>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33749662">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2FE8FD6C">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A3CD38A">
      <w:pPr>
        <w:pStyle w:val="12"/>
        <w:spacing w:line="360" w:lineRule="auto"/>
        <w:ind w:left="25" w:leftChars="12" w:firstLine="352" w:firstLineChars="147"/>
        <w:contextualSpacing/>
        <w:rPr>
          <w:rFonts w:hint="eastAsia" w:hAnsi="宋体"/>
          <w:color w:val="auto"/>
          <w:sz w:val="24"/>
          <w:szCs w:val="24"/>
          <w:highlight w:val="none"/>
        </w:rPr>
      </w:pPr>
    </w:p>
    <w:p w14:paraId="55E0550E">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7C340913">
      <w:pPr>
        <w:pStyle w:val="12"/>
        <w:spacing w:line="360" w:lineRule="auto"/>
        <w:ind w:left="25" w:leftChars="12" w:firstLine="352" w:firstLineChars="147"/>
        <w:contextualSpacing/>
        <w:rPr>
          <w:rFonts w:hint="eastAsia" w:hAnsi="宋体"/>
          <w:color w:val="auto"/>
          <w:sz w:val="24"/>
          <w:szCs w:val="24"/>
          <w:highlight w:val="none"/>
        </w:rPr>
      </w:pPr>
    </w:p>
    <w:p w14:paraId="586D8061">
      <w:pPr>
        <w:pStyle w:val="1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5C4AE7EF">
      <w:pPr>
        <w:pStyle w:val="12"/>
        <w:spacing w:line="360" w:lineRule="auto"/>
        <w:contextualSpacing/>
        <w:rPr>
          <w:rFonts w:hint="eastAsia" w:hAnsi="宋体"/>
          <w:b/>
          <w:color w:val="auto"/>
          <w:sz w:val="24"/>
          <w:szCs w:val="24"/>
          <w:highlight w:val="none"/>
        </w:rPr>
      </w:pPr>
    </w:p>
    <w:p w14:paraId="49028EAD">
      <w:pPr>
        <w:pStyle w:val="12"/>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13EA8FC">
      <w:pPr>
        <w:pStyle w:val="12"/>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3D016B3">
      <w:pPr>
        <w:pStyle w:val="1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1C1EC2E">
      <w:pPr>
        <w:pStyle w:val="1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90AE09F">
      <w:pPr>
        <w:pStyle w:val="1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E169B00">
      <w:pPr>
        <w:pStyle w:val="12"/>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5D0C7206">
      <w:pPr>
        <w:pStyle w:val="12"/>
        <w:snapToGrid w:val="0"/>
        <w:rPr>
          <w:rFonts w:hint="eastAsia"/>
          <w:b/>
          <w:color w:val="auto"/>
          <w:sz w:val="24"/>
          <w:szCs w:val="24"/>
          <w:highlight w:val="none"/>
        </w:rPr>
      </w:pPr>
    </w:p>
    <w:p w14:paraId="0A3A06D7">
      <w:pPr>
        <w:rPr>
          <w:rFonts w:hint="eastAsia"/>
          <w:color w:val="auto"/>
          <w:highlight w:val="none"/>
        </w:rPr>
      </w:pPr>
      <w:r>
        <w:rPr>
          <w:color w:val="auto"/>
          <w:highlight w:val="none"/>
        </w:rPr>
        <w:br w:type="page"/>
      </w:r>
    </w:p>
    <w:p w14:paraId="1C60E228">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338BBD80">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5C1A8829">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845E187">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9A05221">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8EB78CB">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58DB199">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28463B7">
      <w:pPr>
        <w:pStyle w:val="1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3E24D9D">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17E5F3F">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4487FFD8">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9F0C774">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3473CF1">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2CB9234">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7B202B2E">
      <w:pPr>
        <w:pStyle w:val="12"/>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6AECC271">
      <w:pPr>
        <w:pStyle w:val="12"/>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1C9491CD">
      <w:pPr>
        <w:pStyle w:val="12"/>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7825CE6">
      <w:pPr>
        <w:pStyle w:val="12"/>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A400C67">
      <w:pPr>
        <w:pStyle w:val="12"/>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057E9A4">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2BF3AA8">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CE71015">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A058EAA">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492DDA02">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208B942">
      <w:pPr>
        <w:pStyle w:val="12"/>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CFA1229">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7F3DF638">
      <w:pPr>
        <w:pStyle w:val="12"/>
        <w:spacing w:line="360" w:lineRule="auto"/>
        <w:ind w:left="23" w:leftChars="11" w:firstLine="540" w:firstLineChars="225"/>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5C131DF7">
      <w:pPr>
        <w:pStyle w:val="12"/>
        <w:spacing w:line="360" w:lineRule="auto"/>
        <w:ind w:left="23" w:leftChars="11" w:firstLine="540" w:firstLineChars="225"/>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9264D20">
      <w:pPr>
        <w:pStyle w:val="12"/>
        <w:spacing w:line="360" w:lineRule="auto"/>
        <w:ind w:left="23" w:leftChars="11" w:firstLine="540" w:firstLineChars="225"/>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1E40D98F">
      <w:pPr>
        <w:pStyle w:val="12"/>
        <w:spacing w:line="360" w:lineRule="auto"/>
        <w:ind w:left="23" w:leftChars="11" w:firstLine="540" w:firstLineChars="225"/>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896925F">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600999EE">
      <w:pPr>
        <w:pStyle w:val="1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652B4984">
      <w:pPr>
        <w:pStyle w:val="1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24F5778">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60E2A97B">
      <w:pPr>
        <w:pStyle w:val="1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3AC4D7D">
      <w:pPr>
        <w:pStyle w:val="12"/>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CE9C396">
      <w:pPr>
        <w:pStyle w:val="12"/>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88ADE79">
      <w:pPr>
        <w:pStyle w:val="12"/>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02FE5F9B">
      <w:pPr>
        <w:pStyle w:val="1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70BDE49">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616734F">
      <w:pPr>
        <w:pStyle w:val="12"/>
        <w:spacing w:line="360" w:lineRule="auto"/>
        <w:ind w:left="25" w:leftChars="12" w:firstLine="352" w:firstLineChars="147"/>
        <w:rPr>
          <w:rFonts w:hint="eastAsia" w:hAnsi="宋体"/>
          <w:color w:val="auto"/>
          <w:sz w:val="24"/>
          <w:szCs w:val="24"/>
          <w:highlight w:val="none"/>
        </w:rPr>
      </w:pPr>
    </w:p>
    <w:p w14:paraId="7E11AB41">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78DCB624">
      <w:pPr>
        <w:pStyle w:val="12"/>
        <w:spacing w:line="360" w:lineRule="auto"/>
        <w:ind w:left="25" w:leftChars="12" w:firstLine="352" w:firstLineChars="147"/>
        <w:rPr>
          <w:rFonts w:hint="eastAsia" w:hAnsi="宋体"/>
          <w:color w:val="auto"/>
          <w:sz w:val="24"/>
          <w:szCs w:val="24"/>
          <w:highlight w:val="none"/>
        </w:rPr>
      </w:pPr>
    </w:p>
    <w:p w14:paraId="01D38141">
      <w:pPr>
        <w:pStyle w:val="1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CEB1613">
      <w:pPr>
        <w:pStyle w:val="1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14:paraId="029B920E">
      <w:pPr>
        <w:pStyle w:val="12"/>
        <w:snapToGrid w:val="0"/>
        <w:spacing w:line="360" w:lineRule="auto"/>
        <w:rPr>
          <w:rFonts w:hint="eastAsia" w:hAnsi="宋体"/>
          <w:b/>
          <w:color w:val="auto"/>
          <w:sz w:val="24"/>
          <w:szCs w:val="24"/>
          <w:highlight w:val="none"/>
        </w:rPr>
      </w:pPr>
    </w:p>
    <w:p w14:paraId="12E2F574">
      <w:pPr>
        <w:pStyle w:val="12"/>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6D52746">
      <w:pPr>
        <w:pStyle w:val="12"/>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CC0A6AD">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ABDC3F9">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BA3B9ED">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2E06D7CC">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3A2133B">
      <w:pPr>
        <w:pStyle w:val="1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2E4CB91D">
      <w:pPr>
        <w:snapToGrid w:val="0"/>
        <w:spacing w:line="480" w:lineRule="exact"/>
        <w:jc w:val="center"/>
        <w:rPr>
          <w:color w:val="auto"/>
          <w:highlight w:val="none"/>
        </w:rPr>
      </w:pPr>
      <w:r>
        <w:rPr>
          <w:color w:val="auto"/>
          <w:highlight w:val="none"/>
        </w:rPr>
        <w:br w:type="page"/>
      </w:r>
      <w:bookmarkStart w:id="85" w:name="_Toc74322013"/>
    </w:p>
    <w:p w14:paraId="6B97C1F5">
      <w:pPr>
        <w:snapToGrid w:val="0"/>
        <w:spacing w:line="480" w:lineRule="exact"/>
        <w:jc w:val="center"/>
        <w:rPr>
          <w:color w:val="auto"/>
          <w:highlight w:val="none"/>
        </w:rPr>
      </w:pPr>
    </w:p>
    <w:p w14:paraId="76FDAB3F">
      <w:pPr>
        <w:snapToGrid w:val="0"/>
        <w:spacing w:line="480" w:lineRule="exact"/>
        <w:jc w:val="center"/>
        <w:rPr>
          <w:color w:val="auto"/>
          <w:highlight w:val="none"/>
        </w:rPr>
      </w:pPr>
    </w:p>
    <w:p w14:paraId="33B04C67">
      <w:pPr>
        <w:snapToGrid w:val="0"/>
        <w:spacing w:line="480" w:lineRule="exact"/>
        <w:jc w:val="center"/>
        <w:rPr>
          <w:color w:val="auto"/>
          <w:highlight w:val="none"/>
        </w:rPr>
      </w:pPr>
    </w:p>
    <w:p w14:paraId="43E864CA">
      <w:pPr>
        <w:snapToGrid w:val="0"/>
        <w:spacing w:line="480" w:lineRule="exact"/>
        <w:jc w:val="center"/>
        <w:rPr>
          <w:color w:val="auto"/>
          <w:highlight w:val="none"/>
        </w:rPr>
      </w:pPr>
    </w:p>
    <w:p w14:paraId="71B007D6">
      <w:pPr>
        <w:snapToGrid w:val="0"/>
        <w:spacing w:line="480" w:lineRule="exact"/>
        <w:jc w:val="center"/>
        <w:rPr>
          <w:color w:val="auto"/>
          <w:highlight w:val="none"/>
        </w:rPr>
      </w:pPr>
    </w:p>
    <w:p w14:paraId="4DC80731">
      <w:pPr>
        <w:snapToGrid w:val="0"/>
        <w:spacing w:line="480" w:lineRule="exact"/>
        <w:jc w:val="center"/>
        <w:rPr>
          <w:color w:val="auto"/>
          <w:highlight w:val="none"/>
        </w:rPr>
      </w:pPr>
    </w:p>
    <w:p w14:paraId="6DE59F57">
      <w:pPr>
        <w:snapToGrid w:val="0"/>
        <w:spacing w:line="480" w:lineRule="exact"/>
        <w:jc w:val="center"/>
        <w:rPr>
          <w:color w:val="auto"/>
          <w:highlight w:val="none"/>
        </w:rPr>
      </w:pPr>
    </w:p>
    <w:p w14:paraId="186F77A8">
      <w:pPr>
        <w:pStyle w:val="2"/>
        <w:bidi w:val="0"/>
        <w:jc w:val="center"/>
        <w:rPr>
          <w:rFonts w:hint="eastAsia"/>
          <w:color w:val="auto"/>
          <w:highlight w:val="none"/>
        </w:rPr>
      </w:pPr>
      <w:r>
        <w:rPr>
          <w:rFonts w:hint="eastAsia"/>
          <w:color w:val="auto"/>
          <w:highlight w:val="none"/>
          <w:lang w:val="en-US" w:eastAsia="zh-CN"/>
        </w:rPr>
        <w:t>第六章 合同文本</w:t>
      </w:r>
      <w:bookmarkEnd w:id="85"/>
    </w:p>
    <w:p w14:paraId="7FDB0DBC">
      <w:pPr>
        <w:snapToGrid w:val="0"/>
        <w:spacing w:line="480" w:lineRule="exact"/>
        <w:jc w:val="center"/>
        <w:rPr>
          <w:rFonts w:hint="eastAsia"/>
          <w:color w:val="auto"/>
          <w:highlight w:val="none"/>
        </w:rPr>
      </w:pPr>
    </w:p>
    <w:p w14:paraId="6369E52D">
      <w:pPr>
        <w:snapToGrid w:val="0"/>
        <w:spacing w:line="48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br w:type="page"/>
      </w:r>
      <w:r>
        <w:rPr>
          <w:rFonts w:hint="eastAsia" w:ascii="宋体" w:hAnsi="宋体" w:eastAsia="宋体" w:cs="Times New Roman"/>
          <w:b/>
          <w:bCs/>
          <w:color w:val="auto"/>
          <w:sz w:val="32"/>
          <w:szCs w:val="32"/>
          <w:highlight w:val="none"/>
        </w:rPr>
        <w:t>政府采购合同</w:t>
      </w:r>
    </w:p>
    <w:p w14:paraId="4C15D7BE">
      <w:pPr>
        <w:snapToGrid w:val="0"/>
        <w:spacing w:line="360" w:lineRule="auto"/>
        <w:ind w:left="440" w:hanging="420" w:hangingChars="200"/>
        <w:rPr>
          <w:rFonts w:hint="eastAsia" w:ascii="宋体" w:hAnsi="宋体" w:eastAsia="宋体" w:cs="宋体"/>
          <w:bCs/>
          <w:color w:val="auto"/>
          <w:sz w:val="21"/>
          <w:szCs w:val="21"/>
          <w:highlight w:val="none"/>
          <w:u w:val="single"/>
        </w:rPr>
      </w:pPr>
    </w:p>
    <w:p w14:paraId="78549F88">
      <w:pPr>
        <w:spacing w:line="360" w:lineRule="auto"/>
        <w:ind w:right="105"/>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项目编号：</w:t>
      </w:r>
    </w:p>
    <w:p w14:paraId="220809E7">
      <w:pPr>
        <w:wordWrap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p w14:paraId="323111F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合同签订地点：广西梧州市 </w:t>
      </w:r>
    </w:p>
    <w:p w14:paraId="434860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FBF1B87">
      <w:pPr>
        <w:spacing w:line="360" w:lineRule="auto"/>
        <w:rPr>
          <w:rFonts w:hint="eastAsia" w:ascii="宋体" w:hAnsi="宋体" w:eastAsia="宋体" w:cs="宋体"/>
          <w:color w:val="auto"/>
          <w:szCs w:val="21"/>
          <w:highlight w:val="none"/>
        </w:rPr>
      </w:pPr>
    </w:p>
    <w:p w14:paraId="41786A9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u w:val="single"/>
        </w:rPr>
        <w:t xml:space="preserve"> 梧州市红十字会医院  </w:t>
      </w:r>
    </w:p>
    <w:p w14:paraId="7C41215C">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p>
    <w:p w14:paraId="016C407E">
      <w:pPr>
        <w:spacing w:line="360" w:lineRule="auto"/>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日云之龙咨询集团有限公司签发的（</w:t>
      </w:r>
      <w:r>
        <w:rPr>
          <w:rFonts w:hint="eastAsia" w:ascii="宋体" w:hAnsi="宋体" w:eastAsia="宋体" w:cs="宋体"/>
          <w:color w:val="auto"/>
          <w:szCs w:val="21"/>
          <w:highlight w:val="none"/>
          <w:u w:val="single"/>
        </w:rPr>
        <w:t>项目名称及项目编号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通知书，甲方接受乙方对本项目的</w:t>
      </w:r>
      <w:r>
        <w:rPr>
          <w:rFonts w:hint="eastAsia" w:ascii="宋体" w:hAnsi="宋体" w:eastAsia="宋体" w:cs="宋体"/>
          <w:color w:val="auto"/>
          <w:szCs w:val="21"/>
          <w:highlight w:val="none"/>
          <w:lang w:val="en-US" w:eastAsia="zh-CN"/>
        </w:rPr>
        <w:t>竞标</w:t>
      </w:r>
      <w:r>
        <w:rPr>
          <w:rFonts w:hint="eastAsia" w:ascii="宋体" w:hAnsi="宋体" w:eastAsia="宋体" w:cs="宋体"/>
          <w:color w:val="auto"/>
          <w:szCs w:val="21"/>
          <w:highlight w:val="none"/>
        </w:rPr>
        <w:t>，甲、乙双方同意签署本合同（以下简称合同），</w:t>
      </w:r>
      <w:r>
        <w:rPr>
          <w:rFonts w:hint="eastAsia" w:ascii="宋体" w:hAnsi="宋体" w:eastAsia="宋体" w:cs="宋体"/>
          <w:color w:val="auto"/>
          <w:szCs w:val="21"/>
          <w:highlight w:val="none"/>
          <w:lang w:eastAsia="zh-CN"/>
        </w:rPr>
        <w:t>成交通知书</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竞争性谈判文件</w:t>
      </w:r>
      <w:r>
        <w:rPr>
          <w:rFonts w:hint="eastAsia" w:ascii="宋体" w:hAnsi="宋体" w:eastAsia="宋体" w:cs="宋体"/>
          <w:color w:val="auto"/>
          <w:szCs w:val="21"/>
          <w:highlight w:val="none"/>
        </w:rPr>
        <w:t>及补充、</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文件及澄清为本合同不可分割的部分并与本合同具有同等效力。</w:t>
      </w:r>
    </w:p>
    <w:p w14:paraId="0C038897">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  采购内容</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1803"/>
        <w:gridCol w:w="1801"/>
        <w:gridCol w:w="1781"/>
        <w:gridCol w:w="1781"/>
      </w:tblGrid>
      <w:tr w14:paraId="2CE3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noWrap w:val="0"/>
            <w:vAlign w:val="center"/>
          </w:tcPr>
          <w:p w14:paraId="506F90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927" w:type="dxa"/>
            <w:noWrap w:val="0"/>
            <w:vAlign w:val="center"/>
          </w:tcPr>
          <w:p w14:paraId="3EB48B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数量（单位）</w:t>
            </w:r>
          </w:p>
        </w:tc>
        <w:tc>
          <w:tcPr>
            <w:tcW w:w="1925" w:type="dxa"/>
            <w:noWrap w:val="0"/>
            <w:vAlign w:val="center"/>
          </w:tcPr>
          <w:p w14:paraId="0445636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品牌、厂家、型号、规格</w:t>
            </w:r>
          </w:p>
        </w:tc>
        <w:tc>
          <w:tcPr>
            <w:tcW w:w="1925" w:type="dxa"/>
            <w:noWrap w:val="0"/>
            <w:vAlign w:val="center"/>
          </w:tcPr>
          <w:p w14:paraId="4F468A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技术参数</w:t>
            </w:r>
          </w:p>
        </w:tc>
        <w:tc>
          <w:tcPr>
            <w:tcW w:w="1925" w:type="dxa"/>
            <w:noWrap w:val="0"/>
            <w:vAlign w:val="center"/>
          </w:tcPr>
          <w:p w14:paraId="0F6490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r>
      <w:tr w14:paraId="0C43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noWrap w:val="0"/>
            <w:vAlign w:val="center"/>
          </w:tcPr>
          <w:p w14:paraId="397C0F0D">
            <w:pPr>
              <w:spacing w:line="360" w:lineRule="auto"/>
              <w:ind w:firstLine="480"/>
              <w:jc w:val="center"/>
              <w:rPr>
                <w:rFonts w:hint="eastAsia" w:ascii="宋体" w:hAnsi="宋体" w:eastAsia="宋体" w:cs="宋体"/>
                <w:color w:val="auto"/>
                <w:szCs w:val="21"/>
                <w:highlight w:val="none"/>
              </w:rPr>
            </w:pPr>
          </w:p>
        </w:tc>
        <w:tc>
          <w:tcPr>
            <w:tcW w:w="1927" w:type="dxa"/>
            <w:noWrap w:val="0"/>
            <w:vAlign w:val="center"/>
          </w:tcPr>
          <w:p w14:paraId="7F1725E0">
            <w:pPr>
              <w:spacing w:line="360" w:lineRule="auto"/>
              <w:jc w:val="center"/>
              <w:rPr>
                <w:rFonts w:hint="eastAsia" w:ascii="宋体" w:hAnsi="宋体" w:eastAsia="宋体" w:cs="宋体"/>
                <w:color w:val="auto"/>
                <w:szCs w:val="21"/>
                <w:highlight w:val="none"/>
              </w:rPr>
            </w:pPr>
          </w:p>
        </w:tc>
        <w:tc>
          <w:tcPr>
            <w:tcW w:w="1925" w:type="dxa"/>
            <w:noWrap w:val="0"/>
            <w:vAlign w:val="center"/>
          </w:tcPr>
          <w:p w14:paraId="54074772">
            <w:pPr>
              <w:spacing w:line="360" w:lineRule="auto"/>
              <w:jc w:val="center"/>
              <w:rPr>
                <w:rFonts w:hint="eastAsia" w:ascii="宋体" w:hAnsi="宋体" w:eastAsia="宋体" w:cs="宋体"/>
                <w:color w:val="auto"/>
                <w:szCs w:val="21"/>
                <w:highlight w:val="none"/>
              </w:rPr>
            </w:pPr>
          </w:p>
        </w:tc>
        <w:tc>
          <w:tcPr>
            <w:tcW w:w="1925" w:type="dxa"/>
            <w:noWrap w:val="0"/>
            <w:vAlign w:val="center"/>
          </w:tcPr>
          <w:p w14:paraId="25FE8D1A">
            <w:pPr>
              <w:spacing w:line="360" w:lineRule="auto"/>
              <w:jc w:val="center"/>
              <w:rPr>
                <w:rFonts w:hint="eastAsia" w:ascii="宋体" w:hAnsi="宋体" w:eastAsia="宋体" w:cs="宋体"/>
                <w:color w:val="auto"/>
                <w:szCs w:val="21"/>
                <w:highlight w:val="none"/>
              </w:rPr>
            </w:pPr>
          </w:p>
        </w:tc>
        <w:tc>
          <w:tcPr>
            <w:tcW w:w="1925" w:type="dxa"/>
            <w:noWrap w:val="0"/>
            <w:vAlign w:val="center"/>
          </w:tcPr>
          <w:p w14:paraId="7398EB89">
            <w:pPr>
              <w:spacing w:line="360" w:lineRule="auto"/>
              <w:ind w:firstLine="480"/>
              <w:jc w:val="center"/>
              <w:rPr>
                <w:rFonts w:hint="eastAsia" w:ascii="宋体" w:hAnsi="宋体" w:eastAsia="宋体" w:cs="宋体"/>
                <w:color w:val="auto"/>
                <w:szCs w:val="21"/>
                <w:highlight w:val="none"/>
              </w:rPr>
            </w:pPr>
          </w:p>
        </w:tc>
      </w:tr>
    </w:tbl>
    <w:p w14:paraId="130DF60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  合同金额</w:t>
      </w:r>
    </w:p>
    <w:p w14:paraId="11FCDB1C">
      <w:pPr>
        <w:spacing w:line="360" w:lineRule="auto"/>
        <w:ind w:left="2" w:firstLine="359" w:firstLineChars="171"/>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2.1 本合同金额</w:t>
      </w:r>
      <w:r>
        <w:rPr>
          <w:rFonts w:hint="eastAsia" w:ascii="宋体" w:hAnsi="宋体" w:eastAsia="宋体" w:cs="宋体"/>
          <w:color w:val="auto"/>
          <w:szCs w:val="21"/>
          <w:highlight w:val="none"/>
        </w:rPr>
        <w:t>为人民币（大写）：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包含货物采购、制造、改造、包装、运输、劳务、管理、利润、税金、保险、协调、装卸、调试、培训、相关软硬件平台使用服务费、第三方检测验收费用（如有）、承诺售后服务期限内售后服务费用以及相关文件规定及合同包含的所有风险、责任等各项应有费用。</w:t>
      </w:r>
    </w:p>
    <w:p w14:paraId="12D7322F">
      <w:pPr>
        <w:tabs>
          <w:tab w:val="left" w:pos="5940"/>
        </w:tabs>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交货要求</w:t>
      </w:r>
    </w:p>
    <w:p w14:paraId="4E95737E">
      <w:pPr>
        <w:tabs>
          <w:tab w:val="left" w:pos="5220"/>
        </w:tabs>
        <w:spacing w:line="360" w:lineRule="auto"/>
        <w:ind w:firstLine="42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3.1 交货时间：</w:t>
      </w:r>
      <w:r>
        <w:rPr>
          <w:rFonts w:hint="eastAsia" w:ascii="宋体" w:hAnsi="宋体" w:eastAsia="宋体" w:cs="宋体"/>
          <w:color w:val="auto"/>
          <w:szCs w:val="21"/>
          <w:highlight w:val="none"/>
        </w:rPr>
        <w:t>自合同签订之日起30天内，需完成全部货物的供货、安装调试，并通过最终验收合格后交付使用</w:t>
      </w:r>
      <w:r>
        <w:rPr>
          <w:rFonts w:hint="eastAsia" w:ascii="宋体" w:hAnsi="宋体" w:eastAsia="宋体" w:cs="宋体"/>
          <w:color w:val="auto"/>
          <w:szCs w:val="21"/>
          <w:highlight w:val="none"/>
          <w:lang w:eastAsia="zh-CN"/>
        </w:rPr>
        <w:t>。</w:t>
      </w:r>
    </w:p>
    <w:p w14:paraId="09A738B1">
      <w:pPr>
        <w:spacing w:line="360" w:lineRule="auto"/>
        <w:ind w:firstLine="42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3.2 交货地点：梧州市甲方</w:t>
      </w:r>
      <w:r>
        <w:rPr>
          <w:rFonts w:hint="eastAsia" w:ascii="宋体" w:hAnsi="宋体" w:eastAsia="宋体" w:cs="宋体"/>
          <w:color w:val="auto"/>
          <w:szCs w:val="21"/>
          <w:highlight w:val="none"/>
        </w:rPr>
        <w:t>指定地点</w:t>
      </w:r>
      <w:r>
        <w:rPr>
          <w:rFonts w:hint="eastAsia" w:ascii="宋体" w:hAnsi="宋体" w:eastAsia="宋体" w:cs="宋体"/>
          <w:color w:val="auto"/>
          <w:szCs w:val="21"/>
          <w:highlight w:val="none"/>
          <w:lang w:eastAsia="zh-CN"/>
        </w:rPr>
        <w:t>。</w:t>
      </w:r>
    </w:p>
    <w:p w14:paraId="7685F526">
      <w:pPr>
        <w:tabs>
          <w:tab w:val="left" w:pos="5220"/>
          <w:tab w:val="left" w:pos="6120"/>
        </w:tabs>
        <w:spacing w:line="360" w:lineRule="auto"/>
        <w:ind w:firstLine="42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3.3 交货方式：</w:t>
      </w:r>
      <w:r>
        <w:rPr>
          <w:rFonts w:hint="eastAsia" w:ascii="宋体" w:hAnsi="宋体" w:eastAsia="宋体" w:cs="宋体"/>
          <w:color w:val="auto"/>
          <w:szCs w:val="21"/>
          <w:highlight w:val="none"/>
        </w:rPr>
        <w:t>现场安装调试</w:t>
      </w:r>
      <w:r>
        <w:rPr>
          <w:rFonts w:hint="eastAsia" w:ascii="宋体" w:hAnsi="宋体" w:eastAsia="宋体" w:cs="宋体"/>
          <w:color w:val="auto"/>
          <w:szCs w:val="21"/>
          <w:highlight w:val="none"/>
          <w:lang w:eastAsia="zh-CN"/>
        </w:rPr>
        <w:t>。</w:t>
      </w:r>
    </w:p>
    <w:p w14:paraId="4244C3E9">
      <w:pPr>
        <w:spacing w:line="360" w:lineRule="auto"/>
        <w:ind w:firstLine="420"/>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 xml:space="preserve">3.4 </w:t>
      </w:r>
      <w:r>
        <w:rPr>
          <w:rFonts w:hint="eastAsia" w:ascii="宋体" w:hAnsi="宋体" w:eastAsia="宋体" w:cs="宋体"/>
          <w:color w:val="auto"/>
          <w:szCs w:val="21"/>
          <w:highlight w:val="none"/>
        </w:rPr>
        <w:t>乙方必须按投标文件承诺的技术参数、性能要求、质量标准等向甲方提供全新、完整、未经使用的货物。</w:t>
      </w:r>
    </w:p>
    <w:p w14:paraId="1E9B124C">
      <w:pPr>
        <w:spacing w:line="360" w:lineRule="auto"/>
        <w:ind w:left="358" w:hanging="358" w:hangingChars="170"/>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4.  履约保证金（不设定）</w:t>
      </w:r>
    </w:p>
    <w:p w14:paraId="1687C97A">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  质量保证及售后服务</w:t>
      </w:r>
    </w:p>
    <w:p w14:paraId="330DD944">
      <w:pPr>
        <w:spacing w:line="360" w:lineRule="auto"/>
        <w:ind w:left="2"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质保期：自设备验收合格之日起</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年。</w:t>
      </w:r>
    </w:p>
    <w:p w14:paraId="024F5ADA">
      <w:pPr>
        <w:spacing w:line="360" w:lineRule="auto"/>
        <w:ind w:left="19" w:leftChars="9" w:firstLine="340" w:firstLineChars="162"/>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如乙方提供的货物在使用过程中发生质量问题，乙方接到甲方故障通知后应在</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小时内到达甲方指定现场，按国家及行业标准对故障进行及时处理。</w:t>
      </w:r>
    </w:p>
    <w:p w14:paraId="7BAD472D">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乙方提供的货物在质量保证期内因货物本身的质量问题发生故障，乙方应负责免费更换。对达不到技术要求者，根据实际情况，经双方协商，可按以下办法处理：</w:t>
      </w:r>
    </w:p>
    <w:p w14:paraId="5BF662AD">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（1）更换：由乙方承担所发生的全部费用；</w:t>
      </w:r>
    </w:p>
    <w:p w14:paraId="6E5CCA03">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（2）贬值处理：由甲乙双方合议定价；</w:t>
      </w:r>
    </w:p>
    <w:p w14:paraId="57C03CA6">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（3）退货处理：乙方应退还甲方支付的合同款，同时应承担与该货物相关的直接费用（运输、保险、检验、合同款利息及银行手续费等）。</w:t>
      </w:r>
    </w:p>
    <w:p w14:paraId="138CCC8A">
      <w:pPr>
        <w:spacing w:line="360" w:lineRule="auto"/>
        <w:ind w:firstLine="418"/>
        <w:rPr>
          <w:rFonts w:hint="eastAsia" w:ascii="宋体" w:hAnsi="宋体" w:eastAsia="宋体" w:cs="宋体"/>
          <w:color w:val="auto"/>
          <w:szCs w:val="21"/>
          <w:highlight w:val="none"/>
        </w:rPr>
      </w:pPr>
      <w:r>
        <w:rPr>
          <w:rFonts w:hint="eastAsia" w:ascii="宋体" w:hAnsi="宋体" w:eastAsia="宋体" w:cs="宋体"/>
          <w:color w:val="auto"/>
          <w:szCs w:val="21"/>
          <w:highlight w:val="none"/>
        </w:rPr>
        <w:t>5.4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14:paraId="6A2AB171">
      <w:pPr>
        <w:spacing w:line="360" w:lineRule="auto"/>
        <w:ind w:firstLine="418"/>
        <w:rPr>
          <w:rFonts w:hint="eastAsia" w:ascii="宋体" w:hAnsi="宋体" w:eastAsia="宋体" w:cs="宋体"/>
          <w:color w:val="auto"/>
          <w:szCs w:val="21"/>
          <w:highlight w:val="none"/>
        </w:rPr>
      </w:pPr>
      <w:r>
        <w:rPr>
          <w:rFonts w:hint="eastAsia" w:ascii="宋体" w:hAnsi="宋体" w:eastAsia="宋体" w:cs="宋体"/>
          <w:color w:val="auto"/>
          <w:szCs w:val="21"/>
          <w:highlight w:val="none"/>
        </w:rPr>
        <w:t>5.5 超过质量保证期的货物，乙方提供终生维修、保养服务，维修时只收部件成本费。</w:t>
      </w:r>
    </w:p>
    <w:p w14:paraId="6A6910D0">
      <w:pPr>
        <w:spacing w:line="360" w:lineRule="auto"/>
        <w:ind w:firstLine="418"/>
        <w:rPr>
          <w:rFonts w:hint="eastAsia" w:ascii="宋体" w:hAnsi="宋体" w:eastAsia="宋体" w:cs="宋体"/>
          <w:color w:val="auto"/>
          <w:szCs w:val="21"/>
          <w:highlight w:val="none"/>
        </w:rPr>
      </w:pPr>
      <w:r>
        <w:rPr>
          <w:rFonts w:hint="eastAsia" w:ascii="宋体" w:hAnsi="宋体" w:eastAsia="宋体" w:cs="宋体"/>
          <w:color w:val="auto"/>
          <w:szCs w:val="21"/>
          <w:highlight w:val="none"/>
        </w:rPr>
        <w:t>5.6 乙方随时优惠提供备品备件，优惠提供产品更新、改造服务。</w:t>
      </w:r>
    </w:p>
    <w:p w14:paraId="10091BF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  合同款支付</w:t>
      </w:r>
    </w:p>
    <w:p w14:paraId="7404D8CE">
      <w:pPr>
        <w:spacing w:line="360" w:lineRule="auto"/>
        <w:ind w:firstLine="418"/>
        <w:rPr>
          <w:rFonts w:hint="eastAsia" w:ascii="宋体" w:hAnsi="宋体" w:eastAsia="宋体" w:cs="宋体"/>
          <w:color w:val="auto"/>
          <w:szCs w:val="21"/>
          <w:highlight w:val="none"/>
        </w:rPr>
      </w:pPr>
      <w:r>
        <w:rPr>
          <w:rFonts w:hint="eastAsia" w:ascii="宋体" w:hAnsi="宋体" w:eastAsia="宋体" w:cs="宋体"/>
          <w:color w:val="auto"/>
          <w:szCs w:val="21"/>
          <w:highlight w:val="none"/>
        </w:rPr>
        <w:t>6.1付款方式：</w:t>
      </w:r>
    </w:p>
    <w:p w14:paraId="66D542DC">
      <w:pPr>
        <w:spacing w:line="360" w:lineRule="auto"/>
        <w:ind w:firstLine="418"/>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本合同采用分期付款方式结算，甲方核对发票无误后支付当期合同款至乙方指定对公银行</w:t>
      </w:r>
      <w:r>
        <w:rPr>
          <w:rFonts w:hint="eastAsia" w:ascii="宋体" w:hAnsi="宋体" w:cs="宋体"/>
          <w:color w:val="auto"/>
          <w:szCs w:val="21"/>
          <w:highlight w:val="none"/>
          <w:lang w:eastAsia="zh-CN"/>
        </w:rPr>
        <w:t>账</w:t>
      </w:r>
      <w:r>
        <w:rPr>
          <w:rFonts w:hint="eastAsia" w:ascii="宋体" w:hAnsi="宋体" w:eastAsia="宋体" w:cs="宋体"/>
          <w:color w:val="auto"/>
          <w:szCs w:val="21"/>
          <w:highlight w:val="none"/>
        </w:rPr>
        <w:t>户。</w:t>
      </w:r>
    </w:p>
    <w:p w14:paraId="347142B4">
      <w:pPr>
        <w:spacing w:line="360" w:lineRule="auto"/>
        <w:ind w:firstLine="418"/>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第一期：收到项目货物并经甲方验收合格入库后，通知乙方开具符合税法规定的全额增值税发票并提交请款函，经</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审核确认无误后，10个工作日内支付至合同总额的90%。</w:t>
      </w:r>
    </w:p>
    <w:p w14:paraId="7F4A5E01">
      <w:pPr>
        <w:spacing w:line="360" w:lineRule="auto"/>
        <w:ind w:firstLine="418"/>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第二期：余下10%合同款项在验收合格9个月后，乙方向甲方请款，甲方收到请款函后10个工作日内支付完毕。(不计利息)</w:t>
      </w:r>
    </w:p>
    <w:p w14:paraId="490AB5E8">
      <w:pPr>
        <w:spacing w:line="360" w:lineRule="auto"/>
        <w:ind w:firstLine="418"/>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合同签署的乙方名称及发票开具单位与收款单位必须一致，在合同执行过程中，乙方不得以其他不正当理由要求调整发票开具单位或收款单位，否则视为乙方违约</w:t>
      </w:r>
      <w:r>
        <w:rPr>
          <w:rFonts w:hint="eastAsia" w:ascii="宋体" w:hAnsi="宋体" w:cs="宋体"/>
          <w:color w:val="auto"/>
          <w:szCs w:val="21"/>
          <w:highlight w:val="none"/>
          <w:lang w:eastAsia="zh-CN"/>
        </w:rPr>
        <w:t>。</w:t>
      </w:r>
    </w:p>
    <w:p w14:paraId="18535239">
      <w:pPr>
        <w:spacing w:line="360" w:lineRule="auto"/>
        <w:ind w:firstLine="418"/>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7.  产权</w:t>
      </w:r>
    </w:p>
    <w:p w14:paraId="65648C7E">
      <w:pPr>
        <w:spacing w:line="360" w:lineRule="auto"/>
        <w:ind w:left="2" w:firstLine="359" w:firstLineChars="171"/>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7.1 乙方保证所提供的货物或其任何一部分均不会侵犯任何第三方的专利权、商标权或著作权</w:t>
      </w:r>
      <w:r>
        <w:rPr>
          <w:rFonts w:hint="eastAsia" w:ascii="宋体" w:hAnsi="宋体" w:eastAsia="宋体" w:cs="宋体"/>
          <w:bCs/>
          <w:color w:val="auto"/>
          <w:szCs w:val="21"/>
          <w:highlight w:val="none"/>
        </w:rPr>
        <w:t>。</w:t>
      </w:r>
    </w:p>
    <w:p w14:paraId="606C42A1">
      <w:pPr>
        <w:spacing w:line="360" w:lineRule="auto"/>
        <w:ind w:left="2" w:firstLine="359" w:firstLineChars="171"/>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14:paraId="2B1DF069">
      <w:pPr>
        <w:spacing w:line="360" w:lineRule="auto"/>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8.  技术资料</w:t>
      </w:r>
    </w:p>
    <w:p w14:paraId="04A3D01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甲方向乙方提供货物的有关技术资料。</w:t>
      </w:r>
    </w:p>
    <w:p w14:paraId="27CC739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乙方应在采购文件规定的时间向甲方提供使用货物的有关技术资料。</w:t>
      </w:r>
    </w:p>
    <w:p w14:paraId="15A814E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 没有甲方事先书面同意，乙方不得将甲方提供的有关合同或任何合同条文、规格、计划、图纸、样品或资料提供给与履行本合同无关的第三方。即使向与履行本合同有关的人员提供，也应注意保密并限于履行合同的必需范围。</w:t>
      </w:r>
    </w:p>
    <w:p w14:paraId="60C90DB4">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  货物包装、发运及运输</w:t>
      </w:r>
    </w:p>
    <w:p w14:paraId="6B403D3E">
      <w:pPr>
        <w:tabs>
          <w:tab w:val="left" w:pos="0"/>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乙方应在货物发运前对其进行满足运输距离、防潮、防震、防锈和防破损装卸等要求包装，以保证货物安全运达甲方指定地点。</w:t>
      </w:r>
    </w:p>
    <w:p w14:paraId="193136E4">
      <w:pPr>
        <w:tabs>
          <w:tab w:val="left" w:pos="0"/>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使用说明书、质量检验证明书、保修单据、随配附件和工具以及清单一并附于货物内。</w:t>
      </w:r>
    </w:p>
    <w:p w14:paraId="51D7FDA4">
      <w:pPr>
        <w:tabs>
          <w:tab w:val="left" w:pos="0"/>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乙方在货物发运手续办理完毕后24小时内或货到甲方48小时前通知甲方，以准备接货。</w:t>
      </w:r>
    </w:p>
    <w:p w14:paraId="13F70BC5">
      <w:pPr>
        <w:tabs>
          <w:tab w:val="left" w:pos="0"/>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9.4 货物在交付甲方前发生的风险均由乙方负责。</w:t>
      </w:r>
    </w:p>
    <w:p w14:paraId="3A12A44C">
      <w:pPr>
        <w:tabs>
          <w:tab w:val="left" w:pos="0"/>
        </w:tabs>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 货物在规定的交付期限内由乙方送达甲方指定的地点视为交付，乙方同时需通知甲方货物已送达。</w:t>
      </w:r>
    </w:p>
    <w:p w14:paraId="3A81CF29">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  调试和验收</w:t>
      </w:r>
    </w:p>
    <w:p w14:paraId="34655EBB">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乙方将货物运达约定的交货地点后，甲乙双方应在五个工作日内对乙方提交的货物依据招标文件、投标文件要求和国家标准或行业标准进行现场初步验收。对外观、说明书符合要求的，给予签收；对不符合要求或有质量问题的货物不予签收，可立即要求退换，乙方不得拒绝和延误。</w:t>
      </w:r>
    </w:p>
    <w:p w14:paraId="3E38C3C2">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乙方交货前应对产品作出全面检查和对验收文件进行整理，并列出清单，作为甲方收货验收和使用的技术条件依据，检验的结果应随货物交甲方。</w:t>
      </w:r>
    </w:p>
    <w:p w14:paraId="7BABCA76">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甲方对乙方提供的货物在使用前进行调试时，乙方需负责安装并培训甲方的使用操作人员，并协助甲方一起调试，直到符合技术要求，甲方才做最终验收。</w:t>
      </w:r>
    </w:p>
    <w:p w14:paraId="095DE79B">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验收时乙方必须在现场，验收完毕后作出验收结果报告。</w:t>
      </w:r>
    </w:p>
    <w:p w14:paraId="5D6C37C1">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对技术复杂的货物，甲方可请国家认可的专业检测机构参与验收，并由其出具质量检测报告，相关费用由乙方承担。</w:t>
      </w:r>
    </w:p>
    <w:p w14:paraId="36594487">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  违约责任</w:t>
      </w:r>
    </w:p>
    <w:p w14:paraId="42CAB859">
      <w:pPr>
        <w:spacing w:line="360" w:lineRule="auto"/>
        <w:ind w:firstLine="418"/>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甲方无正当理由拒收货物的，甲方向乙方偿付合同款总值的百分之五违约金。</w:t>
      </w:r>
    </w:p>
    <w:p w14:paraId="30BE950A">
      <w:pPr>
        <w:spacing w:line="360" w:lineRule="auto"/>
        <w:ind w:firstLine="418"/>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甲方无故逾期验收或办理合同款支付手续的，甲方应按逾期付款总额每日万分之五向乙方支付违约金。</w:t>
      </w:r>
    </w:p>
    <w:p w14:paraId="43E72996">
      <w:pPr>
        <w:spacing w:line="360" w:lineRule="auto"/>
        <w:ind w:firstLine="418"/>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乙方逾期交付货物的，乙方应按逾期交货总额每日万分之五向甲方支付违约金，由甲方从待付合同款中扣除。乙方逾期超过本合同约定交货日期十个工作日不能交货的，甲方可单方面解除本合同。乙方因逾期交货或因其他违约行为导致甲方解除合同的，乙方应向甲方支付合同总值百分之五的违约金，如造成甲方损失超过违约金的，超出部分由乙方继续承担赔偿责任。</w:t>
      </w:r>
    </w:p>
    <w:p w14:paraId="461DC1F5">
      <w:pPr>
        <w:spacing w:line="360" w:lineRule="auto"/>
        <w:ind w:firstLine="418"/>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乙方所交的货物品种、型号、规格、技术参数、质量不符合合同规定及采购文件规定标准的，甲方有权拒收该货物，乙方愿意更换货物但逾期交货的，按乙方逾期交货处理。乙方拒绝更换货物的，甲方可单方面解除合同。</w:t>
      </w:r>
    </w:p>
    <w:p w14:paraId="37E26B48">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  不可抗力事件处理</w:t>
      </w:r>
    </w:p>
    <w:p w14:paraId="252DB788">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在合同有效期内，任何一方因不可抗力事件导致不能履行合同，则合同履行期可延长，其延长期与不可抗力影响期相同。</w:t>
      </w:r>
    </w:p>
    <w:p w14:paraId="3275680C">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不可抗力事件发生后，应立即通知对方，并寄送有关权威机构出具的证明。</w:t>
      </w:r>
    </w:p>
    <w:p w14:paraId="522E4E97">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 不可抗力事件延续60天以上，双方应通过友好协商，确定是否继续履行合同。</w:t>
      </w:r>
    </w:p>
    <w:p w14:paraId="5C236ECF">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  诉讼</w:t>
      </w:r>
    </w:p>
    <w:p w14:paraId="5FD9DF0D">
      <w:pPr>
        <w:tabs>
          <w:tab w:val="left" w:pos="0"/>
        </w:tabs>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双方在执行合同中所发生的一切争议，应通过协商解决。如协商不成，可向合同签订地法院起诉，合同签订地在此约定为广西梧州市。</w:t>
      </w:r>
    </w:p>
    <w:p w14:paraId="4CE662E1">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  合同生效及其它</w:t>
      </w:r>
    </w:p>
    <w:p w14:paraId="629D4B9C">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合同经双方法定代表人或授权委托代理人签字并加盖单位公章后生效。</w:t>
      </w:r>
    </w:p>
    <w:p w14:paraId="733467EC">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合同执行中涉及采购资金和采购内容修改或补充的，须经市财政部门审批，并签书面补充协议报梧州市政府采购监督管理部门备案，方可作为主合同不可分割的一部分。</w:t>
      </w:r>
    </w:p>
    <w:p w14:paraId="1AC9C4E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本合同未尽事宜，遵照《中华人民共和国民法典》有关条文执行。</w:t>
      </w:r>
    </w:p>
    <w:p w14:paraId="6875ACF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 本合同正本一式伍份，具有同等法律效力，甲方执三份，乙方执一份，采购代理机构执一份，采购人自合同签订之日起七个工作日内报梧州市政府采购监督管理部门备案。</w:t>
      </w:r>
    </w:p>
    <w:p w14:paraId="2C39F0B5">
      <w:pPr>
        <w:snapToGrid w:val="0"/>
        <w:spacing w:line="360" w:lineRule="auto"/>
        <w:ind w:left="422" w:hanging="422" w:hanging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bidi="ar"/>
        </w:rPr>
        <w:t>15.</w:t>
      </w:r>
      <w:r>
        <w:rPr>
          <w:rFonts w:hint="eastAsia" w:ascii="宋体" w:hAnsi="宋体" w:eastAsia="宋体" w:cs="宋体"/>
          <w:b/>
          <w:color w:val="auto"/>
          <w:sz w:val="21"/>
          <w:szCs w:val="21"/>
          <w:highlight w:val="none"/>
          <w:lang w:bidi="ar"/>
        </w:rPr>
        <w:t xml:space="preserve">  合同的变更、终止与转让</w:t>
      </w:r>
    </w:p>
    <w:p w14:paraId="4B335F8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14:paraId="62C47C5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2采购合同继续履行将损害国家利益和社会公共利益的，双方当事人应当变更、中止或者终止合同。有过错的一方应当承担赔偿责任，双方都有过错的，各自承担相应的责任。</w:t>
      </w:r>
    </w:p>
    <w:p w14:paraId="0D3B3B2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3乙方不得擅自转让其应履行的合同义务。</w:t>
      </w:r>
    </w:p>
    <w:p w14:paraId="0CDD171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4乙方权利义务不得转让。乙方因本项目对甲方享有债权的，乙方不得将债权转让，若擅自转让债权的视为对债权的放弃，甲方有权不予支付相应款项。若乙方在对甲方享有的债权未处理之前注销或被吊销的，视为乙方对该债权的放弃，甲方有权不再支付相应款项。</w:t>
      </w:r>
    </w:p>
    <w:p w14:paraId="5725CCCA">
      <w:pPr>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甲方：梧州市红十字会医院              乙方：</w:t>
      </w:r>
    </w:p>
    <w:p w14:paraId="3E73FBC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地址：梧州市万秀区新兴一路3-1号      地址：  </w:t>
      </w:r>
    </w:p>
    <w:p w14:paraId="798F773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                          法定代表人：</w:t>
      </w:r>
    </w:p>
    <w:p w14:paraId="0F42E98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                          委托代理人：</w:t>
      </w:r>
    </w:p>
    <w:p w14:paraId="40C2AAF7">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电话：</w:t>
      </w:r>
    </w:p>
    <w:p w14:paraId="158C851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传真：                                传真：    </w:t>
      </w:r>
    </w:p>
    <w:p w14:paraId="45242E94">
      <w:pPr>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开户银行：</w:t>
      </w:r>
    </w:p>
    <w:p w14:paraId="2F8D3AD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                                </w:t>
      </w:r>
    </w:p>
    <w:p w14:paraId="2B40EB2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银行账号：</w:t>
      </w:r>
    </w:p>
    <w:p w14:paraId="24E0AA5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354CCAA">
      <w:pPr>
        <w:spacing w:line="440" w:lineRule="exact"/>
        <w:rPr>
          <w:rFonts w:hint="eastAsia" w:ascii="宋体" w:hAnsi="宋体" w:eastAsia="宋体" w:cs="宋体"/>
          <w:color w:val="auto"/>
          <w:szCs w:val="21"/>
          <w:highlight w:val="none"/>
        </w:rPr>
      </w:pPr>
    </w:p>
    <w:p w14:paraId="737A6C53">
      <w:pPr>
        <w:snapToGrid w:val="0"/>
        <w:spacing w:line="360" w:lineRule="auto"/>
        <w:jc w:val="center"/>
        <w:rPr>
          <w:rFonts w:hint="eastAsia" w:ascii="宋体" w:hAnsi="宋体" w:eastAsia="宋体" w:cs="宋体"/>
          <w:color w:val="auto"/>
          <w:szCs w:val="21"/>
          <w:highlight w:val="none"/>
        </w:rPr>
      </w:pPr>
    </w:p>
    <w:p w14:paraId="4843835F">
      <w:pPr>
        <w:snapToGrid w:val="0"/>
        <w:spacing w:line="360" w:lineRule="auto"/>
        <w:jc w:val="center"/>
        <w:rPr>
          <w:rFonts w:hint="eastAsia" w:ascii="宋体" w:hAnsi="宋体" w:eastAsia="宋体" w:cs="宋体"/>
          <w:color w:val="auto"/>
          <w:szCs w:val="21"/>
          <w:highlight w:val="none"/>
        </w:rPr>
      </w:pPr>
    </w:p>
    <w:p w14:paraId="274FBE56">
      <w:pPr>
        <w:snapToGrid w:val="0"/>
        <w:spacing w:line="360" w:lineRule="auto"/>
        <w:ind w:firstLine="3584" w:firstLineChars="17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 同 附 件</w:t>
      </w:r>
    </w:p>
    <w:tbl>
      <w:tblPr>
        <w:tblStyle w:val="23"/>
        <w:tblW w:w="0" w:type="auto"/>
        <w:tblInd w:w="0" w:type="dxa"/>
        <w:tblLayout w:type="autofit"/>
        <w:tblCellMar>
          <w:top w:w="0" w:type="dxa"/>
          <w:left w:w="108" w:type="dxa"/>
          <w:bottom w:w="0" w:type="dxa"/>
          <w:right w:w="108" w:type="dxa"/>
        </w:tblCellMar>
      </w:tblPr>
      <w:tblGrid>
        <w:gridCol w:w="4459"/>
        <w:gridCol w:w="4487"/>
      </w:tblGrid>
      <w:tr w14:paraId="0DF9797B">
        <w:trPr>
          <w:trHeight w:val="1207" w:hRule="atLeast"/>
        </w:trPr>
        <w:tc>
          <w:tcPr>
            <w:tcW w:w="9628" w:type="dxa"/>
            <w:gridSpan w:val="2"/>
            <w:tcBorders>
              <w:top w:val="single" w:color="auto" w:sz="4" w:space="0"/>
              <w:left w:val="single" w:color="auto" w:sz="4" w:space="0"/>
              <w:right w:val="single" w:color="auto" w:sz="4" w:space="0"/>
            </w:tcBorders>
            <w:noWrap w:val="0"/>
            <w:vAlign w:val="top"/>
          </w:tcPr>
          <w:p w14:paraId="018AC80B">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1.供应商承诺具体事项：</w:t>
            </w:r>
          </w:p>
          <w:p w14:paraId="362FDCB3">
            <w:pPr>
              <w:snapToGrid w:val="0"/>
              <w:spacing w:line="360" w:lineRule="auto"/>
              <w:ind w:firstLine="422"/>
              <w:rPr>
                <w:rFonts w:hint="eastAsia" w:ascii="宋体" w:hAnsi="宋体" w:eastAsia="宋体" w:cs="宋体"/>
                <w:b/>
                <w:color w:val="auto"/>
                <w:szCs w:val="21"/>
                <w:highlight w:val="none"/>
              </w:rPr>
            </w:pPr>
          </w:p>
          <w:p w14:paraId="05DA792B">
            <w:pPr>
              <w:snapToGrid w:val="0"/>
              <w:spacing w:line="360" w:lineRule="auto"/>
              <w:ind w:firstLine="422"/>
              <w:rPr>
                <w:rFonts w:hint="eastAsia" w:ascii="宋体" w:hAnsi="宋体" w:eastAsia="宋体" w:cs="宋体"/>
                <w:b/>
                <w:color w:val="auto"/>
                <w:szCs w:val="21"/>
                <w:highlight w:val="none"/>
              </w:rPr>
            </w:pPr>
          </w:p>
        </w:tc>
      </w:tr>
      <w:tr w14:paraId="482BCECF">
        <w:tblPrEx>
          <w:tblCellMar>
            <w:top w:w="0" w:type="dxa"/>
            <w:left w:w="108" w:type="dxa"/>
            <w:bottom w:w="0" w:type="dxa"/>
            <w:right w:w="108" w:type="dxa"/>
          </w:tblCellMar>
        </w:tblPrEx>
        <w:trPr>
          <w:trHeight w:val="1207" w:hRule="atLeast"/>
        </w:trPr>
        <w:tc>
          <w:tcPr>
            <w:tcW w:w="9628" w:type="dxa"/>
            <w:gridSpan w:val="2"/>
            <w:tcBorders>
              <w:top w:val="single" w:color="auto" w:sz="4" w:space="0"/>
              <w:left w:val="single" w:color="auto" w:sz="4" w:space="0"/>
              <w:right w:val="single" w:color="auto" w:sz="4" w:space="0"/>
            </w:tcBorders>
            <w:noWrap w:val="0"/>
            <w:vAlign w:val="top"/>
          </w:tcPr>
          <w:p w14:paraId="612D31EC">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2.其他具体事项：</w:t>
            </w:r>
          </w:p>
          <w:p w14:paraId="5A8FD1C1">
            <w:pPr>
              <w:snapToGrid w:val="0"/>
              <w:spacing w:line="360" w:lineRule="auto"/>
              <w:ind w:firstLine="422"/>
              <w:rPr>
                <w:rFonts w:hint="eastAsia" w:ascii="宋体" w:hAnsi="宋体" w:eastAsia="宋体" w:cs="宋体"/>
                <w:b/>
                <w:color w:val="auto"/>
                <w:szCs w:val="21"/>
                <w:highlight w:val="none"/>
              </w:rPr>
            </w:pPr>
          </w:p>
          <w:p w14:paraId="6EFF562A">
            <w:pPr>
              <w:snapToGrid w:val="0"/>
              <w:spacing w:line="360" w:lineRule="auto"/>
              <w:ind w:firstLine="422"/>
              <w:rPr>
                <w:rFonts w:hint="eastAsia" w:ascii="宋体" w:hAnsi="宋体" w:eastAsia="宋体" w:cs="宋体"/>
                <w:b/>
                <w:color w:val="auto"/>
                <w:szCs w:val="21"/>
                <w:highlight w:val="none"/>
              </w:rPr>
            </w:pPr>
          </w:p>
        </w:tc>
      </w:tr>
      <w:tr w14:paraId="47BF81AA">
        <w:tblPrEx>
          <w:tblCellMar>
            <w:top w:w="0" w:type="dxa"/>
            <w:left w:w="108" w:type="dxa"/>
            <w:bottom w:w="0" w:type="dxa"/>
            <w:right w:w="108" w:type="dxa"/>
          </w:tblCellMar>
        </w:tblPrEx>
        <w:trPr>
          <w:trHeight w:val="1703" w:hRule="atLeast"/>
        </w:trPr>
        <w:tc>
          <w:tcPr>
            <w:tcW w:w="4799" w:type="dxa"/>
            <w:tcBorders>
              <w:top w:val="single" w:color="auto" w:sz="4" w:space="0"/>
              <w:left w:val="single" w:color="auto" w:sz="4" w:space="0"/>
              <w:bottom w:val="single" w:color="auto" w:sz="4" w:space="0"/>
              <w:right w:val="single" w:color="auto" w:sz="4" w:space="0"/>
            </w:tcBorders>
            <w:noWrap w:val="0"/>
            <w:vAlign w:val="center"/>
          </w:tcPr>
          <w:p w14:paraId="468A107F">
            <w:pPr>
              <w:snapToGrid w:val="0"/>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14:paraId="74E3FB22">
            <w:pPr>
              <w:snapToGrid w:val="0"/>
              <w:spacing w:line="360" w:lineRule="auto"/>
              <w:ind w:firstLine="422"/>
              <w:rPr>
                <w:rFonts w:hint="eastAsia" w:ascii="宋体" w:hAnsi="宋体" w:eastAsia="宋体" w:cs="宋体"/>
                <w:b/>
                <w:color w:val="auto"/>
                <w:szCs w:val="21"/>
                <w:highlight w:val="none"/>
              </w:rPr>
            </w:pPr>
          </w:p>
          <w:p w14:paraId="2AE9ED0E">
            <w:pPr>
              <w:snapToGrid w:val="0"/>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p>
          <w:p w14:paraId="787120BB">
            <w:pPr>
              <w:snapToGrid w:val="0"/>
              <w:spacing w:line="360" w:lineRule="auto"/>
              <w:ind w:firstLine="422"/>
              <w:jc w:val="righ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829" w:type="dxa"/>
            <w:tcBorders>
              <w:top w:val="single" w:color="auto" w:sz="4" w:space="0"/>
              <w:left w:val="single" w:color="auto" w:sz="4" w:space="0"/>
              <w:bottom w:val="single" w:color="auto" w:sz="4" w:space="0"/>
              <w:right w:val="single" w:color="auto" w:sz="4" w:space="0"/>
            </w:tcBorders>
            <w:noWrap w:val="0"/>
            <w:vAlign w:val="center"/>
          </w:tcPr>
          <w:p w14:paraId="27B64E9E">
            <w:pPr>
              <w:snapToGrid w:val="0"/>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14:paraId="14AD1301">
            <w:pPr>
              <w:snapToGrid w:val="0"/>
              <w:spacing w:line="360" w:lineRule="auto"/>
              <w:ind w:firstLine="422"/>
              <w:rPr>
                <w:rFonts w:hint="eastAsia" w:ascii="宋体" w:hAnsi="宋体" w:eastAsia="宋体" w:cs="宋体"/>
                <w:b/>
                <w:color w:val="auto"/>
                <w:szCs w:val="21"/>
                <w:highlight w:val="none"/>
              </w:rPr>
            </w:pPr>
          </w:p>
          <w:p w14:paraId="57E8A3C4">
            <w:pPr>
              <w:snapToGrid w:val="0"/>
              <w:spacing w:line="360" w:lineRule="auto"/>
              <w:ind w:firstLine="42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p>
          <w:p w14:paraId="337ECFAC">
            <w:pPr>
              <w:snapToGrid w:val="0"/>
              <w:spacing w:line="360" w:lineRule="auto"/>
              <w:ind w:firstLine="422"/>
              <w:jc w:val="righ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   月   日</w:t>
            </w:r>
          </w:p>
        </w:tc>
      </w:tr>
    </w:tbl>
    <w:p w14:paraId="07027A5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注：售后服务事项填不下时可另加附页</w:t>
      </w:r>
    </w:p>
    <w:p w14:paraId="4377B354">
      <w:pPr>
        <w:snapToGrid w:val="0"/>
        <w:ind w:left="440" w:hanging="440" w:hangingChars="200"/>
        <w:rPr>
          <w:rFonts w:hint="eastAsia" w:ascii="宋体" w:hAnsi="宋体" w:cs="宋体"/>
          <w:bCs/>
          <w:color w:val="auto"/>
          <w:sz w:val="22"/>
          <w:szCs w:val="21"/>
          <w:highlight w:val="none"/>
        </w:rPr>
      </w:pPr>
    </w:p>
    <w:p w14:paraId="0FE297FF">
      <w:pPr>
        <w:snapToGrid w:val="0"/>
        <w:ind w:left="480" w:hanging="480" w:hangingChars="200"/>
        <w:rPr>
          <w:rFonts w:ascii="宋体" w:hAnsi="宋体" w:cs="仿宋"/>
          <w:bCs/>
          <w:color w:val="auto"/>
          <w:sz w:val="24"/>
          <w:highlight w:val="none"/>
        </w:rPr>
      </w:pPr>
    </w:p>
    <w:p w14:paraId="105B951D">
      <w:pPr>
        <w:spacing w:line="400" w:lineRule="exact"/>
        <w:rPr>
          <w:rFonts w:hint="eastAsia" w:ascii="宋体" w:hAnsi="宋体" w:cs="宋体"/>
          <w:b/>
          <w:bCs/>
          <w:color w:val="auto"/>
          <w:sz w:val="24"/>
          <w:highlight w:val="none"/>
        </w:rPr>
      </w:pPr>
    </w:p>
    <w:p w14:paraId="3BA8434A">
      <w:pPr>
        <w:rPr>
          <w:rFonts w:hint="eastAsia" w:ascii="宋体" w:hAnsi="宋体" w:cs="宋体"/>
          <w:b/>
          <w:color w:val="auto"/>
          <w:sz w:val="22"/>
          <w:szCs w:val="21"/>
          <w:highlight w:val="none"/>
          <w:lang w:bidi="ar"/>
        </w:rPr>
      </w:pPr>
      <w:r>
        <w:rPr>
          <w:rFonts w:hint="eastAsia" w:ascii="宋体" w:hAnsi="宋体" w:cs="宋体"/>
          <w:b/>
          <w:color w:val="auto"/>
          <w:sz w:val="22"/>
          <w:szCs w:val="21"/>
          <w:highlight w:val="none"/>
          <w:lang w:bidi="ar"/>
        </w:rPr>
        <w:br w:type="page"/>
      </w:r>
    </w:p>
    <w:p w14:paraId="37939EFE">
      <w:pPr>
        <w:keepNext w:val="0"/>
        <w:keepLines w:val="0"/>
        <w:pageBreakBefore w:val="0"/>
        <w:widowControl/>
        <w:tabs>
          <w:tab w:val="left" w:pos="7740"/>
        </w:tabs>
        <w:topLinePunct w:val="0"/>
        <w:autoSpaceDE/>
        <w:autoSpaceDN/>
        <w:bidi w:val="0"/>
        <w:spacing w:beforeAutospacing="0" w:afterAutospacing="0" w:line="560" w:lineRule="exact"/>
        <w:jc w:val="both"/>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eastAsia="zh-CN"/>
        </w:rPr>
        <w:t>附件</w:t>
      </w:r>
      <w:r>
        <w:rPr>
          <w:rFonts w:hint="eastAsia" w:ascii="仿宋_GB2312" w:hAnsi="仿宋_GB2312" w:eastAsia="仿宋_GB2312" w:cs="仿宋_GB2312"/>
          <w:color w:val="auto"/>
          <w:kern w:val="0"/>
          <w:sz w:val="21"/>
          <w:szCs w:val="21"/>
          <w:highlight w:val="none"/>
          <w:lang w:val="en-US" w:eastAsia="zh-CN"/>
        </w:rPr>
        <w:t>1：</w:t>
      </w:r>
    </w:p>
    <w:p w14:paraId="6C98E2D5">
      <w:pPr>
        <w:keepNext w:val="0"/>
        <w:keepLines w:val="0"/>
        <w:pageBreakBefore w:val="0"/>
        <w:widowControl/>
        <w:tabs>
          <w:tab w:val="left" w:pos="7740"/>
        </w:tabs>
        <w:topLinePunct w:val="0"/>
        <w:autoSpaceDE/>
        <w:autoSpaceDN/>
        <w:bidi w:val="0"/>
        <w:spacing w:beforeAutospacing="0" w:afterAutospacing="0" w:line="560" w:lineRule="exact"/>
        <w:jc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项目采购廉洁承诺书</w:t>
      </w:r>
    </w:p>
    <w:p w14:paraId="425FECC1">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为深入贯彻落实国家卫生健康委等部门《关于印发医疗机构工作人员廉洁从业九项准则的通知》（国卫医发〔2021〕37号）、《广西壮族自治区医疗卫生机构及其工作人员廉洁从业规定》（桂卫发[2020]11号）及《中华人民共和国政府采购法》等文件精神，进一步规范医疗机构项目（包括货物、服务、工程等）采购行为，从源头上遏制和预防项目采购贿赂行为，营造风清气正的购销环境，我公司及所属业务人员作出以下不向医院工作人员赠送“回扣”“红包”等廉洁承诺：</w:t>
      </w:r>
    </w:p>
    <w:p w14:paraId="33B4527C">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一、严格遵守国家的法律法规，依法依规处理项目采购业务，保证不进行违法乱纪活动，自觉接受执法执纪部门的监督检查。</w:t>
      </w:r>
    </w:p>
    <w:p w14:paraId="4E098E75">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二、保证严格按照民法典及项目采购合同约定履行。</w:t>
      </w:r>
    </w:p>
    <w:p w14:paraId="1306EEA1">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三、在项目采购活动中，保证不以任何借口向医院及其工作人员（含工作人员的近亲属和其他关系人）给予回扣，主要包括以下内容：</w:t>
      </w:r>
    </w:p>
    <w:p w14:paraId="20DA1E7F">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（一）以各种名义所送礼品、礼金、有价证券和支付凭证等财物；</w:t>
      </w:r>
    </w:p>
    <w:p w14:paraId="67495CFC">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（二）报销应当由医院及其工作人员与其近亲属和其他关系人支付的费用；</w:t>
      </w:r>
    </w:p>
    <w:p w14:paraId="5D6F3F5C">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（三）向医院及其工作人员提供旅游、考察、宴请、健身、娱乐等活动；</w:t>
      </w:r>
    </w:p>
    <w:p w14:paraId="1D136195">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（四）在医疗活动中向临床提供促销费、开单（药品、检验、耗材等）提成费、推介费等；</w:t>
      </w:r>
    </w:p>
    <w:p w14:paraId="274F1952">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（五）让医院及其工作人员进行以商业目的的处方统计或为其统计提供便利，获取药品、医用设备和医用耗材的用量信息，给予不正当利益的；</w:t>
      </w:r>
    </w:p>
    <w:p w14:paraId="57CE5CE7">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（六）法律法规规定禁止的其他不正当行为。</w:t>
      </w:r>
    </w:p>
    <w:p w14:paraId="460D574A">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四、保证不到住院部、门诊部、医技科室等推销产品、项目，不借故到医疗机构相关领导、部门负责人及相关工作人员家中访谈并提供任何好处费。</w:t>
      </w:r>
    </w:p>
    <w:p w14:paraId="494D9E05">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五、维护正常的医疗秩序，保证不以宴请、到营业性娱乐场所娱乐活动、提供旅游等手段影响医疗机构工作人员的项目（包括货物、服务、工程等）采购选择权。</w:t>
      </w:r>
    </w:p>
    <w:p w14:paraId="0D9796BA">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六、保证不以任何理由要求医院及其工作人员利用任何途径和方式统计医师个人及临床科室有关药品、耗材、后勤物资等的用量信息，或要求为营销人员统计提供便利。</w:t>
      </w:r>
    </w:p>
    <w:p w14:paraId="7A9DBCC7">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七、如有违反上述承诺，我们愿意接受按照《国家卫生计生委关于建立医药购销领域商业贿赂不良记录的规定》（国卫法制发（2013）50号）相关规定处理，以及执法执纪部门的其他处理。</w:t>
      </w:r>
    </w:p>
    <w:p w14:paraId="35396A01">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八、本承诺书一式两份，我公司和医疗机构各执一份。</w:t>
      </w:r>
    </w:p>
    <w:p w14:paraId="3F419617">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公司名称（盖章）：</w:t>
      </w:r>
    </w:p>
    <w:p w14:paraId="516089A0">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法定代表人：</w:t>
      </w:r>
    </w:p>
    <w:p w14:paraId="5B936127">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经办人签名：</w:t>
      </w:r>
    </w:p>
    <w:p w14:paraId="3429FFF8">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日期：</w:t>
      </w:r>
    </w:p>
    <w:p w14:paraId="536514E9">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p>
    <w:p w14:paraId="0AF7DDE9">
      <w:pP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br w:type="page"/>
      </w:r>
    </w:p>
    <w:p w14:paraId="233108B5">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附件</w:t>
      </w:r>
      <w:r>
        <w:rPr>
          <w:rFonts w:hint="eastAsia" w:ascii="仿宋_GB2312" w:hAnsi="仿宋_GB2312" w:eastAsia="仿宋_GB2312" w:cs="仿宋_GB2312"/>
          <w:color w:val="auto"/>
          <w:kern w:val="0"/>
          <w:sz w:val="21"/>
          <w:szCs w:val="21"/>
          <w:highlight w:val="none"/>
          <w:lang w:val="en-US" w:eastAsia="zh-CN"/>
        </w:rPr>
        <w:t>2</w:t>
      </w:r>
      <w:r>
        <w:rPr>
          <w:rFonts w:hint="default" w:ascii="仿宋_GB2312" w:hAnsi="仿宋_GB2312" w:eastAsia="仿宋_GB2312" w:cs="仿宋_GB2312"/>
          <w:color w:val="auto"/>
          <w:kern w:val="0"/>
          <w:sz w:val="21"/>
          <w:szCs w:val="21"/>
          <w:highlight w:val="none"/>
          <w:lang w:val="en-US" w:eastAsia="zh-CN"/>
        </w:rPr>
        <w:t>：</w:t>
      </w:r>
    </w:p>
    <w:p w14:paraId="48ABE9FC">
      <w:pPr>
        <w:keepNext w:val="0"/>
        <w:keepLines w:val="0"/>
        <w:pageBreakBefore w:val="0"/>
        <w:widowControl/>
        <w:tabs>
          <w:tab w:val="left" w:pos="7740"/>
        </w:tabs>
        <w:topLinePunct w:val="0"/>
        <w:autoSpaceDE/>
        <w:autoSpaceDN/>
        <w:bidi w:val="0"/>
        <w:spacing w:beforeAutospacing="0" w:afterAutospacing="0" w:line="560" w:lineRule="exact"/>
        <w:jc w:val="center"/>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广西壮族自治区医疗卫生机构项目采购廉洁协议</w:t>
      </w:r>
    </w:p>
    <w:p w14:paraId="5F542D83">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甲方：</w:t>
      </w:r>
      <w:r>
        <w:rPr>
          <w:rFonts w:hint="eastAsia" w:ascii="仿宋_GB2312" w:hAnsi="仿宋_GB2312" w:eastAsia="仿宋_GB2312" w:cs="仿宋_GB2312"/>
          <w:color w:val="auto"/>
          <w:kern w:val="0"/>
          <w:sz w:val="21"/>
          <w:szCs w:val="21"/>
          <w:highlight w:val="none"/>
          <w:lang w:val="en-US" w:eastAsia="zh-CN"/>
        </w:rPr>
        <w:t>梧州市红十字会医院</w:t>
      </w:r>
    </w:p>
    <w:p w14:paraId="13D09346">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乙方：</w:t>
      </w:r>
    </w:p>
    <w:p w14:paraId="536BD06E">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为进一步加强医疗卫生行风建设，规范医疗卫生机构医药购销行为，有效防范商业贿赂行为，营造公平交易、诚实守信的购销环境，经甲、乙双方协商，同意签订本协议，并共同遵守：</w:t>
      </w:r>
    </w:p>
    <w:p w14:paraId="199C4680">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一、甲乙双方按照《中华人民共和国民法典》《中华人民共和国政府采购法》及采购合同约定履行合同内容。</w:t>
      </w:r>
    </w:p>
    <w:p w14:paraId="63DBA146">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二、甲方应当严格执行货物、服务、工程类采购合同验收、入库制度，对采购内容及发票进行查验，不得违反有关规定合同外采购、违价采购或从非规定渠道采购。</w:t>
      </w:r>
    </w:p>
    <w:p w14:paraId="78C652D6">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三、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48AA34C5">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四、乙方不得以回扣、宴请等方式影响甲方工作人员的采购工作，不得在学术活动中提供旅游、超标准支付食宿费用。</w:t>
      </w:r>
    </w:p>
    <w:p w14:paraId="6BB91A99">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五、乙方不得以围标、相互串通投标，或者排挤其他服务商的公平竞争，损害招标人或者其他服务商的合法权益，严禁以他人名义投标或允许他人以自己的名义投标，不得提供虚假资料参与投标或以其他方式弄虚作假、骗取中标。甲方发现乙方违反规定者，按甲方有关管理规定，列入医院招投标不良行为黑名单。</w:t>
      </w:r>
    </w:p>
    <w:p w14:paraId="51CEA6F7">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六、乙方指定        作为授权代表对接业务。授权代表必须在工作时间到甲方指定地点联系对接。不得借故到甲方相关领导、部门负责人及相关工作人员家中访谈并提供任何好处费，甲方发现乙方违反规定者，列入医院招投标不良行为黑名单。</w:t>
      </w:r>
    </w:p>
    <w:p w14:paraId="017C3950">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七、乙方如违反本协议，一经发现，甲方有权终止购销合同，并向有关卫生健康行政部门报告。如乙方被列入商业贿赂不良记录，则严格按照《国家卫生计生委关于建立医药购销领域商业贿赂不良记录的规定》（国卫法制发〔2013〕50号）、《广西壮族自治区医药购销领域商业贿赂不良记录实施办法》（桂卫药政发〔2014〕2号）及《中华人民共和国政府采购法》等相关规定处理。</w:t>
      </w:r>
    </w:p>
    <w:p w14:paraId="286184B1">
      <w:pPr>
        <w:keepNext w:val="0"/>
        <w:keepLines w:val="0"/>
        <w:pageBreakBefore w:val="0"/>
        <w:widowControl/>
        <w:tabs>
          <w:tab w:val="left" w:pos="7740"/>
        </w:tabs>
        <w:topLinePunct w:val="0"/>
        <w:autoSpaceDE/>
        <w:autoSpaceDN/>
        <w:bidi w:val="0"/>
        <w:spacing w:beforeAutospacing="0" w:afterAutospacing="0" w:line="560" w:lineRule="exact"/>
        <w:jc w:val="both"/>
        <w:rPr>
          <w:rFonts w:hint="default" w:ascii="仿宋_GB2312" w:hAnsi="仿宋_GB2312" w:eastAsia="仿宋_GB2312" w:cs="仿宋_GB2312"/>
          <w:color w:val="auto"/>
          <w:kern w:val="0"/>
          <w:sz w:val="21"/>
          <w:szCs w:val="21"/>
          <w:highlight w:val="none"/>
          <w:lang w:val="en-US" w:eastAsia="zh-CN"/>
        </w:rPr>
      </w:pPr>
      <w:r>
        <w:rPr>
          <w:rFonts w:hint="default" w:ascii="仿宋_GB2312" w:hAnsi="仿宋_GB2312" w:eastAsia="仿宋_GB2312" w:cs="仿宋_GB2312"/>
          <w:color w:val="auto"/>
          <w:kern w:val="0"/>
          <w:sz w:val="21"/>
          <w:szCs w:val="21"/>
          <w:highlight w:val="none"/>
          <w:lang w:val="en-US" w:eastAsia="zh-CN"/>
        </w:rPr>
        <w:t>八、本协议作为项目采购合同的重要组成部分，与项目采购合同一并执行，具有同等的法律效力,从签订之日起生效。</w:t>
      </w:r>
    </w:p>
    <w:tbl>
      <w:tblPr>
        <w:tblStyle w:val="23"/>
        <w:tblW w:w="9555" w:type="dxa"/>
        <w:tblInd w:w="0" w:type="dxa"/>
        <w:tblLayout w:type="fixed"/>
        <w:tblCellMar>
          <w:top w:w="0" w:type="dxa"/>
          <w:left w:w="108" w:type="dxa"/>
          <w:bottom w:w="0" w:type="dxa"/>
          <w:right w:w="108" w:type="dxa"/>
        </w:tblCellMar>
      </w:tblPr>
      <w:tblGrid>
        <w:gridCol w:w="4625"/>
        <w:gridCol w:w="4930"/>
      </w:tblGrid>
      <w:tr w14:paraId="3C952CFD">
        <w:tblPrEx>
          <w:tblCellMar>
            <w:top w:w="0" w:type="dxa"/>
            <w:left w:w="108" w:type="dxa"/>
            <w:bottom w:w="0" w:type="dxa"/>
            <w:right w:w="108" w:type="dxa"/>
          </w:tblCellMar>
        </w:tblPrEx>
        <w:trPr>
          <w:trHeight w:val="666" w:hRule="atLeast"/>
        </w:trPr>
        <w:tc>
          <w:tcPr>
            <w:tcW w:w="4625" w:type="dxa"/>
          </w:tcPr>
          <w:p w14:paraId="03007CCD">
            <w:pPr>
              <w:spacing w:line="56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甲方（盖章）：</w:t>
            </w:r>
            <w:r>
              <w:rPr>
                <w:rFonts w:hint="eastAsia" w:ascii="宋体" w:hAnsi="宋体" w:cs="宋体"/>
                <w:bCs/>
                <w:color w:val="auto"/>
                <w:szCs w:val="21"/>
                <w:highlight w:val="none"/>
                <w:lang w:eastAsia="zh-CN"/>
              </w:rPr>
              <w:t>梧州市红十字会医院</w:t>
            </w:r>
          </w:p>
        </w:tc>
        <w:tc>
          <w:tcPr>
            <w:tcW w:w="4930" w:type="dxa"/>
          </w:tcPr>
          <w:p w14:paraId="4506FE48">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 乙方（盖章）：</w:t>
            </w:r>
          </w:p>
        </w:tc>
      </w:tr>
      <w:tr w14:paraId="6C9293C6">
        <w:tblPrEx>
          <w:tblCellMar>
            <w:top w:w="0" w:type="dxa"/>
            <w:left w:w="108" w:type="dxa"/>
            <w:bottom w:w="0" w:type="dxa"/>
            <w:right w:w="108" w:type="dxa"/>
          </w:tblCellMar>
        </w:tblPrEx>
        <w:trPr>
          <w:trHeight w:val="1315" w:hRule="atLeast"/>
        </w:trPr>
        <w:tc>
          <w:tcPr>
            <w:tcW w:w="4625" w:type="dxa"/>
          </w:tcPr>
          <w:p w14:paraId="5200ECEC">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法定代表人/负责人/授权</w:t>
            </w:r>
          </w:p>
          <w:p w14:paraId="3CECE683">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代表签字或盖章：</w:t>
            </w:r>
          </w:p>
        </w:tc>
        <w:tc>
          <w:tcPr>
            <w:tcW w:w="4930" w:type="dxa"/>
          </w:tcPr>
          <w:p w14:paraId="17C81854">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法定代表人/负责人/授权</w:t>
            </w:r>
          </w:p>
          <w:p w14:paraId="33EA521A">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代表签字或盖章：</w:t>
            </w:r>
          </w:p>
        </w:tc>
      </w:tr>
      <w:tr w14:paraId="2F57D711">
        <w:tblPrEx>
          <w:tblCellMar>
            <w:top w:w="0" w:type="dxa"/>
            <w:left w:w="108" w:type="dxa"/>
            <w:bottom w:w="0" w:type="dxa"/>
            <w:right w:w="108" w:type="dxa"/>
          </w:tblCellMar>
        </w:tblPrEx>
        <w:trPr>
          <w:trHeight w:val="584" w:hRule="atLeast"/>
        </w:trPr>
        <w:tc>
          <w:tcPr>
            <w:tcW w:w="4625" w:type="dxa"/>
          </w:tcPr>
          <w:p w14:paraId="49AEC988">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年   月   日</w:t>
            </w:r>
          </w:p>
        </w:tc>
        <w:tc>
          <w:tcPr>
            <w:tcW w:w="4930" w:type="dxa"/>
          </w:tcPr>
          <w:p w14:paraId="7F6348F1">
            <w:pPr>
              <w:spacing w:line="56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          年   月   日</w:t>
            </w:r>
          </w:p>
        </w:tc>
      </w:tr>
    </w:tbl>
    <w:p w14:paraId="7291622E">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kern w:val="0"/>
          <w:szCs w:val="21"/>
          <w:highlight w:val="none"/>
        </w:rPr>
      </w:pPr>
    </w:p>
    <w:sectPr>
      <w:footerReference r:id="rId5" w:type="firs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9F52B">
    <w:pPr>
      <w:pStyle w:val="15"/>
      <w:jc w:val="center"/>
    </w:pPr>
    <w:r>
      <w:fldChar w:fldCharType="begin"/>
    </w:r>
    <w:r>
      <w:instrText xml:space="preserve"> PAGE   \* MERGEFORMAT </w:instrText>
    </w:r>
    <w:r>
      <w:fldChar w:fldCharType="separate"/>
    </w:r>
    <w:r>
      <w:rPr>
        <w:lang w:val="zh-CN"/>
      </w:rPr>
      <w:t>33</w:t>
    </w:r>
    <w:r>
      <w:fldChar w:fldCharType="end"/>
    </w:r>
  </w:p>
  <w:p w14:paraId="32F115E6">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26EF8">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9F31D5">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H9jcw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BEssNDvz8/dv5x6/zz6/k&#10;7bIsk0K9hwoTnzymxuHODSl78gM6E/GhDSZ9kRLBOOp7uugrh0hEerQqV6sCQwJj8wVx2PNzHyC+&#10;l86QZNQ04ACzrvz4CHFMnVNSNevuldbo55W2fzkQM3lY6n3sMVlx2A1T4zvXnJBPj7OvqcVVp0Q/&#10;WJQ2rclshNnYzcbBB7Xv8h6leuBvDxGbyL2lCiPsVBiHltl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Jkf2NzAEAAJwDAAAOAAAAAAAAAAEAIAAAAB4BAABkcnMvZTJv&#10;RG9jLnhtbFBLBQYAAAAABgAGAFkBAABcBQAAAAA=&#10;">
              <v:fill on="f" focussize="0,0"/>
              <v:stroke on="f"/>
              <v:imagedata o:title=""/>
              <o:lock v:ext="edit" aspectratio="f"/>
              <v:textbox inset="0mm,0mm,0mm,0mm" style="mso-fit-shape-to-text:t;">
                <w:txbxContent>
                  <w:p w14:paraId="309F31D5">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6533">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ODgzNjJkNjNmYzUzYzg0ZTg5ODJmM2IxY2M4YWMifQ=="/>
  </w:docVars>
  <w:rsids>
    <w:rsidRoot w:val="00F34B14"/>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66C4"/>
    <w:rsid w:val="00016960"/>
    <w:rsid w:val="00017396"/>
    <w:rsid w:val="000177DB"/>
    <w:rsid w:val="00020227"/>
    <w:rsid w:val="000203E4"/>
    <w:rsid w:val="00020455"/>
    <w:rsid w:val="00022731"/>
    <w:rsid w:val="00022792"/>
    <w:rsid w:val="0002392D"/>
    <w:rsid w:val="00024B43"/>
    <w:rsid w:val="00025382"/>
    <w:rsid w:val="00025636"/>
    <w:rsid w:val="00025E36"/>
    <w:rsid w:val="00026627"/>
    <w:rsid w:val="00026886"/>
    <w:rsid w:val="00030496"/>
    <w:rsid w:val="000329A1"/>
    <w:rsid w:val="000329E0"/>
    <w:rsid w:val="000333A0"/>
    <w:rsid w:val="000352E9"/>
    <w:rsid w:val="00036A07"/>
    <w:rsid w:val="00036E33"/>
    <w:rsid w:val="00037E2D"/>
    <w:rsid w:val="00040571"/>
    <w:rsid w:val="0004156E"/>
    <w:rsid w:val="00041597"/>
    <w:rsid w:val="0004440C"/>
    <w:rsid w:val="00045880"/>
    <w:rsid w:val="000462CB"/>
    <w:rsid w:val="00046B5E"/>
    <w:rsid w:val="0004783A"/>
    <w:rsid w:val="000509D9"/>
    <w:rsid w:val="000552A6"/>
    <w:rsid w:val="00055D41"/>
    <w:rsid w:val="00057CEC"/>
    <w:rsid w:val="00060DCE"/>
    <w:rsid w:val="000623B4"/>
    <w:rsid w:val="000634A7"/>
    <w:rsid w:val="00063E85"/>
    <w:rsid w:val="00063F81"/>
    <w:rsid w:val="00064847"/>
    <w:rsid w:val="0006484B"/>
    <w:rsid w:val="00065BBC"/>
    <w:rsid w:val="000673E2"/>
    <w:rsid w:val="000711E4"/>
    <w:rsid w:val="00072AED"/>
    <w:rsid w:val="00073F47"/>
    <w:rsid w:val="00075B7E"/>
    <w:rsid w:val="00077C70"/>
    <w:rsid w:val="00080B57"/>
    <w:rsid w:val="000817D1"/>
    <w:rsid w:val="00081BA3"/>
    <w:rsid w:val="00081D2E"/>
    <w:rsid w:val="0008267B"/>
    <w:rsid w:val="00082D02"/>
    <w:rsid w:val="00083B91"/>
    <w:rsid w:val="0008520B"/>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398F"/>
    <w:rsid w:val="000A4AEE"/>
    <w:rsid w:val="000A509C"/>
    <w:rsid w:val="000A6007"/>
    <w:rsid w:val="000A65A6"/>
    <w:rsid w:val="000A7275"/>
    <w:rsid w:val="000A7A12"/>
    <w:rsid w:val="000A7AD8"/>
    <w:rsid w:val="000A7CA5"/>
    <w:rsid w:val="000B039A"/>
    <w:rsid w:val="000B1801"/>
    <w:rsid w:val="000B19B3"/>
    <w:rsid w:val="000B1D0C"/>
    <w:rsid w:val="000B2D03"/>
    <w:rsid w:val="000B3815"/>
    <w:rsid w:val="000B3C7B"/>
    <w:rsid w:val="000B6C95"/>
    <w:rsid w:val="000C0C58"/>
    <w:rsid w:val="000C1679"/>
    <w:rsid w:val="000C2898"/>
    <w:rsid w:val="000C2F89"/>
    <w:rsid w:val="000C435F"/>
    <w:rsid w:val="000C4635"/>
    <w:rsid w:val="000C548E"/>
    <w:rsid w:val="000C6DE4"/>
    <w:rsid w:val="000D01EB"/>
    <w:rsid w:val="000D056E"/>
    <w:rsid w:val="000D0675"/>
    <w:rsid w:val="000D0A89"/>
    <w:rsid w:val="000D1389"/>
    <w:rsid w:val="000D1798"/>
    <w:rsid w:val="000D1A2A"/>
    <w:rsid w:val="000D2626"/>
    <w:rsid w:val="000D4A06"/>
    <w:rsid w:val="000D54D4"/>
    <w:rsid w:val="000D73DD"/>
    <w:rsid w:val="000D7D9B"/>
    <w:rsid w:val="000E18E2"/>
    <w:rsid w:val="000E28AB"/>
    <w:rsid w:val="000E2E3E"/>
    <w:rsid w:val="000E33C5"/>
    <w:rsid w:val="000E3583"/>
    <w:rsid w:val="000E3AF0"/>
    <w:rsid w:val="000E3D53"/>
    <w:rsid w:val="000E4E04"/>
    <w:rsid w:val="000E6EC9"/>
    <w:rsid w:val="000E70B4"/>
    <w:rsid w:val="000F3281"/>
    <w:rsid w:val="000F3733"/>
    <w:rsid w:val="000F4D88"/>
    <w:rsid w:val="000F5B1B"/>
    <w:rsid w:val="000F64AA"/>
    <w:rsid w:val="000F7AF4"/>
    <w:rsid w:val="000F7C33"/>
    <w:rsid w:val="000F7E7E"/>
    <w:rsid w:val="000F7F0C"/>
    <w:rsid w:val="00100246"/>
    <w:rsid w:val="001004D6"/>
    <w:rsid w:val="00100D90"/>
    <w:rsid w:val="00103918"/>
    <w:rsid w:val="00104324"/>
    <w:rsid w:val="00104889"/>
    <w:rsid w:val="00104897"/>
    <w:rsid w:val="00104EDE"/>
    <w:rsid w:val="00105372"/>
    <w:rsid w:val="00106BEE"/>
    <w:rsid w:val="00113134"/>
    <w:rsid w:val="00113AC0"/>
    <w:rsid w:val="00113E75"/>
    <w:rsid w:val="00114851"/>
    <w:rsid w:val="00115E11"/>
    <w:rsid w:val="00115F56"/>
    <w:rsid w:val="00117CBD"/>
    <w:rsid w:val="0012006A"/>
    <w:rsid w:val="00120990"/>
    <w:rsid w:val="001217B5"/>
    <w:rsid w:val="00121979"/>
    <w:rsid w:val="00122064"/>
    <w:rsid w:val="00125004"/>
    <w:rsid w:val="001263B8"/>
    <w:rsid w:val="00126763"/>
    <w:rsid w:val="00130217"/>
    <w:rsid w:val="00130783"/>
    <w:rsid w:val="001312CB"/>
    <w:rsid w:val="00131B75"/>
    <w:rsid w:val="00132B47"/>
    <w:rsid w:val="00132E64"/>
    <w:rsid w:val="001351CB"/>
    <w:rsid w:val="001359A2"/>
    <w:rsid w:val="00135E37"/>
    <w:rsid w:val="00136020"/>
    <w:rsid w:val="00136445"/>
    <w:rsid w:val="00140132"/>
    <w:rsid w:val="00141C9C"/>
    <w:rsid w:val="001434BE"/>
    <w:rsid w:val="0014479F"/>
    <w:rsid w:val="001452B4"/>
    <w:rsid w:val="0014550E"/>
    <w:rsid w:val="00146EC6"/>
    <w:rsid w:val="001478D2"/>
    <w:rsid w:val="00150CC9"/>
    <w:rsid w:val="00152A87"/>
    <w:rsid w:val="00154486"/>
    <w:rsid w:val="00156D0E"/>
    <w:rsid w:val="0016086E"/>
    <w:rsid w:val="00160D0C"/>
    <w:rsid w:val="00161172"/>
    <w:rsid w:val="0016139E"/>
    <w:rsid w:val="00161E65"/>
    <w:rsid w:val="00162597"/>
    <w:rsid w:val="001629AF"/>
    <w:rsid w:val="0016428A"/>
    <w:rsid w:val="001647C9"/>
    <w:rsid w:val="001661A3"/>
    <w:rsid w:val="0016782B"/>
    <w:rsid w:val="00173256"/>
    <w:rsid w:val="001733E1"/>
    <w:rsid w:val="00173F74"/>
    <w:rsid w:val="00175086"/>
    <w:rsid w:val="00175BA6"/>
    <w:rsid w:val="00176CA7"/>
    <w:rsid w:val="001778C5"/>
    <w:rsid w:val="00177E56"/>
    <w:rsid w:val="00177F0A"/>
    <w:rsid w:val="00180669"/>
    <w:rsid w:val="00182B6B"/>
    <w:rsid w:val="00183088"/>
    <w:rsid w:val="00185617"/>
    <w:rsid w:val="0019171E"/>
    <w:rsid w:val="0019220F"/>
    <w:rsid w:val="001928B1"/>
    <w:rsid w:val="00194ED5"/>
    <w:rsid w:val="00195424"/>
    <w:rsid w:val="001955FF"/>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1AED"/>
    <w:rsid w:val="001C25A7"/>
    <w:rsid w:val="001C318C"/>
    <w:rsid w:val="001C4287"/>
    <w:rsid w:val="001C4479"/>
    <w:rsid w:val="001C76B7"/>
    <w:rsid w:val="001C76FB"/>
    <w:rsid w:val="001D2764"/>
    <w:rsid w:val="001D3697"/>
    <w:rsid w:val="001D51DE"/>
    <w:rsid w:val="001D540E"/>
    <w:rsid w:val="001D58A1"/>
    <w:rsid w:val="001D5A8A"/>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E3D"/>
    <w:rsid w:val="001F3B72"/>
    <w:rsid w:val="001F3C63"/>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37A"/>
    <w:rsid w:val="00204B5F"/>
    <w:rsid w:val="0020532C"/>
    <w:rsid w:val="00205D23"/>
    <w:rsid w:val="0021064F"/>
    <w:rsid w:val="002114C7"/>
    <w:rsid w:val="002118F3"/>
    <w:rsid w:val="00212756"/>
    <w:rsid w:val="0021302C"/>
    <w:rsid w:val="00213045"/>
    <w:rsid w:val="00213483"/>
    <w:rsid w:val="00213B1C"/>
    <w:rsid w:val="00214202"/>
    <w:rsid w:val="002146F3"/>
    <w:rsid w:val="002148E3"/>
    <w:rsid w:val="00215373"/>
    <w:rsid w:val="0021552D"/>
    <w:rsid w:val="002156AE"/>
    <w:rsid w:val="00217861"/>
    <w:rsid w:val="002204C9"/>
    <w:rsid w:val="0022054D"/>
    <w:rsid w:val="0022290A"/>
    <w:rsid w:val="00224DE1"/>
    <w:rsid w:val="00225664"/>
    <w:rsid w:val="002269DC"/>
    <w:rsid w:val="00227F2D"/>
    <w:rsid w:val="0023089D"/>
    <w:rsid w:val="00231851"/>
    <w:rsid w:val="002319FB"/>
    <w:rsid w:val="00231B89"/>
    <w:rsid w:val="002355BE"/>
    <w:rsid w:val="00236DE9"/>
    <w:rsid w:val="00237D5A"/>
    <w:rsid w:val="00237EA9"/>
    <w:rsid w:val="00241300"/>
    <w:rsid w:val="00241D3C"/>
    <w:rsid w:val="0024274D"/>
    <w:rsid w:val="002439AB"/>
    <w:rsid w:val="002450D5"/>
    <w:rsid w:val="00245587"/>
    <w:rsid w:val="00245F2B"/>
    <w:rsid w:val="002464EB"/>
    <w:rsid w:val="00246F95"/>
    <w:rsid w:val="00247F3A"/>
    <w:rsid w:val="00250122"/>
    <w:rsid w:val="00250755"/>
    <w:rsid w:val="00250AE3"/>
    <w:rsid w:val="00251C4A"/>
    <w:rsid w:val="0025271C"/>
    <w:rsid w:val="00252A91"/>
    <w:rsid w:val="002533CD"/>
    <w:rsid w:val="002544C1"/>
    <w:rsid w:val="00254EAB"/>
    <w:rsid w:val="002557AF"/>
    <w:rsid w:val="002561FA"/>
    <w:rsid w:val="00256474"/>
    <w:rsid w:val="002566B1"/>
    <w:rsid w:val="002575E3"/>
    <w:rsid w:val="002603C1"/>
    <w:rsid w:val="002609A1"/>
    <w:rsid w:val="002612B1"/>
    <w:rsid w:val="00266165"/>
    <w:rsid w:val="0027125E"/>
    <w:rsid w:val="00271767"/>
    <w:rsid w:val="00272293"/>
    <w:rsid w:val="002723C8"/>
    <w:rsid w:val="00272676"/>
    <w:rsid w:val="00273CBE"/>
    <w:rsid w:val="00277441"/>
    <w:rsid w:val="002802D7"/>
    <w:rsid w:val="0028232C"/>
    <w:rsid w:val="002827F1"/>
    <w:rsid w:val="00282EC3"/>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5287"/>
    <w:rsid w:val="002952B1"/>
    <w:rsid w:val="00295D11"/>
    <w:rsid w:val="00295FA0"/>
    <w:rsid w:val="00297A7A"/>
    <w:rsid w:val="002A0C3A"/>
    <w:rsid w:val="002A1130"/>
    <w:rsid w:val="002A1493"/>
    <w:rsid w:val="002A14D3"/>
    <w:rsid w:val="002A1880"/>
    <w:rsid w:val="002A1D47"/>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B2B"/>
    <w:rsid w:val="002B6D17"/>
    <w:rsid w:val="002C0C1C"/>
    <w:rsid w:val="002C184E"/>
    <w:rsid w:val="002C29C1"/>
    <w:rsid w:val="002C54C2"/>
    <w:rsid w:val="002C58F6"/>
    <w:rsid w:val="002C5D34"/>
    <w:rsid w:val="002C5EA7"/>
    <w:rsid w:val="002C661A"/>
    <w:rsid w:val="002C730C"/>
    <w:rsid w:val="002D0AF5"/>
    <w:rsid w:val="002D1C54"/>
    <w:rsid w:val="002D2231"/>
    <w:rsid w:val="002D25FC"/>
    <w:rsid w:val="002D318B"/>
    <w:rsid w:val="002D3380"/>
    <w:rsid w:val="002D4925"/>
    <w:rsid w:val="002D4AC6"/>
    <w:rsid w:val="002D5C7B"/>
    <w:rsid w:val="002D6DFC"/>
    <w:rsid w:val="002D7648"/>
    <w:rsid w:val="002D7909"/>
    <w:rsid w:val="002D7E56"/>
    <w:rsid w:val="002E109C"/>
    <w:rsid w:val="002E115E"/>
    <w:rsid w:val="002E193E"/>
    <w:rsid w:val="002E1D76"/>
    <w:rsid w:val="002E243C"/>
    <w:rsid w:val="002E26C4"/>
    <w:rsid w:val="002E4B37"/>
    <w:rsid w:val="002E4BF9"/>
    <w:rsid w:val="002E6F5B"/>
    <w:rsid w:val="002F0631"/>
    <w:rsid w:val="002F16DD"/>
    <w:rsid w:val="002F199D"/>
    <w:rsid w:val="002F23B2"/>
    <w:rsid w:val="002F2AC5"/>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929"/>
    <w:rsid w:val="00302F0F"/>
    <w:rsid w:val="00303243"/>
    <w:rsid w:val="00303BCC"/>
    <w:rsid w:val="00303F2B"/>
    <w:rsid w:val="00303F8D"/>
    <w:rsid w:val="00304541"/>
    <w:rsid w:val="00304580"/>
    <w:rsid w:val="0030586A"/>
    <w:rsid w:val="003074C5"/>
    <w:rsid w:val="00307A3C"/>
    <w:rsid w:val="00307FA4"/>
    <w:rsid w:val="00310CC1"/>
    <w:rsid w:val="0031202C"/>
    <w:rsid w:val="00313026"/>
    <w:rsid w:val="0031421F"/>
    <w:rsid w:val="00314B31"/>
    <w:rsid w:val="00314B36"/>
    <w:rsid w:val="00315158"/>
    <w:rsid w:val="00315346"/>
    <w:rsid w:val="00315A65"/>
    <w:rsid w:val="00316CEC"/>
    <w:rsid w:val="00317BA7"/>
    <w:rsid w:val="00320BE2"/>
    <w:rsid w:val="00321886"/>
    <w:rsid w:val="00321902"/>
    <w:rsid w:val="00322F03"/>
    <w:rsid w:val="00323694"/>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1D1"/>
    <w:rsid w:val="003416BA"/>
    <w:rsid w:val="00341BD6"/>
    <w:rsid w:val="00342A8A"/>
    <w:rsid w:val="00342F99"/>
    <w:rsid w:val="00344726"/>
    <w:rsid w:val="003454A4"/>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67B0"/>
    <w:rsid w:val="003667DD"/>
    <w:rsid w:val="00366B48"/>
    <w:rsid w:val="00367764"/>
    <w:rsid w:val="00370316"/>
    <w:rsid w:val="00370DC7"/>
    <w:rsid w:val="0037156C"/>
    <w:rsid w:val="00371CBD"/>
    <w:rsid w:val="00373CBE"/>
    <w:rsid w:val="003740CC"/>
    <w:rsid w:val="0037435E"/>
    <w:rsid w:val="00374E79"/>
    <w:rsid w:val="00375388"/>
    <w:rsid w:val="00375FB9"/>
    <w:rsid w:val="00376851"/>
    <w:rsid w:val="00376FA2"/>
    <w:rsid w:val="00377A3B"/>
    <w:rsid w:val="00377E3C"/>
    <w:rsid w:val="00380BBE"/>
    <w:rsid w:val="00381775"/>
    <w:rsid w:val="00381D70"/>
    <w:rsid w:val="00382128"/>
    <w:rsid w:val="0038235E"/>
    <w:rsid w:val="003829D0"/>
    <w:rsid w:val="00382FBA"/>
    <w:rsid w:val="0038444F"/>
    <w:rsid w:val="00384E83"/>
    <w:rsid w:val="00385333"/>
    <w:rsid w:val="00387051"/>
    <w:rsid w:val="00387712"/>
    <w:rsid w:val="00387ECF"/>
    <w:rsid w:val="0039021B"/>
    <w:rsid w:val="00390429"/>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204E"/>
    <w:rsid w:val="003A2D25"/>
    <w:rsid w:val="003A39B2"/>
    <w:rsid w:val="003A4DDB"/>
    <w:rsid w:val="003A60E7"/>
    <w:rsid w:val="003A6E03"/>
    <w:rsid w:val="003B0B6A"/>
    <w:rsid w:val="003B0F79"/>
    <w:rsid w:val="003B1483"/>
    <w:rsid w:val="003B1CFD"/>
    <w:rsid w:val="003B29CF"/>
    <w:rsid w:val="003B40A0"/>
    <w:rsid w:val="003B41B5"/>
    <w:rsid w:val="003B54DF"/>
    <w:rsid w:val="003B5F96"/>
    <w:rsid w:val="003B6659"/>
    <w:rsid w:val="003B7733"/>
    <w:rsid w:val="003C0166"/>
    <w:rsid w:val="003C350C"/>
    <w:rsid w:val="003C3903"/>
    <w:rsid w:val="003C3BA0"/>
    <w:rsid w:val="003C4580"/>
    <w:rsid w:val="003C52D8"/>
    <w:rsid w:val="003C5C5E"/>
    <w:rsid w:val="003C6746"/>
    <w:rsid w:val="003C7133"/>
    <w:rsid w:val="003C7555"/>
    <w:rsid w:val="003C7898"/>
    <w:rsid w:val="003D010A"/>
    <w:rsid w:val="003D0FF5"/>
    <w:rsid w:val="003D2D1B"/>
    <w:rsid w:val="003D30AB"/>
    <w:rsid w:val="003D3D94"/>
    <w:rsid w:val="003D48C7"/>
    <w:rsid w:val="003D4B26"/>
    <w:rsid w:val="003D4C08"/>
    <w:rsid w:val="003D51ED"/>
    <w:rsid w:val="003D7CE8"/>
    <w:rsid w:val="003E1032"/>
    <w:rsid w:val="003E1904"/>
    <w:rsid w:val="003E285E"/>
    <w:rsid w:val="003E3300"/>
    <w:rsid w:val="003E65AC"/>
    <w:rsid w:val="003E6E24"/>
    <w:rsid w:val="003E72B9"/>
    <w:rsid w:val="003E7ED4"/>
    <w:rsid w:val="003F0E52"/>
    <w:rsid w:val="003F0EF2"/>
    <w:rsid w:val="003F0F6B"/>
    <w:rsid w:val="003F1F40"/>
    <w:rsid w:val="003F1FE3"/>
    <w:rsid w:val="003F3865"/>
    <w:rsid w:val="003F3A0A"/>
    <w:rsid w:val="003F4632"/>
    <w:rsid w:val="003F47BA"/>
    <w:rsid w:val="003F6617"/>
    <w:rsid w:val="00401081"/>
    <w:rsid w:val="00402332"/>
    <w:rsid w:val="004025C2"/>
    <w:rsid w:val="00403E55"/>
    <w:rsid w:val="00404532"/>
    <w:rsid w:val="00404681"/>
    <w:rsid w:val="0040496D"/>
    <w:rsid w:val="00405010"/>
    <w:rsid w:val="0040595A"/>
    <w:rsid w:val="00406923"/>
    <w:rsid w:val="0040713A"/>
    <w:rsid w:val="0040763D"/>
    <w:rsid w:val="004105B0"/>
    <w:rsid w:val="00410624"/>
    <w:rsid w:val="00410EC5"/>
    <w:rsid w:val="0041250F"/>
    <w:rsid w:val="004133A8"/>
    <w:rsid w:val="00413821"/>
    <w:rsid w:val="00413D43"/>
    <w:rsid w:val="004141A3"/>
    <w:rsid w:val="00414909"/>
    <w:rsid w:val="00415E66"/>
    <w:rsid w:val="00416112"/>
    <w:rsid w:val="00416DF0"/>
    <w:rsid w:val="00417AE0"/>
    <w:rsid w:val="00417BAA"/>
    <w:rsid w:val="00420BA9"/>
    <w:rsid w:val="00420D7A"/>
    <w:rsid w:val="004223DE"/>
    <w:rsid w:val="0042293E"/>
    <w:rsid w:val="00422A10"/>
    <w:rsid w:val="00423D86"/>
    <w:rsid w:val="00424D17"/>
    <w:rsid w:val="00425DFD"/>
    <w:rsid w:val="004263A3"/>
    <w:rsid w:val="00427713"/>
    <w:rsid w:val="00427CCC"/>
    <w:rsid w:val="0043013A"/>
    <w:rsid w:val="00430421"/>
    <w:rsid w:val="00430B4F"/>
    <w:rsid w:val="004314B1"/>
    <w:rsid w:val="00431E65"/>
    <w:rsid w:val="00432589"/>
    <w:rsid w:val="00432A94"/>
    <w:rsid w:val="0043366D"/>
    <w:rsid w:val="00433827"/>
    <w:rsid w:val="004360C8"/>
    <w:rsid w:val="0044006B"/>
    <w:rsid w:val="0044033F"/>
    <w:rsid w:val="00440630"/>
    <w:rsid w:val="0044112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E99"/>
    <w:rsid w:val="004535AE"/>
    <w:rsid w:val="00453C42"/>
    <w:rsid w:val="0045463A"/>
    <w:rsid w:val="00454AC9"/>
    <w:rsid w:val="00454E26"/>
    <w:rsid w:val="004554A3"/>
    <w:rsid w:val="00455A6E"/>
    <w:rsid w:val="00456758"/>
    <w:rsid w:val="004569CD"/>
    <w:rsid w:val="004578EB"/>
    <w:rsid w:val="00460303"/>
    <w:rsid w:val="00460697"/>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204C"/>
    <w:rsid w:val="004821BB"/>
    <w:rsid w:val="00482233"/>
    <w:rsid w:val="0048261A"/>
    <w:rsid w:val="004826FE"/>
    <w:rsid w:val="004827D5"/>
    <w:rsid w:val="004830C9"/>
    <w:rsid w:val="00483347"/>
    <w:rsid w:val="00483E2E"/>
    <w:rsid w:val="00484B69"/>
    <w:rsid w:val="00485406"/>
    <w:rsid w:val="0048590F"/>
    <w:rsid w:val="004867A5"/>
    <w:rsid w:val="00486D60"/>
    <w:rsid w:val="00487C87"/>
    <w:rsid w:val="00490BB8"/>
    <w:rsid w:val="00492A25"/>
    <w:rsid w:val="00492F3E"/>
    <w:rsid w:val="0049474A"/>
    <w:rsid w:val="004961EA"/>
    <w:rsid w:val="00496350"/>
    <w:rsid w:val="00496F91"/>
    <w:rsid w:val="00497274"/>
    <w:rsid w:val="00497708"/>
    <w:rsid w:val="0049797C"/>
    <w:rsid w:val="00497C2C"/>
    <w:rsid w:val="00497E9D"/>
    <w:rsid w:val="004A07AC"/>
    <w:rsid w:val="004A1405"/>
    <w:rsid w:val="004A1FC6"/>
    <w:rsid w:val="004A3C03"/>
    <w:rsid w:val="004A3DB7"/>
    <w:rsid w:val="004A3FB3"/>
    <w:rsid w:val="004A5088"/>
    <w:rsid w:val="004A5255"/>
    <w:rsid w:val="004A6097"/>
    <w:rsid w:val="004A6CB0"/>
    <w:rsid w:val="004A70FF"/>
    <w:rsid w:val="004A7CCC"/>
    <w:rsid w:val="004B1B84"/>
    <w:rsid w:val="004B29AC"/>
    <w:rsid w:val="004B35DF"/>
    <w:rsid w:val="004B3627"/>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86C"/>
    <w:rsid w:val="004C7963"/>
    <w:rsid w:val="004D2F63"/>
    <w:rsid w:val="004D35BA"/>
    <w:rsid w:val="004D4701"/>
    <w:rsid w:val="004D47C7"/>
    <w:rsid w:val="004D618D"/>
    <w:rsid w:val="004D62A9"/>
    <w:rsid w:val="004D6AEE"/>
    <w:rsid w:val="004D6FC3"/>
    <w:rsid w:val="004D7476"/>
    <w:rsid w:val="004E0306"/>
    <w:rsid w:val="004E0572"/>
    <w:rsid w:val="004E25A8"/>
    <w:rsid w:val="004E2AA0"/>
    <w:rsid w:val="004E3930"/>
    <w:rsid w:val="004E3ED9"/>
    <w:rsid w:val="004E5866"/>
    <w:rsid w:val="004E5D94"/>
    <w:rsid w:val="004E6097"/>
    <w:rsid w:val="004E61EF"/>
    <w:rsid w:val="004E6772"/>
    <w:rsid w:val="004E76A7"/>
    <w:rsid w:val="004E7736"/>
    <w:rsid w:val="004E7B03"/>
    <w:rsid w:val="004F0064"/>
    <w:rsid w:val="004F06AC"/>
    <w:rsid w:val="004F1AE6"/>
    <w:rsid w:val="004F243F"/>
    <w:rsid w:val="004F3E0C"/>
    <w:rsid w:val="004F6A2D"/>
    <w:rsid w:val="004F7160"/>
    <w:rsid w:val="004F71A2"/>
    <w:rsid w:val="00500258"/>
    <w:rsid w:val="0050175E"/>
    <w:rsid w:val="00501A99"/>
    <w:rsid w:val="00503180"/>
    <w:rsid w:val="0050417C"/>
    <w:rsid w:val="00505450"/>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AF4"/>
    <w:rsid w:val="00544191"/>
    <w:rsid w:val="00544F39"/>
    <w:rsid w:val="0054515D"/>
    <w:rsid w:val="00547EFB"/>
    <w:rsid w:val="00552563"/>
    <w:rsid w:val="005531DF"/>
    <w:rsid w:val="00553874"/>
    <w:rsid w:val="00553ACC"/>
    <w:rsid w:val="00554AD8"/>
    <w:rsid w:val="00554F78"/>
    <w:rsid w:val="005556A5"/>
    <w:rsid w:val="00556BF7"/>
    <w:rsid w:val="00562149"/>
    <w:rsid w:val="005630D8"/>
    <w:rsid w:val="00563FFD"/>
    <w:rsid w:val="00565855"/>
    <w:rsid w:val="005677CE"/>
    <w:rsid w:val="00567B5D"/>
    <w:rsid w:val="00573733"/>
    <w:rsid w:val="00574554"/>
    <w:rsid w:val="00576089"/>
    <w:rsid w:val="005764B1"/>
    <w:rsid w:val="00576A56"/>
    <w:rsid w:val="00576D06"/>
    <w:rsid w:val="005779E4"/>
    <w:rsid w:val="00580AC5"/>
    <w:rsid w:val="00580EB3"/>
    <w:rsid w:val="00581A2A"/>
    <w:rsid w:val="0058289C"/>
    <w:rsid w:val="00582C35"/>
    <w:rsid w:val="00582DC6"/>
    <w:rsid w:val="005836C7"/>
    <w:rsid w:val="00583E30"/>
    <w:rsid w:val="0058408E"/>
    <w:rsid w:val="00585374"/>
    <w:rsid w:val="00586F3C"/>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B0160"/>
    <w:rsid w:val="005B0185"/>
    <w:rsid w:val="005B07EC"/>
    <w:rsid w:val="005B09D8"/>
    <w:rsid w:val="005B120C"/>
    <w:rsid w:val="005B24F3"/>
    <w:rsid w:val="005B2B11"/>
    <w:rsid w:val="005B2E00"/>
    <w:rsid w:val="005B370E"/>
    <w:rsid w:val="005B4DA3"/>
    <w:rsid w:val="005B5BEE"/>
    <w:rsid w:val="005B77D2"/>
    <w:rsid w:val="005C019B"/>
    <w:rsid w:val="005C144E"/>
    <w:rsid w:val="005C14A8"/>
    <w:rsid w:val="005C30F5"/>
    <w:rsid w:val="005C357E"/>
    <w:rsid w:val="005C3951"/>
    <w:rsid w:val="005C51A5"/>
    <w:rsid w:val="005C557A"/>
    <w:rsid w:val="005C61DD"/>
    <w:rsid w:val="005C6438"/>
    <w:rsid w:val="005C6B8B"/>
    <w:rsid w:val="005D02E3"/>
    <w:rsid w:val="005D0310"/>
    <w:rsid w:val="005D039C"/>
    <w:rsid w:val="005D1F34"/>
    <w:rsid w:val="005D2529"/>
    <w:rsid w:val="005D2C1F"/>
    <w:rsid w:val="005D34B2"/>
    <w:rsid w:val="005D3B54"/>
    <w:rsid w:val="005D40CD"/>
    <w:rsid w:val="005D6B59"/>
    <w:rsid w:val="005D7037"/>
    <w:rsid w:val="005E03E4"/>
    <w:rsid w:val="005E0454"/>
    <w:rsid w:val="005E171D"/>
    <w:rsid w:val="005E34C2"/>
    <w:rsid w:val="005E35C6"/>
    <w:rsid w:val="005E5B01"/>
    <w:rsid w:val="005E7933"/>
    <w:rsid w:val="005E7E0B"/>
    <w:rsid w:val="005F009E"/>
    <w:rsid w:val="005F0A88"/>
    <w:rsid w:val="005F0DF1"/>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143F"/>
    <w:rsid w:val="006114D8"/>
    <w:rsid w:val="00611585"/>
    <w:rsid w:val="00612931"/>
    <w:rsid w:val="00613601"/>
    <w:rsid w:val="00613791"/>
    <w:rsid w:val="00613AAB"/>
    <w:rsid w:val="00614505"/>
    <w:rsid w:val="006148C7"/>
    <w:rsid w:val="006150D6"/>
    <w:rsid w:val="00617EEE"/>
    <w:rsid w:val="006210FE"/>
    <w:rsid w:val="00622811"/>
    <w:rsid w:val="00622894"/>
    <w:rsid w:val="00622BB7"/>
    <w:rsid w:val="00622F3B"/>
    <w:rsid w:val="00623389"/>
    <w:rsid w:val="0062352A"/>
    <w:rsid w:val="00625E45"/>
    <w:rsid w:val="006265C4"/>
    <w:rsid w:val="00627383"/>
    <w:rsid w:val="00627733"/>
    <w:rsid w:val="006301BB"/>
    <w:rsid w:val="00632605"/>
    <w:rsid w:val="00633F8D"/>
    <w:rsid w:val="006341EF"/>
    <w:rsid w:val="00634BED"/>
    <w:rsid w:val="00635A4A"/>
    <w:rsid w:val="00635FB9"/>
    <w:rsid w:val="00636148"/>
    <w:rsid w:val="00637774"/>
    <w:rsid w:val="0064024C"/>
    <w:rsid w:val="00640291"/>
    <w:rsid w:val="00641FAC"/>
    <w:rsid w:val="006432A5"/>
    <w:rsid w:val="00643664"/>
    <w:rsid w:val="00643CAA"/>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3FEA"/>
    <w:rsid w:val="00664253"/>
    <w:rsid w:val="006647AE"/>
    <w:rsid w:val="00664803"/>
    <w:rsid w:val="006661A4"/>
    <w:rsid w:val="006670E0"/>
    <w:rsid w:val="00667532"/>
    <w:rsid w:val="006704FD"/>
    <w:rsid w:val="0067294B"/>
    <w:rsid w:val="00673AA4"/>
    <w:rsid w:val="00674187"/>
    <w:rsid w:val="0067508F"/>
    <w:rsid w:val="00675349"/>
    <w:rsid w:val="00675E7E"/>
    <w:rsid w:val="0068051E"/>
    <w:rsid w:val="00680B9D"/>
    <w:rsid w:val="00681F13"/>
    <w:rsid w:val="0068231C"/>
    <w:rsid w:val="00682344"/>
    <w:rsid w:val="00682F28"/>
    <w:rsid w:val="00684842"/>
    <w:rsid w:val="00685BD6"/>
    <w:rsid w:val="006878A6"/>
    <w:rsid w:val="00690437"/>
    <w:rsid w:val="00690E65"/>
    <w:rsid w:val="0069188E"/>
    <w:rsid w:val="00691974"/>
    <w:rsid w:val="00692CE6"/>
    <w:rsid w:val="00693B6C"/>
    <w:rsid w:val="00694202"/>
    <w:rsid w:val="006942AE"/>
    <w:rsid w:val="0069483C"/>
    <w:rsid w:val="00695421"/>
    <w:rsid w:val="00696D4B"/>
    <w:rsid w:val="00697BD3"/>
    <w:rsid w:val="00697DFA"/>
    <w:rsid w:val="006A0C53"/>
    <w:rsid w:val="006A10F3"/>
    <w:rsid w:val="006A16D5"/>
    <w:rsid w:val="006A1772"/>
    <w:rsid w:val="006A1780"/>
    <w:rsid w:val="006A25A5"/>
    <w:rsid w:val="006A2790"/>
    <w:rsid w:val="006A3CEC"/>
    <w:rsid w:val="006A3F75"/>
    <w:rsid w:val="006A4FB3"/>
    <w:rsid w:val="006A5A3E"/>
    <w:rsid w:val="006A6CA7"/>
    <w:rsid w:val="006A703E"/>
    <w:rsid w:val="006A7BE3"/>
    <w:rsid w:val="006B01D1"/>
    <w:rsid w:val="006B16EA"/>
    <w:rsid w:val="006B1780"/>
    <w:rsid w:val="006B224E"/>
    <w:rsid w:val="006B376E"/>
    <w:rsid w:val="006B4589"/>
    <w:rsid w:val="006B6805"/>
    <w:rsid w:val="006B6BBE"/>
    <w:rsid w:val="006B6DE0"/>
    <w:rsid w:val="006B7D5F"/>
    <w:rsid w:val="006C32F4"/>
    <w:rsid w:val="006C3C54"/>
    <w:rsid w:val="006C40F4"/>
    <w:rsid w:val="006C427B"/>
    <w:rsid w:val="006C4D5D"/>
    <w:rsid w:val="006C4E5A"/>
    <w:rsid w:val="006C4F9F"/>
    <w:rsid w:val="006C61AB"/>
    <w:rsid w:val="006C650D"/>
    <w:rsid w:val="006C748D"/>
    <w:rsid w:val="006C74E2"/>
    <w:rsid w:val="006D0C1D"/>
    <w:rsid w:val="006D0CE1"/>
    <w:rsid w:val="006D2004"/>
    <w:rsid w:val="006D2A8C"/>
    <w:rsid w:val="006D2E9D"/>
    <w:rsid w:val="006D4C1E"/>
    <w:rsid w:val="006D4C42"/>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DE3"/>
    <w:rsid w:val="006F511F"/>
    <w:rsid w:val="006F54B3"/>
    <w:rsid w:val="006F61D8"/>
    <w:rsid w:val="006F62B7"/>
    <w:rsid w:val="006F70BC"/>
    <w:rsid w:val="006F713A"/>
    <w:rsid w:val="006F76BF"/>
    <w:rsid w:val="00700077"/>
    <w:rsid w:val="007066A4"/>
    <w:rsid w:val="00706F37"/>
    <w:rsid w:val="00707D09"/>
    <w:rsid w:val="00711208"/>
    <w:rsid w:val="0071209F"/>
    <w:rsid w:val="007125A2"/>
    <w:rsid w:val="00712DA3"/>
    <w:rsid w:val="00713F79"/>
    <w:rsid w:val="007148A8"/>
    <w:rsid w:val="00714AA4"/>
    <w:rsid w:val="007171E0"/>
    <w:rsid w:val="0072033C"/>
    <w:rsid w:val="00720B1B"/>
    <w:rsid w:val="00720EC1"/>
    <w:rsid w:val="00721062"/>
    <w:rsid w:val="00721E5D"/>
    <w:rsid w:val="007229D4"/>
    <w:rsid w:val="00722CD9"/>
    <w:rsid w:val="007230F8"/>
    <w:rsid w:val="007233F4"/>
    <w:rsid w:val="00724044"/>
    <w:rsid w:val="007244E1"/>
    <w:rsid w:val="007248D3"/>
    <w:rsid w:val="00725137"/>
    <w:rsid w:val="007263ED"/>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310C"/>
    <w:rsid w:val="00753347"/>
    <w:rsid w:val="00753C48"/>
    <w:rsid w:val="00754C97"/>
    <w:rsid w:val="00754FE4"/>
    <w:rsid w:val="00755538"/>
    <w:rsid w:val="00756236"/>
    <w:rsid w:val="00756271"/>
    <w:rsid w:val="00756521"/>
    <w:rsid w:val="00756AB7"/>
    <w:rsid w:val="00760477"/>
    <w:rsid w:val="00761AF4"/>
    <w:rsid w:val="00762071"/>
    <w:rsid w:val="007623FB"/>
    <w:rsid w:val="0076376A"/>
    <w:rsid w:val="0076500F"/>
    <w:rsid w:val="0076504E"/>
    <w:rsid w:val="00765E6A"/>
    <w:rsid w:val="00767EA0"/>
    <w:rsid w:val="0077068F"/>
    <w:rsid w:val="0077408D"/>
    <w:rsid w:val="00774270"/>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9CC"/>
    <w:rsid w:val="00794AD7"/>
    <w:rsid w:val="00796FB8"/>
    <w:rsid w:val="007A0A5E"/>
    <w:rsid w:val="007A11C2"/>
    <w:rsid w:val="007A2063"/>
    <w:rsid w:val="007A2367"/>
    <w:rsid w:val="007A41BF"/>
    <w:rsid w:val="007A490A"/>
    <w:rsid w:val="007A581D"/>
    <w:rsid w:val="007A7B95"/>
    <w:rsid w:val="007B0297"/>
    <w:rsid w:val="007B0F53"/>
    <w:rsid w:val="007B1DD8"/>
    <w:rsid w:val="007B21AE"/>
    <w:rsid w:val="007B2570"/>
    <w:rsid w:val="007B3113"/>
    <w:rsid w:val="007B3304"/>
    <w:rsid w:val="007B332B"/>
    <w:rsid w:val="007B394D"/>
    <w:rsid w:val="007B7490"/>
    <w:rsid w:val="007B774A"/>
    <w:rsid w:val="007C0525"/>
    <w:rsid w:val="007C0B56"/>
    <w:rsid w:val="007C13F7"/>
    <w:rsid w:val="007C218D"/>
    <w:rsid w:val="007C2D28"/>
    <w:rsid w:val="007C3E22"/>
    <w:rsid w:val="007C5153"/>
    <w:rsid w:val="007C67C6"/>
    <w:rsid w:val="007C707A"/>
    <w:rsid w:val="007C7E59"/>
    <w:rsid w:val="007D0B91"/>
    <w:rsid w:val="007D0F53"/>
    <w:rsid w:val="007D1452"/>
    <w:rsid w:val="007D1E29"/>
    <w:rsid w:val="007D460C"/>
    <w:rsid w:val="007D4AD3"/>
    <w:rsid w:val="007D4C8D"/>
    <w:rsid w:val="007D5195"/>
    <w:rsid w:val="007D5D19"/>
    <w:rsid w:val="007D5FDC"/>
    <w:rsid w:val="007D6232"/>
    <w:rsid w:val="007D6D68"/>
    <w:rsid w:val="007E01DA"/>
    <w:rsid w:val="007E1603"/>
    <w:rsid w:val="007E32DA"/>
    <w:rsid w:val="007E4998"/>
    <w:rsid w:val="007E4A9C"/>
    <w:rsid w:val="007E6914"/>
    <w:rsid w:val="007E7F78"/>
    <w:rsid w:val="007F0C8B"/>
    <w:rsid w:val="007F1517"/>
    <w:rsid w:val="007F1D44"/>
    <w:rsid w:val="007F2C13"/>
    <w:rsid w:val="007F2CEC"/>
    <w:rsid w:val="007F55DE"/>
    <w:rsid w:val="007F5605"/>
    <w:rsid w:val="007F6147"/>
    <w:rsid w:val="007F6FCD"/>
    <w:rsid w:val="007F78FF"/>
    <w:rsid w:val="00800F6C"/>
    <w:rsid w:val="008025BE"/>
    <w:rsid w:val="00804C86"/>
    <w:rsid w:val="008051FC"/>
    <w:rsid w:val="008055A9"/>
    <w:rsid w:val="008070EB"/>
    <w:rsid w:val="00807376"/>
    <w:rsid w:val="00810E8E"/>
    <w:rsid w:val="0081142D"/>
    <w:rsid w:val="00812462"/>
    <w:rsid w:val="008131C3"/>
    <w:rsid w:val="008140A5"/>
    <w:rsid w:val="0081481D"/>
    <w:rsid w:val="00814BE8"/>
    <w:rsid w:val="00814F6E"/>
    <w:rsid w:val="00815B8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279F"/>
    <w:rsid w:val="00833B7F"/>
    <w:rsid w:val="00834906"/>
    <w:rsid w:val="00836075"/>
    <w:rsid w:val="00836417"/>
    <w:rsid w:val="008411F9"/>
    <w:rsid w:val="008413AB"/>
    <w:rsid w:val="00842D10"/>
    <w:rsid w:val="0084322B"/>
    <w:rsid w:val="00843B93"/>
    <w:rsid w:val="00843F81"/>
    <w:rsid w:val="00844087"/>
    <w:rsid w:val="0084519E"/>
    <w:rsid w:val="00846370"/>
    <w:rsid w:val="00847C2B"/>
    <w:rsid w:val="0085270D"/>
    <w:rsid w:val="008532BF"/>
    <w:rsid w:val="00853BF4"/>
    <w:rsid w:val="00854294"/>
    <w:rsid w:val="0085595B"/>
    <w:rsid w:val="00855F80"/>
    <w:rsid w:val="008566B8"/>
    <w:rsid w:val="0085788B"/>
    <w:rsid w:val="00857A9E"/>
    <w:rsid w:val="00857DE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4ECA"/>
    <w:rsid w:val="00876EAE"/>
    <w:rsid w:val="00880F95"/>
    <w:rsid w:val="008819C6"/>
    <w:rsid w:val="00882B44"/>
    <w:rsid w:val="00882FE5"/>
    <w:rsid w:val="008845A4"/>
    <w:rsid w:val="00886138"/>
    <w:rsid w:val="00886E66"/>
    <w:rsid w:val="008871B0"/>
    <w:rsid w:val="0089217C"/>
    <w:rsid w:val="008928A1"/>
    <w:rsid w:val="00893671"/>
    <w:rsid w:val="00895838"/>
    <w:rsid w:val="00895A72"/>
    <w:rsid w:val="00895CDF"/>
    <w:rsid w:val="008968C7"/>
    <w:rsid w:val="00897A55"/>
    <w:rsid w:val="008A0FC9"/>
    <w:rsid w:val="008A1956"/>
    <w:rsid w:val="008A2B5F"/>
    <w:rsid w:val="008A40D3"/>
    <w:rsid w:val="008A469C"/>
    <w:rsid w:val="008A484A"/>
    <w:rsid w:val="008A5877"/>
    <w:rsid w:val="008A6539"/>
    <w:rsid w:val="008A701C"/>
    <w:rsid w:val="008B05DD"/>
    <w:rsid w:val="008B17E8"/>
    <w:rsid w:val="008B1925"/>
    <w:rsid w:val="008B266C"/>
    <w:rsid w:val="008B2D03"/>
    <w:rsid w:val="008B2E7C"/>
    <w:rsid w:val="008B42EB"/>
    <w:rsid w:val="008B45A7"/>
    <w:rsid w:val="008B4A70"/>
    <w:rsid w:val="008B502F"/>
    <w:rsid w:val="008B5A88"/>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566C"/>
    <w:rsid w:val="008D58D9"/>
    <w:rsid w:val="008D6426"/>
    <w:rsid w:val="008D66EA"/>
    <w:rsid w:val="008D6E59"/>
    <w:rsid w:val="008D7155"/>
    <w:rsid w:val="008D7DE4"/>
    <w:rsid w:val="008E09B3"/>
    <w:rsid w:val="008E141A"/>
    <w:rsid w:val="008E1A44"/>
    <w:rsid w:val="008E28E6"/>
    <w:rsid w:val="008E2B60"/>
    <w:rsid w:val="008E3232"/>
    <w:rsid w:val="008E3674"/>
    <w:rsid w:val="008E3B6C"/>
    <w:rsid w:val="008E68BB"/>
    <w:rsid w:val="008E6C9B"/>
    <w:rsid w:val="008E77D4"/>
    <w:rsid w:val="008F0981"/>
    <w:rsid w:val="008F0AFD"/>
    <w:rsid w:val="008F17B2"/>
    <w:rsid w:val="008F28EE"/>
    <w:rsid w:val="008F357B"/>
    <w:rsid w:val="008F44CA"/>
    <w:rsid w:val="008F49B9"/>
    <w:rsid w:val="008F49D3"/>
    <w:rsid w:val="008F6519"/>
    <w:rsid w:val="008F7012"/>
    <w:rsid w:val="008F7B17"/>
    <w:rsid w:val="00900042"/>
    <w:rsid w:val="0090034B"/>
    <w:rsid w:val="00902623"/>
    <w:rsid w:val="00902890"/>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DB4"/>
    <w:rsid w:val="0092430E"/>
    <w:rsid w:val="009249D7"/>
    <w:rsid w:val="0092625F"/>
    <w:rsid w:val="009268A9"/>
    <w:rsid w:val="00927B37"/>
    <w:rsid w:val="009301B2"/>
    <w:rsid w:val="009313DD"/>
    <w:rsid w:val="00931BDE"/>
    <w:rsid w:val="009321B1"/>
    <w:rsid w:val="00932ED7"/>
    <w:rsid w:val="0093357E"/>
    <w:rsid w:val="0093422D"/>
    <w:rsid w:val="00934325"/>
    <w:rsid w:val="00934DD7"/>
    <w:rsid w:val="009369A9"/>
    <w:rsid w:val="00936CF7"/>
    <w:rsid w:val="00937201"/>
    <w:rsid w:val="0093734A"/>
    <w:rsid w:val="00937783"/>
    <w:rsid w:val="00940FE1"/>
    <w:rsid w:val="00942306"/>
    <w:rsid w:val="009424B8"/>
    <w:rsid w:val="009433A4"/>
    <w:rsid w:val="0094435B"/>
    <w:rsid w:val="00944668"/>
    <w:rsid w:val="00944DC6"/>
    <w:rsid w:val="0094515F"/>
    <w:rsid w:val="0094537D"/>
    <w:rsid w:val="0094573F"/>
    <w:rsid w:val="009458B0"/>
    <w:rsid w:val="00945B52"/>
    <w:rsid w:val="00945DC0"/>
    <w:rsid w:val="00945F05"/>
    <w:rsid w:val="00946348"/>
    <w:rsid w:val="009471AD"/>
    <w:rsid w:val="009478A2"/>
    <w:rsid w:val="00950404"/>
    <w:rsid w:val="00952060"/>
    <w:rsid w:val="00954800"/>
    <w:rsid w:val="00955643"/>
    <w:rsid w:val="00955FBB"/>
    <w:rsid w:val="0095694B"/>
    <w:rsid w:val="00956BD5"/>
    <w:rsid w:val="009574BB"/>
    <w:rsid w:val="009577B5"/>
    <w:rsid w:val="009608E6"/>
    <w:rsid w:val="00961779"/>
    <w:rsid w:val="00962EB1"/>
    <w:rsid w:val="00966522"/>
    <w:rsid w:val="00967D3F"/>
    <w:rsid w:val="00967E78"/>
    <w:rsid w:val="00970D7E"/>
    <w:rsid w:val="00970F18"/>
    <w:rsid w:val="00971CF1"/>
    <w:rsid w:val="009721E9"/>
    <w:rsid w:val="00972A58"/>
    <w:rsid w:val="00973772"/>
    <w:rsid w:val="009738FC"/>
    <w:rsid w:val="00975E1E"/>
    <w:rsid w:val="00975E70"/>
    <w:rsid w:val="00977CD6"/>
    <w:rsid w:val="00982481"/>
    <w:rsid w:val="00982D26"/>
    <w:rsid w:val="0098330E"/>
    <w:rsid w:val="009833DD"/>
    <w:rsid w:val="009840AB"/>
    <w:rsid w:val="009849E9"/>
    <w:rsid w:val="009866F3"/>
    <w:rsid w:val="00987812"/>
    <w:rsid w:val="00990225"/>
    <w:rsid w:val="0099244B"/>
    <w:rsid w:val="00993186"/>
    <w:rsid w:val="009947B6"/>
    <w:rsid w:val="00994FCC"/>
    <w:rsid w:val="00995150"/>
    <w:rsid w:val="009957F3"/>
    <w:rsid w:val="00995D67"/>
    <w:rsid w:val="009970BF"/>
    <w:rsid w:val="009A013B"/>
    <w:rsid w:val="009A02F4"/>
    <w:rsid w:val="009A1844"/>
    <w:rsid w:val="009A1F12"/>
    <w:rsid w:val="009A2494"/>
    <w:rsid w:val="009A26CA"/>
    <w:rsid w:val="009A36F2"/>
    <w:rsid w:val="009A5749"/>
    <w:rsid w:val="009A57D0"/>
    <w:rsid w:val="009A6559"/>
    <w:rsid w:val="009A68FC"/>
    <w:rsid w:val="009A7514"/>
    <w:rsid w:val="009A7E7A"/>
    <w:rsid w:val="009B1584"/>
    <w:rsid w:val="009B1585"/>
    <w:rsid w:val="009B2469"/>
    <w:rsid w:val="009B314F"/>
    <w:rsid w:val="009B439C"/>
    <w:rsid w:val="009B4A6C"/>
    <w:rsid w:val="009B5777"/>
    <w:rsid w:val="009B5779"/>
    <w:rsid w:val="009B62A1"/>
    <w:rsid w:val="009B6753"/>
    <w:rsid w:val="009B6A26"/>
    <w:rsid w:val="009C079D"/>
    <w:rsid w:val="009C0D70"/>
    <w:rsid w:val="009C13D1"/>
    <w:rsid w:val="009C2913"/>
    <w:rsid w:val="009C3008"/>
    <w:rsid w:val="009C5AFE"/>
    <w:rsid w:val="009C6606"/>
    <w:rsid w:val="009C6CE5"/>
    <w:rsid w:val="009C6D50"/>
    <w:rsid w:val="009C7547"/>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4FCF"/>
    <w:rsid w:val="009F5DE2"/>
    <w:rsid w:val="009F65F4"/>
    <w:rsid w:val="009F676B"/>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33D8"/>
    <w:rsid w:val="00A14E97"/>
    <w:rsid w:val="00A15209"/>
    <w:rsid w:val="00A20069"/>
    <w:rsid w:val="00A20280"/>
    <w:rsid w:val="00A2244D"/>
    <w:rsid w:val="00A2253D"/>
    <w:rsid w:val="00A22AEC"/>
    <w:rsid w:val="00A2418A"/>
    <w:rsid w:val="00A247B8"/>
    <w:rsid w:val="00A24D39"/>
    <w:rsid w:val="00A24D8F"/>
    <w:rsid w:val="00A252D3"/>
    <w:rsid w:val="00A25B8B"/>
    <w:rsid w:val="00A26130"/>
    <w:rsid w:val="00A269AF"/>
    <w:rsid w:val="00A269C3"/>
    <w:rsid w:val="00A26ECA"/>
    <w:rsid w:val="00A3142C"/>
    <w:rsid w:val="00A324C1"/>
    <w:rsid w:val="00A337DB"/>
    <w:rsid w:val="00A3467F"/>
    <w:rsid w:val="00A3551A"/>
    <w:rsid w:val="00A376E8"/>
    <w:rsid w:val="00A37E69"/>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5EF9"/>
    <w:rsid w:val="00A76BC9"/>
    <w:rsid w:val="00A76FD8"/>
    <w:rsid w:val="00A77566"/>
    <w:rsid w:val="00A80563"/>
    <w:rsid w:val="00A8311C"/>
    <w:rsid w:val="00A84BC8"/>
    <w:rsid w:val="00A84C5F"/>
    <w:rsid w:val="00A86973"/>
    <w:rsid w:val="00A8721F"/>
    <w:rsid w:val="00A8740B"/>
    <w:rsid w:val="00A87519"/>
    <w:rsid w:val="00A90DE4"/>
    <w:rsid w:val="00A9246D"/>
    <w:rsid w:val="00A93644"/>
    <w:rsid w:val="00A93BD0"/>
    <w:rsid w:val="00A95D69"/>
    <w:rsid w:val="00A975A4"/>
    <w:rsid w:val="00AA2001"/>
    <w:rsid w:val="00AA2B5C"/>
    <w:rsid w:val="00AA4E59"/>
    <w:rsid w:val="00AA5328"/>
    <w:rsid w:val="00AA5393"/>
    <w:rsid w:val="00AA5771"/>
    <w:rsid w:val="00AA63D4"/>
    <w:rsid w:val="00AA6767"/>
    <w:rsid w:val="00AB03FD"/>
    <w:rsid w:val="00AB38CB"/>
    <w:rsid w:val="00AB3BEC"/>
    <w:rsid w:val="00AB44E4"/>
    <w:rsid w:val="00AB4AEB"/>
    <w:rsid w:val="00AB5352"/>
    <w:rsid w:val="00AB56AE"/>
    <w:rsid w:val="00AB62D5"/>
    <w:rsid w:val="00AB65B5"/>
    <w:rsid w:val="00AB6DCD"/>
    <w:rsid w:val="00AB6EE0"/>
    <w:rsid w:val="00AB7D91"/>
    <w:rsid w:val="00AC2DFD"/>
    <w:rsid w:val="00AC352D"/>
    <w:rsid w:val="00AC39B7"/>
    <w:rsid w:val="00AC40B7"/>
    <w:rsid w:val="00AC531F"/>
    <w:rsid w:val="00AC6121"/>
    <w:rsid w:val="00AC626D"/>
    <w:rsid w:val="00AC6CB1"/>
    <w:rsid w:val="00AD0091"/>
    <w:rsid w:val="00AD23D8"/>
    <w:rsid w:val="00AD23EF"/>
    <w:rsid w:val="00AD307B"/>
    <w:rsid w:val="00AD41B3"/>
    <w:rsid w:val="00AD4C48"/>
    <w:rsid w:val="00AD57AF"/>
    <w:rsid w:val="00AD6267"/>
    <w:rsid w:val="00AD6DEC"/>
    <w:rsid w:val="00AD7317"/>
    <w:rsid w:val="00AE01A8"/>
    <w:rsid w:val="00AE0CBD"/>
    <w:rsid w:val="00AE123A"/>
    <w:rsid w:val="00AE1D09"/>
    <w:rsid w:val="00AE28A7"/>
    <w:rsid w:val="00AE33A6"/>
    <w:rsid w:val="00AE3446"/>
    <w:rsid w:val="00AE3715"/>
    <w:rsid w:val="00AE3729"/>
    <w:rsid w:val="00AE55B2"/>
    <w:rsid w:val="00AE5C6A"/>
    <w:rsid w:val="00AE65F7"/>
    <w:rsid w:val="00AE7280"/>
    <w:rsid w:val="00AF033A"/>
    <w:rsid w:val="00AF1699"/>
    <w:rsid w:val="00AF3896"/>
    <w:rsid w:val="00AF6C33"/>
    <w:rsid w:val="00B0098A"/>
    <w:rsid w:val="00B00A5F"/>
    <w:rsid w:val="00B0225F"/>
    <w:rsid w:val="00B029B8"/>
    <w:rsid w:val="00B02F60"/>
    <w:rsid w:val="00B032B8"/>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3115A"/>
    <w:rsid w:val="00B31A5C"/>
    <w:rsid w:val="00B33C19"/>
    <w:rsid w:val="00B34861"/>
    <w:rsid w:val="00B34BBC"/>
    <w:rsid w:val="00B34CB7"/>
    <w:rsid w:val="00B35F6E"/>
    <w:rsid w:val="00B363BD"/>
    <w:rsid w:val="00B369F7"/>
    <w:rsid w:val="00B36A99"/>
    <w:rsid w:val="00B37537"/>
    <w:rsid w:val="00B37E8B"/>
    <w:rsid w:val="00B41B81"/>
    <w:rsid w:val="00B42980"/>
    <w:rsid w:val="00B434B2"/>
    <w:rsid w:val="00B434C7"/>
    <w:rsid w:val="00B43D45"/>
    <w:rsid w:val="00B44771"/>
    <w:rsid w:val="00B4650E"/>
    <w:rsid w:val="00B468F2"/>
    <w:rsid w:val="00B46B45"/>
    <w:rsid w:val="00B46F6B"/>
    <w:rsid w:val="00B47286"/>
    <w:rsid w:val="00B47894"/>
    <w:rsid w:val="00B50234"/>
    <w:rsid w:val="00B51794"/>
    <w:rsid w:val="00B51BF4"/>
    <w:rsid w:val="00B52C68"/>
    <w:rsid w:val="00B542FE"/>
    <w:rsid w:val="00B55A1B"/>
    <w:rsid w:val="00B561DB"/>
    <w:rsid w:val="00B57494"/>
    <w:rsid w:val="00B61DCE"/>
    <w:rsid w:val="00B62188"/>
    <w:rsid w:val="00B62467"/>
    <w:rsid w:val="00B62F79"/>
    <w:rsid w:val="00B62F82"/>
    <w:rsid w:val="00B6325B"/>
    <w:rsid w:val="00B648FA"/>
    <w:rsid w:val="00B662FF"/>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3199"/>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7456"/>
    <w:rsid w:val="00BA7925"/>
    <w:rsid w:val="00BA7B27"/>
    <w:rsid w:val="00BA7E3B"/>
    <w:rsid w:val="00BB079C"/>
    <w:rsid w:val="00BB32A1"/>
    <w:rsid w:val="00BB39C1"/>
    <w:rsid w:val="00BB5555"/>
    <w:rsid w:val="00BB5D16"/>
    <w:rsid w:val="00BB6180"/>
    <w:rsid w:val="00BB69E6"/>
    <w:rsid w:val="00BB7714"/>
    <w:rsid w:val="00BC1B7A"/>
    <w:rsid w:val="00BC2BC7"/>
    <w:rsid w:val="00BC2C17"/>
    <w:rsid w:val="00BC3ACD"/>
    <w:rsid w:val="00BC5C09"/>
    <w:rsid w:val="00BC6E73"/>
    <w:rsid w:val="00BD0014"/>
    <w:rsid w:val="00BD01D8"/>
    <w:rsid w:val="00BD1B17"/>
    <w:rsid w:val="00BD2512"/>
    <w:rsid w:val="00BD255F"/>
    <w:rsid w:val="00BD383D"/>
    <w:rsid w:val="00BD4236"/>
    <w:rsid w:val="00BD5CCA"/>
    <w:rsid w:val="00BD5CD4"/>
    <w:rsid w:val="00BD6EF9"/>
    <w:rsid w:val="00BD77DD"/>
    <w:rsid w:val="00BE0ACB"/>
    <w:rsid w:val="00BE1A90"/>
    <w:rsid w:val="00BE2C0A"/>
    <w:rsid w:val="00BE3537"/>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A78"/>
    <w:rsid w:val="00BF6E19"/>
    <w:rsid w:val="00BF79B4"/>
    <w:rsid w:val="00C0099F"/>
    <w:rsid w:val="00C01427"/>
    <w:rsid w:val="00C016A1"/>
    <w:rsid w:val="00C04AAB"/>
    <w:rsid w:val="00C058AF"/>
    <w:rsid w:val="00C124C1"/>
    <w:rsid w:val="00C128AE"/>
    <w:rsid w:val="00C136D6"/>
    <w:rsid w:val="00C13D5B"/>
    <w:rsid w:val="00C17AE2"/>
    <w:rsid w:val="00C20F27"/>
    <w:rsid w:val="00C215CF"/>
    <w:rsid w:val="00C2244B"/>
    <w:rsid w:val="00C2263D"/>
    <w:rsid w:val="00C22B0D"/>
    <w:rsid w:val="00C22F55"/>
    <w:rsid w:val="00C240C1"/>
    <w:rsid w:val="00C250D0"/>
    <w:rsid w:val="00C252AC"/>
    <w:rsid w:val="00C255AB"/>
    <w:rsid w:val="00C27214"/>
    <w:rsid w:val="00C27597"/>
    <w:rsid w:val="00C30382"/>
    <w:rsid w:val="00C30D6F"/>
    <w:rsid w:val="00C31063"/>
    <w:rsid w:val="00C31B7E"/>
    <w:rsid w:val="00C3242A"/>
    <w:rsid w:val="00C32AE2"/>
    <w:rsid w:val="00C33201"/>
    <w:rsid w:val="00C332C4"/>
    <w:rsid w:val="00C360B3"/>
    <w:rsid w:val="00C36363"/>
    <w:rsid w:val="00C3679B"/>
    <w:rsid w:val="00C37027"/>
    <w:rsid w:val="00C3778D"/>
    <w:rsid w:val="00C405A3"/>
    <w:rsid w:val="00C42752"/>
    <w:rsid w:val="00C42973"/>
    <w:rsid w:val="00C44F9C"/>
    <w:rsid w:val="00C46D58"/>
    <w:rsid w:val="00C4730E"/>
    <w:rsid w:val="00C47EE9"/>
    <w:rsid w:val="00C5019C"/>
    <w:rsid w:val="00C5034F"/>
    <w:rsid w:val="00C514D3"/>
    <w:rsid w:val="00C52479"/>
    <w:rsid w:val="00C5291F"/>
    <w:rsid w:val="00C52BC8"/>
    <w:rsid w:val="00C52C59"/>
    <w:rsid w:val="00C5349E"/>
    <w:rsid w:val="00C5354B"/>
    <w:rsid w:val="00C54467"/>
    <w:rsid w:val="00C54D3D"/>
    <w:rsid w:val="00C55116"/>
    <w:rsid w:val="00C55A30"/>
    <w:rsid w:val="00C5787F"/>
    <w:rsid w:val="00C57C58"/>
    <w:rsid w:val="00C6028F"/>
    <w:rsid w:val="00C6036D"/>
    <w:rsid w:val="00C608F1"/>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C15"/>
    <w:rsid w:val="00C71F3D"/>
    <w:rsid w:val="00C72F53"/>
    <w:rsid w:val="00C74035"/>
    <w:rsid w:val="00C76FF4"/>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451"/>
    <w:rsid w:val="00CA4948"/>
    <w:rsid w:val="00CA52F9"/>
    <w:rsid w:val="00CA568B"/>
    <w:rsid w:val="00CA7500"/>
    <w:rsid w:val="00CB0696"/>
    <w:rsid w:val="00CB1239"/>
    <w:rsid w:val="00CB19FE"/>
    <w:rsid w:val="00CB304C"/>
    <w:rsid w:val="00CB53E8"/>
    <w:rsid w:val="00CB594A"/>
    <w:rsid w:val="00CB5CB2"/>
    <w:rsid w:val="00CB6979"/>
    <w:rsid w:val="00CC0A3D"/>
    <w:rsid w:val="00CC2373"/>
    <w:rsid w:val="00CC3D24"/>
    <w:rsid w:val="00CC3F91"/>
    <w:rsid w:val="00CC40B6"/>
    <w:rsid w:val="00CC4B0A"/>
    <w:rsid w:val="00CC544A"/>
    <w:rsid w:val="00CC57EA"/>
    <w:rsid w:val="00CC5954"/>
    <w:rsid w:val="00CC6C4E"/>
    <w:rsid w:val="00CC6DD8"/>
    <w:rsid w:val="00CD05A2"/>
    <w:rsid w:val="00CD19DA"/>
    <w:rsid w:val="00CD29D4"/>
    <w:rsid w:val="00CD38F5"/>
    <w:rsid w:val="00CD437E"/>
    <w:rsid w:val="00CD4AE5"/>
    <w:rsid w:val="00CD5833"/>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3157"/>
    <w:rsid w:val="00CF55F9"/>
    <w:rsid w:val="00CF71A6"/>
    <w:rsid w:val="00CF7495"/>
    <w:rsid w:val="00CF7671"/>
    <w:rsid w:val="00CF7C5B"/>
    <w:rsid w:val="00D01CF9"/>
    <w:rsid w:val="00D02246"/>
    <w:rsid w:val="00D0334D"/>
    <w:rsid w:val="00D0374D"/>
    <w:rsid w:val="00D05A76"/>
    <w:rsid w:val="00D07384"/>
    <w:rsid w:val="00D07BEF"/>
    <w:rsid w:val="00D07F1D"/>
    <w:rsid w:val="00D10558"/>
    <w:rsid w:val="00D1203E"/>
    <w:rsid w:val="00D13E70"/>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F24"/>
    <w:rsid w:val="00D346B7"/>
    <w:rsid w:val="00D346B8"/>
    <w:rsid w:val="00D35AC8"/>
    <w:rsid w:val="00D35D34"/>
    <w:rsid w:val="00D36F87"/>
    <w:rsid w:val="00D37E4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5538"/>
    <w:rsid w:val="00D664BF"/>
    <w:rsid w:val="00D66D8B"/>
    <w:rsid w:val="00D72A1C"/>
    <w:rsid w:val="00D73580"/>
    <w:rsid w:val="00D73802"/>
    <w:rsid w:val="00D73868"/>
    <w:rsid w:val="00D73C2C"/>
    <w:rsid w:val="00D73D52"/>
    <w:rsid w:val="00D74042"/>
    <w:rsid w:val="00D7453F"/>
    <w:rsid w:val="00D745E7"/>
    <w:rsid w:val="00D77495"/>
    <w:rsid w:val="00D774ED"/>
    <w:rsid w:val="00D777F6"/>
    <w:rsid w:val="00D77F88"/>
    <w:rsid w:val="00D8002D"/>
    <w:rsid w:val="00D8047C"/>
    <w:rsid w:val="00D81EAA"/>
    <w:rsid w:val="00D8259F"/>
    <w:rsid w:val="00D825F2"/>
    <w:rsid w:val="00D828B1"/>
    <w:rsid w:val="00D84F27"/>
    <w:rsid w:val="00D850D4"/>
    <w:rsid w:val="00D862D1"/>
    <w:rsid w:val="00D873C6"/>
    <w:rsid w:val="00D91027"/>
    <w:rsid w:val="00D94C7D"/>
    <w:rsid w:val="00D94CA4"/>
    <w:rsid w:val="00D94FB4"/>
    <w:rsid w:val="00D95E99"/>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61A4"/>
    <w:rsid w:val="00DB67C1"/>
    <w:rsid w:val="00DB70CD"/>
    <w:rsid w:val="00DB70F4"/>
    <w:rsid w:val="00DB7343"/>
    <w:rsid w:val="00DC1056"/>
    <w:rsid w:val="00DC211E"/>
    <w:rsid w:val="00DC21D8"/>
    <w:rsid w:val="00DC282A"/>
    <w:rsid w:val="00DC34DC"/>
    <w:rsid w:val="00DC3CC6"/>
    <w:rsid w:val="00DC514A"/>
    <w:rsid w:val="00DC64EC"/>
    <w:rsid w:val="00DC67B1"/>
    <w:rsid w:val="00DC7833"/>
    <w:rsid w:val="00DC7CE9"/>
    <w:rsid w:val="00DD132B"/>
    <w:rsid w:val="00DD1725"/>
    <w:rsid w:val="00DD2427"/>
    <w:rsid w:val="00DD2A18"/>
    <w:rsid w:val="00DD36DA"/>
    <w:rsid w:val="00DD5B1A"/>
    <w:rsid w:val="00DD61E8"/>
    <w:rsid w:val="00DD62C0"/>
    <w:rsid w:val="00DD7859"/>
    <w:rsid w:val="00DE03AC"/>
    <w:rsid w:val="00DE0A1D"/>
    <w:rsid w:val="00DE15B2"/>
    <w:rsid w:val="00DE1A9A"/>
    <w:rsid w:val="00DE3D2C"/>
    <w:rsid w:val="00DE59F8"/>
    <w:rsid w:val="00DE5E82"/>
    <w:rsid w:val="00DE5FA6"/>
    <w:rsid w:val="00DE6494"/>
    <w:rsid w:val="00DE6AA1"/>
    <w:rsid w:val="00DE74D7"/>
    <w:rsid w:val="00DE7EF7"/>
    <w:rsid w:val="00DF106A"/>
    <w:rsid w:val="00DF1185"/>
    <w:rsid w:val="00DF1299"/>
    <w:rsid w:val="00DF1A70"/>
    <w:rsid w:val="00DF23A8"/>
    <w:rsid w:val="00DF2F27"/>
    <w:rsid w:val="00DF6CCC"/>
    <w:rsid w:val="00DF6D0C"/>
    <w:rsid w:val="00DF6DC2"/>
    <w:rsid w:val="00DF6F64"/>
    <w:rsid w:val="00DF721E"/>
    <w:rsid w:val="00DF7C87"/>
    <w:rsid w:val="00E009B0"/>
    <w:rsid w:val="00E01B0A"/>
    <w:rsid w:val="00E031C0"/>
    <w:rsid w:val="00E03AFE"/>
    <w:rsid w:val="00E03D5C"/>
    <w:rsid w:val="00E046A9"/>
    <w:rsid w:val="00E04C0F"/>
    <w:rsid w:val="00E0570B"/>
    <w:rsid w:val="00E057B2"/>
    <w:rsid w:val="00E05996"/>
    <w:rsid w:val="00E068D9"/>
    <w:rsid w:val="00E10B87"/>
    <w:rsid w:val="00E1478B"/>
    <w:rsid w:val="00E14FAC"/>
    <w:rsid w:val="00E15007"/>
    <w:rsid w:val="00E16EC7"/>
    <w:rsid w:val="00E1714F"/>
    <w:rsid w:val="00E17995"/>
    <w:rsid w:val="00E21576"/>
    <w:rsid w:val="00E21801"/>
    <w:rsid w:val="00E219CE"/>
    <w:rsid w:val="00E23961"/>
    <w:rsid w:val="00E24071"/>
    <w:rsid w:val="00E24EBC"/>
    <w:rsid w:val="00E2522C"/>
    <w:rsid w:val="00E2599B"/>
    <w:rsid w:val="00E27383"/>
    <w:rsid w:val="00E2793D"/>
    <w:rsid w:val="00E31AFA"/>
    <w:rsid w:val="00E324EE"/>
    <w:rsid w:val="00E359FF"/>
    <w:rsid w:val="00E36083"/>
    <w:rsid w:val="00E36AA7"/>
    <w:rsid w:val="00E36E39"/>
    <w:rsid w:val="00E405F1"/>
    <w:rsid w:val="00E43054"/>
    <w:rsid w:val="00E434C4"/>
    <w:rsid w:val="00E44FE4"/>
    <w:rsid w:val="00E46013"/>
    <w:rsid w:val="00E477C3"/>
    <w:rsid w:val="00E5048D"/>
    <w:rsid w:val="00E50AC4"/>
    <w:rsid w:val="00E51077"/>
    <w:rsid w:val="00E5132D"/>
    <w:rsid w:val="00E51741"/>
    <w:rsid w:val="00E51E16"/>
    <w:rsid w:val="00E52151"/>
    <w:rsid w:val="00E53730"/>
    <w:rsid w:val="00E53C46"/>
    <w:rsid w:val="00E54511"/>
    <w:rsid w:val="00E548BE"/>
    <w:rsid w:val="00E54978"/>
    <w:rsid w:val="00E55DC3"/>
    <w:rsid w:val="00E57577"/>
    <w:rsid w:val="00E62043"/>
    <w:rsid w:val="00E626B9"/>
    <w:rsid w:val="00E627C9"/>
    <w:rsid w:val="00E630F3"/>
    <w:rsid w:val="00E65198"/>
    <w:rsid w:val="00E664FB"/>
    <w:rsid w:val="00E66F0D"/>
    <w:rsid w:val="00E70615"/>
    <w:rsid w:val="00E71A5E"/>
    <w:rsid w:val="00E7207B"/>
    <w:rsid w:val="00E7347A"/>
    <w:rsid w:val="00E746F4"/>
    <w:rsid w:val="00E75325"/>
    <w:rsid w:val="00E75A47"/>
    <w:rsid w:val="00E75D8C"/>
    <w:rsid w:val="00E77771"/>
    <w:rsid w:val="00E777F2"/>
    <w:rsid w:val="00E779ED"/>
    <w:rsid w:val="00E802C9"/>
    <w:rsid w:val="00E80EDD"/>
    <w:rsid w:val="00E80F0A"/>
    <w:rsid w:val="00E81A6A"/>
    <w:rsid w:val="00E8291B"/>
    <w:rsid w:val="00E8395F"/>
    <w:rsid w:val="00E83BAE"/>
    <w:rsid w:val="00E8473F"/>
    <w:rsid w:val="00E857EB"/>
    <w:rsid w:val="00E85E41"/>
    <w:rsid w:val="00E85EA1"/>
    <w:rsid w:val="00E8610B"/>
    <w:rsid w:val="00E86C86"/>
    <w:rsid w:val="00E91044"/>
    <w:rsid w:val="00E910D3"/>
    <w:rsid w:val="00E9214B"/>
    <w:rsid w:val="00E923CF"/>
    <w:rsid w:val="00E9335F"/>
    <w:rsid w:val="00E95111"/>
    <w:rsid w:val="00EA061E"/>
    <w:rsid w:val="00EA14C8"/>
    <w:rsid w:val="00EA19D3"/>
    <w:rsid w:val="00EA2358"/>
    <w:rsid w:val="00EA2C8B"/>
    <w:rsid w:val="00EA3582"/>
    <w:rsid w:val="00EA6649"/>
    <w:rsid w:val="00EB05D0"/>
    <w:rsid w:val="00EB07C5"/>
    <w:rsid w:val="00EB107E"/>
    <w:rsid w:val="00EB1D49"/>
    <w:rsid w:val="00EB42DD"/>
    <w:rsid w:val="00EB559F"/>
    <w:rsid w:val="00EB5F3D"/>
    <w:rsid w:val="00EB6EC2"/>
    <w:rsid w:val="00EC1CEB"/>
    <w:rsid w:val="00EC268C"/>
    <w:rsid w:val="00EC3602"/>
    <w:rsid w:val="00EC3753"/>
    <w:rsid w:val="00EC3CB8"/>
    <w:rsid w:val="00EC3D46"/>
    <w:rsid w:val="00EC4E71"/>
    <w:rsid w:val="00EC569A"/>
    <w:rsid w:val="00EC6667"/>
    <w:rsid w:val="00ED0365"/>
    <w:rsid w:val="00ED0865"/>
    <w:rsid w:val="00ED094F"/>
    <w:rsid w:val="00ED16B6"/>
    <w:rsid w:val="00ED1C60"/>
    <w:rsid w:val="00ED2EB9"/>
    <w:rsid w:val="00ED4469"/>
    <w:rsid w:val="00ED5F23"/>
    <w:rsid w:val="00ED6DC0"/>
    <w:rsid w:val="00ED79CE"/>
    <w:rsid w:val="00ED7A7A"/>
    <w:rsid w:val="00EE038C"/>
    <w:rsid w:val="00EE040B"/>
    <w:rsid w:val="00EE06A3"/>
    <w:rsid w:val="00EE47C5"/>
    <w:rsid w:val="00EE490C"/>
    <w:rsid w:val="00EE4E02"/>
    <w:rsid w:val="00EE613B"/>
    <w:rsid w:val="00EE7E17"/>
    <w:rsid w:val="00EF2C8E"/>
    <w:rsid w:val="00EF3A0D"/>
    <w:rsid w:val="00EF3CEB"/>
    <w:rsid w:val="00EF41A8"/>
    <w:rsid w:val="00EF44FB"/>
    <w:rsid w:val="00EF4D3C"/>
    <w:rsid w:val="00EF5554"/>
    <w:rsid w:val="00EF5AD8"/>
    <w:rsid w:val="00EF5D2F"/>
    <w:rsid w:val="00EF63F5"/>
    <w:rsid w:val="00EF6758"/>
    <w:rsid w:val="00EF6B90"/>
    <w:rsid w:val="00EF70AE"/>
    <w:rsid w:val="00EF79F7"/>
    <w:rsid w:val="00F00418"/>
    <w:rsid w:val="00F006C0"/>
    <w:rsid w:val="00F019AA"/>
    <w:rsid w:val="00F0267E"/>
    <w:rsid w:val="00F02686"/>
    <w:rsid w:val="00F030DA"/>
    <w:rsid w:val="00F0459B"/>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281"/>
    <w:rsid w:val="00F17AD9"/>
    <w:rsid w:val="00F17F74"/>
    <w:rsid w:val="00F202C2"/>
    <w:rsid w:val="00F22756"/>
    <w:rsid w:val="00F23890"/>
    <w:rsid w:val="00F2447A"/>
    <w:rsid w:val="00F24638"/>
    <w:rsid w:val="00F2504D"/>
    <w:rsid w:val="00F2637F"/>
    <w:rsid w:val="00F263A8"/>
    <w:rsid w:val="00F268F7"/>
    <w:rsid w:val="00F27280"/>
    <w:rsid w:val="00F3053D"/>
    <w:rsid w:val="00F30BDB"/>
    <w:rsid w:val="00F30CF8"/>
    <w:rsid w:val="00F317E3"/>
    <w:rsid w:val="00F31EDF"/>
    <w:rsid w:val="00F32CDE"/>
    <w:rsid w:val="00F32D4C"/>
    <w:rsid w:val="00F34811"/>
    <w:rsid w:val="00F34B14"/>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687F"/>
    <w:rsid w:val="00F575C7"/>
    <w:rsid w:val="00F60305"/>
    <w:rsid w:val="00F61B12"/>
    <w:rsid w:val="00F61CC5"/>
    <w:rsid w:val="00F62398"/>
    <w:rsid w:val="00F631E8"/>
    <w:rsid w:val="00F63223"/>
    <w:rsid w:val="00F63264"/>
    <w:rsid w:val="00F6379E"/>
    <w:rsid w:val="00F64142"/>
    <w:rsid w:val="00F657E9"/>
    <w:rsid w:val="00F70799"/>
    <w:rsid w:val="00F70906"/>
    <w:rsid w:val="00F70A8B"/>
    <w:rsid w:val="00F724FB"/>
    <w:rsid w:val="00F72578"/>
    <w:rsid w:val="00F72A26"/>
    <w:rsid w:val="00F733C3"/>
    <w:rsid w:val="00F756DD"/>
    <w:rsid w:val="00F75D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31C7"/>
    <w:rsid w:val="00FA472D"/>
    <w:rsid w:val="00FA7254"/>
    <w:rsid w:val="00FB0214"/>
    <w:rsid w:val="00FB080C"/>
    <w:rsid w:val="00FB12BC"/>
    <w:rsid w:val="00FB18F6"/>
    <w:rsid w:val="00FB2A52"/>
    <w:rsid w:val="00FB2F13"/>
    <w:rsid w:val="00FB539B"/>
    <w:rsid w:val="00FB6E19"/>
    <w:rsid w:val="00FB71F6"/>
    <w:rsid w:val="00FC1483"/>
    <w:rsid w:val="00FC1C47"/>
    <w:rsid w:val="00FC39ED"/>
    <w:rsid w:val="00FC4419"/>
    <w:rsid w:val="00FC47E2"/>
    <w:rsid w:val="00FC4AA5"/>
    <w:rsid w:val="00FC5148"/>
    <w:rsid w:val="00FC5528"/>
    <w:rsid w:val="00FC75AC"/>
    <w:rsid w:val="00FD01BF"/>
    <w:rsid w:val="00FD0525"/>
    <w:rsid w:val="00FD297D"/>
    <w:rsid w:val="00FD298C"/>
    <w:rsid w:val="00FD2D13"/>
    <w:rsid w:val="00FD3D26"/>
    <w:rsid w:val="00FD4789"/>
    <w:rsid w:val="00FD59FE"/>
    <w:rsid w:val="00FD6071"/>
    <w:rsid w:val="00FE0794"/>
    <w:rsid w:val="00FE1041"/>
    <w:rsid w:val="00FE24CB"/>
    <w:rsid w:val="00FE3166"/>
    <w:rsid w:val="00FE3320"/>
    <w:rsid w:val="00FE3473"/>
    <w:rsid w:val="00FE353B"/>
    <w:rsid w:val="00FE3E81"/>
    <w:rsid w:val="00FE4049"/>
    <w:rsid w:val="00FE4794"/>
    <w:rsid w:val="00FE5DF7"/>
    <w:rsid w:val="00FE5F72"/>
    <w:rsid w:val="00FF0231"/>
    <w:rsid w:val="00FF1C9B"/>
    <w:rsid w:val="00FF1D49"/>
    <w:rsid w:val="00FF2562"/>
    <w:rsid w:val="00FF2CE1"/>
    <w:rsid w:val="00FF3A41"/>
    <w:rsid w:val="00FF3E5B"/>
    <w:rsid w:val="00FF544F"/>
    <w:rsid w:val="00FF57E4"/>
    <w:rsid w:val="00FF75D9"/>
    <w:rsid w:val="00FF78E5"/>
    <w:rsid w:val="01685332"/>
    <w:rsid w:val="02511F9D"/>
    <w:rsid w:val="03056ED3"/>
    <w:rsid w:val="03A300D1"/>
    <w:rsid w:val="03A314B8"/>
    <w:rsid w:val="03D82B98"/>
    <w:rsid w:val="03DB6322"/>
    <w:rsid w:val="03F83E8B"/>
    <w:rsid w:val="043C0407"/>
    <w:rsid w:val="073562D9"/>
    <w:rsid w:val="07B72767"/>
    <w:rsid w:val="08077E72"/>
    <w:rsid w:val="08E36F8D"/>
    <w:rsid w:val="09270E73"/>
    <w:rsid w:val="09593250"/>
    <w:rsid w:val="09B76EB2"/>
    <w:rsid w:val="09CC2AAC"/>
    <w:rsid w:val="09D820EE"/>
    <w:rsid w:val="0A3E2F0D"/>
    <w:rsid w:val="0A652D3E"/>
    <w:rsid w:val="0AB0756F"/>
    <w:rsid w:val="0B253A7F"/>
    <w:rsid w:val="0B3A48F0"/>
    <w:rsid w:val="0BFA3C5B"/>
    <w:rsid w:val="0C3660F8"/>
    <w:rsid w:val="0C92213C"/>
    <w:rsid w:val="0D4F221D"/>
    <w:rsid w:val="0D84032B"/>
    <w:rsid w:val="0DE76FA1"/>
    <w:rsid w:val="0ED317E0"/>
    <w:rsid w:val="0F0A0484"/>
    <w:rsid w:val="10A27F31"/>
    <w:rsid w:val="10CA487C"/>
    <w:rsid w:val="11927058"/>
    <w:rsid w:val="126537F7"/>
    <w:rsid w:val="13AF4F03"/>
    <w:rsid w:val="14736E66"/>
    <w:rsid w:val="149B6AC2"/>
    <w:rsid w:val="14C637BF"/>
    <w:rsid w:val="14ED4E63"/>
    <w:rsid w:val="15293653"/>
    <w:rsid w:val="1534169A"/>
    <w:rsid w:val="159057A8"/>
    <w:rsid w:val="15C03E03"/>
    <w:rsid w:val="162A25EB"/>
    <w:rsid w:val="16B5608C"/>
    <w:rsid w:val="16FD2A55"/>
    <w:rsid w:val="17366761"/>
    <w:rsid w:val="177C01F0"/>
    <w:rsid w:val="178057B9"/>
    <w:rsid w:val="17CE6630"/>
    <w:rsid w:val="18043E1F"/>
    <w:rsid w:val="195B09D0"/>
    <w:rsid w:val="197131A1"/>
    <w:rsid w:val="19820BA0"/>
    <w:rsid w:val="1AFA16D5"/>
    <w:rsid w:val="1B4F19F8"/>
    <w:rsid w:val="1BD92184"/>
    <w:rsid w:val="1C5170A2"/>
    <w:rsid w:val="1D4061A8"/>
    <w:rsid w:val="1E004BE2"/>
    <w:rsid w:val="1E5A0A86"/>
    <w:rsid w:val="1E9B4F4B"/>
    <w:rsid w:val="1F063325"/>
    <w:rsid w:val="1FBC5DF5"/>
    <w:rsid w:val="1FC55574"/>
    <w:rsid w:val="203A5D23"/>
    <w:rsid w:val="20AE2B29"/>
    <w:rsid w:val="219A5199"/>
    <w:rsid w:val="21B83F86"/>
    <w:rsid w:val="21E55E66"/>
    <w:rsid w:val="221178A8"/>
    <w:rsid w:val="221213CF"/>
    <w:rsid w:val="22327A92"/>
    <w:rsid w:val="22965435"/>
    <w:rsid w:val="22BD6F35"/>
    <w:rsid w:val="231D53A2"/>
    <w:rsid w:val="23B7504C"/>
    <w:rsid w:val="24571307"/>
    <w:rsid w:val="24BA2984"/>
    <w:rsid w:val="24C97D0D"/>
    <w:rsid w:val="25246333"/>
    <w:rsid w:val="2562393C"/>
    <w:rsid w:val="26446DE3"/>
    <w:rsid w:val="264D165B"/>
    <w:rsid w:val="26D7699F"/>
    <w:rsid w:val="274A5E17"/>
    <w:rsid w:val="279444CC"/>
    <w:rsid w:val="29914929"/>
    <w:rsid w:val="2B09065E"/>
    <w:rsid w:val="2B774624"/>
    <w:rsid w:val="2BC068DD"/>
    <w:rsid w:val="2C7A72BE"/>
    <w:rsid w:val="2CD57037"/>
    <w:rsid w:val="2E804C4A"/>
    <w:rsid w:val="2F401D3C"/>
    <w:rsid w:val="2FA95C88"/>
    <w:rsid w:val="3041370F"/>
    <w:rsid w:val="30803872"/>
    <w:rsid w:val="31083A05"/>
    <w:rsid w:val="31B31CEC"/>
    <w:rsid w:val="323668DE"/>
    <w:rsid w:val="32453A27"/>
    <w:rsid w:val="325C464C"/>
    <w:rsid w:val="3263064A"/>
    <w:rsid w:val="32AC0C06"/>
    <w:rsid w:val="32DD434B"/>
    <w:rsid w:val="34D36666"/>
    <w:rsid w:val="3537750C"/>
    <w:rsid w:val="3537798C"/>
    <w:rsid w:val="357F7ED5"/>
    <w:rsid w:val="35C13FC9"/>
    <w:rsid w:val="362E6D87"/>
    <w:rsid w:val="364257B6"/>
    <w:rsid w:val="36F834D1"/>
    <w:rsid w:val="374264D3"/>
    <w:rsid w:val="37DB7874"/>
    <w:rsid w:val="37EA5922"/>
    <w:rsid w:val="37EF45FD"/>
    <w:rsid w:val="37F30863"/>
    <w:rsid w:val="38276B93"/>
    <w:rsid w:val="393F7DAD"/>
    <w:rsid w:val="3A0B64A7"/>
    <w:rsid w:val="3AF74C02"/>
    <w:rsid w:val="3B5056C1"/>
    <w:rsid w:val="3C0059A5"/>
    <w:rsid w:val="3C134E78"/>
    <w:rsid w:val="3CCA2A44"/>
    <w:rsid w:val="3DF6345D"/>
    <w:rsid w:val="3EC357A9"/>
    <w:rsid w:val="3EE13701"/>
    <w:rsid w:val="3F1A4BB3"/>
    <w:rsid w:val="3F6371D0"/>
    <w:rsid w:val="400F68E9"/>
    <w:rsid w:val="40192BA6"/>
    <w:rsid w:val="409070C5"/>
    <w:rsid w:val="42550A18"/>
    <w:rsid w:val="429F385C"/>
    <w:rsid w:val="42DA422F"/>
    <w:rsid w:val="42F1008D"/>
    <w:rsid w:val="42F473A1"/>
    <w:rsid w:val="43931DE2"/>
    <w:rsid w:val="441E62C0"/>
    <w:rsid w:val="44274ACD"/>
    <w:rsid w:val="449657FD"/>
    <w:rsid w:val="45811C7C"/>
    <w:rsid w:val="45FA6B1E"/>
    <w:rsid w:val="46053138"/>
    <w:rsid w:val="468B3EFB"/>
    <w:rsid w:val="470A6193"/>
    <w:rsid w:val="47DC4F5C"/>
    <w:rsid w:val="48B40671"/>
    <w:rsid w:val="48EC4F4F"/>
    <w:rsid w:val="499B5738"/>
    <w:rsid w:val="499F244D"/>
    <w:rsid w:val="4A2F1E84"/>
    <w:rsid w:val="4A8F58C2"/>
    <w:rsid w:val="4AF96BC7"/>
    <w:rsid w:val="4BFB4050"/>
    <w:rsid w:val="4CEF36E2"/>
    <w:rsid w:val="4CEF795D"/>
    <w:rsid w:val="4CFD462D"/>
    <w:rsid w:val="4D3B1120"/>
    <w:rsid w:val="4F372FFB"/>
    <w:rsid w:val="4F496D0E"/>
    <w:rsid w:val="4FA76FA4"/>
    <w:rsid w:val="50114897"/>
    <w:rsid w:val="5040259D"/>
    <w:rsid w:val="513F391C"/>
    <w:rsid w:val="51564E44"/>
    <w:rsid w:val="516D4911"/>
    <w:rsid w:val="51707326"/>
    <w:rsid w:val="51F36455"/>
    <w:rsid w:val="52C10D75"/>
    <w:rsid w:val="53CE45AF"/>
    <w:rsid w:val="549D4147"/>
    <w:rsid w:val="550A201B"/>
    <w:rsid w:val="550C4BD7"/>
    <w:rsid w:val="55572986"/>
    <w:rsid w:val="56537644"/>
    <w:rsid w:val="5682624E"/>
    <w:rsid w:val="59351195"/>
    <w:rsid w:val="5A79429E"/>
    <w:rsid w:val="5A957D93"/>
    <w:rsid w:val="5AE74E2D"/>
    <w:rsid w:val="5AE85093"/>
    <w:rsid w:val="5B3760D9"/>
    <w:rsid w:val="5D2317D1"/>
    <w:rsid w:val="5F2913F5"/>
    <w:rsid w:val="5F80710D"/>
    <w:rsid w:val="606007BB"/>
    <w:rsid w:val="60AC7F66"/>
    <w:rsid w:val="60E80F88"/>
    <w:rsid w:val="617F52FC"/>
    <w:rsid w:val="618835DC"/>
    <w:rsid w:val="61BF10D9"/>
    <w:rsid w:val="61F67397"/>
    <w:rsid w:val="62165280"/>
    <w:rsid w:val="629F7BDB"/>
    <w:rsid w:val="640C7C21"/>
    <w:rsid w:val="64E45EF7"/>
    <w:rsid w:val="6531054F"/>
    <w:rsid w:val="65FE4E01"/>
    <w:rsid w:val="66A57729"/>
    <w:rsid w:val="677435B2"/>
    <w:rsid w:val="67EF75F1"/>
    <w:rsid w:val="69124F16"/>
    <w:rsid w:val="69C64B0E"/>
    <w:rsid w:val="69CD5C14"/>
    <w:rsid w:val="69CF0D33"/>
    <w:rsid w:val="6AB24495"/>
    <w:rsid w:val="6B9946B3"/>
    <w:rsid w:val="6D1837C6"/>
    <w:rsid w:val="6DE76850"/>
    <w:rsid w:val="6E657271"/>
    <w:rsid w:val="6E9A1018"/>
    <w:rsid w:val="6FB20BD4"/>
    <w:rsid w:val="6FBA59BE"/>
    <w:rsid w:val="70195F54"/>
    <w:rsid w:val="70296B3E"/>
    <w:rsid w:val="70611204"/>
    <w:rsid w:val="7234593E"/>
    <w:rsid w:val="726C71D7"/>
    <w:rsid w:val="72EF4CB6"/>
    <w:rsid w:val="74372139"/>
    <w:rsid w:val="74454ECC"/>
    <w:rsid w:val="74FA2C30"/>
    <w:rsid w:val="76BC49EB"/>
    <w:rsid w:val="77000DA2"/>
    <w:rsid w:val="781E69D1"/>
    <w:rsid w:val="78340059"/>
    <w:rsid w:val="7ADD0453"/>
    <w:rsid w:val="7AF46346"/>
    <w:rsid w:val="7B0F5EBF"/>
    <w:rsid w:val="7B130FB9"/>
    <w:rsid w:val="7BDE0625"/>
    <w:rsid w:val="7BF64EDE"/>
    <w:rsid w:val="7C400C1E"/>
    <w:rsid w:val="7C595D7E"/>
    <w:rsid w:val="7CBF7F35"/>
    <w:rsid w:val="7D04795B"/>
    <w:rsid w:val="7DD11708"/>
    <w:rsid w:val="7EBC46EA"/>
    <w:rsid w:val="7EC167BD"/>
    <w:rsid w:val="7FF82C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31"/>
    <w:qFormat/>
    <w:uiPriority w:val="9"/>
    <w:pPr>
      <w:keepNext/>
      <w:keepLines/>
      <w:spacing w:before="280" w:after="290" w:line="376" w:lineRule="auto"/>
      <w:outlineLvl w:val="4"/>
    </w:pPr>
    <w:rPr>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7">
    <w:name w:val="annotation text"/>
    <w:basedOn w:val="1"/>
    <w:link w:val="32"/>
    <w:qFormat/>
    <w:uiPriority w:val="0"/>
    <w:pPr>
      <w:jc w:val="left"/>
    </w:pPr>
  </w:style>
  <w:style w:type="paragraph" w:styleId="8">
    <w:name w:val="Body Text 3"/>
    <w:basedOn w:val="1"/>
    <w:link w:val="33"/>
    <w:unhideWhenUsed/>
    <w:qFormat/>
    <w:uiPriority w:val="99"/>
    <w:pPr>
      <w:spacing w:after="120"/>
    </w:pPr>
    <w:rPr>
      <w:sz w:val="16"/>
      <w:szCs w:val="16"/>
    </w:rPr>
  </w:style>
  <w:style w:type="paragraph" w:styleId="9">
    <w:name w:val="Body Text"/>
    <w:basedOn w:val="1"/>
    <w:link w:val="34"/>
    <w:unhideWhenUsed/>
    <w:qFormat/>
    <w:uiPriority w:val="0"/>
    <w:pPr>
      <w:spacing w:after="120"/>
    </w:pPr>
  </w:style>
  <w:style w:type="paragraph" w:styleId="10">
    <w:name w:val="Body Text Indent"/>
    <w:basedOn w:val="1"/>
    <w:link w:val="35"/>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link w:val="36"/>
    <w:qFormat/>
    <w:uiPriority w:val="0"/>
    <w:rPr>
      <w:rFonts w:ascii="宋体" w:hAnsi="Courier New"/>
      <w:kern w:val="0"/>
      <w:sz w:val="20"/>
      <w:szCs w:val="21"/>
    </w:rPr>
  </w:style>
  <w:style w:type="paragraph" w:styleId="13">
    <w:name w:val="Date"/>
    <w:basedOn w:val="1"/>
    <w:next w:val="1"/>
    <w:link w:val="37"/>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38"/>
    <w:unhideWhenUsed/>
    <w:qFormat/>
    <w:uiPriority w:val="99"/>
    <w:pPr>
      <w:tabs>
        <w:tab w:val="center" w:pos="4153"/>
        <w:tab w:val="right" w:pos="8306"/>
      </w:tabs>
      <w:snapToGrid w:val="0"/>
      <w:jc w:val="left"/>
    </w:pPr>
    <w:rPr>
      <w:kern w:val="0"/>
      <w:sz w:val="18"/>
      <w:szCs w:val="18"/>
    </w:rPr>
  </w:style>
  <w:style w:type="paragraph" w:styleId="16">
    <w:name w:val="envelope return"/>
    <w:basedOn w:val="1"/>
    <w:qFormat/>
    <w:uiPriority w:val="99"/>
    <w:pPr>
      <w:snapToGrid w:val="0"/>
    </w:pPr>
    <w:rPr>
      <w:rFonts w:ascii="Arial" w:hAnsi="Arial"/>
    </w:rPr>
  </w:style>
  <w:style w:type="paragraph" w:styleId="17">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1">
    <w:name w:val="annotation subject"/>
    <w:basedOn w:val="7"/>
    <w:next w:val="7"/>
    <w:link w:val="40"/>
    <w:qFormat/>
    <w:uiPriority w:val="99"/>
    <w:rPr>
      <w:b/>
      <w:bCs/>
    </w:rPr>
  </w:style>
  <w:style w:type="paragraph" w:styleId="22">
    <w:name w:val="Body Text First Indent 2"/>
    <w:basedOn w:val="10"/>
    <w:unhideWhenUsed/>
    <w:qFormat/>
    <w:uiPriority w:val="99"/>
    <w:pPr>
      <w:spacing w:after="120"/>
      <w:ind w:left="420" w:leftChars="200" w:firstLine="420" w:firstLineChars="200"/>
    </w:pPr>
    <w:rPr>
      <w:rFonts w:ascii="Times New Roman" w:eastAsia="宋体"/>
      <w:kern w:val="2"/>
      <w:sz w:val="21"/>
      <w:szCs w:val="24"/>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Emphasis"/>
    <w:basedOn w:val="25"/>
    <w:qFormat/>
    <w:uiPriority w:val="20"/>
    <w:rPr>
      <w:i/>
    </w:rPr>
  </w:style>
  <w:style w:type="character" w:styleId="27">
    <w:name w:val="Hyperlink"/>
    <w:unhideWhenUsed/>
    <w:qFormat/>
    <w:uiPriority w:val="99"/>
    <w:rPr>
      <w:color w:val="0000FF"/>
      <w:u w:val="single"/>
    </w:rPr>
  </w:style>
  <w:style w:type="character" w:styleId="28">
    <w:name w:val="annotation reference"/>
    <w:qFormat/>
    <w:uiPriority w:val="0"/>
    <w:rPr>
      <w:sz w:val="21"/>
      <w:szCs w:val="21"/>
    </w:rPr>
  </w:style>
  <w:style w:type="character" w:customStyle="1" w:styleId="29">
    <w:name w:val="标题 1 Char"/>
    <w:link w:val="2"/>
    <w:qFormat/>
    <w:uiPriority w:val="0"/>
    <w:rPr>
      <w:b/>
      <w:bCs/>
      <w:kern w:val="44"/>
      <w:sz w:val="44"/>
      <w:szCs w:val="44"/>
    </w:rPr>
  </w:style>
  <w:style w:type="character" w:customStyle="1" w:styleId="30">
    <w:name w:val="标题 2 Char"/>
    <w:link w:val="3"/>
    <w:qFormat/>
    <w:uiPriority w:val="9"/>
    <w:rPr>
      <w:rFonts w:ascii="Cambria" w:hAnsi="Cambria" w:eastAsia="宋体" w:cs="Times New Roman"/>
      <w:b/>
      <w:bCs/>
      <w:kern w:val="2"/>
      <w:sz w:val="32"/>
      <w:szCs w:val="32"/>
    </w:rPr>
  </w:style>
  <w:style w:type="character" w:customStyle="1" w:styleId="31">
    <w:name w:val="标题 5 Char"/>
    <w:link w:val="4"/>
    <w:semiHidden/>
    <w:qFormat/>
    <w:uiPriority w:val="9"/>
    <w:rPr>
      <w:rFonts w:ascii="Times New Roman" w:hAnsi="Times New Roman"/>
      <w:b/>
      <w:bCs/>
      <w:kern w:val="2"/>
      <w:sz w:val="28"/>
      <w:szCs w:val="28"/>
    </w:rPr>
  </w:style>
  <w:style w:type="character" w:customStyle="1" w:styleId="32">
    <w:name w:val="批注文字 Char"/>
    <w:link w:val="7"/>
    <w:qFormat/>
    <w:uiPriority w:val="0"/>
    <w:rPr>
      <w:rFonts w:ascii="Times New Roman" w:hAnsi="Times New Roman"/>
      <w:kern w:val="2"/>
      <w:sz w:val="21"/>
      <w:szCs w:val="24"/>
    </w:rPr>
  </w:style>
  <w:style w:type="character" w:customStyle="1" w:styleId="33">
    <w:name w:val="正文文本 3 Char"/>
    <w:link w:val="8"/>
    <w:semiHidden/>
    <w:qFormat/>
    <w:uiPriority w:val="99"/>
    <w:rPr>
      <w:rFonts w:ascii="Times New Roman" w:hAnsi="Times New Roman"/>
      <w:kern w:val="2"/>
      <w:sz w:val="16"/>
      <w:szCs w:val="16"/>
    </w:rPr>
  </w:style>
  <w:style w:type="character" w:customStyle="1" w:styleId="34">
    <w:name w:val="正文文本 Char"/>
    <w:link w:val="9"/>
    <w:qFormat/>
    <w:uiPriority w:val="0"/>
    <w:rPr>
      <w:rFonts w:ascii="Times New Roman" w:hAnsi="Times New Roman"/>
      <w:kern w:val="2"/>
      <w:sz w:val="21"/>
      <w:szCs w:val="24"/>
    </w:rPr>
  </w:style>
  <w:style w:type="character" w:customStyle="1" w:styleId="35">
    <w:name w:val="正文文本缩进 Char"/>
    <w:link w:val="10"/>
    <w:qFormat/>
    <w:uiPriority w:val="0"/>
    <w:rPr>
      <w:rFonts w:ascii="仿宋_GB2312" w:hAnsi="Times New Roman" w:eastAsia="仿宋_GB2312" w:cs="Times New Roman"/>
      <w:sz w:val="32"/>
      <w:szCs w:val="20"/>
    </w:rPr>
  </w:style>
  <w:style w:type="character" w:customStyle="1" w:styleId="36">
    <w:name w:val="纯文本 Char"/>
    <w:link w:val="12"/>
    <w:qFormat/>
    <w:uiPriority w:val="0"/>
    <w:rPr>
      <w:rFonts w:ascii="宋体" w:hAnsi="Courier New" w:eastAsia="宋体" w:cs="Courier New"/>
      <w:szCs w:val="21"/>
    </w:rPr>
  </w:style>
  <w:style w:type="character" w:customStyle="1" w:styleId="37">
    <w:name w:val="日期 Char"/>
    <w:link w:val="13"/>
    <w:semiHidden/>
    <w:qFormat/>
    <w:uiPriority w:val="99"/>
    <w:rPr>
      <w:rFonts w:ascii="Times New Roman" w:hAnsi="Times New Roman"/>
      <w:kern w:val="2"/>
      <w:sz w:val="21"/>
      <w:szCs w:val="24"/>
    </w:rPr>
  </w:style>
  <w:style w:type="character" w:customStyle="1" w:styleId="38">
    <w:name w:val="页脚 Char1"/>
    <w:link w:val="15"/>
    <w:qFormat/>
    <w:uiPriority w:val="99"/>
    <w:rPr>
      <w:sz w:val="18"/>
      <w:szCs w:val="18"/>
    </w:rPr>
  </w:style>
  <w:style w:type="character" w:customStyle="1" w:styleId="39">
    <w:name w:val="页眉 Char"/>
    <w:link w:val="17"/>
    <w:qFormat/>
    <w:uiPriority w:val="99"/>
    <w:rPr>
      <w:sz w:val="18"/>
      <w:szCs w:val="18"/>
    </w:rPr>
  </w:style>
  <w:style w:type="character" w:customStyle="1" w:styleId="40">
    <w:name w:val="批注主题 Char"/>
    <w:link w:val="21"/>
    <w:qFormat/>
    <w:uiPriority w:val="99"/>
    <w:rPr>
      <w:rFonts w:ascii="Times New Roman" w:hAnsi="Times New Roman"/>
      <w:b/>
      <w:bCs/>
      <w:kern w:val="2"/>
      <w:sz w:val="21"/>
      <w:szCs w:val="24"/>
    </w:rPr>
  </w:style>
  <w:style w:type="paragraph" w:customStyle="1" w:styleId="41">
    <w:name w:val="Default"/>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character" w:customStyle="1" w:styleId="42">
    <w:name w:val="页脚 Char"/>
    <w:qFormat/>
    <w:uiPriority w:val="99"/>
    <w:rPr>
      <w:lang w:eastAsia="zh-CN"/>
    </w:rPr>
  </w:style>
  <w:style w:type="character" w:customStyle="1" w:styleId="43">
    <w:name w:val="批注文字 Char1"/>
    <w:qFormat/>
    <w:uiPriority w:val="0"/>
    <w:rPr>
      <w:rFonts w:ascii="Times New Roman" w:hAnsi="Times New Roman"/>
      <w:kern w:val="2"/>
      <w:sz w:val="21"/>
      <w:szCs w:val="24"/>
    </w:rPr>
  </w:style>
  <w:style w:type="character" w:customStyle="1" w:styleId="44">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45">
    <w:name w:val="标题 1 字符"/>
    <w:qFormat/>
    <w:uiPriority w:val="9"/>
    <w:rPr>
      <w:b/>
      <w:bCs/>
      <w:kern w:val="44"/>
      <w:sz w:val="44"/>
      <w:szCs w:val="44"/>
    </w:rPr>
  </w:style>
  <w:style w:type="character" w:customStyle="1" w:styleId="46">
    <w:name w:val="批注文字 字符2"/>
    <w:qFormat/>
    <w:uiPriority w:val="0"/>
    <w:rPr>
      <w:rFonts w:ascii="Times New Roman" w:hAnsi="Times New Roman"/>
      <w:kern w:val="2"/>
      <w:sz w:val="21"/>
      <w:szCs w:val="24"/>
    </w:rPr>
  </w:style>
  <w:style w:type="character" w:customStyle="1" w:styleId="47">
    <w:name w:val="apple-style-span"/>
    <w:qFormat/>
    <w:uiPriority w:val="0"/>
  </w:style>
  <w:style w:type="character" w:customStyle="1" w:styleId="48">
    <w:name w:val="textcontents"/>
    <w:qFormat/>
    <w:uiPriority w:val="0"/>
  </w:style>
  <w:style w:type="character" w:customStyle="1" w:styleId="49">
    <w:name w:val="纯文本 Char1"/>
    <w:qFormat/>
    <w:uiPriority w:val="0"/>
    <w:rPr>
      <w:rFonts w:ascii="宋体" w:hAnsi="Courier New" w:eastAsia="宋体" w:cs="Courier New"/>
      <w:szCs w:val="21"/>
    </w:rPr>
  </w:style>
  <w:style w:type="character" w:customStyle="1" w:styleId="50">
    <w:name w:val="正文文本 Char1"/>
    <w:semiHidden/>
    <w:qFormat/>
    <w:locked/>
    <w:uiPriority w:val="0"/>
    <w:rPr>
      <w:kern w:val="2"/>
      <w:sz w:val="21"/>
      <w:szCs w:val="24"/>
    </w:rPr>
  </w:style>
  <w:style w:type="character" w:customStyle="1" w:styleId="51">
    <w:name w:val="正文文本缩进 字符1"/>
    <w:qFormat/>
    <w:uiPriority w:val="0"/>
    <w:rPr>
      <w:rFonts w:ascii="仿宋_GB2312" w:hAnsi="Times New Roman" w:eastAsia="仿宋_GB2312" w:cs="Times New Roman"/>
      <w:sz w:val="32"/>
      <w:szCs w:val="20"/>
    </w:rPr>
  </w:style>
  <w:style w:type="character" w:customStyle="1" w:styleId="52">
    <w:name w:val="批注文字 字符1"/>
    <w:qFormat/>
    <w:uiPriority w:val="0"/>
    <w:rPr>
      <w:kern w:val="2"/>
      <w:sz w:val="21"/>
      <w:szCs w:val="24"/>
    </w:rPr>
  </w:style>
  <w:style w:type="character" w:customStyle="1" w:styleId="53">
    <w:name w:val="纯文本 字符1"/>
    <w:qFormat/>
    <w:uiPriority w:val="0"/>
    <w:rPr>
      <w:rFonts w:ascii="宋体" w:hAnsi="Courier New"/>
    </w:rPr>
  </w:style>
  <w:style w:type="character" w:customStyle="1" w:styleId="54">
    <w:name w:val="正文2 Char Char"/>
    <w:link w:val="55"/>
    <w:qFormat/>
    <w:uiPriority w:val="0"/>
    <w:rPr>
      <w:kern w:val="2"/>
      <w:sz w:val="24"/>
    </w:rPr>
  </w:style>
  <w:style w:type="paragraph" w:customStyle="1" w:styleId="55">
    <w:name w:val="正文2"/>
    <w:basedOn w:val="1"/>
    <w:link w:val="54"/>
    <w:qFormat/>
    <w:uiPriority w:val="0"/>
    <w:pPr>
      <w:adjustRightInd w:val="0"/>
      <w:spacing w:before="156" w:line="360" w:lineRule="auto"/>
      <w:ind w:firstLine="510" w:firstLineChars="200"/>
    </w:pPr>
    <w:rPr>
      <w:sz w:val="24"/>
      <w:szCs w:val="20"/>
    </w:rPr>
  </w:style>
  <w:style w:type="character" w:customStyle="1" w:styleId="56">
    <w:name w:val="批注文字 Char2"/>
    <w:qFormat/>
    <w:uiPriority w:val="0"/>
    <w:rPr>
      <w:rFonts w:ascii="Times New Roman" w:hAnsi="Times New Roman"/>
      <w:kern w:val="2"/>
      <w:sz w:val="21"/>
      <w:szCs w:val="24"/>
    </w:rPr>
  </w:style>
  <w:style w:type="character" w:customStyle="1" w:styleId="57">
    <w:name w:val="纯文本 字符2"/>
    <w:qFormat/>
    <w:uiPriority w:val="0"/>
    <w:rPr>
      <w:rFonts w:ascii="宋体" w:hAnsi="Courier New" w:eastAsia="宋体" w:cs="Courier New"/>
      <w:szCs w:val="21"/>
    </w:rPr>
  </w:style>
  <w:style w:type="paragraph" w:styleId="58">
    <w:name w:val="List Paragraph"/>
    <w:basedOn w:val="1"/>
    <w:qFormat/>
    <w:uiPriority w:val="34"/>
    <w:pPr>
      <w:ind w:firstLine="420" w:firstLineChars="200"/>
    </w:pPr>
  </w:style>
  <w:style w:type="paragraph" w:customStyle="1" w:styleId="59">
    <w:name w:val="默认段落字体 Para Char Char Char Char Char Char Char Char Char1 Char Char Char Char"/>
    <w:basedOn w:val="1"/>
    <w:qFormat/>
    <w:uiPriority w:val="0"/>
    <w:rPr>
      <w:rFonts w:ascii="Tahoma" w:hAnsi="Tahoma"/>
      <w:sz w:val="24"/>
      <w:szCs w:val="20"/>
    </w:rPr>
  </w:style>
  <w:style w:type="paragraph" w:customStyle="1" w:styleId="6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6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basedOn w:val="1"/>
    <w:qFormat/>
    <w:uiPriority w:val="0"/>
    <w:pPr>
      <w:ind w:firstLine="420" w:firstLineChars="200"/>
    </w:pPr>
    <w:rPr>
      <w:szCs w:val="21"/>
    </w:rPr>
  </w:style>
  <w:style w:type="paragraph" w:customStyle="1" w:styleId="6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4">
    <w:name w:val="&gt;合同 正文"/>
    <w:qFormat/>
    <w:uiPriority w:val="0"/>
    <w:pPr>
      <w:spacing w:line="288" w:lineRule="auto"/>
      <w:ind w:firstLine="200" w:firstLineChars="200"/>
    </w:pPr>
    <w:rPr>
      <w:rFonts w:ascii="宋体" w:hAnsi="宋体" w:eastAsia="宋体" w:cs="宋体"/>
      <w:color w:val="000000"/>
      <w:kern w:val="2"/>
      <w:sz w:val="21"/>
      <w:szCs w:val="21"/>
      <w:lang w:val="en-US" w:eastAsia="zh-CN" w:bidi="ar-SA"/>
    </w:rPr>
  </w:style>
  <w:style w:type="paragraph" w:customStyle="1" w:styleId="65">
    <w:name w:val="正文文本1"/>
    <w:basedOn w:val="1"/>
    <w:next w:val="41"/>
    <w:qFormat/>
    <w:uiPriority w:val="0"/>
    <w:pPr>
      <w:spacing w:line="288" w:lineRule="auto"/>
      <w:ind w:firstLine="482"/>
    </w:pPr>
    <w:rPr>
      <w:rFonts w:ascii="Times New Roman" w:hAnsi="Times New Roman" w:eastAsia="宋体" w:cs="Times New Roman"/>
      <w:sz w:val="24"/>
      <w:szCs w:val="20"/>
    </w:rPr>
  </w:style>
  <w:style w:type="character" w:customStyle="1" w:styleId="66">
    <w:name w:val="批注引用1"/>
    <w:link w:val="1"/>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67">
    <w:name w:val="批注文字1"/>
    <w:basedOn w:val="1"/>
    <w:unhideWhenUsed/>
    <w:qFormat/>
    <w:uiPriority w:val="99"/>
    <w:pPr>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73</Pages>
  <Words>41037</Words>
  <Characters>43950</Characters>
  <Lines>495</Lines>
  <Paragraphs>139</Paragraphs>
  <TotalTime>12</TotalTime>
  <ScaleCrop>false</ScaleCrop>
  <LinksUpToDate>false</LinksUpToDate>
  <CharactersWithSpaces>49670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2020-10-16T09:42:00Z</dcterms:created>
  <dc:creator>唐冰</dc:creator>
  <cp:lastModifiedBy>everyone</cp:lastModifiedBy>
  <cp:lastPrinted>2020-04-02T08:20:00Z</cp:lastPrinted>
  <dcterms:modified xsi:type="dcterms:W3CDTF">2025-10-24T07:28:39Z</dcterms:modified>
  <dc:title>竞争性谈判文件规范</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929AB4DD052C4125927247E8FF1AAB94_13</vt:lpwstr>
  </property>
  <property fmtid="{D5CDD505-2E9C-101B-9397-08002B2CF9AE}" pid="4" name="KSOTemplateDocerSaveRecord">
    <vt:lpwstr>eyJoZGlkIjoiNmJhMzI2MjhkY2Y1OWM4MTE3MDMyODc5ZDA1MWQwNjQiLCJ1c2VySWQiOiI2MTI4OTUwMDYifQ==</vt:lpwstr>
  </property>
</Properties>
</file>