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3280D2">
      <w:pPr>
        <w:spacing w:line="360" w:lineRule="exact"/>
        <w:jc w:val="center"/>
        <w:rPr>
          <w:rFonts w:ascii="宋体" w:hAnsi="宋体"/>
          <w:b/>
          <w:color w:val="auto"/>
          <w:sz w:val="32"/>
          <w:szCs w:val="32"/>
        </w:rPr>
      </w:pPr>
      <w:r>
        <w:rPr>
          <w:rFonts w:hint="eastAsia" w:ascii="宋体" w:hAnsi="宋体"/>
          <w:b/>
          <w:color w:val="auto"/>
          <w:sz w:val="32"/>
          <w:szCs w:val="32"/>
        </w:rPr>
        <w:t>采购需求</w:t>
      </w:r>
    </w:p>
    <w:p w14:paraId="041C070E">
      <w:pPr>
        <w:adjustRightInd w:val="0"/>
        <w:spacing w:line="300" w:lineRule="exact"/>
        <w:ind w:firstLine="431"/>
        <w:rPr>
          <w:rFonts w:ascii="宋体" w:hAnsi="宋体"/>
          <w:b/>
          <w:bCs/>
          <w:color w:val="auto"/>
        </w:rPr>
      </w:pPr>
    </w:p>
    <w:p w14:paraId="6CE82C3C">
      <w:pPr>
        <w:adjustRightInd w:val="0"/>
        <w:spacing w:line="500" w:lineRule="exact"/>
        <w:rPr>
          <w:rFonts w:ascii="宋体" w:hAnsi="宋体"/>
          <w:b/>
          <w:bCs/>
          <w:color w:val="auto"/>
          <w:sz w:val="24"/>
        </w:rPr>
      </w:pPr>
      <w:r>
        <w:rPr>
          <w:rFonts w:hint="eastAsia" w:ascii="宋体" w:hAnsi="宋体"/>
          <w:b/>
          <w:bCs/>
          <w:color w:val="auto"/>
          <w:sz w:val="24"/>
        </w:rPr>
        <w:t>Ⅰ、说明：</w:t>
      </w:r>
    </w:p>
    <w:p w14:paraId="01994341">
      <w:pPr>
        <w:adjustRightInd w:val="0"/>
        <w:spacing w:line="360" w:lineRule="exact"/>
        <w:ind w:firstLine="422" w:firstLineChars="200"/>
        <w:rPr>
          <w:rFonts w:ascii="宋体" w:hAnsi="宋体"/>
          <w:b/>
          <w:bCs/>
          <w:color w:val="auto"/>
        </w:rPr>
      </w:pPr>
      <w:r>
        <w:rPr>
          <w:rFonts w:hint="eastAsia" w:ascii="宋体" w:hAnsi="宋体"/>
          <w:b/>
          <w:bCs/>
          <w:color w:val="auto"/>
        </w:rPr>
        <w:t>一、本项目所要执行的政府采购政策：</w:t>
      </w:r>
    </w:p>
    <w:p w14:paraId="50D317C8">
      <w:pPr>
        <w:spacing w:line="360" w:lineRule="exact"/>
        <w:ind w:firstLine="420" w:firstLineChars="200"/>
        <w:rPr>
          <w:rFonts w:ascii="宋体" w:hAnsi="宋体"/>
          <w:color w:val="auto"/>
          <w:szCs w:val="21"/>
        </w:rPr>
      </w:pPr>
      <w:r>
        <w:rPr>
          <w:rFonts w:hint="eastAsia" w:ascii="宋体" w:hAnsi="宋体"/>
          <w:color w:val="auto"/>
          <w:szCs w:val="21"/>
        </w:rPr>
        <w:t>（一）</w:t>
      </w:r>
      <w:r>
        <w:rPr>
          <w:rFonts w:ascii="宋体" w:hAnsi="宋体"/>
          <w:color w:val="auto"/>
          <w:szCs w:val="21"/>
        </w:rPr>
        <w:t>根据《政府采购促进中小企业发展管理办法》（财库</w:t>
      </w:r>
      <w:r>
        <w:rPr>
          <w:rFonts w:hint="eastAsia" w:ascii="宋体" w:hAnsi="宋体"/>
          <w:color w:val="auto"/>
          <w:szCs w:val="21"/>
        </w:rPr>
        <w:t>[</w:t>
      </w:r>
      <w:r>
        <w:rPr>
          <w:rFonts w:ascii="宋体" w:hAnsi="宋体"/>
          <w:color w:val="auto"/>
          <w:szCs w:val="21"/>
        </w:rPr>
        <w:t>2020</w:t>
      </w:r>
      <w:r>
        <w:rPr>
          <w:rFonts w:hint="eastAsia" w:ascii="宋体" w:hAnsi="宋体"/>
          <w:color w:val="auto"/>
          <w:szCs w:val="21"/>
        </w:rPr>
        <w:t>]</w:t>
      </w:r>
      <w:r>
        <w:rPr>
          <w:rFonts w:ascii="宋体" w:hAnsi="宋体"/>
          <w:color w:val="auto"/>
          <w:szCs w:val="21"/>
        </w:rPr>
        <w:t>46号）</w:t>
      </w:r>
      <w:r>
        <w:rPr>
          <w:rFonts w:hint="eastAsia" w:ascii="宋体" w:hAnsi="宋体"/>
          <w:color w:val="auto"/>
          <w:szCs w:val="21"/>
        </w:rPr>
        <w:t>、《广西壮族自治区财政厅关于持续优化政府采购营商环境推动高质量发展的通知》（桂财采〔2024〕55号）</w:t>
      </w:r>
      <w:r>
        <w:rPr>
          <w:color w:val="auto"/>
        </w:rPr>
        <w:t>的规定</w:t>
      </w:r>
      <w:r>
        <w:rPr>
          <w:rFonts w:ascii="宋体" w:hAnsi="宋体"/>
          <w:color w:val="auto"/>
          <w:szCs w:val="21"/>
        </w:rPr>
        <w:t>，</w:t>
      </w:r>
      <w:r>
        <w:rPr>
          <w:rFonts w:hint="eastAsia" w:ascii="宋体" w:hAnsi="宋体"/>
          <w:color w:val="auto"/>
          <w:szCs w:val="21"/>
        </w:rPr>
        <w:t>投标人提供的</w:t>
      </w:r>
      <w:r>
        <w:rPr>
          <w:rFonts w:hint="eastAsia" w:ascii="宋体" w:hAnsi="宋体" w:cs="宋体"/>
          <w:color w:val="auto"/>
          <w:kern w:val="0"/>
          <w:sz w:val="21"/>
          <w:szCs w:val="21"/>
          <w:highlight w:val="none"/>
          <w:lang w:eastAsia="zh-CN"/>
        </w:rPr>
        <w:t>投标人</w:t>
      </w:r>
      <w:r>
        <w:rPr>
          <w:rFonts w:hint="eastAsia" w:ascii="宋体" w:hAnsi="宋体" w:cs="宋体"/>
          <w:color w:val="auto"/>
          <w:kern w:val="0"/>
          <w:sz w:val="21"/>
          <w:szCs w:val="21"/>
          <w:highlight w:val="none"/>
        </w:rPr>
        <w:t>如为符合政策要求的</w:t>
      </w:r>
      <w:r>
        <w:rPr>
          <w:rFonts w:hint="eastAsia" w:ascii="宋体" w:hAnsi="宋体" w:cs="宋体"/>
          <w:color w:val="auto"/>
          <w:kern w:val="0"/>
          <w:sz w:val="21"/>
          <w:szCs w:val="21"/>
          <w:highlight w:val="none"/>
          <w:lang w:eastAsia="zh-CN"/>
        </w:rPr>
        <w:t>小微</w:t>
      </w:r>
      <w:r>
        <w:rPr>
          <w:rFonts w:hint="eastAsia" w:ascii="宋体" w:hAnsi="宋体" w:cs="宋体"/>
          <w:color w:val="auto"/>
          <w:kern w:val="0"/>
          <w:sz w:val="21"/>
          <w:szCs w:val="21"/>
          <w:highlight w:val="none"/>
        </w:rPr>
        <w:t>企业且承接本项目全部服务的</w:t>
      </w:r>
      <w:r>
        <w:rPr>
          <w:rFonts w:hint="eastAsia" w:ascii="宋体" w:hAnsi="宋体"/>
          <w:color w:val="auto"/>
          <w:szCs w:val="21"/>
        </w:rPr>
        <w:t>，投标文件中提供《中小企业声明函》的</w:t>
      </w:r>
      <w:r>
        <w:rPr>
          <w:rFonts w:ascii="宋体" w:hAnsi="宋体"/>
          <w:color w:val="auto"/>
          <w:szCs w:val="21"/>
        </w:rPr>
        <w:t>，投标人的投标报价给予</w:t>
      </w:r>
      <w:r>
        <w:rPr>
          <w:rFonts w:hint="eastAsia" w:ascii="宋体" w:hAnsi="宋体"/>
          <w:color w:val="auto"/>
          <w:szCs w:val="21"/>
        </w:rPr>
        <w:t>20</w:t>
      </w:r>
      <w:r>
        <w:rPr>
          <w:rFonts w:ascii="宋体" w:hAnsi="宋体"/>
          <w:color w:val="auto"/>
          <w:szCs w:val="21"/>
        </w:rPr>
        <w:t>%的扣除。本项目非专门面向中小企业采购。</w:t>
      </w:r>
    </w:p>
    <w:p w14:paraId="79A906DD">
      <w:pPr>
        <w:spacing w:line="360" w:lineRule="exact"/>
        <w:ind w:firstLine="420" w:firstLineChars="200"/>
        <w:rPr>
          <w:rFonts w:ascii="宋体" w:hAnsi="宋体"/>
          <w:color w:val="auto"/>
          <w:szCs w:val="21"/>
        </w:rPr>
      </w:pPr>
      <w:r>
        <w:rPr>
          <w:rFonts w:hint="eastAsia" w:ascii="宋体" w:hAnsi="宋体"/>
          <w:color w:val="auto"/>
          <w:szCs w:val="21"/>
        </w:rPr>
        <w:t>（二）根据财政部、司法部关于政府采购支持监狱企业发展有关问题的通知（财库[2014]68号），监狱企业视同小型、微型企业，</w:t>
      </w:r>
      <w:r>
        <w:rPr>
          <w:rFonts w:hint="eastAsia" w:hAnsi="宋体"/>
          <w:bCs/>
          <w:color w:val="auto"/>
        </w:rPr>
        <w:t>享受预留份额、评审价格扣除等政府采购政策。</w:t>
      </w:r>
      <w:r>
        <w:rPr>
          <w:rFonts w:hint="eastAsia" w:ascii="宋体" w:hAnsi="宋体"/>
          <w:color w:val="auto"/>
          <w:szCs w:val="21"/>
        </w:rPr>
        <w:t>监狱企业</w:t>
      </w:r>
      <w:r>
        <w:rPr>
          <w:rFonts w:hint="eastAsia" w:ascii="宋体" w:hAnsi="宋体"/>
          <w:bCs/>
          <w:color w:val="auto"/>
        </w:rPr>
        <w:t>属于小型、微型企业的，不重复享受政策。</w:t>
      </w:r>
    </w:p>
    <w:p w14:paraId="4640A5AE">
      <w:pPr>
        <w:spacing w:line="360" w:lineRule="exact"/>
        <w:ind w:firstLine="420" w:firstLineChars="200"/>
        <w:rPr>
          <w:rFonts w:hAnsi="宋体"/>
          <w:bCs/>
          <w:color w:val="auto"/>
        </w:rPr>
      </w:pPr>
      <w:r>
        <w:rPr>
          <w:rFonts w:hint="eastAsia" w:ascii="宋体" w:hAnsi="宋体"/>
          <w:color w:val="auto"/>
        </w:rPr>
        <w:t>（三）按照</w:t>
      </w:r>
      <w:r>
        <w:rPr>
          <w:rFonts w:hint="eastAsia" w:ascii="宋体" w:hAnsi="宋体"/>
          <w:bCs/>
          <w:color w:val="auto"/>
        </w:rPr>
        <w:t>《关于促进残疾人就业政府采购政策的通知》（财库〔2017〕141号）的规定，残疾人福利性单位视同小型、微型企业，享受预留份额、评审中价格扣除等促进中小企业发展的政府采购政策。残疾人福利性单位属于小型、微型企业的，不重复享受政策。</w:t>
      </w:r>
    </w:p>
    <w:p w14:paraId="3A977FBB">
      <w:pPr>
        <w:spacing w:line="360" w:lineRule="exact"/>
        <w:ind w:firstLine="422" w:firstLineChars="200"/>
        <w:rPr>
          <w:rFonts w:ascii="宋体" w:hAnsi="宋体"/>
          <w:b/>
          <w:color w:val="auto"/>
          <w:szCs w:val="21"/>
        </w:rPr>
      </w:pPr>
      <w:r>
        <w:rPr>
          <w:rFonts w:hint="eastAsia" w:ascii="宋体" w:hAnsi="宋体"/>
          <w:b/>
          <w:bCs/>
          <w:color w:val="auto"/>
        </w:rPr>
        <w:t xml:space="preserve"> </w:t>
      </w:r>
      <w:r>
        <w:rPr>
          <w:rFonts w:hint="eastAsia" w:ascii="宋体" w:hAnsi="宋体"/>
          <w:b/>
          <w:bCs/>
          <w:color w:val="auto"/>
          <w:lang w:eastAsia="zh-CN"/>
        </w:rPr>
        <w:t>二</w:t>
      </w:r>
      <w:r>
        <w:rPr>
          <w:rFonts w:hint="eastAsia" w:ascii="宋体" w:hAnsi="宋体"/>
          <w:bCs/>
          <w:color w:val="auto"/>
        </w:rPr>
        <w:t>、</w:t>
      </w:r>
      <w:r>
        <w:rPr>
          <w:rFonts w:hint="eastAsia" w:ascii="宋体" w:hAnsi="宋体"/>
          <w:b/>
          <w:color w:val="auto"/>
          <w:szCs w:val="21"/>
        </w:rPr>
        <w:t>实质性要求是指“采购需求”中标注“▲”符号的条款以及招标文件中要求“必须提供”的条款，投标人对实质性要求若有任意一项不满足，投标文件作无效处理。本项目“采购需求”的“</w:t>
      </w:r>
      <w:r>
        <w:rPr>
          <w:rFonts w:hint="eastAsia" w:ascii="宋体" w:hAnsi="宋体"/>
          <w:b/>
          <w:color w:val="auto"/>
          <w:szCs w:val="21"/>
          <w:lang w:eastAsia="zh-CN"/>
        </w:rPr>
        <w:t>技术要求</w:t>
      </w:r>
      <w:r>
        <w:rPr>
          <w:rFonts w:hint="eastAsia" w:ascii="宋体" w:hAnsi="宋体"/>
          <w:b/>
          <w:color w:val="auto"/>
          <w:szCs w:val="21"/>
        </w:rPr>
        <w:t>”中未标注 “▲”号的技术参数要求允许发生负偏离的条款数累计最多为</w:t>
      </w:r>
      <w:r>
        <w:rPr>
          <w:rFonts w:hint="eastAsia" w:ascii="宋体" w:hAnsi="宋体"/>
          <w:b/>
          <w:color w:val="auto"/>
          <w:szCs w:val="21"/>
          <w:lang w:val="en-US" w:eastAsia="zh-CN"/>
        </w:rPr>
        <w:t>10</w:t>
      </w:r>
      <w:r>
        <w:rPr>
          <w:rFonts w:hint="eastAsia" w:ascii="宋体" w:hAnsi="宋体"/>
          <w:b/>
          <w:color w:val="auto"/>
          <w:szCs w:val="21"/>
        </w:rPr>
        <w:t>项，未标注 “▲”号的技术参数要求投标响应时存在负偏离数≥</w:t>
      </w:r>
      <w:r>
        <w:rPr>
          <w:rFonts w:hint="eastAsia" w:ascii="宋体" w:hAnsi="宋体"/>
          <w:b/>
          <w:color w:val="auto"/>
          <w:szCs w:val="21"/>
          <w:lang w:val="en-US" w:eastAsia="zh-CN"/>
        </w:rPr>
        <w:t>11</w:t>
      </w:r>
      <w:r>
        <w:rPr>
          <w:rFonts w:hint="eastAsia" w:ascii="宋体" w:hAnsi="宋体"/>
          <w:b/>
          <w:color w:val="auto"/>
          <w:szCs w:val="21"/>
        </w:rPr>
        <w:t>项时，投标文件作无效处理。</w:t>
      </w:r>
    </w:p>
    <w:p w14:paraId="587E858E">
      <w:pPr>
        <w:adjustRightInd w:val="0"/>
        <w:spacing w:line="360" w:lineRule="exact"/>
        <w:rPr>
          <w:rFonts w:hint="eastAsia" w:ascii="宋体" w:hAnsi="宋体"/>
          <w:b/>
          <w:color w:val="auto"/>
          <w:sz w:val="24"/>
        </w:rPr>
      </w:pPr>
      <w:bookmarkStart w:id="0" w:name="_GoBack"/>
      <w:bookmarkEnd w:id="0"/>
    </w:p>
    <w:p w14:paraId="5ED025BF">
      <w:pPr>
        <w:adjustRightInd w:val="0"/>
        <w:spacing w:line="360" w:lineRule="exact"/>
        <w:rPr>
          <w:rFonts w:ascii="宋体" w:hAnsi="宋体"/>
          <w:b/>
          <w:color w:val="auto"/>
          <w:sz w:val="24"/>
        </w:rPr>
      </w:pPr>
      <w:r>
        <w:rPr>
          <w:rFonts w:hint="eastAsia" w:ascii="宋体" w:hAnsi="宋体"/>
          <w:b/>
          <w:color w:val="auto"/>
          <w:sz w:val="24"/>
        </w:rPr>
        <w:t>Ⅱ、采购需求一览表</w:t>
      </w:r>
    </w:p>
    <w:tbl>
      <w:tblPr>
        <w:tblStyle w:val="2"/>
        <w:tblW w:w="9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5"/>
        <w:gridCol w:w="1282"/>
        <w:gridCol w:w="3697"/>
        <w:gridCol w:w="1299"/>
        <w:gridCol w:w="1482"/>
      </w:tblGrid>
      <w:tr w14:paraId="647D1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905" w:type="dxa"/>
            <w:gridSpan w:val="5"/>
            <w:tcBorders>
              <w:top w:val="single" w:color="auto" w:sz="4" w:space="0"/>
              <w:left w:val="single" w:color="auto" w:sz="4" w:space="0"/>
              <w:bottom w:val="single" w:color="auto" w:sz="4" w:space="0"/>
              <w:right w:val="single" w:color="auto" w:sz="4" w:space="0"/>
            </w:tcBorders>
            <w:vAlign w:val="center"/>
          </w:tcPr>
          <w:p w14:paraId="6B0AB481">
            <w:pPr>
              <w:wordWrap w:val="0"/>
              <w:rPr>
                <w:rFonts w:ascii="宋体" w:hAnsi="宋体" w:cs="宋体"/>
                <w:b/>
                <w:color w:val="auto"/>
                <w:szCs w:val="21"/>
              </w:rPr>
            </w:pPr>
            <w:r>
              <w:rPr>
                <w:rFonts w:hint="eastAsia" w:ascii="宋体" w:hAnsi="宋体" w:cs="宋体"/>
                <w:b/>
                <w:color w:val="auto"/>
                <w:szCs w:val="21"/>
              </w:rPr>
              <w:t>一、采购内容及技术要求</w:t>
            </w:r>
          </w:p>
        </w:tc>
      </w:tr>
      <w:tr w14:paraId="3C8C8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14:paraId="3C3AE3B3">
            <w:pPr>
              <w:wordWrap w:val="0"/>
              <w:adjustRightInd w:val="0"/>
              <w:snapToGrid w:val="0"/>
              <w:jc w:val="center"/>
              <w:rPr>
                <w:rFonts w:ascii="宋体" w:hAnsi="宋体" w:cs="宋体"/>
                <w:b/>
                <w:color w:val="auto"/>
                <w:szCs w:val="21"/>
              </w:rPr>
            </w:pPr>
            <w:r>
              <w:rPr>
                <w:rFonts w:hint="eastAsia" w:ascii="宋体" w:hAnsi="宋体" w:cs="宋体"/>
                <w:b/>
                <w:color w:val="auto"/>
                <w:szCs w:val="21"/>
              </w:rPr>
              <w:t>标的名称</w:t>
            </w:r>
          </w:p>
        </w:tc>
        <w:tc>
          <w:tcPr>
            <w:tcW w:w="1282" w:type="dxa"/>
            <w:tcBorders>
              <w:top w:val="single" w:color="auto" w:sz="4" w:space="0"/>
              <w:left w:val="single" w:color="auto" w:sz="4" w:space="0"/>
              <w:bottom w:val="single" w:color="auto" w:sz="4" w:space="0"/>
              <w:right w:val="single" w:color="auto" w:sz="4" w:space="0"/>
            </w:tcBorders>
            <w:vAlign w:val="center"/>
          </w:tcPr>
          <w:p w14:paraId="43812193">
            <w:pPr>
              <w:widowControl/>
              <w:wordWrap w:val="0"/>
              <w:jc w:val="center"/>
              <w:rPr>
                <w:rFonts w:ascii="宋体" w:hAnsi="宋体" w:cs="宋体"/>
                <w:b/>
                <w:color w:val="auto"/>
                <w:szCs w:val="21"/>
              </w:rPr>
            </w:pPr>
            <w:r>
              <w:rPr>
                <w:rFonts w:hint="eastAsia" w:ascii="宋体" w:hAnsi="宋体" w:cs="宋体"/>
                <w:b/>
                <w:color w:val="auto"/>
                <w:szCs w:val="21"/>
              </w:rPr>
              <w:t>标的所属行业</w:t>
            </w:r>
          </w:p>
        </w:tc>
        <w:tc>
          <w:tcPr>
            <w:tcW w:w="3697" w:type="dxa"/>
            <w:tcBorders>
              <w:top w:val="single" w:color="auto" w:sz="4" w:space="0"/>
              <w:left w:val="single" w:color="auto" w:sz="4" w:space="0"/>
              <w:bottom w:val="single" w:color="auto" w:sz="4" w:space="0"/>
              <w:right w:val="single" w:color="auto" w:sz="4" w:space="0"/>
            </w:tcBorders>
            <w:vAlign w:val="center"/>
          </w:tcPr>
          <w:p w14:paraId="5CD32423">
            <w:pPr>
              <w:wordWrap w:val="0"/>
              <w:jc w:val="center"/>
              <w:rPr>
                <w:rFonts w:hint="eastAsia" w:ascii="宋体" w:hAnsi="宋体" w:eastAsia="宋体" w:cs="宋体"/>
                <w:b/>
                <w:color w:val="auto"/>
                <w:szCs w:val="21"/>
                <w:lang w:eastAsia="zh-CN"/>
              </w:rPr>
            </w:pPr>
            <w:r>
              <w:rPr>
                <w:rFonts w:hint="eastAsia" w:ascii="宋体" w:hAnsi="宋体" w:cs="宋体"/>
                <w:b/>
                <w:bCs/>
                <w:color w:val="auto"/>
                <w:szCs w:val="21"/>
                <w:lang w:eastAsia="zh-CN" w:bidi="ar"/>
              </w:rPr>
              <w:t>技术要求</w:t>
            </w:r>
          </w:p>
        </w:tc>
        <w:tc>
          <w:tcPr>
            <w:tcW w:w="1299" w:type="dxa"/>
            <w:tcBorders>
              <w:top w:val="single" w:color="auto" w:sz="4" w:space="0"/>
              <w:left w:val="single" w:color="auto" w:sz="4" w:space="0"/>
              <w:bottom w:val="single" w:color="auto" w:sz="4" w:space="0"/>
              <w:right w:val="single" w:color="auto" w:sz="4" w:space="0"/>
            </w:tcBorders>
            <w:vAlign w:val="center"/>
          </w:tcPr>
          <w:p w14:paraId="00E5F160">
            <w:pPr>
              <w:wordWrap w:val="0"/>
              <w:adjustRightInd w:val="0"/>
              <w:snapToGrid w:val="0"/>
              <w:jc w:val="center"/>
              <w:rPr>
                <w:rFonts w:ascii="宋体" w:hAnsi="宋体" w:cs="宋体"/>
                <w:b/>
                <w:color w:val="auto"/>
                <w:szCs w:val="21"/>
              </w:rPr>
            </w:pPr>
            <w:r>
              <w:rPr>
                <w:rFonts w:hint="eastAsia" w:ascii="宋体" w:hAnsi="宋体" w:cs="宋体"/>
                <w:b/>
                <w:color w:val="auto"/>
                <w:szCs w:val="21"/>
              </w:rPr>
              <w:t>数量</w:t>
            </w:r>
          </w:p>
        </w:tc>
        <w:tc>
          <w:tcPr>
            <w:tcW w:w="1482" w:type="dxa"/>
            <w:tcBorders>
              <w:top w:val="single" w:color="auto" w:sz="4" w:space="0"/>
              <w:left w:val="single" w:color="auto" w:sz="4" w:space="0"/>
              <w:bottom w:val="single" w:color="auto" w:sz="4" w:space="0"/>
              <w:right w:val="single" w:color="auto" w:sz="4" w:space="0"/>
            </w:tcBorders>
            <w:vAlign w:val="center"/>
          </w:tcPr>
          <w:p w14:paraId="757534C6">
            <w:pPr>
              <w:wordWrap w:val="0"/>
              <w:adjustRightInd w:val="0"/>
              <w:snapToGrid w:val="0"/>
              <w:jc w:val="center"/>
              <w:rPr>
                <w:rFonts w:ascii="宋体" w:hAnsi="宋体" w:cs="宋体"/>
                <w:b/>
                <w:color w:val="auto"/>
                <w:szCs w:val="21"/>
              </w:rPr>
            </w:pPr>
            <w:r>
              <w:rPr>
                <w:rFonts w:hint="eastAsia" w:ascii="宋体" w:hAnsi="宋体" w:cs="宋体"/>
                <w:b/>
                <w:color w:val="auto"/>
                <w:szCs w:val="21"/>
              </w:rPr>
              <w:t>单位</w:t>
            </w:r>
          </w:p>
        </w:tc>
      </w:tr>
      <w:tr w14:paraId="7DDCC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14:paraId="3CC733CB">
            <w:pPr>
              <w:widowControl/>
              <w:wordWrap w:val="0"/>
              <w:jc w:val="center"/>
              <w:rPr>
                <w:rFonts w:hint="eastAsia" w:ascii="宋体" w:hAnsi="宋体" w:eastAsia="宋体" w:cs="宋体"/>
                <w:b w:val="0"/>
                <w:bCs/>
                <w:color w:val="auto"/>
                <w:szCs w:val="21"/>
              </w:rPr>
            </w:pPr>
            <w:r>
              <w:rPr>
                <w:rFonts w:hint="eastAsia" w:ascii="宋体" w:hAnsi="宋体" w:cs="宋体"/>
                <w:b w:val="0"/>
                <w:bCs/>
                <w:color w:val="auto"/>
                <w:szCs w:val="21"/>
                <w:lang w:eastAsia="zh-CN"/>
              </w:rPr>
              <w:t>数据中心超融合私有云升级扩容采购</w:t>
            </w:r>
          </w:p>
        </w:tc>
        <w:tc>
          <w:tcPr>
            <w:tcW w:w="1282" w:type="dxa"/>
            <w:tcBorders>
              <w:top w:val="single" w:color="auto" w:sz="4" w:space="0"/>
              <w:left w:val="single" w:color="auto" w:sz="4" w:space="0"/>
              <w:right w:val="single" w:color="auto" w:sz="4" w:space="0"/>
            </w:tcBorders>
            <w:vAlign w:val="center"/>
          </w:tcPr>
          <w:p w14:paraId="2F2912A4">
            <w:pPr>
              <w:widowControl/>
              <w:wordWrap w:val="0"/>
              <w:jc w:val="center"/>
              <w:rPr>
                <w:rFonts w:hint="eastAsia" w:ascii="宋体" w:hAnsi="宋体" w:eastAsia="宋体" w:cs="宋体"/>
                <w:b w:val="0"/>
                <w:bCs/>
                <w:color w:val="auto"/>
                <w:szCs w:val="21"/>
                <w:lang w:eastAsia="zh-CN"/>
              </w:rPr>
            </w:pPr>
            <w:r>
              <w:rPr>
                <w:rFonts w:hint="eastAsia" w:ascii="宋体" w:hAnsi="宋体" w:eastAsia="宋体" w:cs="宋体"/>
                <w:b w:val="0"/>
                <w:bCs/>
                <w:color w:val="auto"/>
                <w:szCs w:val="21"/>
              </w:rPr>
              <w:t>软件和信息技术服务</w:t>
            </w:r>
            <w:r>
              <w:rPr>
                <w:rFonts w:hint="eastAsia" w:ascii="宋体" w:hAnsi="宋体" w:eastAsia="宋体" w:cs="宋体"/>
                <w:b w:val="0"/>
                <w:bCs/>
                <w:color w:val="auto"/>
                <w:szCs w:val="21"/>
                <w:lang w:eastAsia="zh-CN"/>
              </w:rPr>
              <w:t>业</w:t>
            </w:r>
          </w:p>
        </w:tc>
        <w:tc>
          <w:tcPr>
            <w:tcW w:w="3697" w:type="dxa"/>
            <w:tcBorders>
              <w:top w:val="single" w:color="auto" w:sz="4" w:space="0"/>
              <w:left w:val="single" w:color="auto" w:sz="4" w:space="0"/>
              <w:bottom w:val="single" w:color="auto" w:sz="4" w:space="0"/>
              <w:right w:val="single" w:color="auto" w:sz="4" w:space="0"/>
            </w:tcBorders>
            <w:vAlign w:val="center"/>
          </w:tcPr>
          <w:p w14:paraId="629F9520">
            <w:pPr>
              <w:jc w:val="both"/>
              <w:rPr>
                <w:rFonts w:hint="default"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一、超融合集群服务1项</w:t>
            </w:r>
          </w:p>
          <w:p w14:paraId="4B12260A">
            <w:pPr>
              <w:keepNext w:val="0"/>
              <w:keepLines w:val="0"/>
              <w:pageBreakBefore w:val="0"/>
              <w:widowControl/>
              <w:kinsoku/>
              <w:wordWrap w:val="0"/>
              <w:overflowPunct/>
              <w:topLinePunct w:val="0"/>
              <w:autoSpaceDE/>
              <w:autoSpaceDN/>
              <w:bidi w:val="0"/>
              <w:spacing w:line="360" w:lineRule="exact"/>
              <w:jc w:val="left"/>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1.新增</w:t>
            </w:r>
            <w:r>
              <w:rPr>
                <w:rFonts w:hint="eastAsia" w:ascii="宋体" w:hAnsi="宋体" w:cs="宋体"/>
                <w:b w:val="0"/>
                <w:bCs/>
                <w:color w:val="auto"/>
                <w:szCs w:val="21"/>
                <w:highlight w:val="none"/>
                <w:lang w:val="en-US" w:eastAsia="zh-CN"/>
              </w:rPr>
              <w:t>至少</w:t>
            </w:r>
            <w:r>
              <w:rPr>
                <w:rFonts w:hint="eastAsia" w:ascii="宋体" w:hAnsi="宋体" w:eastAsia="宋体" w:cs="宋体"/>
                <w:b w:val="0"/>
                <w:bCs/>
                <w:color w:val="auto"/>
                <w:szCs w:val="21"/>
                <w:highlight w:val="none"/>
                <w:lang w:val="en-US" w:eastAsia="zh-CN"/>
              </w:rPr>
              <w:t>4个节点服务器加入原有虚拟化集群，添加到虚拟化统一管理中心，配置存储虚拟化超融合，扩展计算、存储、网络资源</w:t>
            </w:r>
            <w:r>
              <w:rPr>
                <w:rFonts w:hint="eastAsia" w:ascii="宋体" w:hAnsi="宋体" w:cs="宋体"/>
                <w:b w:val="0"/>
                <w:bCs/>
                <w:color w:val="auto"/>
                <w:szCs w:val="21"/>
                <w:highlight w:val="none"/>
                <w:lang w:val="en-US" w:eastAsia="zh-CN"/>
              </w:rPr>
              <w:t>。</w:t>
            </w:r>
          </w:p>
          <w:p w14:paraId="58C09822">
            <w:pPr>
              <w:keepNext w:val="0"/>
              <w:keepLines w:val="0"/>
              <w:pageBreakBefore w:val="0"/>
              <w:widowControl/>
              <w:kinsoku/>
              <w:wordWrap w:val="0"/>
              <w:overflowPunct/>
              <w:topLinePunct w:val="0"/>
              <w:autoSpaceDE/>
              <w:autoSpaceDN/>
              <w:bidi w:val="0"/>
              <w:spacing w:line="360" w:lineRule="exact"/>
              <w:jc w:val="left"/>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2.每个节点的服务器安装部署兼容现有虚拟化软件的服务器虚拟化软件，以及分布式存储软件，并添加相应的许可</w:t>
            </w:r>
            <w:r>
              <w:rPr>
                <w:rFonts w:hint="eastAsia" w:ascii="宋体" w:hAnsi="宋体" w:cs="宋体"/>
                <w:b w:val="0"/>
                <w:bCs/>
                <w:color w:val="auto"/>
                <w:szCs w:val="21"/>
                <w:highlight w:val="none"/>
                <w:lang w:val="en-US" w:eastAsia="zh-CN"/>
              </w:rPr>
              <w:t>。</w:t>
            </w:r>
          </w:p>
          <w:p w14:paraId="414C0822">
            <w:pPr>
              <w:keepNext w:val="0"/>
              <w:keepLines w:val="0"/>
              <w:pageBreakBefore w:val="0"/>
              <w:widowControl/>
              <w:kinsoku/>
              <w:wordWrap w:val="0"/>
              <w:overflowPunct/>
              <w:topLinePunct w:val="0"/>
              <w:autoSpaceDE/>
              <w:autoSpaceDN/>
              <w:bidi w:val="0"/>
              <w:spacing w:line="360" w:lineRule="exact"/>
              <w:jc w:val="left"/>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3. 配置规划：置备</w:t>
            </w:r>
            <w:r>
              <w:rPr>
                <w:rFonts w:hint="eastAsia" w:ascii="宋体" w:hAnsi="宋体" w:cs="宋体"/>
                <w:b w:val="0"/>
                <w:bCs/>
                <w:color w:val="auto"/>
                <w:szCs w:val="21"/>
                <w:highlight w:val="none"/>
                <w:lang w:val="en-US" w:eastAsia="zh-CN"/>
              </w:rPr>
              <w:t>至少</w:t>
            </w:r>
            <w:r>
              <w:rPr>
                <w:rFonts w:hint="eastAsia" w:ascii="宋体" w:hAnsi="宋体" w:eastAsia="宋体" w:cs="宋体"/>
                <w:b w:val="0"/>
                <w:bCs/>
                <w:color w:val="auto"/>
                <w:szCs w:val="21"/>
                <w:highlight w:val="none"/>
                <w:lang w:val="en-US" w:eastAsia="zh-CN"/>
              </w:rPr>
              <w:t>1</w:t>
            </w:r>
            <w:r>
              <w:rPr>
                <w:rFonts w:hint="eastAsia" w:ascii="宋体" w:hAnsi="宋体" w:cs="宋体"/>
                <w:b w:val="0"/>
                <w:bCs/>
                <w:color w:val="auto"/>
                <w:szCs w:val="21"/>
                <w:highlight w:val="none"/>
                <w:lang w:val="en-US" w:eastAsia="zh-CN"/>
              </w:rPr>
              <w:t>个≥</w:t>
            </w:r>
            <w:r>
              <w:rPr>
                <w:rFonts w:hint="eastAsia" w:ascii="宋体" w:hAnsi="宋体" w:eastAsia="宋体" w:cs="宋体"/>
                <w:b w:val="0"/>
                <w:bCs/>
                <w:color w:val="auto"/>
                <w:szCs w:val="21"/>
                <w:highlight w:val="none"/>
                <w:lang w:val="en-US" w:eastAsia="zh-CN"/>
              </w:rPr>
              <w:t>300GB磁盘用于安装虚拟化系统；</w:t>
            </w:r>
            <w:r>
              <w:rPr>
                <w:rFonts w:hint="eastAsia" w:ascii="宋体" w:hAnsi="宋体" w:cs="宋体"/>
                <w:b w:val="0"/>
                <w:bCs/>
                <w:color w:val="auto"/>
                <w:szCs w:val="21"/>
                <w:highlight w:val="none"/>
                <w:lang w:val="en-US" w:eastAsia="zh-CN"/>
              </w:rPr>
              <w:t>至少</w:t>
            </w:r>
            <w:r>
              <w:rPr>
                <w:rFonts w:hint="eastAsia" w:ascii="宋体" w:hAnsi="宋体" w:eastAsia="宋体" w:cs="宋体"/>
                <w:b w:val="0"/>
                <w:bCs/>
                <w:color w:val="auto"/>
                <w:szCs w:val="21"/>
                <w:highlight w:val="none"/>
                <w:lang w:val="en-US" w:eastAsia="zh-CN"/>
              </w:rPr>
              <w:t>1</w:t>
            </w:r>
            <w:r>
              <w:rPr>
                <w:rFonts w:hint="eastAsia" w:ascii="宋体" w:hAnsi="宋体" w:cs="宋体"/>
                <w:b w:val="0"/>
                <w:bCs/>
                <w:color w:val="auto"/>
                <w:szCs w:val="21"/>
                <w:highlight w:val="none"/>
                <w:lang w:val="en-US" w:eastAsia="zh-CN"/>
              </w:rPr>
              <w:t>个≥</w:t>
            </w:r>
            <w:r>
              <w:rPr>
                <w:rFonts w:hint="eastAsia" w:ascii="宋体" w:hAnsi="宋体" w:eastAsia="宋体" w:cs="宋体"/>
                <w:b w:val="0"/>
                <w:bCs/>
                <w:color w:val="auto"/>
                <w:szCs w:val="21"/>
                <w:highlight w:val="none"/>
                <w:lang w:val="en-US" w:eastAsia="zh-CN"/>
              </w:rPr>
              <w:t>400GB SSD用于存储虚拟化磁盘组缓存，剩余其他的 SAS盘用于存储虚拟化磁盘组容量；</w:t>
            </w:r>
            <w:r>
              <w:rPr>
                <w:rFonts w:hint="eastAsia" w:ascii="宋体" w:hAnsi="宋体" w:cs="宋体"/>
                <w:b w:val="0"/>
                <w:bCs/>
                <w:color w:val="auto"/>
                <w:szCs w:val="21"/>
                <w:highlight w:val="none"/>
                <w:lang w:val="en-US" w:eastAsia="zh-CN"/>
              </w:rPr>
              <w:t>至少</w:t>
            </w:r>
            <w:r>
              <w:rPr>
                <w:rFonts w:hint="eastAsia" w:ascii="宋体" w:hAnsi="宋体" w:eastAsia="宋体" w:cs="宋体"/>
                <w:b w:val="0"/>
                <w:bCs/>
                <w:color w:val="auto"/>
                <w:szCs w:val="21"/>
                <w:highlight w:val="none"/>
                <w:lang w:val="en-US" w:eastAsia="zh-CN"/>
              </w:rPr>
              <w:t>2个网卡用于管理流量、</w:t>
            </w:r>
            <w:r>
              <w:rPr>
                <w:rFonts w:hint="eastAsia" w:ascii="宋体" w:hAnsi="宋体" w:cs="宋体"/>
                <w:b w:val="0"/>
                <w:bCs/>
                <w:color w:val="auto"/>
                <w:szCs w:val="21"/>
                <w:highlight w:val="none"/>
                <w:lang w:val="en-US" w:eastAsia="zh-CN"/>
              </w:rPr>
              <w:t>至少</w:t>
            </w:r>
            <w:r>
              <w:rPr>
                <w:rFonts w:hint="eastAsia" w:ascii="宋体" w:hAnsi="宋体" w:eastAsia="宋体" w:cs="宋体"/>
                <w:b w:val="0"/>
                <w:bCs/>
                <w:color w:val="auto"/>
                <w:szCs w:val="21"/>
                <w:highlight w:val="none"/>
                <w:lang w:val="en-US" w:eastAsia="zh-CN"/>
              </w:rPr>
              <w:t>2个</w:t>
            </w:r>
            <w:r>
              <w:rPr>
                <w:rFonts w:hint="eastAsia" w:ascii="宋体" w:hAnsi="宋体" w:cs="宋体"/>
                <w:b w:val="0"/>
                <w:bCs/>
                <w:color w:val="auto"/>
                <w:szCs w:val="21"/>
                <w:highlight w:val="none"/>
                <w:lang w:val="en-US" w:eastAsia="zh-CN"/>
              </w:rPr>
              <w:t>≥</w:t>
            </w:r>
            <w:r>
              <w:rPr>
                <w:rFonts w:hint="eastAsia" w:ascii="宋体" w:hAnsi="宋体" w:eastAsia="宋体" w:cs="宋体"/>
                <w:b w:val="0"/>
                <w:bCs/>
                <w:color w:val="auto"/>
                <w:szCs w:val="21"/>
                <w:highlight w:val="none"/>
                <w:lang w:val="en-US" w:eastAsia="zh-CN"/>
              </w:rPr>
              <w:t>10GB用于业务流量；</w:t>
            </w:r>
            <w:r>
              <w:rPr>
                <w:rFonts w:hint="eastAsia" w:ascii="宋体" w:hAnsi="宋体" w:cs="宋体"/>
                <w:b w:val="0"/>
                <w:bCs/>
                <w:color w:val="auto"/>
                <w:szCs w:val="21"/>
                <w:highlight w:val="none"/>
                <w:lang w:val="en-US" w:eastAsia="zh-CN"/>
              </w:rPr>
              <w:t>至少</w:t>
            </w:r>
            <w:r>
              <w:rPr>
                <w:rFonts w:hint="eastAsia" w:ascii="宋体" w:hAnsi="宋体" w:eastAsia="宋体" w:cs="宋体"/>
                <w:b w:val="0"/>
                <w:bCs/>
                <w:color w:val="auto"/>
                <w:szCs w:val="21"/>
                <w:highlight w:val="none"/>
                <w:lang w:val="en-US" w:eastAsia="zh-CN"/>
              </w:rPr>
              <w:t>2个</w:t>
            </w:r>
            <w:r>
              <w:rPr>
                <w:rFonts w:hint="eastAsia" w:ascii="宋体" w:hAnsi="宋体" w:cs="宋体"/>
                <w:b w:val="0"/>
                <w:bCs/>
                <w:color w:val="auto"/>
                <w:szCs w:val="21"/>
                <w:highlight w:val="none"/>
                <w:lang w:val="en-US" w:eastAsia="zh-CN"/>
              </w:rPr>
              <w:t>≥</w:t>
            </w:r>
            <w:r>
              <w:rPr>
                <w:rFonts w:hint="eastAsia" w:ascii="宋体" w:hAnsi="宋体" w:eastAsia="宋体" w:cs="宋体"/>
                <w:b w:val="0"/>
                <w:bCs/>
                <w:color w:val="auto"/>
                <w:szCs w:val="21"/>
                <w:highlight w:val="none"/>
                <w:lang w:val="en-US" w:eastAsia="zh-CN"/>
              </w:rPr>
              <w:t>10GB用于存储虚拟化流量</w:t>
            </w:r>
            <w:r>
              <w:rPr>
                <w:rFonts w:hint="eastAsia" w:ascii="宋体" w:hAnsi="宋体" w:cs="宋体"/>
                <w:b w:val="0"/>
                <w:bCs/>
                <w:color w:val="auto"/>
                <w:szCs w:val="21"/>
                <w:highlight w:val="none"/>
                <w:lang w:val="en-US" w:eastAsia="zh-CN"/>
              </w:rPr>
              <w:t>。</w:t>
            </w:r>
          </w:p>
          <w:p w14:paraId="423A036E">
            <w:pPr>
              <w:keepNext w:val="0"/>
              <w:keepLines w:val="0"/>
              <w:pageBreakBefore w:val="0"/>
              <w:widowControl/>
              <w:kinsoku/>
              <w:wordWrap w:val="0"/>
              <w:overflowPunct/>
              <w:topLinePunct w:val="0"/>
              <w:autoSpaceDE/>
              <w:autoSpaceDN/>
              <w:bidi w:val="0"/>
              <w:spacing w:line="360" w:lineRule="exact"/>
              <w:jc w:val="left"/>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4.安装部署</w:t>
            </w:r>
            <w:r>
              <w:rPr>
                <w:rFonts w:hint="eastAsia" w:ascii="宋体" w:hAnsi="宋体" w:cs="宋体"/>
                <w:b w:val="0"/>
                <w:bCs/>
                <w:color w:val="auto"/>
                <w:szCs w:val="21"/>
                <w:highlight w:val="none"/>
                <w:lang w:val="en-US" w:eastAsia="zh-CN"/>
              </w:rPr>
              <w:t>参考或相当于</w:t>
            </w:r>
            <w:r>
              <w:rPr>
                <w:rFonts w:hint="eastAsia" w:ascii="宋体" w:hAnsi="宋体" w:eastAsia="宋体" w:cs="宋体"/>
                <w:b w:val="0"/>
                <w:bCs/>
                <w:color w:val="auto"/>
                <w:szCs w:val="21"/>
                <w:highlight w:val="none"/>
                <w:lang w:val="en-US" w:eastAsia="zh-CN"/>
              </w:rPr>
              <w:t>ESXi服务器，安装之前需要在BIOS中开启CPU的虚拟化，否则将无法开启虚拟机电源</w:t>
            </w:r>
            <w:r>
              <w:rPr>
                <w:rFonts w:hint="eastAsia" w:ascii="宋体" w:hAnsi="宋体" w:cs="宋体"/>
                <w:b w:val="0"/>
                <w:bCs/>
                <w:color w:val="auto"/>
                <w:szCs w:val="21"/>
                <w:highlight w:val="none"/>
                <w:lang w:val="en-US" w:eastAsia="zh-CN"/>
              </w:rPr>
              <w:t>。</w:t>
            </w:r>
          </w:p>
          <w:p w14:paraId="762AC515">
            <w:pPr>
              <w:keepNext w:val="0"/>
              <w:keepLines w:val="0"/>
              <w:pageBreakBefore w:val="0"/>
              <w:widowControl/>
              <w:kinsoku/>
              <w:wordWrap w:val="0"/>
              <w:overflowPunct/>
              <w:topLinePunct w:val="0"/>
              <w:autoSpaceDE/>
              <w:autoSpaceDN/>
              <w:bidi w:val="0"/>
              <w:spacing w:line="360" w:lineRule="exact"/>
              <w:jc w:val="left"/>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5. 配置主机的管理、vMotion流量、业务流量、存储虚拟化网络及服务器间的通信，在每台</w:t>
            </w:r>
            <w:r>
              <w:rPr>
                <w:rFonts w:hint="eastAsia" w:ascii="宋体" w:hAnsi="宋体" w:cs="宋体"/>
                <w:b w:val="0"/>
                <w:bCs/>
                <w:color w:val="auto"/>
                <w:szCs w:val="21"/>
                <w:highlight w:val="none"/>
                <w:lang w:val="en-US" w:eastAsia="zh-CN"/>
              </w:rPr>
              <w:t>参考或相当于</w:t>
            </w:r>
            <w:r>
              <w:rPr>
                <w:rFonts w:hint="eastAsia" w:ascii="宋体" w:hAnsi="宋体" w:eastAsia="宋体" w:cs="宋体"/>
                <w:b w:val="0"/>
                <w:bCs/>
                <w:color w:val="auto"/>
                <w:szCs w:val="21"/>
                <w:highlight w:val="none"/>
                <w:lang w:val="en-US" w:eastAsia="zh-CN"/>
              </w:rPr>
              <w:t>ESXi主机上创建3个虚拟交换机，分别用于主机管理通信网络、虚拟机通信网络、存储虚拟化通信网络，将nic0连接到千兆交换机1， nic1连接到千兆交换机2</w:t>
            </w:r>
            <w:r>
              <w:rPr>
                <w:rFonts w:hint="eastAsia" w:ascii="宋体" w:hAnsi="宋体" w:cs="宋体"/>
                <w:b w:val="0"/>
                <w:bCs/>
                <w:color w:val="auto"/>
                <w:szCs w:val="21"/>
                <w:highlight w:val="none"/>
                <w:lang w:val="en-US" w:eastAsia="zh-CN"/>
              </w:rPr>
              <w:t>；</w:t>
            </w:r>
            <w:r>
              <w:rPr>
                <w:rFonts w:hint="eastAsia" w:ascii="宋体" w:hAnsi="宋体" w:eastAsia="宋体" w:cs="宋体"/>
                <w:b w:val="0"/>
                <w:bCs/>
                <w:color w:val="auto"/>
                <w:szCs w:val="21"/>
                <w:highlight w:val="none"/>
                <w:lang w:val="en-US" w:eastAsia="zh-CN"/>
              </w:rPr>
              <w:t>nic2、nic4连接到万兆交换机1、nic3、nic5连接到万兆交换机2</w:t>
            </w:r>
            <w:r>
              <w:rPr>
                <w:rFonts w:hint="eastAsia" w:ascii="宋体" w:hAnsi="宋体" w:cs="宋体"/>
                <w:b w:val="0"/>
                <w:bCs/>
                <w:color w:val="auto"/>
                <w:szCs w:val="21"/>
                <w:highlight w:val="none"/>
                <w:lang w:val="en-US" w:eastAsia="zh-CN"/>
              </w:rPr>
              <w:t>。</w:t>
            </w:r>
          </w:p>
          <w:p w14:paraId="6DE13FA4">
            <w:pPr>
              <w:keepNext w:val="0"/>
              <w:keepLines w:val="0"/>
              <w:pageBreakBefore w:val="0"/>
              <w:widowControl/>
              <w:kinsoku/>
              <w:wordWrap w:val="0"/>
              <w:overflowPunct/>
              <w:topLinePunct w:val="0"/>
              <w:autoSpaceDE/>
              <w:autoSpaceDN/>
              <w:bidi w:val="0"/>
              <w:spacing w:line="360" w:lineRule="exact"/>
              <w:jc w:val="left"/>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6. 编辑群集功能（HA或DRS），打开虚拟化集群功能，添加虚拟化磁盘组功能，配置DRS信息，创建虚拟机/主机规则，配置HA信息</w:t>
            </w:r>
            <w:r>
              <w:rPr>
                <w:rFonts w:hint="eastAsia" w:ascii="宋体" w:hAnsi="宋体" w:cs="宋体"/>
                <w:b w:val="0"/>
                <w:bCs/>
                <w:color w:val="auto"/>
                <w:szCs w:val="21"/>
                <w:highlight w:val="none"/>
                <w:lang w:val="en-US" w:eastAsia="zh-CN"/>
              </w:rPr>
              <w:t>。</w:t>
            </w:r>
          </w:p>
          <w:p w14:paraId="6829A4F5">
            <w:pPr>
              <w:keepNext w:val="0"/>
              <w:keepLines w:val="0"/>
              <w:pageBreakBefore w:val="0"/>
              <w:widowControl/>
              <w:kinsoku/>
              <w:wordWrap w:val="0"/>
              <w:overflowPunct/>
              <w:topLinePunct w:val="0"/>
              <w:autoSpaceDE/>
              <w:autoSpaceDN/>
              <w:bidi w:val="0"/>
              <w:spacing w:line="360" w:lineRule="exact"/>
              <w:jc w:val="left"/>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7.配置存储虚拟化功能，将</w:t>
            </w:r>
            <w:r>
              <w:rPr>
                <w:rFonts w:hint="eastAsia" w:ascii="宋体" w:hAnsi="宋体" w:cs="宋体"/>
                <w:b w:val="0"/>
                <w:bCs/>
                <w:color w:val="auto"/>
                <w:szCs w:val="21"/>
                <w:highlight w:val="none"/>
                <w:lang w:val="en-US" w:eastAsia="zh-CN"/>
              </w:rPr>
              <w:t>参考或相当于</w:t>
            </w:r>
            <w:r>
              <w:rPr>
                <w:rFonts w:hint="eastAsia" w:ascii="宋体" w:hAnsi="宋体" w:eastAsia="宋体" w:cs="宋体"/>
                <w:b w:val="0"/>
                <w:bCs/>
                <w:color w:val="auto"/>
                <w:szCs w:val="21"/>
                <w:highlight w:val="none"/>
                <w:lang w:val="en-US" w:eastAsia="zh-CN"/>
              </w:rPr>
              <w:t>ESXi主机添加到存储虚拟化组，并创建虚拟机存储策略</w:t>
            </w:r>
            <w:r>
              <w:rPr>
                <w:rFonts w:hint="eastAsia" w:ascii="宋体" w:hAnsi="宋体" w:cs="宋体"/>
                <w:b w:val="0"/>
                <w:bCs/>
                <w:color w:val="auto"/>
                <w:szCs w:val="21"/>
                <w:highlight w:val="none"/>
                <w:lang w:val="en-US" w:eastAsia="zh-CN"/>
              </w:rPr>
              <w:t>。</w:t>
            </w:r>
          </w:p>
          <w:p w14:paraId="25F64B86">
            <w:pPr>
              <w:keepNext w:val="0"/>
              <w:keepLines w:val="0"/>
              <w:pageBreakBefore w:val="0"/>
              <w:widowControl/>
              <w:kinsoku/>
              <w:wordWrap w:val="0"/>
              <w:overflowPunct/>
              <w:topLinePunct w:val="0"/>
              <w:autoSpaceDE/>
              <w:autoSpaceDN/>
              <w:bidi w:val="0"/>
              <w:spacing w:line="360" w:lineRule="exact"/>
              <w:jc w:val="left"/>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8.配置完成后将原有的虚拟机迁移部分到新的节点服务器，分散原有集群的计算、存储、网络压力，包括业务系统和存储数据</w:t>
            </w:r>
            <w:r>
              <w:rPr>
                <w:rFonts w:hint="eastAsia" w:ascii="宋体" w:hAnsi="宋体" w:cs="宋体"/>
                <w:b w:val="0"/>
                <w:bCs/>
                <w:color w:val="auto"/>
                <w:szCs w:val="21"/>
                <w:highlight w:val="none"/>
                <w:lang w:val="en-US" w:eastAsia="zh-CN"/>
              </w:rPr>
              <w:t>。</w:t>
            </w:r>
          </w:p>
          <w:p w14:paraId="203C014D">
            <w:pPr>
              <w:keepNext w:val="0"/>
              <w:keepLines w:val="0"/>
              <w:pageBreakBefore w:val="0"/>
              <w:widowControl/>
              <w:kinsoku/>
              <w:wordWrap w:val="0"/>
              <w:overflowPunct/>
              <w:topLinePunct w:val="0"/>
              <w:autoSpaceDE/>
              <w:autoSpaceDN/>
              <w:bidi w:val="0"/>
              <w:spacing w:line="360" w:lineRule="exact"/>
              <w:jc w:val="left"/>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9.新增节点服务器部署完成后，需要针对新的生产业务节点服务器与容灾机房灾备集群进行连接，配置虚拟化系统容灾功能。</w:t>
            </w:r>
          </w:p>
          <w:p w14:paraId="04220129">
            <w:pPr>
              <w:keepNext w:val="0"/>
              <w:keepLines w:val="0"/>
              <w:pageBreakBefore w:val="0"/>
              <w:widowControl/>
              <w:kinsoku/>
              <w:wordWrap w:val="0"/>
              <w:overflowPunct/>
              <w:topLinePunct w:val="0"/>
              <w:autoSpaceDE/>
              <w:autoSpaceDN/>
              <w:bidi w:val="0"/>
              <w:spacing w:line="360" w:lineRule="exact"/>
              <w:jc w:val="left"/>
              <w:textAlignment w:val="auto"/>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二、超融合平台</w:t>
            </w:r>
          </w:p>
          <w:p w14:paraId="7D2DB781">
            <w:pPr>
              <w:keepNext w:val="0"/>
              <w:keepLines w:val="0"/>
              <w:pageBreakBefore w:val="0"/>
              <w:widowControl/>
              <w:kinsoku/>
              <w:wordWrap w:val="0"/>
              <w:overflowPunct/>
              <w:topLinePunct w:val="0"/>
              <w:autoSpaceDE/>
              <w:autoSpaceDN/>
              <w:bidi w:val="0"/>
              <w:spacing w:line="360" w:lineRule="exact"/>
              <w:jc w:val="left"/>
              <w:textAlignment w:val="auto"/>
              <w:rPr>
                <w:rFonts w:hint="eastAsia" w:ascii="宋体" w:hAnsi="宋体" w:cs="宋体"/>
                <w:b/>
                <w:bCs/>
                <w:color w:val="auto"/>
                <w:kern w:val="0"/>
                <w:szCs w:val="21"/>
              </w:rPr>
            </w:pPr>
            <w:r>
              <w:rPr>
                <w:rFonts w:hint="eastAsia" w:ascii="宋体" w:hAnsi="宋体" w:cs="宋体"/>
                <w:b/>
                <w:bCs/>
                <w:color w:val="auto"/>
                <w:kern w:val="0"/>
                <w:szCs w:val="21"/>
                <w:lang w:val="en-US" w:eastAsia="zh-CN"/>
              </w:rPr>
              <w:t>▲（一）数量4套</w:t>
            </w:r>
          </w:p>
          <w:p w14:paraId="37EC0F48">
            <w:pPr>
              <w:keepNext w:val="0"/>
              <w:keepLines w:val="0"/>
              <w:pageBreakBefore w:val="0"/>
              <w:widowControl/>
              <w:kinsoku/>
              <w:wordWrap w:val="0"/>
              <w:overflowPunct/>
              <w:topLinePunct w:val="0"/>
              <w:autoSpaceDE/>
              <w:autoSpaceDN/>
              <w:bidi w:val="0"/>
              <w:spacing w:line="360" w:lineRule="exact"/>
              <w:jc w:val="left"/>
              <w:textAlignment w:val="auto"/>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（二）</w:t>
            </w:r>
            <w:r>
              <w:rPr>
                <w:rFonts w:hint="default" w:ascii="宋体" w:hAnsi="宋体" w:cs="宋体"/>
                <w:color w:val="auto"/>
                <w:kern w:val="0"/>
                <w:szCs w:val="21"/>
                <w:highlight w:val="none"/>
                <w:lang w:val="en-US" w:eastAsia="zh-CN"/>
              </w:rPr>
              <w:t>为</w:t>
            </w:r>
            <w:r>
              <w:rPr>
                <w:rFonts w:hint="eastAsia" w:ascii="宋体" w:hAnsi="宋体" w:cs="宋体"/>
                <w:color w:val="auto"/>
                <w:kern w:val="0"/>
                <w:szCs w:val="21"/>
                <w:highlight w:val="none"/>
                <w:lang w:val="en-US" w:eastAsia="zh-CN"/>
              </w:rPr>
              <w:t>采购人</w:t>
            </w:r>
            <w:r>
              <w:rPr>
                <w:rFonts w:hint="default" w:ascii="宋体" w:hAnsi="宋体" w:cs="宋体"/>
                <w:color w:val="auto"/>
                <w:kern w:val="0"/>
                <w:szCs w:val="21"/>
                <w:highlight w:val="none"/>
                <w:lang w:val="en-US" w:eastAsia="zh-CN"/>
              </w:rPr>
              <w:t>现有的</w:t>
            </w:r>
            <w:r>
              <w:rPr>
                <w:rFonts w:hint="eastAsia" w:ascii="宋体" w:hAnsi="宋体" w:cs="宋体"/>
                <w:color w:val="auto"/>
                <w:kern w:val="0"/>
                <w:szCs w:val="21"/>
                <w:highlight w:val="none"/>
                <w:lang w:val="en-US" w:eastAsia="zh-CN"/>
              </w:rPr>
              <w:t>vsphere8.0</w:t>
            </w:r>
            <w:r>
              <w:rPr>
                <w:rFonts w:hint="default" w:ascii="宋体" w:hAnsi="宋体" w:cs="宋体"/>
                <w:color w:val="auto"/>
                <w:kern w:val="0"/>
                <w:szCs w:val="21"/>
                <w:highlight w:val="none"/>
                <w:lang w:val="en-US" w:eastAsia="zh-CN"/>
              </w:rPr>
              <w:t>超融合集群升级扩容4台超融合硬件节点，每一</w:t>
            </w:r>
            <w:r>
              <w:rPr>
                <w:rFonts w:hint="eastAsia" w:ascii="宋体" w:hAnsi="宋体" w:cs="宋体"/>
                <w:color w:val="auto"/>
                <w:kern w:val="0"/>
                <w:szCs w:val="21"/>
                <w:highlight w:val="none"/>
                <w:lang w:val="en-US" w:eastAsia="zh-CN"/>
              </w:rPr>
              <w:t>套</w:t>
            </w:r>
            <w:r>
              <w:rPr>
                <w:rFonts w:hint="default" w:ascii="宋体" w:hAnsi="宋体" w:cs="宋体"/>
                <w:color w:val="auto"/>
                <w:kern w:val="0"/>
                <w:szCs w:val="21"/>
                <w:highlight w:val="none"/>
                <w:lang w:val="en-US" w:eastAsia="zh-CN"/>
              </w:rPr>
              <w:t>超融合节点硬件指标需满足下面的要求：</w:t>
            </w:r>
          </w:p>
          <w:p w14:paraId="3F0EE5A2">
            <w:pPr>
              <w:keepNext w:val="0"/>
              <w:keepLines w:val="0"/>
              <w:pageBreakBefore w:val="0"/>
              <w:widowControl/>
              <w:kinsoku/>
              <w:wordWrap w:val="0"/>
              <w:overflowPunct/>
              <w:topLinePunct w:val="0"/>
              <w:autoSpaceDE/>
              <w:autoSpaceDN/>
              <w:bidi w:val="0"/>
              <w:spacing w:line="360" w:lineRule="exact"/>
              <w:jc w:val="left"/>
              <w:textAlignment w:val="auto"/>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w:t>
            </w:r>
            <w:r>
              <w:rPr>
                <w:rFonts w:hint="default" w:ascii="宋体" w:hAnsi="宋体" w:cs="宋体"/>
                <w:color w:val="auto"/>
                <w:kern w:val="0"/>
                <w:szCs w:val="21"/>
                <w:highlight w:val="none"/>
                <w:lang w:val="en-US" w:eastAsia="zh-CN"/>
              </w:rPr>
              <w:t>硬件要求：</w:t>
            </w:r>
          </w:p>
          <w:p w14:paraId="645EFB07">
            <w:pPr>
              <w:keepNext w:val="0"/>
              <w:keepLines w:val="0"/>
              <w:pageBreakBefore w:val="0"/>
              <w:widowControl/>
              <w:kinsoku/>
              <w:wordWrap w:val="0"/>
              <w:overflowPunct/>
              <w:topLinePunct w:val="0"/>
              <w:autoSpaceDE/>
              <w:autoSpaceDN/>
              <w:bidi w:val="0"/>
              <w:spacing w:line="360" w:lineRule="exact"/>
              <w:jc w:val="left"/>
              <w:textAlignment w:val="auto"/>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w:t>
            </w:r>
            <w:r>
              <w:rPr>
                <w:rFonts w:hint="default" w:ascii="宋体" w:hAnsi="宋体" w:cs="宋体"/>
                <w:color w:val="auto"/>
                <w:kern w:val="0"/>
                <w:szCs w:val="21"/>
                <w:highlight w:val="none"/>
                <w:lang w:val="en-US" w:eastAsia="zh-CN"/>
              </w:rPr>
              <w:t>规格：2U的机架式，可以放入42U标准机柜。</w:t>
            </w:r>
          </w:p>
          <w:p w14:paraId="3D4742F3">
            <w:pPr>
              <w:keepNext w:val="0"/>
              <w:keepLines w:val="0"/>
              <w:pageBreakBefore w:val="0"/>
              <w:widowControl/>
              <w:kinsoku/>
              <w:wordWrap w:val="0"/>
              <w:overflowPunct/>
              <w:topLinePunct w:val="0"/>
              <w:autoSpaceDE/>
              <w:autoSpaceDN/>
              <w:bidi w:val="0"/>
              <w:spacing w:line="360" w:lineRule="exact"/>
              <w:jc w:val="left"/>
              <w:textAlignment w:val="auto"/>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▲（2）</w:t>
            </w:r>
            <w:r>
              <w:rPr>
                <w:rFonts w:hint="default" w:ascii="宋体" w:hAnsi="宋体" w:cs="宋体"/>
                <w:b/>
                <w:bCs/>
                <w:color w:val="auto"/>
                <w:kern w:val="0"/>
                <w:szCs w:val="21"/>
                <w:lang w:val="en-US" w:eastAsia="zh-CN"/>
              </w:rPr>
              <w:t>CPU：配置不少于2颗</w:t>
            </w:r>
            <w:r>
              <w:rPr>
                <w:rFonts w:hint="eastAsia" w:ascii="宋体" w:hAnsi="宋体" w:cs="宋体"/>
                <w:b/>
                <w:bCs/>
                <w:color w:val="auto"/>
                <w:kern w:val="0"/>
                <w:szCs w:val="21"/>
                <w:lang w:val="en-US" w:eastAsia="zh-CN"/>
              </w:rPr>
              <w:t>参考或相当于</w:t>
            </w:r>
            <w:r>
              <w:rPr>
                <w:rFonts w:hint="default" w:ascii="宋体" w:hAnsi="宋体" w:cs="宋体"/>
                <w:b/>
                <w:bCs/>
                <w:color w:val="auto"/>
                <w:kern w:val="0"/>
                <w:szCs w:val="21"/>
                <w:lang w:val="en-US" w:eastAsia="zh-CN"/>
              </w:rPr>
              <w:t>X86 Xeon Gold 5318N CPU 处理器，单颗CPU主频≥2.1GHz，核数≥24C。</w:t>
            </w:r>
          </w:p>
          <w:p w14:paraId="58A101C4">
            <w:pPr>
              <w:keepNext w:val="0"/>
              <w:keepLines w:val="0"/>
              <w:pageBreakBefore w:val="0"/>
              <w:widowControl/>
              <w:kinsoku/>
              <w:wordWrap w:val="0"/>
              <w:overflowPunct/>
              <w:topLinePunct w:val="0"/>
              <w:autoSpaceDE/>
              <w:autoSpaceDN/>
              <w:bidi w:val="0"/>
              <w:spacing w:line="360" w:lineRule="exact"/>
              <w:jc w:val="left"/>
              <w:textAlignment w:val="auto"/>
              <w:rPr>
                <w:rFonts w:hint="default" w:ascii="宋体" w:hAnsi="宋体" w:cs="宋体"/>
                <w:color w:val="auto"/>
                <w:kern w:val="0"/>
                <w:szCs w:val="21"/>
                <w:lang w:val="en-US" w:eastAsia="zh-CN"/>
              </w:rPr>
            </w:pPr>
            <w:r>
              <w:rPr>
                <w:rFonts w:hint="eastAsia" w:ascii="宋体" w:hAnsi="宋体" w:cs="宋体"/>
                <w:b/>
                <w:bCs/>
                <w:color w:val="auto"/>
                <w:kern w:val="0"/>
                <w:szCs w:val="21"/>
                <w:lang w:val="en-US" w:eastAsia="zh-CN"/>
              </w:rPr>
              <w:t>▲（3）</w:t>
            </w:r>
            <w:r>
              <w:rPr>
                <w:rFonts w:hint="default" w:ascii="宋体" w:hAnsi="宋体" w:cs="宋体"/>
                <w:b/>
                <w:bCs/>
                <w:color w:val="auto"/>
                <w:kern w:val="0"/>
                <w:szCs w:val="21"/>
                <w:lang w:val="en-US" w:eastAsia="zh-CN"/>
              </w:rPr>
              <w:t>内存：配置≥768GB DDR4  内存</w:t>
            </w:r>
            <w:r>
              <w:rPr>
                <w:rFonts w:hint="eastAsia" w:ascii="宋体" w:hAnsi="宋体" w:cs="宋体"/>
                <w:b/>
                <w:bCs/>
                <w:color w:val="auto"/>
                <w:kern w:val="0"/>
                <w:szCs w:val="21"/>
                <w:lang w:val="en-US" w:eastAsia="zh-CN"/>
              </w:rPr>
              <w:t>；</w:t>
            </w:r>
            <w:r>
              <w:rPr>
                <w:rFonts w:hint="default" w:ascii="宋体" w:hAnsi="宋体" w:cs="宋体"/>
                <w:b/>
                <w:bCs/>
                <w:color w:val="auto"/>
                <w:kern w:val="0"/>
                <w:szCs w:val="21"/>
                <w:lang w:val="en-US" w:eastAsia="zh-CN"/>
              </w:rPr>
              <w:t>支持≥32个DDR4内存，速率最高支持≥3200MT/s，支持RDIMM或LRDIMM，单颗处理器最大容量≥6TB。</w:t>
            </w:r>
          </w:p>
          <w:p w14:paraId="31B0BFDF">
            <w:pPr>
              <w:keepNext w:val="0"/>
              <w:keepLines w:val="0"/>
              <w:pageBreakBefore w:val="0"/>
              <w:widowControl/>
              <w:kinsoku/>
              <w:wordWrap w:val="0"/>
              <w:overflowPunct/>
              <w:topLinePunct w:val="0"/>
              <w:autoSpaceDE/>
              <w:autoSpaceDN/>
              <w:bidi w:val="0"/>
              <w:spacing w:line="360" w:lineRule="exact"/>
              <w:jc w:val="left"/>
              <w:textAlignment w:val="auto"/>
              <w:rPr>
                <w:rFonts w:hint="default" w:ascii="宋体" w:hAnsi="宋体" w:cs="宋体"/>
                <w:color w:val="auto"/>
                <w:kern w:val="0"/>
                <w:szCs w:val="21"/>
                <w:lang w:val="en-US" w:eastAsia="zh-CN"/>
              </w:rPr>
            </w:pPr>
            <w:r>
              <w:rPr>
                <w:rFonts w:hint="eastAsia" w:ascii="宋体" w:hAnsi="宋体" w:cs="宋体"/>
                <w:b/>
                <w:bCs/>
                <w:color w:val="auto"/>
                <w:kern w:val="0"/>
                <w:szCs w:val="21"/>
                <w:lang w:val="en-US" w:eastAsia="zh-CN"/>
              </w:rPr>
              <w:t>▲（4）</w:t>
            </w:r>
            <w:r>
              <w:rPr>
                <w:rFonts w:hint="default" w:ascii="宋体" w:hAnsi="宋体" w:cs="宋体"/>
                <w:b/>
                <w:bCs/>
                <w:color w:val="auto"/>
                <w:kern w:val="0"/>
                <w:szCs w:val="21"/>
                <w:lang w:val="en-US" w:eastAsia="zh-CN"/>
              </w:rPr>
              <w:t>硬盘：配置≥2块480GB SSD通用硬盘，≥5块≥7.68TB SSD通用硬盘，≥2块960GB SSD通用硬盘；支持热插拔SAS/SATA硬盘，兼容2.5英寸和3.5英寸硬盘。</w:t>
            </w:r>
          </w:p>
          <w:p w14:paraId="0173812A">
            <w:pPr>
              <w:keepNext w:val="0"/>
              <w:keepLines w:val="0"/>
              <w:pageBreakBefore w:val="0"/>
              <w:widowControl/>
              <w:kinsoku/>
              <w:wordWrap w:val="0"/>
              <w:overflowPunct/>
              <w:topLinePunct w:val="0"/>
              <w:autoSpaceDE/>
              <w:autoSpaceDN/>
              <w:bidi w:val="0"/>
              <w:spacing w:line="360" w:lineRule="exact"/>
              <w:jc w:val="left"/>
              <w:textAlignment w:val="auto"/>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▲（5）</w:t>
            </w:r>
            <w:r>
              <w:rPr>
                <w:rFonts w:hint="default" w:ascii="宋体" w:hAnsi="宋体" w:cs="宋体"/>
                <w:b/>
                <w:bCs/>
                <w:color w:val="auto"/>
                <w:kern w:val="0"/>
                <w:szCs w:val="21"/>
                <w:lang w:val="en-US" w:eastAsia="zh-CN"/>
              </w:rPr>
              <w:t>网卡：配备≥4个GE电口，≥4个≥10GE光口（满配万兆光模块）；</w:t>
            </w:r>
          </w:p>
          <w:p w14:paraId="3410E41A">
            <w:pPr>
              <w:keepNext w:val="0"/>
              <w:keepLines w:val="0"/>
              <w:pageBreakBefore w:val="0"/>
              <w:widowControl/>
              <w:kinsoku/>
              <w:wordWrap w:val="0"/>
              <w:overflowPunct/>
              <w:topLinePunct w:val="0"/>
              <w:autoSpaceDE/>
              <w:autoSpaceDN/>
              <w:bidi w:val="0"/>
              <w:spacing w:line="360" w:lineRule="exact"/>
              <w:jc w:val="left"/>
              <w:textAlignment w:val="auto"/>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▲（6）</w:t>
            </w:r>
            <w:r>
              <w:rPr>
                <w:rFonts w:hint="default" w:ascii="宋体" w:hAnsi="宋体" w:cs="宋体"/>
                <w:b/>
                <w:bCs/>
                <w:color w:val="auto"/>
                <w:kern w:val="0"/>
                <w:szCs w:val="21"/>
                <w:lang w:val="en-US" w:eastAsia="zh-CN"/>
              </w:rPr>
              <w:t>风扇和电源：配置支持热插拔冗余风扇模块和白金级冗余电源模块，单电源功率≥800W。</w:t>
            </w:r>
          </w:p>
          <w:p w14:paraId="4A17CB39">
            <w:pPr>
              <w:keepNext w:val="0"/>
              <w:keepLines w:val="0"/>
              <w:pageBreakBefore w:val="0"/>
              <w:widowControl/>
              <w:kinsoku/>
              <w:wordWrap w:val="0"/>
              <w:overflowPunct/>
              <w:topLinePunct w:val="0"/>
              <w:autoSpaceDE/>
              <w:autoSpaceDN/>
              <w:bidi w:val="0"/>
              <w:spacing w:line="360" w:lineRule="exact"/>
              <w:jc w:val="left"/>
              <w:textAlignment w:val="auto"/>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▲（7）</w:t>
            </w:r>
            <w:r>
              <w:rPr>
                <w:rFonts w:hint="default" w:ascii="宋体" w:hAnsi="宋体" w:cs="宋体"/>
                <w:b/>
                <w:bCs/>
                <w:color w:val="auto"/>
                <w:kern w:val="0"/>
                <w:szCs w:val="21"/>
                <w:lang w:val="en-US" w:eastAsia="zh-CN"/>
              </w:rPr>
              <w:t>阵列卡：配置不少于1块专用≥12GB 2端口Raid卡(≥2GB缓存)，含掉电保护模块，支持RAID0/1/5/6/10/50/60等。</w:t>
            </w:r>
          </w:p>
          <w:p w14:paraId="575D2441">
            <w:pPr>
              <w:keepNext w:val="0"/>
              <w:keepLines w:val="0"/>
              <w:pageBreakBefore w:val="0"/>
              <w:widowControl/>
              <w:kinsoku/>
              <w:wordWrap w:val="0"/>
              <w:overflowPunct/>
              <w:topLinePunct w:val="0"/>
              <w:autoSpaceDE/>
              <w:autoSpaceDN/>
              <w:bidi w:val="0"/>
              <w:spacing w:line="360" w:lineRule="exact"/>
              <w:jc w:val="left"/>
              <w:textAlignment w:val="auto"/>
              <w:rPr>
                <w:rFonts w:hint="default" w:ascii="宋体" w:hAnsi="宋体" w:cs="宋体"/>
                <w:color w:val="auto"/>
                <w:kern w:val="0"/>
                <w:szCs w:val="21"/>
                <w:lang w:val="en-US" w:eastAsia="zh-CN"/>
              </w:rPr>
            </w:pPr>
            <w:r>
              <w:rPr>
                <w:rFonts w:hint="eastAsia" w:ascii="宋体" w:hAnsi="宋体" w:cs="宋体"/>
                <w:color w:val="auto"/>
                <w:kern w:val="0"/>
                <w:szCs w:val="21"/>
                <w:highlight w:val="none"/>
                <w:lang w:val="en-US" w:eastAsia="zh-CN"/>
              </w:rPr>
              <w:t>（8）</w:t>
            </w:r>
            <w:r>
              <w:rPr>
                <w:rFonts w:hint="default" w:ascii="宋体" w:hAnsi="宋体" w:cs="宋体"/>
                <w:color w:val="auto"/>
                <w:kern w:val="0"/>
                <w:szCs w:val="21"/>
                <w:highlight w:val="none"/>
                <w:lang w:val="en-US" w:eastAsia="zh-CN"/>
              </w:rPr>
              <w:t>支</w:t>
            </w:r>
            <w:r>
              <w:rPr>
                <w:rFonts w:hint="default" w:ascii="宋体" w:hAnsi="宋体" w:cs="宋体"/>
                <w:color w:val="auto"/>
                <w:kern w:val="0"/>
                <w:szCs w:val="21"/>
                <w:lang w:val="en-US" w:eastAsia="zh-CN"/>
              </w:rPr>
              <w:t>持LCD可触摸智能管理模块，支持</w:t>
            </w:r>
            <w:r>
              <w:rPr>
                <w:rFonts w:hint="default" w:ascii="宋体" w:hAnsi="宋体" w:cs="宋体"/>
                <w:b/>
                <w:bCs/>
                <w:color w:val="auto"/>
                <w:kern w:val="0"/>
                <w:szCs w:val="21"/>
                <w:lang w:val="en-US" w:eastAsia="zh-CN"/>
              </w:rPr>
              <w:t>≥</w:t>
            </w:r>
            <w:r>
              <w:rPr>
                <w:rFonts w:hint="default" w:ascii="宋体" w:hAnsi="宋体" w:cs="宋体"/>
                <w:color w:val="auto"/>
                <w:kern w:val="0"/>
                <w:szCs w:val="21"/>
                <w:lang w:val="en-US" w:eastAsia="zh-CN"/>
              </w:rPr>
              <w:t>64M本地显存</w:t>
            </w:r>
            <w:r>
              <w:rPr>
                <w:rFonts w:hint="eastAsia" w:ascii="宋体" w:hAnsi="宋体" w:eastAsia="宋体" w:cs="宋体"/>
                <w:b/>
                <w:bCs w:val="0"/>
                <w:color w:val="auto"/>
                <w:szCs w:val="21"/>
                <w:highlight w:val="none"/>
                <w:lang w:eastAsia="zh-CN"/>
              </w:rPr>
              <w:t>【投标文件中</w:t>
            </w:r>
            <w:r>
              <w:rPr>
                <w:rFonts w:hint="eastAsia" w:ascii="宋体" w:hAnsi="宋体" w:eastAsia="宋体" w:cs="宋体"/>
                <w:b/>
                <w:bCs w:val="0"/>
                <w:color w:val="auto"/>
                <w:szCs w:val="21"/>
                <w:highlight w:val="none"/>
              </w:rPr>
              <w:t>提供</w:t>
            </w:r>
            <w:r>
              <w:rPr>
                <w:rFonts w:hint="eastAsia" w:ascii="宋体" w:hAnsi="宋体" w:eastAsia="宋体" w:cs="宋体"/>
                <w:b/>
                <w:bCs w:val="0"/>
                <w:color w:val="auto"/>
                <w:szCs w:val="21"/>
                <w:highlight w:val="none"/>
                <w:lang w:eastAsia="zh-CN"/>
              </w:rPr>
              <w:t>所投产品满足本项号功能的</w:t>
            </w:r>
            <w:r>
              <w:rPr>
                <w:rFonts w:hint="eastAsia" w:ascii="宋体" w:hAnsi="宋体" w:eastAsia="宋体" w:cs="宋体"/>
                <w:b/>
                <w:bCs w:val="0"/>
                <w:color w:val="auto"/>
                <w:szCs w:val="21"/>
                <w:highlight w:val="none"/>
              </w:rPr>
              <w:t>相关</w:t>
            </w:r>
            <w:r>
              <w:rPr>
                <w:rFonts w:hint="eastAsia" w:ascii="宋体" w:hAnsi="宋体" w:eastAsia="宋体" w:cs="宋体"/>
                <w:b/>
                <w:bCs w:val="0"/>
                <w:color w:val="auto"/>
                <w:szCs w:val="21"/>
                <w:highlight w:val="none"/>
                <w:lang w:eastAsia="zh-CN"/>
              </w:rPr>
              <w:t>有效</w:t>
            </w:r>
            <w:r>
              <w:rPr>
                <w:rFonts w:hint="eastAsia" w:ascii="宋体" w:hAnsi="宋体" w:eastAsia="宋体" w:cs="宋体"/>
                <w:b/>
                <w:bCs w:val="0"/>
                <w:color w:val="auto"/>
                <w:szCs w:val="21"/>
                <w:highlight w:val="none"/>
              </w:rPr>
              <w:t>证明材料</w:t>
            </w:r>
            <w:r>
              <w:rPr>
                <w:rFonts w:hint="eastAsia" w:ascii="宋体" w:hAnsi="宋体" w:eastAsia="宋体" w:cs="宋体"/>
                <w:b/>
                <w:bCs w:val="0"/>
                <w:color w:val="auto"/>
                <w:szCs w:val="21"/>
                <w:highlight w:val="none"/>
                <w:lang w:eastAsia="zh-CN"/>
              </w:rPr>
              <w:t>复印件（可以是</w:t>
            </w:r>
            <w:r>
              <w:rPr>
                <w:rFonts w:hint="eastAsia" w:ascii="宋体" w:hAnsi="宋体" w:eastAsia="宋体" w:cs="宋体"/>
                <w:b/>
                <w:bCs w:val="0"/>
                <w:color w:val="auto"/>
                <w:szCs w:val="21"/>
                <w:highlight w:val="none"/>
              </w:rPr>
              <w:t>彩页或官网、功能截图或</w:t>
            </w:r>
            <w:r>
              <w:rPr>
                <w:rFonts w:hint="eastAsia" w:ascii="宋体" w:hAnsi="宋体" w:cs="宋体"/>
                <w:b/>
                <w:bCs/>
                <w:color w:val="auto"/>
                <w:kern w:val="0"/>
                <w:szCs w:val="21"/>
                <w:highlight w:val="none"/>
                <w:lang w:eastAsia="zh-CN"/>
              </w:rPr>
              <w:t>由通过CMA认证或CNAS认证的国家认可的第三方检测机构出具的检测报告复印件</w:t>
            </w:r>
            <w:r>
              <w:rPr>
                <w:rFonts w:hint="eastAsia" w:ascii="宋体" w:hAnsi="宋体" w:eastAsia="宋体" w:cs="宋体"/>
                <w:b/>
                <w:bCs w:val="0"/>
                <w:color w:val="auto"/>
                <w:szCs w:val="21"/>
                <w:highlight w:val="none"/>
              </w:rPr>
              <w:t>等）</w:t>
            </w:r>
            <w:r>
              <w:rPr>
                <w:rFonts w:hint="eastAsia" w:ascii="宋体" w:hAnsi="宋体" w:eastAsia="宋体" w:cs="宋体"/>
                <w:b/>
                <w:bCs w:val="0"/>
                <w:color w:val="auto"/>
                <w:szCs w:val="21"/>
                <w:highlight w:val="none"/>
                <w:lang w:eastAsia="zh-CN"/>
              </w:rPr>
              <w:t>，加盖投标人电子签章】</w:t>
            </w:r>
            <w:r>
              <w:rPr>
                <w:rFonts w:hint="eastAsia" w:ascii="宋体" w:hAnsi="宋体" w:cs="宋体"/>
                <w:b/>
                <w:bCs w:val="0"/>
                <w:color w:val="auto"/>
                <w:szCs w:val="21"/>
                <w:highlight w:val="none"/>
                <w:lang w:eastAsia="zh-CN"/>
              </w:rPr>
              <w:t>。</w:t>
            </w:r>
          </w:p>
          <w:p w14:paraId="5E180023">
            <w:pPr>
              <w:keepNext w:val="0"/>
              <w:keepLines w:val="0"/>
              <w:pageBreakBefore w:val="0"/>
              <w:widowControl/>
              <w:kinsoku/>
              <w:wordWrap w:val="0"/>
              <w:overflowPunct/>
              <w:topLinePunct w:val="0"/>
              <w:autoSpaceDE/>
              <w:autoSpaceDN/>
              <w:bidi w:val="0"/>
              <w:spacing w:line="360" w:lineRule="exact"/>
              <w:jc w:val="left"/>
              <w:textAlignment w:val="auto"/>
              <w:rPr>
                <w:rFonts w:hint="default" w:ascii="宋体" w:hAnsi="宋体" w:cs="宋体"/>
                <w:color w:val="auto"/>
                <w:kern w:val="0"/>
                <w:szCs w:val="21"/>
                <w:lang w:val="en-US" w:eastAsia="zh-CN"/>
              </w:rPr>
            </w:pPr>
            <w:r>
              <w:rPr>
                <w:rFonts w:hint="eastAsia" w:ascii="宋体" w:hAnsi="宋体" w:cs="宋体"/>
                <w:color w:val="auto"/>
                <w:kern w:val="0"/>
                <w:szCs w:val="21"/>
                <w:highlight w:val="none"/>
                <w:lang w:val="en-US" w:eastAsia="zh-CN"/>
              </w:rPr>
              <w:t>（9）</w:t>
            </w:r>
            <w:r>
              <w:rPr>
                <w:rFonts w:hint="default" w:ascii="宋体" w:hAnsi="宋体" w:cs="宋体"/>
                <w:color w:val="auto"/>
                <w:kern w:val="0"/>
                <w:szCs w:val="21"/>
                <w:highlight w:val="none"/>
                <w:lang w:val="en-US" w:eastAsia="zh-CN"/>
              </w:rPr>
              <w:t>3D</w:t>
            </w:r>
            <w:r>
              <w:rPr>
                <w:rFonts w:hint="default" w:ascii="宋体" w:hAnsi="宋体" w:cs="宋体"/>
                <w:color w:val="auto"/>
                <w:kern w:val="0"/>
                <w:szCs w:val="21"/>
                <w:lang w:val="en-US" w:eastAsia="zh-CN"/>
              </w:rPr>
              <w:t>温度展示：支持3D温度展示各组件温度传感器的分布图</w:t>
            </w:r>
            <w:r>
              <w:rPr>
                <w:rFonts w:hint="eastAsia" w:ascii="宋体" w:hAnsi="宋体" w:eastAsia="宋体" w:cs="宋体"/>
                <w:b/>
                <w:bCs w:val="0"/>
                <w:color w:val="auto"/>
                <w:szCs w:val="21"/>
                <w:highlight w:val="none"/>
                <w:lang w:eastAsia="zh-CN"/>
              </w:rPr>
              <w:t>【投标文件中</w:t>
            </w:r>
            <w:r>
              <w:rPr>
                <w:rFonts w:hint="eastAsia" w:ascii="宋体" w:hAnsi="宋体" w:eastAsia="宋体" w:cs="宋体"/>
                <w:b/>
                <w:bCs w:val="0"/>
                <w:color w:val="auto"/>
                <w:szCs w:val="21"/>
                <w:highlight w:val="none"/>
              </w:rPr>
              <w:t>提供</w:t>
            </w:r>
            <w:r>
              <w:rPr>
                <w:rFonts w:hint="eastAsia" w:ascii="宋体" w:hAnsi="宋体" w:eastAsia="宋体" w:cs="宋体"/>
                <w:b/>
                <w:bCs w:val="0"/>
                <w:color w:val="auto"/>
                <w:szCs w:val="21"/>
                <w:highlight w:val="none"/>
                <w:lang w:eastAsia="zh-CN"/>
              </w:rPr>
              <w:t>所投产品满足本项号功能的</w:t>
            </w:r>
            <w:r>
              <w:rPr>
                <w:rFonts w:hint="eastAsia" w:ascii="宋体" w:hAnsi="宋体" w:eastAsia="宋体" w:cs="宋体"/>
                <w:b/>
                <w:bCs w:val="0"/>
                <w:color w:val="auto"/>
                <w:szCs w:val="21"/>
                <w:highlight w:val="none"/>
              </w:rPr>
              <w:t>相关</w:t>
            </w:r>
            <w:r>
              <w:rPr>
                <w:rFonts w:hint="eastAsia" w:ascii="宋体" w:hAnsi="宋体" w:eastAsia="宋体" w:cs="宋体"/>
                <w:b/>
                <w:bCs w:val="0"/>
                <w:color w:val="auto"/>
                <w:szCs w:val="21"/>
                <w:highlight w:val="none"/>
                <w:lang w:eastAsia="zh-CN"/>
              </w:rPr>
              <w:t>有效</w:t>
            </w:r>
            <w:r>
              <w:rPr>
                <w:rFonts w:hint="eastAsia" w:ascii="宋体" w:hAnsi="宋体" w:eastAsia="宋体" w:cs="宋体"/>
                <w:b/>
                <w:bCs w:val="0"/>
                <w:color w:val="auto"/>
                <w:szCs w:val="21"/>
                <w:highlight w:val="none"/>
              </w:rPr>
              <w:t>证明材料</w:t>
            </w:r>
            <w:r>
              <w:rPr>
                <w:rFonts w:hint="eastAsia" w:ascii="宋体" w:hAnsi="宋体" w:eastAsia="宋体" w:cs="宋体"/>
                <w:b/>
                <w:bCs w:val="0"/>
                <w:color w:val="auto"/>
                <w:szCs w:val="21"/>
                <w:highlight w:val="none"/>
                <w:lang w:eastAsia="zh-CN"/>
              </w:rPr>
              <w:t>复印件（可以是</w:t>
            </w:r>
            <w:r>
              <w:rPr>
                <w:rFonts w:hint="eastAsia" w:ascii="宋体" w:hAnsi="宋体" w:eastAsia="宋体" w:cs="宋体"/>
                <w:b/>
                <w:bCs w:val="0"/>
                <w:color w:val="auto"/>
                <w:szCs w:val="21"/>
                <w:highlight w:val="none"/>
              </w:rPr>
              <w:t>彩页或官网、功能截图或</w:t>
            </w:r>
            <w:r>
              <w:rPr>
                <w:rFonts w:hint="eastAsia" w:ascii="宋体" w:hAnsi="宋体" w:cs="宋体"/>
                <w:b/>
                <w:bCs/>
                <w:color w:val="auto"/>
                <w:kern w:val="0"/>
                <w:szCs w:val="21"/>
                <w:highlight w:val="none"/>
                <w:lang w:eastAsia="zh-CN"/>
              </w:rPr>
              <w:t>由通过CMA认证或CNAS认证的国家认可的第三方检测机构出具的检测报告复印件</w:t>
            </w:r>
            <w:r>
              <w:rPr>
                <w:rFonts w:hint="eastAsia" w:ascii="宋体" w:hAnsi="宋体" w:eastAsia="宋体" w:cs="宋体"/>
                <w:b/>
                <w:bCs w:val="0"/>
                <w:color w:val="auto"/>
                <w:szCs w:val="21"/>
                <w:highlight w:val="none"/>
              </w:rPr>
              <w:t>等）</w:t>
            </w:r>
            <w:r>
              <w:rPr>
                <w:rFonts w:hint="eastAsia" w:ascii="宋体" w:hAnsi="宋体" w:eastAsia="宋体" w:cs="宋体"/>
                <w:b/>
                <w:bCs w:val="0"/>
                <w:color w:val="auto"/>
                <w:szCs w:val="21"/>
                <w:highlight w:val="none"/>
                <w:lang w:eastAsia="zh-CN"/>
              </w:rPr>
              <w:t>，加盖投标人电子签章】</w:t>
            </w:r>
            <w:r>
              <w:rPr>
                <w:rFonts w:hint="eastAsia" w:ascii="宋体" w:hAnsi="宋体" w:cs="宋体"/>
                <w:b/>
                <w:bCs w:val="0"/>
                <w:color w:val="auto"/>
                <w:szCs w:val="21"/>
                <w:highlight w:val="none"/>
                <w:lang w:eastAsia="zh-CN"/>
              </w:rPr>
              <w:t>。</w:t>
            </w:r>
          </w:p>
          <w:p w14:paraId="7AB818B1">
            <w:pPr>
              <w:keepNext w:val="0"/>
              <w:keepLines w:val="0"/>
              <w:pageBreakBefore w:val="0"/>
              <w:widowControl/>
              <w:kinsoku/>
              <w:wordWrap w:val="0"/>
              <w:overflowPunct/>
              <w:topLinePunct w:val="0"/>
              <w:autoSpaceDE/>
              <w:autoSpaceDN/>
              <w:bidi w:val="0"/>
              <w:spacing w:line="360" w:lineRule="exact"/>
              <w:jc w:val="left"/>
              <w:textAlignment w:val="auto"/>
              <w:rPr>
                <w:rFonts w:hint="default" w:ascii="宋体" w:hAnsi="宋体" w:cs="宋体"/>
                <w:color w:val="auto"/>
                <w:kern w:val="0"/>
                <w:szCs w:val="21"/>
                <w:lang w:val="en-US" w:eastAsia="zh-CN"/>
              </w:rPr>
            </w:pPr>
            <w:r>
              <w:rPr>
                <w:rFonts w:hint="eastAsia" w:ascii="宋体" w:hAnsi="宋体" w:cs="宋体"/>
                <w:color w:val="auto"/>
                <w:kern w:val="0"/>
                <w:szCs w:val="21"/>
                <w:highlight w:val="none"/>
                <w:lang w:val="en-US" w:eastAsia="zh-CN"/>
              </w:rPr>
              <w:t>（10）</w:t>
            </w:r>
            <w:r>
              <w:rPr>
                <w:rFonts w:hint="default" w:ascii="宋体" w:hAnsi="宋体" w:cs="宋体"/>
                <w:color w:val="auto"/>
                <w:kern w:val="0"/>
                <w:szCs w:val="21"/>
                <w:highlight w:val="none"/>
                <w:lang w:val="en-US" w:eastAsia="zh-CN"/>
              </w:rPr>
              <w:t>联合管理：设备自带小规模服务器统一管理的能力（管理服务器的数量≥5台），对已添</w:t>
            </w:r>
            <w:r>
              <w:rPr>
                <w:rFonts w:hint="default" w:ascii="宋体" w:hAnsi="宋体" w:cs="宋体"/>
                <w:color w:val="auto"/>
                <w:kern w:val="0"/>
                <w:szCs w:val="21"/>
                <w:lang w:val="en-US" w:eastAsia="zh-CN"/>
              </w:rPr>
              <w:t>加的服务器设备查看可管理设备的基本状态信息、执行电源管理，KVM访问、批量删除等</w:t>
            </w:r>
            <w:r>
              <w:rPr>
                <w:rFonts w:hint="eastAsia" w:ascii="宋体" w:hAnsi="宋体" w:eastAsia="宋体" w:cs="宋体"/>
                <w:b/>
                <w:bCs w:val="0"/>
                <w:color w:val="auto"/>
                <w:szCs w:val="21"/>
                <w:highlight w:val="none"/>
                <w:lang w:eastAsia="zh-CN"/>
              </w:rPr>
              <w:t>【投标文件中</w:t>
            </w:r>
            <w:r>
              <w:rPr>
                <w:rFonts w:hint="eastAsia" w:ascii="宋体" w:hAnsi="宋体" w:eastAsia="宋体" w:cs="宋体"/>
                <w:b/>
                <w:bCs w:val="0"/>
                <w:color w:val="auto"/>
                <w:szCs w:val="21"/>
                <w:highlight w:val="none"/>
              </w:rPr>
              <w:t>提供</w:t>
            </w:r>
            <w:r>
              <w:rPr>
                <w:rFonts w:hint="eastAsia" w:ascii="宋体" w:hAnsi="宋体" w:eastAsia="宋体" w:cs="宋体"/>
                <w:b/>
                <w:bCs w:val="0"/>
                <w:color w:val="auto"/>
                <w:szCs w:val="21"/>
                <w:highlight w:val="none"/>
                <w:lang w:eastAsia="zh-CN"/>
              </w:rPr>
              <w:t>所投产品满足本项号功能的</w:t>
            </w:r>
            <w:r>
              <w:rPr>
                <w:rFonts w:hint="eastAsia" w:ascii="宋体" w:hAnsi="宋体" w:eastAsia="宋体" w:cs="宋体"/>
                <w:b/>
                <w:bCs w:val="0"/>
                <w:color w:val="auto"/>
                <w:szCs w:val="21"/>
                <w:highlight w:val="none"/>
              </w:rPr>
              <w:t>相关</w:t>
            </w:r>
            <w:r>
              <w:rPr>
                <w:rFonts w:hint="eastAsia" w:ascii="宋体" w:hAnsi="宋体" w:eastAsia="宋体" w:cs="宋体"/>
                <w:b/>
                <w:bCs w:val="0"/>
                <w:color w:val="auto"/>
                <w:szCs w:val="21"/>
                <w:highlight w:val="none"/>
                <w:lang w:eastAsia="zh-CN"/>
              </w:rPr>
              <w:t>有效</w:t>
            </w:r>
            <w:r>
              <w:rPr>
                <w:rFonts w:hint="eastAsia" w:ascii="宋体" w:hAnsi="宋体" w:eastAsia="宋体" w:cs="宋体"/>
                <w:b/>
                <w:bCs w:val="0"/>
                <w:color w:val="auto"/>
                <w:szCs w:val="21"/>
                <w:highlight w:val="none"/>
              </w:rPr>
              <w:t>证明材料</w:t>
            </w:r>
            <w:r>
              <w:rPr>
                <w:rFonts w:hint="eastAsia" w:ascii="宋体" w:hAnsi="宋体" w:eastAsia="宋体" w:cs="宋体"/>
                <w:b/>
                <w:bCs w:val="0"/>
                <w:color w:val="auto"/>
                <w:szCs w:val="21"/>
                <w:highlight w:val="none"/>
                <w:lang w:eastAsia="zh-CN"/>
              </w:rPr>
              <w:t>复印件（可以是</w:t>
            </w:r>
            <w:r>
              <w:rPr>
                <w:rFonts w:hint="eastAsia" w:ascii="宋体" w:hAnsi="宋体" w:eastAsia="宋体" w:cs="宋体"/>
                <w:b/>
                <w:bCs w:val="0"/>
                <w:color w:val="auto"/>
                <w:szCs w:val="21"/>
                <w:highlight w:val="none"/>
              </w:rPr>
              <w:t>彩页或官网、功能截图或</w:t>
            </w:r>
            <w:r>
              <w:rPr>
                <w:rFonts w:hint="eastAsia" w:ascii="宋体" w:hAnsi="宋体" w:cs="宋体"/>
                <w:b/>
                <w:bCs/>
                <w:color w:val="auto"/>
                <w:kern w:val="0"/>
                <w:szCs w:val="21"/>
                <w:highlight w:val="none"/>
                <w:lang w:eastAsia="zh-CN"/>
              </w:rPr>
              <w:t>由通过CMA认证或CNAS认证的国家认可的第三方检测机构出具的检测报告复印件</w:t>
            </w:r>
            <w:r>
              <w:rPr>
                <w:rFonts w:hint="eastAsia" w:ascii="宋体" w:hAnsi="宋体" w:eastAsia="宋体" w:cs="宋体"/>
                <w:b/>
                <w:bCs w:val="0"/>
                <w:color w:val="auto"/>
                <w:szCs w:val="21"/>
                <w:highlight w:val="none"/>
              </w:rPr>
              <w:t>等）</w:t>
            </w:r>
            <w:r>
              <w:rPr>
                <w:rFonts w:hint="eastAsia" w:ascii="宋体" w:hAnsi="宋体" w:eastAsia="宋体" w:cs="宋体"/>
                <w:b/>
                <w:bCs w:val="0"/>
                <w:color w:val="auto"/>
                <w:szCs w:val="21"/>
                <w:highlight w:val="none"/>
                <w:lang w:eastAsia="zh-CN"/>
              </w:rPr>
              <w:t>，加盖投标人电子签章】</w:t>
            </w:r>
            <w:r>
              <w:rPr>
                <w:rFonts w:hint="default" w:ascii="宋体" w:hAnsi="宋体" w:cs="宋体"/>
                <w:color w:val="auto"/>
                <w:kern w:val="0"/>
                <w:szCs w:val="21"/>
                <w:lang w:val="en-US" w:eastAsia="zh-CN"/>
              </w:rPr>
              <w:t>。</w:t>
            </w:r>
          </w:p>
          <w:p w14:paraId="1B73F5A0">
            <w:pPr>
              <w:keepNext w:val="0"/>
              <w:keepLines w:val="0"/>
              <w:pageBreakBefore w:val="0"/>
              <w:widowControl/>
              <w:kinsoku/>
              <w:wordWrap w:val="0"/>
              <w:overflowPunct/>
              <w:topLinePunct w:val="0"/>
              <w:autoSpaceDE/>
              <w:autoSpaceDN/>
              <w:bidi w:val="0"/>
              <w:spacing w:line="360" w:lineRule="exact"/>
              <w:jc w:val="left"/>
              <w:textAlignment w:val="auto"/>
              <w:rPr>
                <w:rFonts w:hint="default" w:ascii="宋体" w:hAnsi="宋体" w:cs="宋体"/>
                <w:color w:val="auto"/>
                <w:kern w:val="0"/>
                <w:szCs w:val="21"/>
                <w:lang w:val="en-US" w:eastAsia="zh-CN"/>
              </w:rPr>
            </w:pPr>
            <w:r>
              <w:rPr>
                <w:rFonts w:hint="eastAsia" w:ascii="宋体" w:hAnsi="宋体" w:cs="宋体"/>
                <w:color w:val="auto"/>
                <w:kern w:val="0"/>
                <w:szCs w:val="21"/>
                <w:highlight w:val="none"/>
                <w:lang w:val="en-US" w:eastAsia="zh-CN"/>
              </w:rPr>
              <w:t>（11）</w:t>
            </w:r>
            <w:r>
              <w:rPr>
                <w:rFonts w:hint="default" w:ascii="宋体" w:hAnsi="宋体" w:cs="宋体"/>
                <w:b w:val="0"/>
                <w:bCs w:val="0"/>
                <w:color w:val="auto"/>
                <w:kern w:val="0"/>
                <w:szCs w:val="21"/>
                <w:lang w:val="en-US" w:eastAsia="zh-CN"/>
              </w:rPr>
              <w:t>支持≥14个PCIe 4.0标准插槽和≥1个O</w:t>
            </w:r>
            <w:r>
              <w:rPr>
                <w:rFonts w:hint="default" w:ascii="宋体" w:hAnsi="宋体" w:cs="宋体"/>
                <w:color w:val="auto"/>
                <w:kern w:val="0"/>
                <w:szCs w:val="21"/>
                <w:lang w:val="en-US" w:eastAsia="zh-CN"/>
              </w:rPr>
              <w:t>CP 3.0插槽（PCIe 4.0速率）</w:t>
            </w:r>
            <w:r>
              <w:rPr>
                <w:rFonts w:hint="eastAsia" w:ascii="宋体" w:hAnsi="宋体" w:eastAsia="宋体" w:cs="宋体"/>
                <w:b/>
                <w:bCs w:val="0"/>
                <w:color w:val="auto"/>
                <w:szCs w:val="21"/>
                <w:highlight w:val="none"/>
                <w:lang w:eastAsia="zh-CN"/>
              </w:rPr>
              <w:t>【投标文件中</w:t>
            </w:r>
            <w:r>
              <w:rPr>
                <w:rFonts w:hint="eastAsia" w:ascii="宋体" w:hAnsi="宋体" w:eastAsia="宋体" w:cs="宋体"/>
                <w:b/>
                <w:bCs w:val="0"/>
                <w:color w:val="auto"/>
                <w:szCs w:val="21"/>
                <w:highlight w:val="none"/>
              </w:rPr>
              <w:t>提供</w:t>
            </w:r>
            <w:r>
              <w:rPr>
                <w:rFonts w:hint="eastAsia" w:ascii="宋体" w:hAnsi="宋体" w:eastAsia="宋体" w:cs="宋体"/>
                <w:b/>
                <w:bCs w:val="0"/>
                <w:color w:val="auto"/>
                <w:szCs w:val="21"/>
                <w:highlight w:val="none"/>
                <w:lang w:eastAsia="zh-CN"/>
              </w:rPr>
              <w:t>所投产品满足本项号功能的</w:t>
            </w:r>
            <w:r>
              <w:rPr>
                <w:rFonts w:hint="eastAsia" w:ascii="宋体" w:hAnsi="宋体" w:eastAsia="宋体" w:cs="宋体"/>
                <w:b/>
                <w:bCs w:val="0"/>
                <w:color w:val="auto"/>
                <w:szCs w:val="21"/>
                <w:highlight w:val="none"/>
              </w:rPr>
              <w:t>相关</w:t>
            </w:r>
            <w:r>
              <w:rPr>
                <w:rFonts w:hint="eastAsia" w:ascii="宋体" w:hAnsi="宋体" w:eastAsia="宋体" w:cs="宋体"/>
                <w:b/>
                <w:bCs w:val="0"/>
                <w:color w:val="auto"/>
                <w:szCs w:val="21"/>
                <w:highlight w:val="none"/>
                <w:lang w:eastAsia="zh-CN"/>
              </w:rPr>
              <w:t>有效</w:t>
            </w:r>
            <w:r>
              <w:rPr>
                <w:rFonts w:hint="eastAsia" w:ascii="宋体" w:hAnsi="宋体" w:eastAsia="宋体" w:cs="宋体"/>
                <w:b/>
                <w:bCs w:val="0"/>
                <w:color w:val="auto"/>
                <w:szCs w:val="21"/>
                <w:highlight w:val="none"/>
              </w:rPr>
              <w:t>证明材料</w:t>
            </w:r>
            <w:r>
              <w:rPr>
                <w:rFonts w:hint="eastAsia" w:ascii="宋体" w:hAnsi="宋体" w:eastAsia="宋体" w:cs="宋体"/>
                <w:b/>
                <w:bCs w:val="0"/>
                <w:color w:val="auto"/>
                <w:szCs w:val="21"/>
                <w:highlight w:val="none"/>
                <w:lang w:eastAsia="zh-CN"/>
              </w:rPr>
              <w:t>复印件（可以是</w:t>
            </w:r>
            <w:r>
              <w:rPr>
                <w:rFonts w:hint="eastAsia" w:ascii="宋体" w:hAnsi="宋体" w:eastAsia="宋体" w:cs="宋体"/>
                <w:b/>
                <w:bCs w:val="0"/>
                <w:color w:val="auto"/>
                <w:szCs w:val="21"/>
                <w:highlight w:val="none"/>
              </w:rPr>
              <w:t>彩页或官网、功能截图或</w:t>
            </w:r>
            <w:r>
              <w:rPr>
                <w:rFonts w:hint="eastAsia" w:ascii="宋体" w:hAnsi="宋体" w:cs="宋体"/>
                <w:b/>
                <w:bCs/>
                <w:color w:val="auto"/>
                <w:kern w:val="0"/>
                <w:szCs w:val="21"/>
                <w:highlight w:val="none"/>
                <w:lang w:eastAsia="zh-CN"/>
              </w:rPr>
              <w:t>由通过CMA认证或CNAS认证的国家认可的第三方检测机构出具的检测报告复印件</w:t>
            </w:r>
            <w:r>
              <w:rPr>
                <w:rFonts w:hint="eastAsia" w:ascii="宋体" w:hAnsi="宋体" w:eastAsia="宋体" w:cs="宋体"/>
                <w:b/>
                <w:bCs w:val="0"/>
                <w:color w:val="auto"/>
                <w:szCs w:val="21"/>
                <w:highlight w:val="none"/>
              </w:rPr>
              <w:t>等）</w:t>
            </w:r>
            <w:r>
              <w:rPr>
                <w:rFonts w:hint="eastAsia" w:ascii="宋体" w:hAnsi="宋体" w:eastAsia="宋体" w:cs="宋体"/>
                <w:b/>
                <w:bCs w:val="0"/>
                <w:color w:val="auto"/>
                <w:szCs w:val="21"/>
                <w:highlight w:val="none"/>
                <w:lang w:eastAsia="zh-CN"/>
              </w:rPr>
              <w:t>，加盖投标人电子签章】</w:t>
            </w:r>
            <w:r>
              <w:rPr>
                <w:rFonts w:hint="default" w:ascii="宋体" w:hAnsi="宋体" w:cs="宋体"/>
                <w:color w:val="auto"/>
                <w:kern w:val="0"/>
                <w:szCs w:val="21"/>
                <w:lang w:val="en-US" w:eastAsia="zh-CN"/>
              </w:rPr>
              <w:t>。</w:t>
            </w:r>
          </w:p>
          <w:p w14:paraId="389CB299">
            <w:pPr>
              <w:keepNext w:val="0"/>
              <w:keepLines w:val="0"/>
              <w:pageBreakBefore w:val="0"/>
              <w:widowControl/>
              <w:kinsoku/>
              <w:wordWrap w:val="0"/>
              <w:overflowPunct/>
              <w:topLinePunct w:val="0"/>
              <w:autoSpaceDE/>
              <w:autoSpaceDN/>
              <w:bidi w:val="0"/>
              <w:spacing w:line="360" w:lineRule="exact"/>
              <w:jc w:val="left"/>
              <w:textAlignment w:val="auto"/>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（12）</w:t>
            </w:r>
            <w:r>
              <w:rPr>
                <w:rFonts w:hint="default" w:ascii="宋体" w:hAnsi="宋体" w:cs="宋体"/>
                <w:b w:val="0"/>
                <w:bCs w:val="0"/>
                <w:color w:val="auto"/>
                <w:kern w:val="0"/>
                <w:szCs w:val="21"/>
                <w:lang w:val="en-US" w:eastAsia="zh-CN"/>
              </w:rPr>
              <w:t>接口：标配≥1个前置VGA，≥1个后置VGA和≥1个串口，≥6 个USB 3.0（≥2</w:t>
            </w:r>
            <w:r>
              <w:rPr>
                <w:rFonts w:hint="eastAsia" w:ascii="宋体" w:hAnsi="宋体" w:cs="宋体"/>
                <w:b w:val="0"/>
                <w:bCs w:val="0"/>
                <w:color w:val="auto"/>
                <w:kern w:val="0"/>
                <w:szCs w:val="21"/>
                <w:lang w:val="en-US" w:eastAsia="zh-CN"/>
              </w:rPr>
              <w:t>个</w:t>
            </w:r>
            <w:r>
              <w:rPr>
                <w:rFonts w:hint="default" w:ascii="宋体" w:hAnsi="宋体" w:cs="宋体"/>
                <w:b w:val="0"/>
                <w:bCs w:val="0"/>
                <w:color w:val="auto"/>
                <w:kern w:val="0"/>
                <w:szCs w:val="21"/>
                <w:lang w:val="en-US" w:eastAsia="zh-CN"/>
              </w:rPr>
              <w:t>前置，≥2</w:t>
            </w:r>
            <w:r>
              <w:rPr>
                <w:rFonts w:hint="eastAsia" w:ascii="宋体" w:hAnsi="宋体" w:cs="宋体"/>
                <w:b w:val="0"/>
                <w:bCs w:val="0"/>
                <w:color w:val="auto"/>
                <w:kern w:val="0"/>
                <w:szCs w:val="21"/>
                <w:lang w:val="en-US" w:eastAsia="zh-CN"/>
              </w:rPr>
              <w:t>个</w:t>
            </w:r>
            <w:r>
              <w:rPr>
                <w:rFonts w:hint="default" w:ascii="宋体" w:hAnsi="宋体" w:cs="宋体"/>
                <w:b w:val="0"/>
                <w:bCs w:val="0"/>
                <w:color w:val="auto"/>
                <w:kern w:val="0"/>
                <w:szCs w:val="21"/>
                <w:lang w:val="en-US" w:eastAsia="zh-CN"/>
              </w:rPr>
              <w:t>后置，≥2</w:t>
            </w:r>
            <w:r>
              <w:rPr>
                <w:rFonts w:hint="eastAsia" w:ascii="宋体" w:hAnsi="宋体" w:cs="宋体"/>
                <w:b w:val="0"/>
                <w:bCs w:val="0"/>
                <w:color w:val="auto"/>
                <w:kern w:val="0"/>
                <w:szCs w:val="21"/>
                <w:lang w:val="en-US" w:eastAsia="zh-CN"/>
              </w:rPr>
              <w:t>个</w:t>
            </w:r>
            <w:r>
              <w:rPr>
                <w:rFonts w:hint="default" w:ascii="宋体" w:hAnsi="宋体" w:cs="宋体"/>
                <w:b w:val="0"/>
                <w:bCs w:val="0"/>
                <w:color w:val="auto"/>
                <w:kern w:val="0"/>
                <w:szCs w:val="21"/>
                <w:lang w:val="en-US" w:eastAsia="zh-CN"/>
              </w:rPr>
              <w:t>内置），≥1个前置专用管理接口。</w:t>
            </w:r>
          </w:p>
          <w:p w14:paraId="7955958A">
            <w:pPr>
              <w:keepNext w:val="0"/>
              <w:keepLines w:val="0"/>
              <w:pageBreakBefore w:val="0"/>
              <w:widowControl/>
              <w:kinsoku/>
              <w:wordWrap w:val="0"/>
              <w:overflowPunct/>
              <w:topLinePunct w:val="0"/>
              <w:autoSpaceDE/>
              <w:autoSpaceDN/>
              <w:bidi w:val="0"/>
              <w:spacing w:line="360" w:lineRule="exact"/>
              <w:jc w:val="left"/>
              <w:textAlignment w:val="auto"/>
              <w:rPr>
                <w:rFonts w:hint="default"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（14）</w:t>
            </w:r>
            <w:r>
              <w:rPr>
                <w:rFonts w:hint="default" w:ascii="宋体" w:hAnsi="宋体" w:cs="宋体"/>
                <w:b w:val="0"/>
                <w:bCs w:val="0"/>
                <w:color w:val="auto"/>
                <w:kern w:val="0"/>
                <w:szCs w:val="21"/>
                <w:lang w:val="en-US" w:eastAsia="zh-CN"/>
              </w:rPr>
              <w:t>配件：配套安装导轨。</w:t>
            </w:r>
          </w:p>
          <w:p w14:paraId="707ABE4A">
            <w:pPr>
              <w:keepNext w:val="0"/>
              <w:keepLines w:val="0"/>
              <w:pageBreakBefore w:val="0"/>
              <w:widowControl/>
              <w:kinsoku/>
              <w:wordWrap w:val="0"/>
              <w:overflowPunct/>
              <w:topLinePunct w:val="0"/>
              <w:autoSpaceDE/>
              <w:autoSpaceDN/>
              <w:bidi w:val="0"/>
              <w:spacing w:line="360" w:lineRule="exact"/>
              <w:jc w:val="left"/>
              <w:textAlignment w:val="auto"/>
              <w:rPr>
                <w:rFonts w:hint="default" w:ascii="宋体" w:hAnsi="宋体" w:cs="宋体"/>
                <w:color w:val="auto"/>
                <w:kern w:val="0"/>
                <w:szCs w:val="21"/>
                <w:lang w:val="en-US" w:eastAsia="zh-CN"/>
              </w:rPr>
            </w:pPr>
            <w:r>
              <w:rPr>
                <w:rFonts w:hint="eastAsia" w:ascii="宋体" w:hAnsi="宋体" w:cs="宋体"/>
                <w:b w:val="0"/>
                <w:bCs w:val="0"/>
                <w:color w:val="auto"/>
                <w:kern w:val="0"/>
                <w:szCs w:val="21"/>
                <w:lang w:val="en-US" w:eastAsia="zh-CN"/>
              </w:rPr>
              <w:t>（15）</w:t>
            </w:r>
            <w:r>
              <w:rPr>
                <w:rFonts w:hint="default" w:ascii="宋体" w:hAnsi="宋体" w:cs="宋体"/>
                <w:b w:val="0"/>
                <w:bCs w:val="0"/>
                <w:color w:val="auto"/>
                <w:kern w:val="0"/>
                <w:szCs w:val="21"/>
                <w:lang w:val="en-US" w:eastAsia="zh-CN"/>
              </w:rPr>
              <w:t>工作温度：支持</w:t>
            </w:r>
            <w:r>
              <w:rPr>
                <w:rFonts w:hint="default" w:ascii="宋体" w:hAnsi="宋体" w:cs="宋体"/>
                <w:color w:val="auto"/>
                <w:kern w:val="0"/>
                <w:szCs w:val="21"/>
                <w:lang w:val="en-US" w:eastAsia="zh-CN"/>
              </w:rPr>
              <w:t>最高5-45°C标准工作温度。</w:t>
            </w:r>
          </w:p>
          <w:p w14:paraId="4103E068">
            <w:pPr>
              <w:keepNext w:val="0"/>
              <w:keepLines w:val="0"/>
              <w:pageBreakBefore w:val="0"/>
              <w:widowControl/>
              <w:kinsoku/>
              <w:wordWrap w:val="0"/>
              <w:overflowPunct/>
              <w:topLinePunct w:val="0"/>
              <w:autoSpaceDE/>
              <w:autoSpaceDN/>
              <w:bidi w:val="0"/>
              <w:spacing w:line="360" w:lineRule="exact"/>
              <w:jc w:val="left"/>
              <w:textAlignment w:val="auto"/>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2.</w:t>
            </w:r>
            <w:r>
              <w:rPr>
                <w:rFonts w:hint="default" w:ascii="宋体" w:hAnsi="宋体" w:cs="宋体"/>
                <w:color w:val="auto"/>
                <w:kern w:val="0"/>
                <w:szCs w:val="21"/>
                <w:lang w:val="en-US" w:eastAsia="zh-CN"/>
              </w:rPr>
              <w:t>软件要求：</w:t>
            </w:r>
          </w:p>
          <w:p w14:paraId="24ACDEC4">
            <w:pPr>
              <w:keepNext w:val="0"/>
              <w:keepLines w:val="0"/>
              <w:pageBreakBefore w:val="0"/>
              <w:widowControl/>
              <w:kinsoku/>
              <w:wordWrap w:val="0"/>
              <w:overflowPunct/>
              <w:topLinePunct w:val="0"/>
              <w:autoSpaceDE/>
              <w:autoSpaceDN/>
              <w:bidi w:val="0"/>
              <w:spacing w:line="360" w:lineRule="exact"/>
              <w:jc w:val="left"/>
              <w:textAlignment w:val="auto"/>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（1）</w:t>
            </w:r>
            <w:r>
              <w:rPr>
                <w:rFonts w:hint="default" w:ascii="宋体" w:hAnsi="宋体" w:cs="宋体"/>
                <w:color w:val="auto"/>
                <w:kern w:val="0"/>
                <w:szCs w:val="21"/>
                <w:lang w:val="en-US" w:eastAsia="zh-CN"/>
              </w:rPr>
              <w:t>提供本次采购的扩展硬件节点的操作系统的安装和部署服务</w:t>
            </w:r>
            <w:r>
              <w:rPr>
                <w:rFonts w:hint="eastAsia" w:ascii="宋体" w:hAnsi="宋体" w:cs="宋体"/>
                <w:color w:val="auto"/>
                <w:kern w:val="0"/>
                <w:szCs w:val="21"/>
                <w:lang w:val="en-US" w:eastAsia="zh-CN"/>
              </w:rPr>
              <w:t>。</w:t>
            </w:r>
          </w:p>
          <w:p w14:paraId="06E531CC">
            <w:pPr>
              <w:keepNext w:val="0"/>
              <w:keepLines w:val="0"/>
              <w:pageBreakBefore w:val="0"/>
              <w:widowControl/>
              <w:kinsoku/>
              <w:wordWrap w:val="0"/>
              <w:overflowPunct/>
              <w:topLinePunct w:val="0"/>
              <w:autoSpaceDE/>
              <w:autoSpaceDN/>
              <w:bidi w:val="0"/>
              <w:spacing w:line="360" w:lineRule="exact"/>
              <w:jc w:val="left"/>
              <w:textAlignment w:val="auto"/>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（2）</w:t>
            </w:r>
            <w:r>
              <w:rPr>
                <w:rFonts w:hint="default" w:ascii="宋体" w:hAnsi="宋体" w:cs="宋体"/>
                <w:color w:val="auto"/>
                <w:kern w:val="0"/>
                <w:szCs w:val="21"/>
                <w:lang w:val="en-US" w:eastAsia="zh-CN"/>
              </w:rPr>
              <w:t>提供扩容节点的集群软件安装配置管理服务：主要包括操作系统的安装</w:t>
            </w:r>
            <w:r>
              <w:rPr>
                <w:rFonts w:hint="eastAsia" w:ascii="宋体" w:hAnsi="宋体" w:cs="宋体"/>
                <w:color w:val="auto"/>
                <w:kern w:val="0"/>
                <w:szCs w:val="21"/>
                <w:lang w:val="en-US" w:eastAsia="zh-CN"/>
              </w:rPr>
              <w:t>。</w:t>
            </w:r>
          </w:p>
          <w:p w14:paraId="08306928">
            <w:pPr>
              <w:keepNext w:val="0"/>
              <w:keepLines w:val="0"/>
              <w:pageBreakBefore w:val="0"/>
              <w:widowControl/>
              <w:kinsoku/>
              <w:wordWrap w:val="0"/>
              <w:overflowPunct/>
              <w:topLinePunct w:val="0"/>
              <w:autoSpaceDE/>
              <w:autoSpaceDN/>
              <w:bidi w:val="0"/>
              <w:spacing w:line="360" w:lineRule="exact"/>
              <w:jc w:val="left"/>
              <w:textAlignment w:val="auto"/>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（3）</w:t>
            </w:r>
            <w:r>
              <w:rPr>
                <w:rFonts w:hint="default" w:ascii="宋体" w:hAnsi="宋体" w:cs="宋体"/>
                <w:color w:val="auto"/>
                <w:kern w:val="0"/>
                <w:szCs w:val="21"/>
                <w:lang w:val="en-US" w:eastAsia="zh-CN"/>
              </w:rPr>
              <w:t>提供超融合平台的安装配置管理服务：包括分部署交换机的配置，磁盘组的配置</w:t>
            </w:r>
            <w:r>
              <w:rPr>
                <w:rFonts w:hint="eastAsia" w:ascii="宋体" w:hAnsi="宋体" w:cs="宋体"/>
                <w:color w:val="auto"/>
                <w:kern w:val="0"/>
                <w:szCs w:val="21"/>
                <w:lang w:val="en-US" w:eastAsia="zh-CN"/>
              </w:rPr>
              <w:t>。</w:t>
            </w:r>
          </w:p>
          <w:p w14:paraId="547BB0A1">
            <w:pPr>
              <w:keepNext w:val="0"/>
              <w:keepLines w:val="0"/>
              <w:pageBreakBefore w:val="0"/>
              <w:widowControl/>
              <w:kinsoku/>
              <w:wordWrap w:val="0"/>
              <w:overflowPunct/>
              <w:topLinePunct w:val="0"/>
              <w:autoSpaceDE/>
              <w:autoSpaceDN/>
              <w:bidi w:val="0"/>
              <w:spacing w:line="360" w:lineRule="exact"/>
              <w:jc w:val="left"/>
              <w:textAlignment w:val="auto"/>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（4）</w:t>
            </w:r>
            <w:r>
              <w:rPr>
                <w:rFonts w:hint="default" w:ascii="宋体" w:hAnsi="宋体" w:cs="宋体"/>
                <w:color w:val="auto"/>
                <w:kern w:val="0"/>
                <w:szCs w:val="21"/>
                <w:lang w:val="en-US" w:eastAsia="zh-CN"/>
              </w:rPr>
              <w:t>提供超融合平台的版本升级服务：主要是在扩容过程中由于硬件不兼容导致的需要对低版本的软件进行升级</w:t>
            </w:r>
            <w:r>
              <w:rPr>
                <w:rFonts w:hint="eastAsia" w:ascii="宋体" w:hAnsi="宋体" w:cs="宋体"/>
                <w:color w:val="auto"/>
                <w:kern w:val="0"/>
                <w:szCs w:val="21"/>
                <w:lang w:val="en-US" w:eastAsia="zh-CN"/>
              </w:rPr>
              <w:t>。</w:t>
            </w:r>
          </w:p>
          <w:p w14:paraId="0E7FEF7A">
            <w:pPr>
              <w:keepNext w:val="0"/>
              <w:keepLines w:val="0"/>
              <w:pageBreakBefore w:val="0"/>
              <w:widowControl/>
              <w:kinsoku/>
              <w:wordWrap w:val="0"/>
              <w:overflowPunct/>
              <w:topLinePunct w:val="0"/>
              <w:autoSpaceDE/>
              <w:autoSpaceDN/>
              <w:bidi w:val="0"/>
              <w:spacing w:line="360" w:lineRule="exact"/>
              <w:jc w:val="left"/>
              <w:textAlignment w:val="auto"/>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（5）</w:t>
            </w:r>
            <w:r>
              <w:rPr>
                <w:rFonts w:hint="default" w:ascii="宋体" w:hAnsi="宋体" w:cs="宋体"/>
                <w:color w:val="auto"/>
                <w:kern w:val="0"/>
                <w:szCs w:val="21"/>
                <w:lang w:val="en-US" w:eastAsia="zh-CN"/>
              </w:rPr>
              <w:t>提供集群软件的扩容及优化服务</w:t>
            </w:r>
            <w:r>
              <w:rPr>
                <w:rFonts w:hint="eastAsia" w:ascii="宋体" w:hAnsi="宋体" w:cs="宋体"/>
                <w:color w:val="auto"/>
                <w:kern w:val="0"/>
                <w:szCs w:val="21"/>
                <w:lang w:val="en-US" w:eastAsia="zh-CN"/>
              </w:rPr>
              <w:t>。</w:t>
            </w:r>
          </w:p>
          <w:p w14:paraId="635D6FF7">
            <w:pPr>
              <w:keepNext w:val="0"/>
              <w:keepLines w:val="0"/>
              <w:pageBreakBefore w:val="0"/>
              <w:widowControl/>
              <w:kinsoku/>
              <w:wordWrap w:val="0"/>
              <w:overflowPunct/>
              <w:topLinePunct w:val="0"/>
              <w:autoSpaceDE/>
              <w:autoSpaceDN/>
              <w:bidi w:val="0"/>
              <w:spacing w:line="360" w:lineRule="exact"/>
              <w:jc w:val="left"/>
              <w:textAlignment w:val="auto"/>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（6）</w:t>
            </w:r>
            <w:r>
              <w:rPr>
                <w:rFonts w:hint="default" w:ascii="宋体" w:hAnsi="宋体" w:cs="宋体"/>
                <w:color w:val="auto"/>
                <w:kern w:val="0"/>
                <w:szCs w:val="21"/>
                <w:lang w:val="en-US" w:eastAsia="zh-CN"/>
              </w:rPr>
              <w:t>对扩容前的集群状态进行检查，以后扩容后的状态检查，各硬件之间的兼容情况确认</w:t>
            </w:r>
            <w:r>
              <w:rPr>
                <w:rFonts w:hint="eastAsia" w:ascii="宋体" w:hAnsi="宋体" w:cs="宋体"/>
                <w:color w:val="auto"/>
                <w:kern w:val="0"/>
                <w:szCs w:val="21"/>
                <w:lang w:val="en-US" w:eastAsia="zh-CN"/>
              </w:rPr>
              <w:t>。</w:t>
            </w:r>
          </w:p>
          <w:p w14:paraId="74E6304E">
            <w:pPr>
              <w:keepNext w:val="0"/>
              <w:keepLines w:val="0"/>
              <w:pageBreakBefore w:val="0"/>
              <w:widowControl/>
              <w:kinsoku/>
              <w:wordWrap w:val="0"/>
              <w:overflowPunct/>
              <w:topLinePunct w:val="0"/>
              <w:autoSpaceDE/>
              <w:autoSpaceDN/>
              <w:bidi w:val="0"/>
              <w:spacing w:line="360" w:lineRule="exact"/>
              <w:jc w:val="left"/>
              <w:textAlignment w:val="auto"/>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（7）</w:t>
            </w:r>
            <w:r>
              <w:rPr>
                <w:rFonts w:hint="default" w:ascii="宋体" w:hAnsi="宋体" w:cs="宋体"/>
                <w:color w:val="auto"/>
                <w:kern w:val="0"/>
                <w:szCs w:val="21"/>
                <w:lang w:val="en-US" w:eastAsia="zh-CN"/>
              </w:rPr>
              <w:t>提供集群扩容的规划服务：不同硬件设备和不同软件版本之间的兼容性问题；对现有硬件进行合理规划及整合</w:t>
            </w:r>
            <w:r>
              <w:rPr>
                <w:rFonts w:hint="eastAsia" w:ascii="宋体" w:hAnsi="宋体" w:cs="宋体"/>
                <w:color w:val="auto"/>
                <w:kern w:val="0"/>
                <w:szCs w:val="21"/>
                <w:lang w:val="en-US" w:eastAsia="zh-CN"/>
              </w:rPr>
              <w:t>。</w:t>
            </w:r>
          </w:p>
          <w:p w14:paraId="581A5580">
            <w:pPr>
              <w:keepNext w:val="0"/>
              <w:keepLines w:val="0"/>
              <w:pageBreakBefore w:val="0"/>
              <w:widowControl/>
              <w:kinsoku/>
              <w:wordWrap w:val="0"/>
              <w:overflowPunct/>
              <w:topLinePunct w:val="0"/>
              <w:autoSpaceDE/>
              <w:autoSpaceDN/>
              <w:bidi w:val="0"/>
              <w:spacing w:line="360" w:lineRule="exact"/>
              <w:jc w:val="left"/>
              <w:textAlignment w:val="auto"/>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（8）</w:t>
            </w:r>
            <w:r>
              <w:rPr>
                <w:rFonts w:hint="default" w:ascii="宋体" w:hAnsi="宋体" w:cs="宋体"/>
                <w:color w:val="auto"/>
                <w:kern w:val="0"/>
                <w:szCs w:val="21"/>
                <w:lang w:val="en-US" w:eastAsia="zh-CN"/>
              </w:rPr>
              <w:t>支持多个独立的服务器本地SSD或磁盘组成一个可以共享的存储资源池</w:t>
            </w:r>
            <w:r>
              <w:rPr>
                <w:rFonts w:hint="eastAsia" w:ascii="宋体" w:hAnsi="宋体" w:cs="宋体"/>
                <w:color w:val="auto"/>
                <w:kern w:val="0"/>
                <w:szCs w:val="21"/>
                <w:lang w:val="en-US" w:eastAsia="zh-CN"/>
              </w:rPr>
              <w:t>；</w:t>
            </w:r>
            <w:r>
              <w:rPr>
                <w:rFonts w:hint="default" w:ascii="宋体" w:hAnsi="宋体" w:cs="宋体"/>
                <w:color w:val="auto"/>
                <w:kern w:val="0"/>
                <w:szCs w:val="21"/>
                <w:lang w:val="en-US" w:eastAsia="zh-CN"/>
              </w:rPr>
              <w:t>基于面向对象的存储架构，</w:t>
            </w:r>
            <w:r>
              <w:rPr>
                <w:rFonts w:hint="eastAsia" w:ascii="宋体" w:hAnsi="宋体" w:cs="宋体"/>
                <w:color w:val="auto"/>
                <w:kern w:val="0"/>
                <w:szCs w:val="21"/>
                <w:lang w:val="en-US" w:eastAsia="zh-CN"/>
              </w:rPr>
              <w:t>要求</w:t>
            </w:r>
            <w:r>
              <w:rPr>
                <w:rFonts w:hint="default" w:ascii="宋体" w:hAnsi="宋体" w:cs="宋体"/>
                <w:color w:val="auto"/>
                <w:kern w:val="0"/>
                <w:szCs w:val="21"/>
                <w:lang w:val="en-US" w:eastAsia="zh-CN"/>
              </w:rPr>
              <w:t>易于管理，并支持横向扩展</w:t>
            </w:r>
            <w:r>
              <w:rPr>
                <w:rFonts w:hint="eastAsia" w:ascii="宋体" w:hAnsi="宋体" w:cs="宋体"/>
                <w:color w:val="auto"/>
                <w:kern w:val="0"/>
                <w:szCs w:val="21"/>
                <w:lang w:val="en-US" w:eastAsia="zh-CN"/>
              </w:rPr>
              <w:t>。</w:t>
            </w:r>
          </w:p>
          <w:p w14:paraId="32934D9C">
            <w:pPr>
              <w:keepNext w:val="0"/>
              <w:keepLines w:val="0"/>
              <w:pageBreakBefore w:val="0"/>
              <w:widowControl/>
              <w:kinsoku/>
              <w:wordWrap w:val="0"/>
              <w:overflowPunct/>
              <w:topLinePunct w:val="0"/>
              <w:autoSpaceDE/>
              <w:autoSpaceDN/>
              <w:bidi w:val="0"/>
              <w:spacing w:line="360" w:lineRule="exact"/>
              <w:jc w:val="left"/>
              <w:textAlignment w:val="auto"/>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（9）</w:t>
            </w:r>
            <w:r>
              <w:rPr>
                <w:rFonts w:hint="default" w:ascii="宋体" w:hAnsi="宋体" w:cs="宋体"/>
                <w:color w:val="auto"/>
                <w:kern w:val="0"/>
                <w:szCs w:val="21"/>
                <w:lang w:val="en-US" w:eastAsia="zh-CN"/>
              </w:rPr>
              <w:t>嵌入虚拟服务器内核，</w:t>
            </w:r>
            <w:r>
              <w:rPr>
                <w:rFonts w:hint="eastAsia" w:ascii="宋体" w:hAnsi="宋体" w:cs="宋体"/>
                <w:color w:val="auto"/>
                <w:kern w:val="0"/>
                <w:szCs w:val="21"/>
                <w:lang w:val="en-US" w:eastAsia="zh-CN"/>
              </w:rPr>
              <w:t>可</w:t>
            </w:r>
            <w:r>
              <w:rPr>
                <w:rFonts w:hint="default" w:ascii="宋体" w:hAnsi="宋体" w:cs="宋体"/>
                <w:color w:val="auto"/>
                <w:kern w:val="0"/>
                <w:szCs w:val="21"/>
                <w:lang w:val="en-US" w:eastAsia="zh-CN"/>
              </w:rPr>
              <w:t>深入了解虚拟机、应用、底层存储基础架构，缩短I/O数据路径降低延时，虚拟服务器的CPU资源占用小于10%，与虚机的迁移</w:t>
            </w:r>
            <w:r>
              <w:rPr>
                <w:rFonts w:hint="eastAsia" w:ascii="宋体" w:hAnsi="宋体" w:cs="宋体"/>
                <w:color w:val="auto"/>
                <w:kern w:val="0"/>
                <w:szCs w:val="21"/>
                <w:lang w:val="en-US" w:eastAsia="zh-CN"/>
              </w:rPr>
              <w:t>兼容</w:t>
            </w:r>
            <w:r>
              <w:rPr>
                <w:rFonts w:hint="default" w:ascii="宋体" w:hAnsi="宋体" w:cs="宋体"/>
                <w:color w:val="auto"/>
                <w:kern w:val="0"/>
                <w:szCs w:val="21"/>
                <w:lang w:val="en-US" w:eastAsia="zh-CN"/>
              </w:rPr>
              <w:t>集成</w:t>
            </w:r>
            <w:r>
              <w:rPr>
                <w:rFonts w:hint="eastAsia" w:ascii="宋体" w:hAnsi="宋体" w:cs="宋体"/>
                <w:color w:val="auto"/>
                <w:kern w:val="0"/>
                <w:szCs w:val="21"/>
                <w:lang w:val="en-US" w:eastAsia="zh-CN"/>
              </w:rPr>
              <w:t>。</w:t>
            </w:r>
          </w:p>
          <w:p w14:paraId="0F3A6FC4">
            <w:pPr>
              <w:keepNext w:val="0"/>
              <w:keepLines w:val="0"/>
              <w:pageBreakBefore w:val="0"/>
              <w:widowControl/>
              <w:kinsoku/>
              <w:wordWrap w:val="0"/>
              <w:overflowPunct/>
              <w:topLinePunct w:val="0"/>
              <w:autoSpaceDE/>
              <w:autoSpaceDN/>
              <w:bidi w:val="0"/>
              <w:spacing w:line="360" w:lineRule="exact"/>
              <w:jc w:val="left"/>
              <w:textAlignment w:val="auto"/>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（10）</w:t>
            </w:r>
            <w:r>
              <w:rPr>
                <w:rFonts w:hint="default" w:ascii="宋体" w:hAnsi="宋体" w:cs="宋体"/>
                <w:color w:val="auto"/>
                <w:kern w:val="0"/>
                <w:szCs w:val="21"/>
                <w:lang w:val="en-US" w:eastAsia="zh-CN"/>
              </w:rPr>
              <w:t>提供基于存储策略的管理机制，根据业务应用的需求，可以通过变更存储策略进行在线的动态调整业务应用正在使用的存储资源</w:t>
            </w:r>
            <w:r>
              <w:rPr>
                <w:rFonts w:hint="eastAsia" w:ascii="宋体" w:hAnsi="宋体" w:cs="宋体"/>
                <w:color w:val="auto"/>
                <w:kern w:val="0"/>
                <w:szCs w:val="21"/>
                <w:lang w:val="en-US" w:eastAsia="zh-CN"/>
              </w:rPr>
              <w:t>。</w:t>
            </w:r>
          </w:p>
          <w:p w14:paraId="2B74A223">
            <w:pPr>
              <w:keepNext w:val="0"/>
              <w:keepLines w:val="0"/>
              <w:pageBreakBefore w:val="0"/>
              <w:widowControl/>
              <w:kinsoku/>
              <w:wordWrap w:val="0"/>
              <w:overflowPunct/>
              <w:topLinePunct w:val="0"/>
              <w:autoSpaceDE/>
              <w:autoSpaceDN/>
              <w:bidi w:val="0"/>
              <w:spacing w:line="360" w:lineRule="exact"/>
              <w:jc w:val="left"/>
              <w:textAlignment w:val="auto"/>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（11）</w:t>
            </w:r>
            <w:r>
              <w:rPr>
                <w:rFonts w:hint="default" w:ascii="宋体" w:hAnsi="宋体" w:cs="宋体"/>
                <w:color w:val="auto"/>
                <w:kern w:val="0"/>
                <w:szCs w:val="21"/>
                <w:lang w:val="en-US" w:eastAsia="zh-CN"/>
              </w:rPr>
              <w:t>可实现以虚拟机为中心的快照和克隆,支持每个虚拟机不少于32个快照和克隆</w:t>
            </w:r>
            <w:r>
              <w:rPr>
                <w:rFonts w:hint="eastAsia" w:ascii="宋体" w:hAnsi="宋体" w:cs="宋体"/>
                <w:color w:val="auto"/>
                <w:kern w:val="0"/>
                <w:szCs w:val="21"/>
                <w:lang w:val="en-US" w:eastAsia="zh-CN"/>
              </w:rPr>
              <w:t>。</w:t>
            </w:r>
          </w:p>
          <w:p w14:paraId="0EDA0751">
            <w:pPr>
              <w:keepNext w:val="0"/>
              <w:keepLines w:val="0"/>
              <w:pageBreakBefore w:val="0"/>
              <w:widowControl/>
              <w:kinsoku/>
              <w:wordWrap w:val="0"/>
              <w:overflowPunct/>
              <w:topLinePunct w:val="0"/>
              <w:autoSpaceDE/>
              <w:autoSpaceDN/>
              <w:bidi w:val="0"/>
              <w:spacing w:line="360" w:lineRule="exact"/>
              <w:jc w:val="left"/>
              <w:textAlignment w:val="auto"/>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（12）</w:t>
            </w:r>
            <w:r>
              <w:rPr>
                <w:rFonts w:hint="default" w:ascii="宋体" w:hAnsi="宋体" w:cs="宋体"/>
                <w:color w:val="auto"/>
                <w:kern w:val="0"/>
                <w:szCs w:val="21"/>
                <w:lang w:val="en-US" w:eastAsia="zh-CN"/>
              </w:rPr>
              <w:t>分布式存储管理软件支持的全闪存存储架构中，最大IO性能不少于9万IOPS/主机，</w:t>
            </w:r>
            <w:r>
              <w:rPr>
                <w:rFonts w:hint="eastAsia" w:ascii="宋体" w:hAnsi="宋体" w:cs="宋体"/>
                <w:color w:val="auto"/>
                <w:kern w:val="0"/>
                <w:szCs w:val="21"/>
                <w:lang w:val="en-US" w:eastAsia="zh-CN"/>
              </w:rPr>
              <w:t>≥</w:t>
            </w:r>
            <w:r>
              <w:rPr>
                <w:rFonts w:hint="default" w:ascii="宋体" w:hAnsi="宋体" w:cs="宋体"/>
                <w:color w:val="auto"/>
                <w:kern w:val="0"/>
                <w:szCs w:val="21"/>
                <w:lang w:val="en-US" w:eastAsia="zh-CN"/>
              </w:rPr>
              <w:t>500万IOPS/集群</w:t>
            </w:r>
            <w:r>
              <w:rPr>
                <w:rFonts w:hint="eastAsia" w:ascii="宋体" w:hAnsi="宋体" w:cs="宋体"/>
                <w:color w:val="auto"/>
                <w:kern w:val="0"/>
                <w:szCs w:val="21"/>
                <w:lang w:val="en-US" w:eastAsia="zh-CN"/>
              </w:rPr>
              <w:t>。</w:t>
            </w:r>
          </w:p>
          <w:p w14:paraId="6312643A">
            <w:pPr>
              <w:keepNext w:val="0"/>
              <w:keepLines w:val="0"/>
              <w:pageBreakBefore w:val="0"/>
              <w:widowControl/>
              <w:kinsoku/>
              <w:wordWrap w:val="0"/>
              <w:overflowPunct/>
              <w:topLinePunct w:val="0"/>
              <w:autoSpaceDE/>
              <w:autoSpaceDN/>
              <w:bidi w:val="0"/>
              <w:spacing w:line="360" w:lineRule="exact"/>
              <w:jc w:val="left"/>
              <w:textAlignment w:val="auto"/>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（13）</w:t>
            </w:r>
            <w:r>
              <w:rPr>
                <w:rFonts w:hint="default" w:ascii="宋体" w:hAnsi="宋体" w:cs="宋体"/>
                <w:color w:val="auto"/>
                <w:kern w:val="0"/>
                <w:szCs w:val="21"/>
                <w:lang w:val="en-US" w:eastAsia="zh-CN"/>
              </w:rPr>
              <w:t>集成虚拟化平台的HA、多核虚拟机FT容错、虚拟机在线迁移、存储在线迁移、自动化资源调度等功能，无需额外安装软件</w:t>
            </w:r>
            <w:r>
              <w:rPr>
                <w:rFonts w:hint="eastAsia" w:ascii="宋体" w:hAnsi="宋体" w:cs="宋体"/>
                <w:color w:val="auto"/>
                <w:kern w:val="0"/>
                <w:szCs w:val="21"/>
                <w:lang w:val="en-US" w:eastAsia="zh-CN"/>
              </w:rPr>
              <w:t>。</w:t>
            </w:r>
          </w:p>
          <w:p w14:paraId="5AAB9BB8">
            <w:pPr>
              <w:keepNext w:val="0"/>
              <w:keepLines w:val="0"/>
              <w:pageBreakBefore w:val="0"/>
              <w:widowControl/>
              <w:kinsoku/>
              <w:wordWrap w:val="0"/>
              <w:overflowPunct/>
              <w:topLinePunct w:val="0"/>
              <w:autoSpaceDE/>
              <w:autoSpaceDN/>
              <w:bidi w:val="0"/>
              <w:spacing w:line="360" w:lineRule="exact"/>
              <w:jc w:val="left"/>
              <w:textAlignment w:val="auto"/>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（14）兼容</w:t>
            </w:r>
            <w:r>
              <w:rPr>
                <w:rFonts w:hint="default" w:ascii="宋体" w:hAnsi="宋体" w:cs="宋体"/>
                <w:color w:val="auto"/>
                <w:kern w:val="0"/>
                <w:szCs w:val="21"/>
                <w:lang w:val="en-US" w:eastAsia="zh-CN"/>
              </w:rPr>
              <w:t>集成虚拟化备份以及容灾技术，RPO不大于5分钟</w:t>
            </w:r>
            <w:r>
              <w:rPr>
                <w:rFonts w:hint="eastAsia" w:ascii="宋体" w:hAnsi="宋体" w:cs="宋体"/>
                <w:color w:val="auto"/>
                <w:kern w:val="0"/>
                <w:szCs w:val="21"/>
                <w:lang w:val="en-US" w:eastAsia="zh-CN"/>
              </w:rPr>
              <w:t>。</w:t>
            </w:r>
          </w:p>
          <w:p w14:paraId="478924A3">
            <w:pPr>
              <w:keepNext w:val="0"/>
              <w:keepLines w:val="0"/>
              <w:pageBreakBefore w:val="0"/>
              <w:widowControl/>
              <w:kinsoku/>
              <w:wordWrap w:val="0"/>
              <w:overflowPunct/>
              <w:topLinePunct w:val="0"/>
              <w:autoSpaceDE/>
              <w:autoSpaceDN/>
              <w:bidi w:val="0"/>
              <w:spacing w:line="360" w:lineRule="exact"/>
              <w:jc w:val="left"/>
              <w:textAlignment w:val="auto"/>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（15）</w:t>
            </w:r>
            <w:r>
              <w:rPr>
                <w:rFonts w:hint="default" w:ascii="宋体" w:hAnsi="宋体" w:cs="宋体"/>
                <w:color w:val="auto"/>
                <w:kern w:val="0"/>
                <w:szCs w:val="21"/>
                <w:lang w:val="en-US" w:eastAsia="zh-CN"/>
              </w:rPr>
              <w:t>支持SSD全闪存阵列, 同时支持写密集型和读密集型SSD，支持ULLtra DIMM SSD和NVMe SSD，实现小于5微秒的写入延迟</w:t>
            </w:r>
            <w:r>
              <w:rPr>
                <w:rFonts w:hint="eastAsia" w:ascii="宋体" w:hAnsi="宋体" w:cs="宋体"/>
                <w:color w:val="auto"/>
                <w:kern w:val="0"/>
                <w:szCs w:val="21"/>
                <w:lang w:val="en-US" w:eastAsia="zh-CN"/>
              </w:rPr>
              <w:t>。</w:t>
            </w:r>
          </w:p>
          <w:p w14:paraId="28F7C18B">
            <w:pPr>
              <w:keepNext w:val="0"/>
              <w:keepLines w:val="0"/>
              <w:pageBreakBefore w:val="0"/>
              <w:widowControl/>
              <w:kinsoku/>
              <w:wordWrap w:val="0"/>
              <w:overflowPunct/>
              <w:topLinePunct w:val="0"/>
              <w:autoSpaceDE/>
              <w:autoSpaceDN/>
              <w:bidi w:val="0"/>
              <w:spacing w:line="360" w:lineRule="exact"/>
              <w:jc w:val="left"/>
              <w:textAlignment w:val="auto"/>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（16）</w:t>
            </w:r>
            <w:r>
              <w:rPr>
                <w:rFonts w:hint="default" w:ascii="宋体" w:hAnsi="宋体" w:cs="宋体"/>
                <w:color w:val="auto"/>
                <w:kern w:val="0"/>
                <w:szCs w:val="21"/>
                <w:lang w:val="en-US" w:eastAsia="zh-CN"/>
              </w:rPr>
              <w:t>分布式存储管理软件最大支持64个节点的集群，空间和性能随着节点数量增加线性增长</w:t>
            </w:r>
            <w:r>
              <w:rPr>
                <w:rFonts w:hint="eastAsia" w:ascii="宋体" w:hAnsi="宋体" w:cs="宋体"/>
                <w:color w:val="auto"/>
                <w:kern w:val="0"/>
                <w:szCs w:val="21"/>
                <w:lang w:val="en-US" w:eastAsia="zh-CN"/>
              </w:rPr>
              <w:t>。</w:t>
            </w:r>
          </w:p>
          <w:p w14:paraId="211D7C45">
            <w:pPr>
              <w:keepNext w:val="0"/>
              <w:keepLines w:val="0"/>
              <w:pageBreakBefore w:val="0"/>
              <w:widowControl/>
              <w:kinsoku/>
              <w:wordWrap w:val="0"/>
              <w:overflowPunct/>
              <w:topLinePunct w:val="0"/>
              <w:autoSpaceDE/>
              <w:autoSpaceDN/>
              <w:bidi w:val="0"/>
              <w:spacing w:line="360" w:lineRule="exact"/>
              <w:jc w:val="left"/>
              <w:textAlignment w:val="auto"/>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（17）</w:t>
            </w:r>
            <w:r>
              <w:rPr>
                <w:rFonts w:hint="default" w:ascii="宋体" w:hAnsi="宋体" w:cs="宋体"/>
                <w:color w:val="auto"/>
                <w:kern w:val="0"/>
                <w:szCs w:val="21"/>
                <w:lang w:val="en-US" w:eastAsia="zh-CN"/>
              </w:rPr>
              <w:t>分布式存储管理软件最大可支持虚拟机（VM）数不少于6400个</w:t>
            </w:r>
            <w:r>
              <w:rPr>
                <w:rFonts w:hint="eastAsia" w:ascii="宋体" w:hAnsi="宋体" w:cs="宋体"/>
                <w:color w:val="auto"/>
                <w:kern w:val="0"/>
                <w:szCs w:val="21"/>
                <w:lang w:val="en-US" w:eastAsia="zh-CN"/>
              </w:rPr>
              <w:t>。</w:t>
            </w:r>
          </w:p>
          <w:p w14:paraId="601BAC8A">
            <w:pPr>
              <w:keepNext w:val="0"/>
              <w:keepLines w:val="0"/>
              <w:pageBreakBefore w:val="0"/>
              <w:widowControl/>
              <w:kinsoku/>
              <w:wordWrap w:val="0"/>
              <w:overflowPunct/>
              <w:topLinePunct w:val="0"/>
              <w:autoSpaceDE/>
              <w:autoSpaceDN/>
              <w:bidi w:val="0"/>
              <w:spacing w:line="360" w:lineRule="exact"/>
              <w:jc w:val="left"/>
              <w:textAlignment w:val="auto"/>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（18）</w:t>
            </w:r>
            <w:r>
              <w:rPr>
                <w:rFonts w:hint="default" w:ascii="宋体" w:hAnsi="宋体" w:cs="宋体"/>
                <w:color w:val="auto"/>
                <w:kern w:val="0"/>
                <w:szCs w:val="21"/>
                <w:lang w:val="en-US" w:eastAsia="zh-CN"/>
              </w:rPr>
              <w:t>提供对计算、网络与存储资源的集中化管理界面，具备针对存储资源的硬件监控、合规性运行状况检查、容量规划和根本原因分析功能</w:t>
            </w:r>
            <w:r>
              <w:rPr>
                <w:rFonts w:hint="eastAsia" w:ascii="宋体" w:hAnsi="宋体" w:cs="宋体"/>
                <w:color w:val="auto"/>
                <w:kern w:val="0"/>
                <w:szCs w:val="21"/>
                <w:lang w:val="en-US" w:eastAsia="zh-CN"/>
              </w:rPr>
              <w:t>。</w:t>
            </w:r>
          </w:p>
          <w:p w14:paraId="1EDB58EB">
            <w:pPr>
              <w:keepNext w:val="0"/>
              <w:keepLines w:val="0"/>
              <w:pageBreakBefore w:val="0"/>
              <w:widowControl/>
              <w:kinsoku/>
              <w:wordWrap w:val="0"/>
              <w:overflowPunct/>
              <w:topLinePunct w:val="0"/>
              <w:autoSpaceDE/>
              <w:autoSpaceDN/>
              <w:bidi w:val="0"/>
              <w:spacing w:line="360" w:lineRule="exact"/>
              <w:jc w:val="left"/>
              <w:textAlignment w:val="auto"/>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▲（19）</w:t>
            </w:r>
            <w:r>
              <w:rPr>
                <w:rFonts w:hint="default" w:ascii="宋体" w:hAnsi="宋体" w:cs="宋体"/>
                <w:b/>
                <w:bCs/>
                <w:color w:val="auto"/>
                <w:kern w:val="0"/>
                <w:szCs w:val="21"/>
                <w:lang w:val="en-US" w:eastAsia="zh-CN"/>
              </w:rPr>
              <w:t>与</w:t>
            </w:r>
            <w:r>
              <w:rPr>
                <w:rFonts w:hint="eastAsia" w:ascii="宋体" w:hAnsi="宋体" w:cs="宋体"/>
                <w:b/>
                <w:bCs/>
                <w:color w:val="auto"/>
                <w:kern w:val="0"/>
                <w:szCs w:val="21"/>
                <w:lang w:val="en-US" w:eastAsia="zh-CN"/>
              </w:rPr>
              <w:t>采购人</w:t>
            </w:r>
            <w:r>
              <w:rPr>
                <w:rFonts w:hint="default" w:ascii="宋体" w:hAnsi="宋体" w:cs="宋体"/>
                <w:b/>
                <w:bCs/>
                <w:color w:val="auto"/>
                <w:kern w:val="0"/>
                <w:szCs w:val="21"/>
                <w:lang w:val="en-US" w:eastAsia="zh-CN"/>
              </w:rPr>
              <w:t>现有</w:t>
            </w:r>
            <w:r>
              <w:rPr>
                <w:rFonts w:hint="eastAsia" w:ascii="宋体" w:hAnsi="宋体" w:cs="宋体"/>
                <w:b/>
                <w:bCs/>
                <w:color w:val="auto"/>
                <w:kern w:val="0"/>
                <w:szCs w:val="21"/>
                <w:lang w:val="en-US" w:eastAsia="zh-CN"/>
              </w:rPr>
              <w:t>vsphere8.0</w:t>
            </w:r>
            <w:r>
              <w:rPr>
                <w:rFonts w:hint="default" w:ascii="宋体" w:hAnsi="宋体" w:cs="宋体"/>
                <w:b/>
                <w:bCs/>
                <w:color w:val="auto"/>
                <w:kern w:val="0"/>
                <w:szCs w:val="21"/>
                <w:lang w:val="en-US" w:eastAsia="zh-CN"/>
              </w:rPr>
              <w:t>虚拟化平台兼容，并支持热迁移</w:t>
            </w:r>
            <w:r>
              <w:rPr>
                <w:rFonts w:hint="eastAsia" w:ascii="宋体" w:hAnsi="宋体" w:cs="宋体"/>
                <w:b/>
                <w:bCs/>
                <w:color w:val="auto"/>
                <w:kern w:val="0"/>
                <w:szCs w:val="21"/>
                <w:lang w:val="en-US" w:eastAsia="zh-CN"/>
              </w:rPr>
              <w:t>。</w:t>
            </w:r>
          </w:p>
          <w:p w14:paraId="0FEC4010">
            <w:pPr>
              <w:keepNext w:val="0"/>
              <w:keepLines w:val="0"/>
              <w:pageBreakBefore w:val="0"/>
              <w:widowControl/>
              <w:kinsoku/>
              <w:wordWrap w:val="0"/>
              <w:overflowPunct/>
              <w:topLinePunct w:val="0"/>
              <w:autoSpaceDE/>
              <w:autoSpaceDN/>
              <w:bidi w:val="0"/>
              <w:spacing w:line="360" w:lineRule="exact"/>
              <w:jc w:val="left"/>
              <w:textAlignment w:val="auto"/>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▲（20）</w:t>
            </w:r>
            <w:r>
              <w:rPr>
                <w:rFonts w:hint="default" w:ascii="宋体" w:hAnsi="宋体" w:cs="宋体"/>
                <w:b/>
                <w:bCs/>
                <w:color w:val="auto"/>
                <w:kern w:val="0"/>
                <w:szCs w:val="21"/>
                <w:lang w:val="en-US" w:eastAsia="zh-CN"/>
              </w:rPr>
              <w:t>现有的虚拟化平台进行版本升级服务</w:t>
            </w:r>
            <w:r>
              <w:rPr>
                <w:rFonts w:hint="eastAsia" w:ascii="宋体" w:hAnsi="宋体" w:cs="宋体"/>
                <w:b/>
                <w:bCs/>
                <w:color w:val="auto"/>
                <w:kern w:val="0"/>
                <w:szCs w:val="21"/>
                <w:lang w:val="en-US" w:eastAsia="zh-CN"/>
              </w:rPr>
              <w:t>。</w:t>
            </w:r>
          </w:p>
          <w:p w14:paraId="644C4BCB">
            <w:pPr>
              <w:keepNext w:val="0"/>
              <w:keepLines w:val="0"/>
              <w:pageBreakBefore w:val="0"/>
              <w:widowControl/>
              <w:tabs>
                <w:tab w:val="center" w:pos="1740"/>
              </w:tabs>
              <w:kinsoku/>
              <w:wordWrap w:val="0"/>
              <w:overflowPunct/>
              <w:topLinePunct w:val="0"/>
              <w:autoSpaceDE/>
              <w:autoSpaceDN/>
              <w:bidi w:val="0"/>
              <w:spacing w:line="360" w:lineRule="exact"/>
              <w:jc w:val="left"/>
              <w:textAlignment w:val="auto"/>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三、超融合交换机</w:t>
            </w:r>
          </w:p>
          <w:p w14:paraId="19E9F0A4">
            <w:pPr>
              <w:keepNext w:val="0"/>
              <w:keepLines w:val="0"/>
              <w:pageBreakBefore w:val="0"/>
              <w:widowControl/>
              <w:tabs>
                <w:tab w:val="center" w:pos="1740"/>
              </w:tabs>
              <w:kinsoku/>
              <w:wordWrap w:val="0"/>
              <w:overflowPunct/>
              <w:topLinePunct w:val="0"/>
              <w:autoSpaceDE/>
              <w:autoSpaceDN/>
              <w:bidi w:val="0"/>
              <w:spacing w:line="360" w:lineRule="exact"/>
              <w:jc w:val="left"/>
              <w:textAlignment w:val="auto"/>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（一）数量4台</w:t>
            </w:r>
            <w:r>
              <w:rPr>
                <w:rFonts w:hint="eastAsia" w:ascii="宋体" w:hAnsi="宋体" w:cs="宋体"/>
                <w:b w:val="0"/>
                <w:bCs/>
                <w:color w:val="auto"/>
                <w:szCs w:val="21"/>
                <w:highlight w:val="none"/>
                <w:lang w:val="en-US" w:eastAsia="zh-CN"/>
              </w:rPr>
              <w:tab/>
            </w:r>
          </w:p>
          <w:p w14:paraId="4C8DD17B">
            <w:pPr>
              <w:keepNext w:val="0"/>
              <w:keepLines w:val="0"/>
              <w:pageBreakBefore w:val="0"/>
              <w:widowControl/>
              <w:tabs>
                <w:tab w:val="center" w:pos="1740"/>
              </w:tabs>
              <w:kinsoku/>
              <w:wordWrap w:val="0"/>
              <w:overflowPunct/>
              <w:topLinePunct w:val="0"/>
              <w:autoSpaceDE/>
              <w:autoSpaceDN/>
              <w:bidi w:val="0"/>
              <w:spacing w:line="360" w:lineRule="exact"/>
              <w:jc w:val="left"/>
              <w:textAlignment w:val="auto"/>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1.所投产品交换容量≥2.56Tbps，转发性能≥720Mpps。</w:t>
            </w:r>
          </w:p>
          <w:p w14:paraId="5A5BB0B0">
            <w:pPr>
              <w:keepNext w:val="0"/>
              <w:keepLines w:val="0"/>
              <w:pageBreakBefore w:val="0"/>
              <w:widowControl/>
              <w:tabs>
                <w:tab w:val="center" w:pos="1740"/>
              </w:tabs>
              <w:kinsoku/>
              <w:wordWrap w:val="0"/>
              <w:overflowPunct/>
              <w:topLinePunct w:val="0"/>
              <w:autoSpaceDE/>
              <w:autoSpaceDN/>
              <w:bidi w:val="0"/>
              <w:spacing w:line="360" w:lineRule="exact"/>
              <w:jc w:val="left"/>
              <w:textAlignment w:val="auto"/>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2.电源风扇提供冗余，符合标准散热风道。</w:t>
            </w:r>
          </w:p>
          <w:p w14:paraId="2D883E90">
            <w:pPr>
              <w:keepNext w:val="0"/>
              <w:keepLines w:val="0"/>
              <w:pageBreakBefore w:val="0"/>
              <w:widowControl/>
              <w:tabs>
                <w:tab w:val="center" w:pos="1740"/>
              </w:tabs>
              <w:kinsoku/>
              <w:wordWrap w:val="0"/>
              <w:overflowPunct/>
              <w:topLinePunct w:val="0"/>
              <w:autoSpaceDE/>
              <w:autoSpaceDN/>
              <w:bidi w:val="0"/>
              <w:spacing w:line="360" w:lineRule="exact"/>
              <w:jc w:val="left"/>
              <w:textAlignment w:val="auto"/>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3.实配≥10GE光接口≥24个，≥40GE光接口≥2个，万兆多模光模块≥18个。</w:t>
            </w:r>
          </w:p>
          <w:p w14:paraId="4E8A0DB7">
            <w:pPr>
              <w:keepNext w:val="0"/>
              <w:keepLines w:val="0"/>
              <w:pageBreakBefore w:val="0"/>
              <w:widowControl/>
              <w:tabs>
                <w:tab w:val="center" w:pos="1740"/>
              </w:tabs>
              <w:kinsoku/>
              <w:wordWrap w:val="0"/>
              <w:overflowPunct/>
              <w:topLinePunct w:val="0"/>
              <w:autoSpaceDE/>
              <w:autoSpaceDN/>
              <w:bidi w:val="0"/>
              <w:spacing w:line="360" w:lineRule="exact"/>
              <w:jc w:val="left"/>
              <w:textAlignment w:val="auto"/>
              <w:rPr>
                <w:rFonts w:hint="eastAsia" w:ascii="宋体" w:hAnsi="宋体" w:cs="宋体"/>
                <w:b/>
                <w:bCs w:val="0"/>
                <w:color w:val="auto"/>
                <w:szCs w:val="21"/>
                <w:highlight w:val="yellow"/>
                <w:lang w:eastAsia="zh-CN"/>
              </w:rPr>
            </w:pPr>
            <w:r>
              <w:rPr>
                <w:rFonts w:hint="eastAsia" w:ascii="宋体" w:hAnsi="宋体" w:cs="宋体"/>
                <w:b w:val="0"/>
                <w:bCs/>
                <w:color w:val="auto"/>
                <w:szCs w:val="21"/>
                <w:highlight w:val="none"/>
                <w:lang w:val="en-US" w:eastAsia="zh-CN"/>
              </w:rPr>
              <w:t>4.满足上述端口需求后，剩余业务板卡扩展插槽≥2个，可扩展支持万兆光、万兆多速率电、25G、40G、100G等多种类型板卡</w:t>
            </w:r>
            <w:r>
              <w:rPr>
                <w:rFonts w:hint="eastAsia" w:ascii="宋体" w:hAnsi="宋体" w:eastAsia="宋体" w:cs="宋体"/>
                <w:b/>
                <w:bCs w:val="0"/>
                <w:color w:val="auto"/>
                <w:szCs w:val="21"/>
                <w:highlight w:val="none"/>
                <w:lang w:eastAsia="zh-CN"/>
              </w:rPr>
              <w:t>【投标文件中</w:t>
            </w:r>
            <w:r>
              <w:rPr>
                <w:rFonts w:hint="eastAsia" w:ascii="宋体" w:hAnsi="宋体" w:eastAsia="宋体" w:cs="宋体"/>
                <w:b/>
                <w:bCs w:val="0"/>
                <w:color w:val="auto"/>
                <w:szCs w:val="21"/>
                <w:highlight w:val="none"/>
              </w:rPr>
              <w:t>提供</w:t>
            </w:r>
            <w:r>
              <w:rPr>
                <w:rFonts w:hint="eastAsia" w:ascii="宋体" w:hAnsi="宋体" w:eastAsia="宋体" w:cs="宋体"/>
                <w:b/>
                <w:bCs w:val="0"/>
                <w:color w:val="auto"/>
                <w:szCs w:val="21"/>
                <w:highlight w:val="none"/>
                <w:lang w:eastAsia="zh-CN"/>
              </w:rPr>
              <w:t>所投产品满足本项号功能的</w:t>
            </w:r>
            <w:r>
              <w:rPr>
                <w:rFonts w:hint="eastAsia" w:ascii="宋体" w:hAnsi="宋体" w:eastAsia="宋体" w:cs="宋体"/>
                <w:b/>
                <w:bCs w:val="0"/>
                <w:color w:val="auto"/>
                <w:szCs w:val="21"/>
                <w:highlight w:val="none"/>
              </w:rPr>
              <w:t>相关</w:t>
            </w:r>
            <w:r>
              <w:rPr>
                <w:rFonts w:hint="eastAsia" w:ascii="宋体" w:hAnsi="宋体" w:eastAsia="宋体" w:cs="宋体"/>
                <w:b/>
                <w:bCs w:val="0"/>
                <w:color w:val="auto"/>
                <w:szCs w:val="21"/>
                <w:highlight w:val="none"/>
                <w:lang w:eastAsia="zh-CN"/>
              </w:rPr>
              <w:t>有效</w:t>
            </w:r>
            <w:r>
              <w:rPr>
                <w:rFonts w:hint="eastAsia" w:ascii="宋体" w:hAnsi="宋体" w:eastAsia="宋体" w:cs="宋体"/>
                <w:b/>
                <w:bCs w:val="0"/>
                <w:color w:val="auto"/>
                <w:szCs w:val="21"/>
                <w:highlight w:val="none"/>
              </w:rPr>
              <w:t>证明材料</w:t>
            </w:r>
            <w:r>
              <w:rPr>
                <w:rFonts w:hint="eastAsia" w:ascii="宋体" w:hAnsi="宋体" w:eastAsia="宋体" w:cs="宋体"/>
                <w:b/>
                <w:bCs w:val="0"/>
                <w:color w:val="auto"/>
                <w:szCs w:val="21"/>
                <w:highlight w:val="none"/>
                <w:lang w:eastAsia="zh-CN"/>
              </w:rPr>
              <w:t>复印件（可以是</w:t>
            </w:r>
            <w:r>
              <w:rPr>
                <w:rFonts w:hint="eastAsia" w:ascii="宋体" w:hAnsi="宋体" w:eastAsia="宋体" w:cs="宋体"/>
                <w:b/>
                <w:bCs w:val="0"/>
                <w:color w:val="auto"/>
                <w:szCs w:val="21"/>
                <w:highlight w:val="none"/>
              </w:rPr>
              <w:t>彩页或官网、功能截图或</w:t>
            </w:r>
            <w:r>
              <w:rPr>
                <w:rFonts w:hint="eastAsia" w:ascii="宋体" w:hAnsi="宋体" w:cs="宋体"/>
                <w:b/>
                <w:bCs/>
                <w:color w:val="auto"/>
                <w:kern w:val="0"/>
                <w:szCs w:val="21"/>
                <w:highlight w:val="none"/>
                <w:lang w:eastAsia="zh-CN"/>
              </w:rPr>
              <w:t>由通过CMA认证或CNAS认证的国家认可的第三方检测机构出具的检测报告复印件</w:t>
            </w:r>
            <w:r>
              <w:rPr>
                <w:rFonts w:hint="eastAsia" w:ascii="宋体" w:hAnsi="宋体" w:eastAsia="宋体" w:cs="宋体"/>
                <w:b/>
                <w:bCs w:val="0"/>
                <w:color w:val="auto"/>
                <w:szCs w:val="21"/>
                <w:highlight w:val="none"/>
              </w:rPr>
              <w:t>等）</w:t>
            </w:r>
            <w:r>
              <w:rPr>
                <w:rFonts w:hint="eastAsia" w:ascii="宋体" w:hAnsi="宋体" w:eastAsia="宋体" w:cs="宋体"/>
                <w:b/>
                <w:bCs w:val="0"/>
                <w:color w:val="auto"/>
                <w:szCs w:val="21"/>
                <w:highlight w:val="none"/>
                <w:lang w:eastAsia="zh-CN"/>
              </w:rPr>
              <w:t>，加盖投标人电子签章】</w:t>
            </w:r>
            <w:r>
              <w:rPr>
                <w:rFonts w:hint="eastAsia" w:ascii="宋体" w:hAnsi="宋体" w:cs="宋体"/>
                <w:b/>
                <w:bCs w:val="0"/>
                <w:color w:val="auto"/>
                <w:szCs w:val="21"/>
                <w:highlight w:val="none"/>
                <w:lang w:eastAsia="zh-CN"/>
              </w:rPr>
              <w:t>。</w:t>
            </w:r>
          </w:p>
          <w:p w14:paraId="66B40885">
            <w:pPr>
              <w:keepNext w:val="0"/>
              <w:keepLines w:val="0"/>
              <w:pageBreakBefore w:val="0"/>
              <w:widowControl/>
              <w:tabs>
                <w:tab w:val="center" w:pos="1740"/>
              </w:tabs>
              <w:kinsoku/>
              <w:wordWrap w:val="0"/>
              <w:overflowPunct/>
              <w:topLinePunct w:val="0"/>
              <w:autoSpaceDE/>
              <w:autoSpaceDN/>
              <w:bidi w:val="0"/>
              <w:spacing w:line="360" w:lineRule="exact"/>
              <w:jc w:val="left"/>
              <w:textAlignment w:val="auto"/>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5.要求设备支持防火墙插卡，防火墙插卡支持集成IPS、防病毒安全、LB负载均衡、应用识别和SSL VPN等多种授权，保障网络信息安全</w:t>
            </w:r>
            <w:r>
              <w:rPr>
                <w:rFonts w:hint="eastAsia" w:ascii="宋体" w:hAnsi="宋体" w:eastAsia="宋体" w:cs="宋体"/>
                <w:b/>
                <w:bCs w:val="0"/>
                <w:color w:val="auto"/>
                <w:szCs w:val="21"/>
                <w:highlight w:val="none"/>
                <w:lang w:eastAsia="zh-CN"/>
              </w:rPr>
              <w:t>【投标文件中</w:t>
            </w:r>
            <w:r>
              <w:rPr>
                <w:rFonts w:hint="eastAsia" w:ascii="宋体" w:hAnsi="宋体" w:eastAsia="宋体" w:cs="宋体"/>
                <w:b/>
                <w:bCs w:val="0"/>
                <w:color w:val="auto"/>
                <w:szCs w:val="21"/>
                <w:highlight w:val="none"/>
              </w:rPr>
              <w:t>提供</w:t>
            </w:r>
            <w:r>
              <w:rPr>
                <w:rFonts w:hint="eastAsia" w:ascii="宋体" w:hAnsi="宋体" w:eastAsia="宋体" w:cs="宋体"/>
                <w:b/>
                <w:bCs w:val="0"/>
                <w:color w:val="auto"/>
                <w:szCs w:val="21"/>
                <w:highlight w:val="none"/>
                <w:lang w:eastAsia="zh-CN"/>
              </w:rPr>
              <w:t>所投产品满足本项号功能的</w:t>
            </w:r>
            <w:r>
              <w:rPr>
                <w:rFonts w:hint="eastAsia" w:ascii="宋体" w:hAnsi="宋体" w:eastAsia="宋体" w:cs="宋体"/>
                <w:b/>
                <w:bCs w:val="0"/>
                <w:color w:val="auto"/>
                <w:szCs w:val="21"/>
                <w:highlight w:val="none"/>
              </w:rPr>
              <w:t>相关</w:t>
            </w:r>
            <w:r>
              <w:rPr>
                <w:rFonts w:hint="eastAsia" w:ascii="宋体" w:hAnsi="宋体" w:eastAsia="宋体" w:cs="宋体"/>
                <w:b/>
                <w:bCs w:val="0"/>
                <w:color w:val="auto"/>
                <w:szCs w:val="21"/>
                <w:highlight w:val="none"/>
                <w:lang w:eastAsia="zh-CN"/>
              </w:rPr>
              <w:t>有效</w:t>
            </w:r>
            <w:r>
              <w:rPr>
                <w:rFonts w:hint="eastAsia" w:ascii="宋体" w:hAnsi="宋体" w:eastAsia="宋体" w:cs="宋体"/>
                <w:b/>
                <w:bCs w:val="0"/>
                <w:color w:val="auto"/>
                <w:szCs w:val="21"/>
                <w:highlight w:val="none"/>
              </w:rPr>
              <w:t>证明材料</w:t>
            </w:r>
            <w:r>
              <w:rPr>
                <w:rFonts w:hint="eastAsia" w:ascii="宋体" w:hAnsi="宋体" w:eastAsia="宋体" w:cs="宋体"/>
                <w:b/>
                <w:bCs w:val="0"/>
                <w:color w:val="auto"/>
                <w:szCs w:val="21"/>
                <w:highlight w:val="none"/>
                <w:lang w:eastAsia="zh-CN"/>
              </w:rPr>
              <w:t>复印件（可以是</w:t>
            </w:r>
            <w:r>
              <w:rPr>
                <w:rFonts w:hint="eastAsia" w:ascii="宋体" w:hAnsi="宋体" w:eastAsia="宋体" w:cs="宋体"/>
                <w:b/>
                <w:bCs w:val="0"/>
                <w:color w:val="auto"/>
                <w:szCs w:val="21"/>
                <w:highlight w:val="none"/>
              </w:rPr>
              <w:t>彩页或官网、功能截图或</w:t>
            </w:r>
            <w:r>
              <w:rPr>
                <w:rFonts w:hint="eastAsia" w:ascii="宋体" w:hAnsi="宋体" w:cs="宋体"/>
                <w:b/>
                <w:bCs/>
                <w:color w:val="auto"/>
                <w:kern w:val="0"/>
                <w:szCs w:val="21"/>
                <w:highlight w:val="none"/>
                <w:lang w:eastAsia="zh-CN"/>
              </w:rPr>
              <w:t>由通过CMA认证或CNAS认证的国家认可的第三方检测机构出具的检测报告复印件</w:t>
            </w:r>
            <w:r>
              <w:rPr>
                <w:rFonts w:hint="eastAsia" w:ascii="宋体" w:hAnsi="宋体" w:eastAsia="宋体" w:cs="宋体"/>
                <w:b/>
                <w:bCs w:val="0"/>
                <w:color w:val="auto"/>
                <w:szCs w:val="21"/>
                <w:highlight w:val="none"/>
              </w:rPr>
              <w:t>等）</w:t>
            </w:r>
            <w:r>
              <w:rPr>
                <w:rFonts w:hint="eastAsia" w:ascii="宋体" w:hAnsi="宋体" w:eastAsia="宋体" w:cs="宋体"/>
                <w:b/>
                <w:bCs w:val="0"/>
                <w:color w:val="auto"/>
                <w:szCs w:val="21"/>
                <w:highlight w:val="none"/>
                <w:lang w:eastAsia="zh-CN"/>
              </w:rPr>
              <w:t>，加盖投标人电子签章】</w:t>
            </w:r>
            <w:r>
              <w:rPr>
                <w:rFonts w:hint="eastAsia" w:ascii="宋体" w:hAnsi="宋体" w:cs="宋体"/>
                <w:b w:val="0"/>
                <w:bCs/>
                <w:color w:val="auto"/>
                <w:szCs w:val="21"/>
                <w:highlight w:val="none"/>
                <w:lang w:val="en-US" w:eastAsia="zh-CN"/>
              </w:rPr>
              <w:t>。</w:t>
            </w:r>
          </w:p>
          <w:p w14:paraId="7EE5A81A">
            <w:pPr>
              <w:keepNext w:val="0"/>
              <w:keepLines w:val="0"/>
              <w:pageBreakBefore w:val="0"/>
              <w:widowControl/>
              <w:tabs>
                <w:tab w:val="center" w:pos="1740"/>
              </w:tabs>
              <w:kinsoku/>
              <w:wordWrap w:val="0"/>
              <w:overflowPunct/>
              <w:topLinePunct w:val="0"/>
              <w:autoSpaceDE/>
              <w:autoSpaceDN/>
              <w:bidi w:val="0"/>
              <w:spacing w:line="360" w:lineRule="exact"/>
              <w:jc w:val="left"/>
              <w:textAlignment w:val="auto"/>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6.支持OpenFlow标准；实际具备VxLAN功能，支持VXLAN 二层交换，支持VXLAN 路由交换，支持VXLAN 集中式网关、分布式Anycast网关，支持BGP EVPN，支持OpenFlow+Netconf的VxLAN集中式控制平面、自动化部署；支持Ipv6（参考或相当于）。</w:t>
            </w:r>
          </w:p>
          <w:p w14:paraId="6FA7B9DE">
            <w:pPr>
              <w:keepNext w:val="0"/>
              <w:keepLines w:val="0"/>
              <w:pageBreakBefore w:val="0"/>
              <w:widowControl/>
              <w:tabs>
                <w:tab w:val="center" w:pos="1740"/>
              </w:tabs>
              <w:kinsoku/>
              <w:wordWrap w:val="0"/>
              <w:overflowPunct/>
              <w:topLinePunct w:val="0"/>
              <w:autoSpaceDE/>
              <w:autoSpaceDN/>
              <w:bidi w:val="0"/>
              <w:spacing w:line="360" w:lineRule="exact"/>
              <w:jc w:val="left"/>
              <w:textAlignment w:val="auto"/>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7.设备内置智能网络管理模块。</w:t>
            </w:r>
          </w:p>
          <w:p w14:paraId="58F26936">
            <w:pPr>
              <w:keepNext w:val="0"/>
              <w:keepLines w:val="0"/>
              <w:pageBreakBefore w:val="0"/>
              <w:widowControl/>
              <w:tabs>
                <w:tab w:val="center" w:pos="1740"/>
              </w:tabs>
              <w:kinsoku/>
              <w:wordWrap w:val="0"/>
              <w:overflowPunct/>
              <w:topLinePunct w:val="0"/>
              <w:autoSpaceDE/>
              <w:autoSpaceDN/>
              <w:bidi w:val="0"/>
              <w:spacing w:line="360" w:lineRule="exact"/>
              <w:jc w:val="left"/>
              <w:textAlignment w:val="auto"/>
              <w:rPr>
                <w:rFonts w:hint="default"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8.要求支持iNQA智能网络质量分析技术(参考或相当于)，可快速测量网络性能的检测机制，直接对业务报文进行测量，测量数据可以真实反映网络质量状况，实时感知丢包时间、丢包位置、丢包数量</w:t>
            </w:r>
            <w:r>
              <w:rPr>
                <w:rFonts w:hint="eastAsia" w:ascii="宋体" w:hAnsi="宋体" w:eastAsia="宋体" w:cs="宋体"/>
                <w:b/>
                <w:bCs w:val="0"/>
                <w:color w:val="auto"/>
                <w:szCs w:val="21"/>
                <w:highlight w:val="none"/>
                <w:lang w:eastAsia="zh-CN"/>
              </w:rPr>
              <w:t>【投标文件中</w:t>
            </w:r>
            <w:r>
              <w:rPr>
                <w:rFonts w:hint="eastAsia" w:ascii="宋体" w:hAnsi="宋体" w:eastAsia="宋体" w:cs="宋体"/>
                <w:b/>
                <w:bCs w:val="0"/>
                <w:color w:val="auto"/>
                <w:szCs w:val="21"/>
                <w:highlight w:val="none"/>
              </w:rPr>
              <w:t>提供</w:t>
            </w:r>
            <w:r>
              <w:rPr>
                <w:rFonts w:hint="eastAsia" w:ascii="宋体" w:hAnsi="宋体" w:eastAsia="宋体" w:cs="宋体"/>
                <w:b/>
                <w:bCs w:val="0"/>
                <w:color w:val="auto"/>
                <w:szCs w:val="21"/>
                <w:highlight w:val="none"/>
                <w:lang w:eastAsia="zh-CN"/>
              </w:rPr>
              <w:t>所投产品满足本项号功能的</w:t>
            </w:r>
            <w:r>
              <w:rPr>
                <w:rFonts w:hint="eastAsia" w:ascii="宋体" w:hAnsi="宋体" w:eastAsia="宋体" w:cs="宋体"/>
                <w:b/>
                <w:bCs w:val="0"/>
                <w:color w:val="auto"/>
                <w:szCs w:val="21"/>
                <w:highlight w:val="none"/>
              </w:rPr>
              <w:t>相关</w:t>
            </w:r>
            <w:r>
              <w:rPr>
                <w:rFonts w:hint="eastAsia" w:ascii="宋体" w:hAnsi="宋体" w:eastAsia="宋体" w:cs="宋体"/>
                <w:b/>
                <w:bCs w:val="0"/>
                <w:color w:val="auto"/>
                <w:szCs w:val="21"/>
                <w:highlight w:val="none"/>
                <w:lang w:eastAsia="zh-CN"/>
              </w:rPr>
              <w:t>有效</w:t>
            </w:r>
            <w:r>
              <w:rPr>
                <w:rFonts w:hint="eastAsia" w:ascii="宋体" w:hAnsi="宋体" w:eastAsia="宋体" w:cs="宋体"/>
                <w:b/>
                <w:bCs w:val="0"/>
                <w:color w:val="auto"/>
                <w:szCs w:val="21"/>
                <w:highlight w:val="none"/>
              </w:rPr>
              <w:t>证明材料</w:t>
            </w:r>
            <w:r>
              <w:rPr>
                <w:rFonts w:hint="eastAsia" w:ascii="宋体" w:hAnsi="宋体" w:eastAsia="宋体" w:cs="宋体"/>
                <w:b/>
                <w:bCs w:val="0"/>
                <w:color w:val="auto"/>
                <w:szCs w:val="21"/>
                <w:highlight w:val="none"/>
                <w:lang w:eastAsia="zh-CN"/>
              </w:rPr>
              <w:t>复印件（可以是</w:t>
            </w:r>
            <w:r>
              <w:rPr>
                <w:rFonts w:hint="eastAsia" w:ascii="宋体" w:hAnsi="宋体" w:eastAsia="宋体" w:cs="宋体"/>
                <w:b/>
                <w:bCs w:val="0"/>
                <w:color w:val="auto"/>
                <w:szCs w:val="21"/>
                <w:highlight w:val="none"/>
              </w:rPr>
              <w:t>彩页或官网、功能截图或</w:t>
            </w:r>
            <w:r>
              <w:rPr>
                <w:rFonts w:hint="eastAsia" w:ascii="宋体" w:hAnsi="宋体" w:cs="宋体"/>
                <w:b/>
                <w:bCs/>
                <w:color w:val="auto"/>
                <w:kern w:val="0"/>
                <w:szCs w:val="21"/>
                <w:highlight w:val="none"/>
                <w:lang w:eastAsia="zh-CN"/>
              </w:rPr>
              <w:t>由通过CMA认证或CNAS认证的国家认可的第三方检测机构出具的检测报告复印件</w:t>
            </w:r>
            <w:r>
              <w:rPr>
                <w:rFonts w:hint="eastAsia" w:ascii="宋体" w:hAnsi="宋体" w:eastAsia="宋体" w:cs="宋体"/>
                <w:b/>
                <w:bCs w:val="0"/>
                <w:color w:val="auto"/>
                <w:szCs w:val="21"/>
                <w:highlight w:val="none"/>
              </w:rPr>
              <w:t>等）</w:t>
            </w:r>
            <w:r>
              <w:rPr>
                <w:rFonts w:hint="eastAsia" w:ascii="宋体" w:hAnsi="宋体" w:eastAsia="宋体" w:cs="宋体"/>
                <w:b/>
                <w:bCs w:val="0"/>
                <w:color w:val="auto"/>
                <w:szCs w:val="21"/>
                <w:highlight w:val="none"/>
                <w:lang w:eastAsia="zh-CN"/>
              </w:rPr>
              <w:t>，加盖投标人电子签章】</w:t>
            </w:r>
            <w:r>
              <w:rPr>
                <w:rFonts w:hint="eastAsia" w:ascii="宋体" w:hAnsi="宋体" w:cs="宋体"/>
                <w:b/>
                <w:bCs w:val="0"/>
                <w:color w:val="auto"/>
                <w:szCs w:val="21"/>
                <w:highlight w:val="none"/>
                <w:lang w:eastAsia="zh-CN"/>
              </w:rPr>
              <w:t>。</w:t>
            </w:r>
          </w:p>
          <w:p w14:paraId="716EA4AB">
            <w:pPr>
              <w:keepNext w:val="0"/>
              <w:keepLines w:val="0"/>
              <w:pageBreakBefore w:val="0"/>
              <w:widowControl/>
              <w:tabs>
                <w:tab w:val="center" w:pos="1740"/>
              </w:tabs>
              <w:kinsoku/>
              <w:wordWrap w:val="0"/>
              <w:overflowPunct/>
              <w:topLinePunct w:val="0"/>
              <w:autoSpaceDE/>
              <w:autoSpaceDN/>
              <w:bidi w:val="0"/>
              <w:spacing w:line="360" w:lineRule="exact"/>
              <w:jc w:val="left"/>
              <w:textAlignment w:val="auto"/>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9.支持参考或相当于IPv6静态路由、RIPng、OSPFv3、ISISv6、BGP4+。</w:t>
            </w:r>
          </w:p>
          <w:p w14:paraId="1A7336CB">
            <w:pPr>
              <w:keepNext w:val="0"/>
              <w:keepLines w:val="0"/>
              <w:pageBreakBefore w:val="0"/>
              <w:widowControl/>
              <w:tabs>
                <w:tab w:val="center" w:pos="1740"/>
              </w:tabs>
              <w:kinsoku/>
              <w:wordWrap w:val="0"/>
              <w:overflowPunct/>
              <w:topLinePunct w:val="0"/>
              <w:autoSpaceDE/>
              <w:autoSpaceDN/>
              <w:bidi w:val="0"/>
              <w:spacing w:line="360" w:lineRule="exact"/>
              <w:jc w:val="left"/>
              <w:textAlignment w:val="auto"/>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10.支持CPU保护功能。</w:t>
            </w:r>
          </w:p>
          <w:p w14:paraId="69BC7954">
            <w:pPr>
              <w:keepNext w:val="0"/>
              <w:keepLines w:val="0"/>
              <w:pageBreakBefore w:val="0"/>
              <w:widowControl/>
              <w:tabs>
                <w:tab w:val="center" w:pos="1740"/>
              </w:tabs>
              <w:kinsoku/>
              <w:wordWrap w:val="0"/>
              <w:overflowPunct/>
              <w:topLinePunct w:val="0"/>
              <w:autoSpaceDE/>
              <w:autoSpaceDN/>
              <w:bidi w:val="0"/>
              <w:spacing w:line="360" w:lineRule="exact"/>
              <w:jc w:val="left"/>
              <w:textAlignment w:val="auto"/>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11.支持安全启动，在系统启动过程中支持安全检测，防止对系统镜像进行修改和伪造数据。</w:t>
            </w:r>
          </w:p>
          <w:p w14:paraId="7324F02E">
            <w:pPr>
              <w:keepNext w:val="0"/>
              <w:keepLines w:val="0"/>
              <w:pageBreakBefore w:val="0"/>
              <w:widowControl/>
              <w:tabs>
                <w:tab w:val="center" w:pos="1740"/>
              </w:tabs>
              <w:kinsoku/>
              <w:wordWrap w:val="0"/>
              <w:overflowPunct/>
              <w:topLinePunct w:val="0"/>
              <w:autoSpaceDE/>
              <w:autoSpaceDN/>
              <w:bidi w:val="0"/>
              <w:spacing w:line="360" w:lineRule="exact"/>
              <w:jc w:val="left"/>
              <w:textAlignment w:val="auto"/>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12.支持ARP Detection功能（能够根据DHCP Snooping安全表项、802.1x表项，或IP/MAC静态绑定表项进行检查）。</w:t>
            </w:r>
          </w:p>
          <w:p w14:paraId="424EA5D3">
            <w:pPr>
              <w:keepNext w:val="0"/>
              <w:keepLines w:val="0"/>
              <w:pageBreakBefore w:val="0"/>
              <w:widowControl/>
              <w:tabs>
                <w:tab w:val="center" w:pos="1740"/>
              </w:tabs>
              <w:kinsoku/>
              <w:wordWrap w:val="0"/>
              <w:overflowPunct/>
              <w:topLinePunct w:val="0"/>
              <w:autoSpaceDE/>
              <w:autoSpaceDN/>
              <w:bidi w:val="0"/>
              <w:spacing w:line="360" w:lineRule="exact"/>
              <w:jc w:val="left"/>
              <w:textAlignment w:val="auto"/>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13.支持队列调度算法，可以同时基于端口和队列进行设置，支持SP、WDRR、WRR、WFQ、SP+WDRR等多种模式。</w:t>
            </w:r>
          </w:p>
          <w:p w14:paraId="173414B7">
            <w:pPr>
              <w:keepNext w:val="0"/>
              <w:keepLines w:val="0"/>
              <w:pageBreakBefore w:val="0"/>
              <w:widowControl/>
              <w:tabs>
                <w:tab w:val="center" w:pos="1740"/>
              </w:tabs>
              <w:kinsoku/>
              <w:wordWrap w:val="0"/>
              <w:overflowPunct/>
              <w:topLinePunct w:val="0"/>
              <w:autoSpaceDE/>
              <w:autoSpaceDN/>
              <w:bidi w:val="0"/>
              <w:spacing w:line="360" w:lineRule="exact"/>
              <w:jc w:val="left"/>
              <w:textAlignment w:val="auto"/>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14.采用内置端口防雷技术，业务端口防雷能力≥10KV</w:t>
            </w:r>
            <w:r>
              <w:rPr>
                <w:rFonts w:hint="eastAsia" w:ascii="宋体" w:hAnsi="宋体" w:eastAsia="宋体" w:cs="宋体"/>
                <w:b/>
                <w:bCs w:val="0"/>
                <w:color w:val="auto"/>
                <w:szCs w:val="21"/>
                <w:highlight w:val="none"/>
                <w:lang w:eastAsia="zh-CN"/>
              </w:rPr>
              <w:t>【投标文件中</w:t>
            </w:r>
            <w:r>
              <w:rPr>
                <w:rFonts w:hint="eastAsia" w:ascii="宋体" w:hAnsi="宋体" w:eastAsia="宋体" w:cs="宋体"/>
                <w:b/>
                <w:bCs w:val="0"/>
                <w:color w:val="auto"/>
                <w:szCs w:val="21"/>
                <w:highlight w:val="none"/>
              </w:rPr>
              <w:t>提供</w:t>
            </w:r>
            <w:r>
              <w:rPr>
                <w:rFonts w:hint="eastAsia" w:ascii="宋体" w:hAnsi="宋体" w:eastAsia="宋体" w:cs="宋体"/>
                <w:b/>
                <w:bCs w:val="0"/>
                <w:color w:val="auto"/>
                <w:szCs w:val="21"/>
                <w:highlight w:val="none"/>
                <w:lang w:eastAsia="zh-CN"/>
              </w:rPr>
              <w:t>所投产品满足本项号功能的</w:t>
            </w:r>
            <w:r>
              <w:rPr>
                <w:rFonts w:hint="eastAsia" w:ascii="宋体" w:hAnsi="宋体" w:eastAsia="宋体" w:cs="宋体"/>
                <w:b/>
                <w:bCs w:val="0"/>
                <w:color w:val="auto"/>
                <w:szCs w:val="21"/>
                <w:highlight w:val="none"/>
              </w:rPr>
              <w:t>相关</w:t>
            </w:r>
            <w:r>
              <w:rPr>
                <w:rFonts w:hint="eastAsia" w:ascii="宋体" w:hAnsi="宋体" w:eastAsia="宋体" w:cs="宋体"/>
                <w:b/>
                <w:bCs w:val="0"/>
                <w:color w:val="auto"/>
                <w:szCs w:val="21"/>
                <w:highlight w:val="none"/>
                <w:lang w:eastAsia="zh-CN"/>
              </w:rPr>
              <w:t>有效</w:t>
            </w:r>
            <w:r>
              <w:rPr>
                <w:rFonts w:hint="eastAsia" w:ascii="宋体" w:hAnsi="宋体" w:eastAsia="宋体" w:cs="宋体"/>
                <w:b/>
                <w:bCs w:val="0"/>
                <w:color w:val="auto"/>
                <w:szCs w:val="21"/>
                <w:highlight w:val="none"/>
              </w:rPr>
              <w:t>证明材料</w:t>
            </w:r>
            <w:r>
              <w:rPr>
                <w:rFonts w:hint="eastAsia" w:ascii="宋体" w:hAnsi="宋体" w:eastAsia="宋体" w:cs="宋体"/>
                <w:b/>
                <w:bCs w:val="0"/>
                <w:color w:val="auto"/>
                <w:szCs w:val="21"/>
                <w:highlight w:val="none"/>
                <w:lang w:eastAsia="zh-CN"/>
              </w:rPr>
              <w:t>复印件（可以是</w:t>
            </w:r>
            <w:r>
              <w:rPr>
                <w:rFonts w:hint="eastAsia" w:ascii="宋体" w:hAnsi="宋体" w:eastAsia="宋体" w:cs="宋体"/>
                <w:b/>
                <w:bCs w:val="0"/>
                <w:color w:val="auto"/>
                <w:szCs w:val="21"/>
                <w:highlight w:val="none"/>
              </w:rPr>
              <w:t>彩页或官网、功能截图或</w:t>
            </w:r>
            <w:r>
              <w:rPr>
                <w:rFonts w:hint="eastAsia" w:ascii="宋体" w:hAnsi="宋体" w:cs="宋体"/>
                <w:b/>
                <w:bCs/>
                <w:color w:val="auto"/>
                <w:kern w:val="0"/>
                <w:szCs w:val="21"/>
                <w:highlight w:val="none"/>
                <w:lang w:eastAsia="zh-CN"/>
              </w:rPr>
              <w:t>由通过CMA认证或CNAS认证的国家认可的第三方检测机构出具的检测报告复印件</w:t>
            </w:r>
            <w:r>
              <w:rPr>
                <w:rFonts w:hint="eastAsia" w:ascii="宋体" w:hAnsi="宋体" w:eastAsia="宋体" w:cs="宋体"/>
                <w:b/>
                <w:bCs w:val="0"/>
                <w:color w:val="auto"/>
                <w:szCs w:val="21"/>
                <w:highlight w:val="none"/>
              </w:rPr>
              <w:t>等）</w:t>
            </w:r>
            <w:r>
              <w:rPr>
                <w:rFonts w:hint="eastAsia" w:ascii="宋体" w:hAnsi="宋体" w:eastAsia="宋体" w:cs="宋体"/>
                <w:b/>
                <w:bCs w:val="0"/>
                <w:color w:val="auto"/>
                <w:szCs w:val="21"/>
                <w:highlight w:val="none"/>
                <w:lang w:eastAsia="zh-CN"/>
              </w:rPr>
              <w:t>，加盖投标人电子签章】</w:t>
            </w:r>
            <w:r>
              <w:rPr>
                <w:rFonts w:hint="eastAsia" w:ascii="宋体" w:hAnsi="宋体" w:cs="宋体"/>
                <w:b/>
                <w:bCs w:val="0"/>
                <w:color w:val="auto"/>
                <w:szCs w:val="21"/>
                <w:highlight w:val="none"/>
                <w:lang w:eastAsia="zh-CN"/>
              </w:rPr>
              <w:t>。</w:t>
            </w:r>
          </w:p>
          <w:p w14:paraId="4353CB5D">
            <w:pPr>
              <w:keepNext w:val="0"/>
              <w:keepLines w:val="0"/>
              <w:pageBreakBefore w:val="0"/>
              <w:widowControl/>
              <w:tabs>
                <w:tab w:val="center" w:pos="1740"/>
              </w:tabs>
              <w:kinsoku/>
              <w:wordWrap w:val="0"/>
              <w:overflowPunct/>
              <w:topLinePunct w:val="0"/>
              <w:autoSpaceDE/>
              <w:autoSpaceDN/>
              <w:bidi w:val="0"/>
              <w:spacing w:line="360" w:lineRule="exact"/>
              <w:jc w:val="left"/>
              <w:textAlignment w:val="auto"/>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15.为实现运维管理，支持平台上通过图形化界面对设备进行端口配置等管理操作。</w:t>
            </w:r>
          </w:p>
          <w:p w14:paraId="293C2877">
            <w:pPr>
              <w:keepNext w:val="0"/>
              <w:keepLines w:val="0"/>
              <w:pageBreakBefore w:val="0"/>
              <w:widowControl/>
              <w:tabs>
                <w:tab w:val="center" w:pos="1740"/>
              </w:tabs>
              <w:kinsoku/>
              <w:wordWrap w:val="0"/>
              <w:overflowPunct/>
              <w:topLinePunct w:val="0"/>
              <w:autoSpaceDE/>
              <w:autoSpaceDN/>
              <w:bidi w:val="0"/>
              <w:spacing w:line="360" w:lineRule="exact"/>
              <w:jc w:val="left"/>
              <w:textAlignment w:val="auto"/>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16.支持Telemetry技术（参考或相当于），可通过GRPC协议将交换机的实时资源信息与告警信息上送至运维平台。</w:t>
            </w:r>
          </w:p>
          <w:p w14:paraId="70896FDD">
            <w:pPr>
              <w:keepNext w:val="0"/>
              <w:keepLines w:val="0"/>
              <w:pageBreakBefore w:val="0"/>
              <w:widowControl/>
              <w:tabs>
                <w:tab w:val="center" w:pos="1740"/>
              </w:tabs>
              <w:kinsoku/>
              <w:wordWrap w:val="0"/>
              <w:overflowPunct/>
              <w:topLinePunct w:val="0"/>
              <w:autoSpaceDE/>
              <w:autoSpaceDN/>
              <w:bidi w:val="0"/>
              <w:spacing w:line="360" w:lineRule="exact"/>
              <w:jc w:val="left"/>
              <w:textAlignment w:val="auto"/>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17.支持硬件层级双boot，采用两个FLASH芯片存储boot软件，实现硬件级boot冗余备份，避免因FLASH芯片故障导致交换机无法启动。</w:t>
            </w:r>
          </w:p>
          <w:p w14:paraId="60D7B528">
            <w:pPr>
              <w:keepNext w:val="0"/>
              <w:keepLines w:val="0"/>
              <w:pageBreakBefore w:val="0"/>
              <w:widowControl/>
              <w:tabs>
                <w:tab w:val="center" w:pos="1740"/>
              </w:tabs>
              <w:kinsoku/>
              <w:wordWrap w:val="0"/>
              <w:overflowPunct/>
              <w:topLinePunct w:val="0"/>
              <w:autoSpaceDE/>
              <w:autoSpaceDN/>
              <w:bidi w:val="0"/>
              <w:spacing w:line="360" w:lineRule="exact"/>
              <w:jc w:val="left"/>
              <w:textAlignment w:val="auto"/>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18.支持USB进行文件上传和下载、支持USB开局。</w:t>
            </w:r>
          </w:p>
          <w:p w14:paraId="1D74CD62">
            <w:pPr>
              <w:keepNext w:val="0"/>
              <w:keepLines w:val="0"/>
              <w:pageBreakBefore w:val="0"/>
              <w:widowControl/>
              <w:kinsoku/>
              <w:wordWrap w:val="0"/>
              <w:overflowPunct/>
              <w:topLinePunct w:val="0"/>
              <w:autoSpaceDE/>
              <w:autoSpaceDN/>
              <w:bidi w:val="0"/>
              <w:spacing w:line="360" w:lineRule="exact"/>
              <w:jc w:val="left"/>
              <w:textAlignment w:val="auto"/>
              <w:rPr>
                <w:rFonts w:hint="eastAsia" w:ascii="宋体" w:hAnsi="宋体" w:eastAsia="宋体" w:cs="宋体"/>
                <w:b w:val="0"/>
                <w:bCs w:val="0"/>
                <w:color w:val="auto"/>
                <w:kern w:val="0"/>
                <w:szCs w:val="21"/>
                <w:highlight w:val="none"/>
                <w:lang w:eastAsia="zh-CN"/>
              </w:rPr>
            </w:pPr>
            <w:r>
              <w:rPr>
                <w:rFonts w:hint="eastAsia" w:ascii="宋体" w:hAnsi="宋体" w:cs="宋体"/>
                <w:b w:val="0"/>
                <w:bCs w:val="0"/>
                <w:color w:val="auto"/>
                <w:kern w:val="0"/>
                <w:szCs w:val="21"/>
                <w:lang w:val="en-US" w:eastAsia="zh-CN"/>
              </w:rPr>
              <w:t>四、</w:t>
            </w:r>
            <w:r>
              <w:rPr>
                <w:rFonts w:hint="eastAsia" w:ascii="宋体" w:hAnsi="宋体" w:cs="宋体"/>
                <w:b w:val="0"/>
                <w:bCs w:val="0"/>
                <w:color w:val="auto"/>
                <w:kern w:val="0"/>
                <w:szCs w:val="21"/>
              </w:rPr>
              <w:t>智慧电源模块</w:t>
            </w:r>
            <w:r>
              <w:rPr>
                <w:rFonts w:hint="eastAsia" w:ascii="宋体" w:hAnsi="宋体" w:cs="宋体"/>
                <w:b w:val="0"/>
                <w:bCs w:val="0"/>
                <w:color w:val="auto"/>
                <w:kern w:val="0"/>
                <w:szCs w:val="21"/>
                <w:highlight w:val="none"/>
                <w:lang w:eastAsia="zh-CN"/>
              </w:rPr>
              <w:t>（硬件）</w:t>
            </w:r>
          </w:p>
          <w:p w14:paraId="7E1CB82A">
            <w:pPr>
              <w:keepNext w:val="0"/>
              <w:keepLines w:val="0"/>
              <w:pageBreakBefore w:val="0"/>
              <w:widowControl/>
              <w:kinsoku/>
              <w:wordWrap w:val="0"/>
              <w:overflowPunct/>
              <w:topLinePunct w:val="0"/>
              <w:autoSpaceDE/>
              <w:autoSpaceDN/>
              <w:bidi w:val="0"/>
              <w:spacing w:line="360" w:lineRule="exact"/>
              <w:jc w:val="left"/>
              <w:textAlignment w:val="auto"/>
              <w:rPr>
                <w:rFonts w:hint="eastAsia" w:ascii="宋体" w:hAnsi="宋体" w:cs="宋体"/>
                <w:color w:val="auto"/>
                <w:kern w:val="0"/>
                <w:szCs w:val="21"/>
              </w:rPr>
            </w:pPr>
            <w:r>
              <w:rPr>
                <w:rFonts w:hint="eastAsia" w:ascii="宋体" w:hAnsi="宋体" w:cs="宋体"/>
                <w:b w:val="0"/>
                <w:bCs w:val="0"/>
                <w:color w:val="auto"/>
                <w:kern w:val="0"/>
                <w:szCs w:val="21"/>
                <w:lang w:eastAsia="zh-CN"/>
              </w:rPr>
              <w:t>（</w:t>
            </w:r>
            <w:r>
              <w:rPr>
                <w:rFonts w:hint="eastAsia" w:ascii="宋体" w:hAnsi="宋体" w:cs="宋体"/>
                <w:b w:val="0"/>
                <w:bCs w:val="0"/>
                <w:color w:val="auto"/>
                <w:kern w:val="0"/>
                <w:szCs w:val="21"/>
                <w:lang w:val="en-US" w:eastAsia="zh-CN"/>
              </w:rPr>
              <w:t>一</w:t>
            </w:r>
            <w:r>
              <w:rPr>
                <w:rFonts w:hint="eastAsia" w:ascii="宋体" w:hAnsi="宋体" w:cs="宋体"/>
                <w:b w:val="0"/>
                <w:bCs w:val="0"/>
                <w:color w:val="auto"/>
                <w:kern w:val="0"/>
                <w:szCs w:val="21"/>
                <w:lang w:eastAsia="zh-CN"/>
              </w:rPr>
              <w:t>）</w:t>
            </w:r>
            <w:r>
              <w:rPr>
                <w:rFonts w:hint="eastAsia" w:ascii="宋体" w:hAnsi="宋体" w:cs="宋体"/>
                <w:b w:val="0"/>
                <w:bCs/>
                <w:color w:val="auto"/>
                <w:szCs w:val="21"/>
                <w:highlight w:val="none"/>
                <w:lang w:val="en-US" w:eastAsia="zh-CN"/>
              </w:rPr>
              <w:t>数量</w:t>
            </w:r>
            <w:r>
              <w:rPr>
                <w:rFonts w:hint="eastAsia" w:ascii="宋体" w:hAnsi="宋体" w:cs="宋体"/>
                <w:color w:val="auto"/>
                <w:kern w:val="0"/>
                <w:szCs w:val="21"/>
              </w:rPr>
              <w:t>2台</w:t>
            </w:r>
          </w:p>
          <w:p w14:paraId="1AAFD4E7">
            <w:pPr>
              <w:keepNext w:val="0"/>
              <w:keepLines w:val="0"/>
              <w:pageBreakBefore w:val="0"/>
              <w:widowControl/>
              <w:kinsoku/>
              <w:wordWrap w:val="0"/>
              <w:overflowPunct/>
              <w:topLinePunct w:val="0"/>
              <w:autoSpaceDE/>
              <w:autoSpaceDN/>
              <w:bidi w:val="0"/>
              <w:spacing w:line="360" w:lineRule="exact"/>
              <w:jc w:val="left"/>
              <w:textAlignment w:val="auto"/>
              <w:rPr>
                <w:rFonts w:hint="default" w:ascii="宋体" w:hAnsi="宋体" w:eastAsia="宋体" w:cs="宋体"/>
                <w:color w:val="auto"/>
                <w:kern w:val="0"/>
                <w:szCs w:val="21"/>
                <w:lang w:val="en-US" w:eastAsia="zh-CN"/>
              </w:rPr>
            </w:pP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二</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技术要求</w:t>
            </w:r>
          </w:p>
          <w:p w14:paraId="1E44C3A6">
            <w:pPr>
              <w:keepNext w:val="0"/>
              <w:keepLines w:val="0"/>
              <w:pageBreakBefore w:val="0"/>
              <w:widowControl/>
              <w:kinsoku/>
              <w:wordWrap w:val="0"/>
              <w:overflowPunct/>
              <w:topLinePunct w:val="0"/>
              <w:autoSpaceDE/>
              <w:autoSpaceDN/>
              <w:bidi w:val="0"/>
              <w:spacing w:line="360" w:lineRule="exact"/>
              <w:jc w:val="left"/>
              <w:textAlignment w:val="auto"/>
              <w:rPr>
                <w:rFonts w:hint="default" w:ascii="宋体" w:hAnsi="宋体" w:cs="宋体"/>
                <w:b w:val="0"/>
                <w:bCs w:val="0"/>
                <w:color w:val="auto"/>
                <w:kern w:val="0"/>
                <w:szCs w:val="21"/>
                <w:lang w:val="en-US" w:eastAsia="zh-CN"/>
              </w:rPr>
            </w:pPr>
            <w:r>
              <w:rPr>
                <w:rFonts w:hint="default" w:ascii="宋体" w:hAnsi="宋体" w:cs="宋体"/>
                <w:b w:val="0"/>
                <w:bCs w:val="0"/>
                <w:color w:val="auto"/>
                <w:kern w:val="0"/>
                <w:szCs w:val="21"/>
                <w:lang w:val="en-US" w:eastAsia="zh-CN"/>
              </w:rPr>
              <w:t>1</w:t>
            </w:r>
            <w:r>
              <w:rPr>
                <w:rFonts w:hint="eastAsia" w:ascii="宋体" w:hAnsi="宋体" w:cs="宋体"/>
                <w:b w:val="0"/>
                <w:bCs w:val="0"/>
                <w:color w:val="auto"/>
                <w:kern w:val="0"/>
                <w:szCs w:val="21"/>
                <w:lang w:val="en-US" w:eastAsia="zh-CN"/>
              </w:rPr>
              <w:t>.</w:t>
            </w:r>
            <w:r>
              <w:rPr>
                <w:rFonts w:hint="default" w:ascii="宋体" w:hAnsi="宋体" w:cs="宋体"/>
                <w:b w:val="0"/>
                <w:bCs w:val="0"/>
                <w:color w:val="auto"/>
                <w:kern w:val="0"/>
                <w:szCs w:val="21"/>
                <w:lang w:val="en-US" w:eastAsia="zh-CN"/>
              </w:rPr>
              <w:t>可控制电源：≥8路</w:t>
            </w:r>
            <w:r>
              <w:rPr>
                <w:rFonts w:hint="eastAsia" w:ascii="宋体" w:hAnsi="宋体" w:cs="宋体"/>
                <w:b w:val="0"/>
                <w:bCs w:val="0"/>
                <w:color w:val="auto"/>
                <w:kern w:val="0"/>
                <w:szCs w:val="21"/>
                <w:lang w:val="en-US" w:eastAsia="zh-CN"/>
              </w:rPr>
              <w:t>。</w:t>
            </w:r>
          </w:p>
          <w:p w14:paraId="553AF0A6">
            <w:pPr>
              <w:keepNext w:val="0"/>
              <w:keepLines w:val="0"/>
              <w:pageBreakBefore w:val="0"/>
              <w:widowControl/>
              <w:kinsoku/>
              <w:wordWrap w:val="0"/>
              <w:overflowPunct/>
              <w:topLinePunct w:val="0"/>
              <w:autoSpaceDE/>
              <w:autoSpaceDN/>
              <w:bidi w:val="0"/>
              <w:spacing w:line="360" w:lineRule="exact"/>
              <w:jc w:val="left"/>
              <w:textAlignment w:val="auto"/>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w:t>
            </w:r>
            <w:r>
              <w:rPr>
                <w:rFonts w:hint="default" w:ascii="宋体" w:hAnsi="宋体" w:cs="宋体"/>
                <w:b/>
                <w:bCs/>
                <w:color w:val="auto"/>
                <w:kern w:val="0"/>
                <w:szCs w:val="21"/>
                <w:lang w:val="en-US" w:eastAsia="zh-CN"/>
              </w:rPr>
              <w:t>2</w:t>
            </w:r>
            <w:r>
              <w:rPr>
                <w:rFonts w:hint="eastAsia" w:ascii="宋体" w:hAnsi="宋体" w:cs="宋体"/>
                <w:b/>
                <w:bCs/>
                <w:color w:val="auto"/>
                <w:kern w:val="0"/>
                <w:szCs w:val="21"/>
                <w:lang w:val="en-US" w:eastAsia="zh-CN"/>
              </w:rPr>
              <w:t>.</w:t>
            </w:r>
            <w:r>
              <w:rPr>
                <w:rFonts w:hint="default" w:ascii="宋体" w:hAnsi="宋体" w:cs="宋体"/>
                <w:b/>
                <w:bCs/>
                <w:color w:val="auto"/>
                <w:kern w:val="0"/>
                <w:szCs w:val="21"/>
                <w:lang w:val="en-US" w:eastAsia="zh-CN"/>
              </w:rPr>
              <w:t>不可控制电源：前面板带≥4路直通多功能电源插口</w:t>
            </w:r>
            <w:r>
              <w:rPr>
                <w:rFonts w:hint="eastAsia" w:ascii="宋体" w:hAnsi="宋体" w:cs="宋体"/>
                <w:b/>
                <w:bCs/>
                <w:color w:val="auto"/>
                <w:kern w:val="0"/>
                <w:szCs w:val="21"/>
                <w:lang w:val="en-US" w:eastAsia="zh-CN"/>
              </w:rPr>
              <w:t>。</w:t>
            </w:r>
            <w:r>
              <w:rPr>
                <w:rFonts w:hint="default" w:ascii="宋体" w:hAnsi="宋体" w:cs="宋体"/>
                <w:b/>
                <w:bCs/>
                <w:color w:val="auto"/>
                <w:kern w:val="0"/>
                <w:szCs w:val="21"/>
                <w:lang w:val="en-US" w:eastAsia="zh-CN"/>
              </w:rPr>
              <w:t xml:space="preserve"> </w:t>
            </w:r>
          </w:p>
          <w:p w14:paraId="2B48AA1B">
            <w:pPr>
              <w:keepNext w:val="0"/>
              <w:keepLines w:val="0"/>
              <w:pageBreakBefore w:val="0"/>
              <w:widowControl/>
              <w:kinsoku/>
              <w:wordWrap w:val="0"/>
              <w:overflowPunct/>
              <w:topLinePunct w:val="0"/>
              <w:autoSpaceDE/>
              <w:autoSpaceDN/>
              <w:bidi w:val="0"/>
              <w:spacing w:line="360" w:lineRule="exact"/>
              <w:jc w:val="left"/>
              <w:textAlignment w:val="auto"/>
              <w:rPr>
                <w:rFonts w:hint="default" w:ascii="宋体" w:hAnsi="宋体" w:cs="宋体"/>
                <w:b w:val="0"/>
                <w:bCs w:val="0"/>
                <w:color w:val="auto"/>
                <w:kern w:val="0"/>
                <w:szCs w:val="21"/>
                <w:lang w:val="en-US" w:eastAsia="zh-CN"/>
              </w:rPr>
            </w:pPr>
            <w:r>
              <w:rPr>
                <w:rFonts w:hint="default" w:ascii="宋体" w:hAnsi="宋体" w:cs="宋体"/>
                <w:b w:val="0"/>
                <w:bCs w:val="0"/>
                <w:color w:val="auto"/>
                <w:kern w:val="0"/>
                <w:szCs w:val="21"/>
                <w:lang w:val="en-US" w:eastAsia="zh-CN"/>
              </w:rPr>
              <w:t>3</w:t>
            </w:r>
            <w:r>
              <w:rPr>
                <w:rFonts w:hint="eastAsia" w:ascii="宋体" w:hAnsi="宋体" w:cs="宋体"/>
                <w:b w:val="0"/>
                <w:bCs w:val="0"/>
                <w:color w:val="auto"/>
                <w:kern w:val="0"/>
                <w:szCs w:val="21"/>
                <w:lang w:val="en-US" w:eastAsia="zh-CN"/>
              </w:rPr>
              <w:t>.</w:t>
            </w:r>
            <w:r>
              <w:rPr>
                <w:rFonts w:hint="default" w:ascii="宋体" w:hAnsi="宋体" w:cs="宋体"/>
                <w:b w:val="0"/>
                <w:bCs w:val="0"/>
                <w:color w:val="auto"/>
                <w:kern w:val="0"/>
                <w:szCs w:val="21"/>
                <w:lang w:val="en-US" w:eastAsia="zh-CN"/>
              </w:rPr>
              <w:t>电源输入：AC220V/50Hz</w:t>
            </w:r>
            <w:r>
              <w:rPr>
                <w:rFonts w:hint="eastAsia" w:ascii="宋体" w:hAnsi="宋体" w:cs="宋体"/>
                <w:b w:val="0"/>
                <w:bCs w:val="0"/>
                <w:color w:val="auto"/>
                <w:kern w:val="0"/>
                <w:szCs w:val="21"/>
                <w:lang w:val="en-US" w:eastAsia="zh-CN"/>
              </w:rPr>
              <w:t>。</w:t>
            </w:r>
          </w:p>
          <w:p w14:paraId="65799025">
            <w:pPr>
              <w:keepNext w:val="0"/>
              <w:keepLines w:val="0"/>
              <w:pageBreakBefore w:val="0"/>
              <w:widowControl/>
              <w:kinsoku/>
              <w:wordWrap w:val="0"/>
              <w:overflowPunct/>
              <w:topLinePunct w:val="0"/>
              <w:autoSpaceDE/>
              <w:autoSpaceDN/>
              <w:bidi w:val="0"/>
              <w:spacing w:line="360" w:lineRule="exact"/>
              <w:jc w:val="left"/>
              <w:textAlignment w:val="auto"/>
              <w:rPr>
                <w:rFonts w:hint="default" w:ascii="宋体" w:hAnsi="宋体" w:cs="宋体"/>
                <w:b w:val="0"/>
                <w:bCs w:val="0"/>
                <w:color w:val="auto"/>
                <w:kern w:val="0"/>
                <w:szCs w:val="21"/>
                <w:lang w:val="en-US" w:eastAsia="zh-CN"/>
              </w:rPr>
            </w:pPr>
            <w:r>
              <w:rPr>
                <w:rFonts w:hint="default" w:ascii="宋体" w:hAnsi="宋体" w:cs="宋体"/>
                <w:b w:val="0"/>
                <w:bCs w:val="0"/>
                <w:color w:val="auto"/>
                <w:kern w:val="0"/>
                <w:szCs w:val="21"/>
                <w:lang w:val="en-US" w:eastAsia="zh-CN"/>
              </w:rPr>
              <w:t>4</w:t>
            </w:r>
            <w:r>
              <w:rPr>
                <w:rFonts w:hint="eastAsia" w:ascii="宋体" w:hAnsi="宋体" w:cs="宋体"/>
                <w:b w:val="0"/>
                <w:bCs w:val="0"/>
                <w:color w:val="auto"/>
                <w:kern w:val="0"/>
                <w:szCs w:val="21"/>
                <w:lang w:val="en-US" w:eastAsia="zh-CN"/>
              </w:rPr>
              <w:t>.</w:t>
            </w:r>
            <w:r>
              <w:rPr>
                <w:rFonts w:hint="default" w:ascii="宋体" w:hAnsi="宋体" w:cs="宋体"/>
                <w:b w:val="0"/>
                <w:bCs w:val="0"/>
                <w:color w:val="auto"/>
                <w:kern w:val="0"/>
                <w:szCs w:val="21"/>
                <w:lang w:val="en-US" w:eastAsia="zh-CN"/>
              </w:rPr>
              <w:t>单路额定输出电流：30A</w:t>
            </w:r>
            <w:r>
              <w:rPr>
                <w:rFonts w:hint="eastAsia" w:ascii="宋体" w:hAnsi="宋体" w:cs="宋体"/>
                <w:b w:val="0"/>
                <w:bCs w:val="0"/>
                <w:color w:val="auto"/>
                <w:kern w:val="0"/>
                <w:szCs w:val="21"/>
                <w:lang w:val="en-US" w:eastAsia="zh-CN"/>
              </w:rPr>
              <w:t>。</w:t>
            </w:r>
          </w:p>
          <w:p w14:paraId="50453F69">
            <w:pPr>
              <w:keepNext w:val="0"/>
              <w:keepLines w:val="0"/>
              <w:pageBreakBefore w:val="0"/>
              <w:widowControl/>
              <w:kinsoku/>
              <w:wordWrap w:val="0"/>
              <w:overflowPunct/>
              <w:topLinePunct w:val="0"/>
              <w:autoSpaceDE/>
              <w:autoSpaceDN/>
              <w:bidi w:val="0"/>
              <w:spacing w:line="360" w:lineRule="exact"/>
              <w:jc w:val="left"/>
              <w:textAlignment w:val="auto"/>
              <w:rPr>
                <w:rFonts w:hint="default" w:ascii="宋体" w:hAnsi="宋体" w:cs="宋体"/>
                <w:b w:val="0"/>
                <w:bCs w:val="0"/>
                <w:color w:val="auto"/>
                <w:kern w:val="0"/>
                <w:szCs w:val="21"/>
                <w:lang w:val="en-US" w:eastAsia="zh-CN"/>
              </w:rPr>
            </w:pPr>
            <w:r>
              <w:rPr>
                <w:rFonts w:hint="default" w:ascii="宋体" w:hAnsi="宋体" w:cs="宋体"/>
                <w:b w:val="0"/>
                <w:bCs w:val="0"/>
                <w:color w:val="auto"/>
                <w:kern w:val="0"/>
                <w:szCs w:val="21"/>
                <w:lang w:val="en-US" w:eastAsia="zh-CN"/>
              </w:rPr>
              <w:t>5</w:t>
            </w:r>
            <w:r>
              <w:rPr>
                <w:rFonts w:hint="eastAsia" w:ascii="宋体" w:hAnsi="宋体" w:cs="宋体"/>
                <w:b w:val="0"/>
                <w:bCs w:val="0"/>
                <w:color w:val="auto"/>
                <w:kern w:val="0"/>
                <w:szCs w:val="21"/>
                <w:lang w:val="en-US" w:eastAsia="zh-CN"/>
              </w:rPr>
              <w:t>.</w:t>
            </w:r>
            <w:r>
              <w:rPr>
                <w:rFonts w:hint="default" w:ascii="宋体" w:hAnsi="宋体" w:cs="宋体"/>
                <w:b w:val="0"/>
                <w:bCs w:val="0"/>
                <w:color w:val="auto"/>
                <w:kern w:val="0"/>
                <w:szCs w:val="21"/>
                <w:lang w:val="en-US" w:eastAsia="zh-CN"/>
              </w:rPr>
              <w:t>每路动作延时时间：≤1秒</w:t>
            </w:r>
            <w:r>
              <w:rPr>
                <w:rFonts w:hint="eastAsia" w:ascii="宋体" w:hAnsi="宋体" w:cs="宋体"/>
                <w:b w:val="0"/>
                <w:bCs w:val="0"/>
                <w:color w:val="auto"/>
                <w:kern w:val="0"/>
                <w:szCs w:val="21"/>
                <w:lang w:val="en-US" w:eastAsia="zh-CN"/>
              </w:rPr>
              <w:t>。</w:t>
            </w:r>
          </w:p>
          <w:p w14:paraId="6665375F">
            <w:pPr>
              <w:keepNext w:val="0"/>
              <w:keepLines w:val="0"/>
              <w:pageBreakBefore w:val="0"/>
              <w:widowControl/>
              <w:kinsoku/>
              <w:wordWrap w:val="0"/>
              <w:overflowPunct/>
              <w:topLinePunct w:val="0"/>
              <w:autoSpaceDE/>
              <w:autoSpaceDN/>
              <w:bidi w:val="0"/>
              <w:spacing w:line="360" w:lineRule="exact"/>
              <w:jc w:val="left"/>
              <w:textAlignment w:val="auto"/>
              <w:rPr>
                <w:rFonts w:hint="default" w:ascii="宋体" w:hAnsi="宋体" w:cs="宋体"/>
                <w:b w:val="0"/>
                <w:bCs w:val="0"/>
                <w:color w:val="auto"/>
                <w:kern w:val="0"/>
                <w:szCs w:val="21"/>
                <w:lang w:val="en-US" w:eastAsia="zh-CN"/>
              </w:rPr>
            </w:pPr>
            <w:r>
              <w:rPr>
                <w:rFonts w:hint="eastAsia" w:ascii="宋体" w:hAnsi="宋体" w:cs="宋体"/>
                <w:b/>
                <w:bCs/>
                <w:color w:val="auto"/>
                <w:kern w:val="0"/>
                <w:szCs w:val="21"/>
                <w:lang w:val="en-US" w:eastAsia="zh-CN"/>
              </w:rPr>
              <w:t>▲</w:t>
            </w:r>
            <w:r>
              <w:rPr>
                <w:rFonts w:hint="default" w:ascii="宋体" w:hAnsi="宋体" w:cs="宋体"/>
                <w:b/>
                <w:bCs/>
                <w:color w:val="auto"/>
                <w:kern w:val="0"/>
                <w:szCs w:val="21"/>
                <w:lang w:val="en-US" w:eastAsia="zh-CN"/>
              </w:rPr>
              <w:t>6</w:t>
            </w:r>
            <w:r>
              <w:rPr>
                <w:rFonts w:hint="eastAsia" w:ascii="宋体" w:hAnsi="宋体" w:cs="宋体"/>
                <w:b/>
                <w:bCs/>
                <w:color w:val="auto"/>
                <w:kern w:val="0"/>
                <w:szCs w:val="21"/>
                <w:lang w:val="en-US" w:eastAsia="zh-CN"/>
              </w:rPr>
              <w:t>.</w:t>
            </w:r>
            <w:r>
              <w:rPr>
                <w:rFonts w:hint="default" w:ascii="宋体" w:hAnsi="宋体" w:cs="宋体"/>
                <w:b/>
                <w:bCs/>
                <w:color w:val="auto"/>
                <w:kern w:val="0"/>
                <w:szCs w:val="21"/>
                <w:lang w:val="en-US" w:eastAsia="zh-CN"/>
              </w:rPr>
              <w:t>USB 电源：前面板带≥2路 USB 端口，可输出5V直流供工作灯用以及手机、平板充电</w:t>
            </w:r>
            <w:r>
              <w:rPr>
                <w:rFonts w:hint="eastAsia" w:ascii="宋体" w:hAnsi="宋体" w:cs="宋体"/>
                <w:b/>
                <w:bCs/>
                <w:color w:val="auto"/>
                <w:kern w:val="0"/>
                <w:szCs w:val="21"/>
                <w:lang w:val="en-US" w:eastAsia="zh-CN"/>
              </w:rPr>
              <w:t>。</w:t>
            </w:r>
            <w:r>
              <w:rPr>
                <w:rFonts w:hint="default" w:ascii="宋体" w:hAnsi="宋体" w:cs="宋体"/>
                <w:b w:val="0"/>
                <w:bCs w:val="0"/>
                <w:color w:val="auto"/>
                <w:kern w:val="0"/>
                <w:szCs w:val="21"/>
                <w:lang w:val="en-US" w:eastAsia="zh-CN"/>
              </w:rPr>
              <w:t xml:space="preserve"> </w:t>
            </w:r>
          </w:p>
          <w:p w14:paraId="2FEC9DF6">
            <w:pPr>
              <w:keepNext w:val="0"/>
              <w:keepLines w:val="0"/>
              <w:pageBreakBefore w:val="0"/>
              <w:widowControl/>
              <w:kinsoku/>
              <w:wordWrap w:val="0"/>
              <w:overflowPunct/>
              <w:topLinePunct w:val="0"/>
              <w:autoSpaceDE/>
              <w:autoSpaceDN/>
              <w:bidi w:val="0"/>
              <w:spacing w:line="360" w:lineRule="exact"/>
              <w:jc w:val="left"/>
              <w:textAlignment w:val="auto"/>
              <w:rPr>
                <w:rFonts w:hint="default" w:ascii="宋体" w:hAnsi="宋体" w:cs="宋体"/>
                <w:b w:val="0"/>
                <w:bCs w:val="0"/>
                <w:color w:val="auto"/>
                <w:kern w:val="0"/>
                <w:szCs w:val="21"/>
                <w:lang w:val="en-US" w:eastAsia="zh-CN"/>
              </w:rPr>
            </w:pPr>
            <w:r>
              <w:rPr>
                <w:rFonts w:hint="default" w:ascii="宋体" w:hAnsi="宋体" w:cs="宋体"/>
                <w:b w:val="0"/>
                <w:bCs w:val="0"/>
                <w:color w:val="auto"/>
                <w:kern w:val="0"/>
                <w:szCs w:val="21"/>
                <w:lang w:val="en-US" w:eastAsia="zh-CN"/>
              </w:rPr>
              <w:t>7</w:t>
            </w:r>
            <w:r>
              <w:rPr>
                <w:rFonts w:hint="eastAsia" w:ascii="宋体" w:hAnsi="宋体" w:cs="宋体"/>
                <w:b w:val="0"/>
                <w:bCs w:val="0"/>
                <w:color w:val="auto"/>
                <w:kern w:val="0"/>
                <w:szCs w:val="21"/>
                <w:lang w:val="en-US" w:eastAsia="zh-CN"/>
              </w:rPr>
              <w:t>.</w:t>
            </w:r>
            <w:r>
              <w:rPr>
                <w:rFonts w:hint="default" w:ascii="宋体" w:hAnsi="宋体" w:cs="宋体"/>
                <w:b w:val="0"/>
                <w:bCs w:val="0"/>
                <w:color w:val="auto"/>
                <w:kern w:val="0"/>
                <w:szCs w:val="21"/>
                <w:lang w:val="en-US" w:eastAsia="zh-CN"/>
              </w:rPr>
              <w:t>电压显示：前面板具有≥1个输出电压显示屏</w:t>
            </w:r>
            <w:r>
              <w:rPr>
                <w:rFonts w:hint="eastAsia" w:ascii="宋体" w:hAnsi="宋体" w:cs="宋体"/>
                <w:b w:val="0"/>
                <w:bCs w:val="0"/>
                <w:color w:val="auto"/>
                <w:kern w:val="0"/>
                <w:szCs w:val="21"/>
                <w:lang w:val="en-US" w:eastAsia="zh-CN"/>
              </w:rPr>
              <w:t>。</w:t>
            </w:r>
          </w:p>
          <w:p w14:paraId="1CEA631D">
            <w:pPr>
              <w:keepNext w:val="0"/>
              <w:keepLines w:val="0"/>
              <w:pageBreakBefore w:val="0"/>
              <w:widowControl/>
              <w:kinsoku/>
              <w:wordWrap w:val="0"/>
              <w:overflowPunct/>
              <w:topLinePunct w:val="0"/>
              <w:autoSpaceDE/>
              <w:autoSpaceDN/>
              <w:bidi w:val="0"/>
              <w:spacing w:line="360" w:lineRule="exact"/>
              <w:jc w:val="left"/>
              <w:textAlignment w:val="auto"/>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w:t>
            </w:r>
            <w:r>
              <w:rPr>
                <w:rFonts w:hint="default" w:ascii="宋体" w:hAnsi="宋体" w:cs="宋体"/>
                <w:b/>
                <w:bCs/>
                <w:color w:val="auto"/>
                <w:kern w:val="0"/>
                <w:szCs w:val="21"/>
                <w:lang w:val="en-US" w:eastAsia="zh-CN"/>
              </w:rPr>
              <w:t>8</w:t>
            </w:r>
            <w:r>
              <w:rPr>
                <w:rFonts w:hint="eastAsia" w:ascii="宋体" w:hAnsi="宋体" w:cs="宋体"/>
                <w:b/>
                <w:bCs/>
                <w:color w:val="auto"/>
                <w:kern w:val="0"/>
                <w:szCs w:val="21"/>
                <w:lang w:val="en-US" w:eastAsia="zh-CN"/>
              </w:rPr>
              <w:t>.</w:t>
            </w:r>
            <w:r>
              <w:rPr>
                <w:rFonts w:hint="default" w:ascii="宋体" w:hAnsi="宋体" w:cs="宋体"/>
                <w:b/>
                <w:bCs/>
                <w:color w:val="auto"/>
                <w:kern w:val="0"/>
                <w:szCs w:val="21"/>
                <w:lang w:val="en-US" w:eastAsia="zh-CN"/>
              </w:rPr>
              <w:t>中控接口：RS232，可接受中控控制</w:t>
            </w:r>
            <w:r>
              <w:rPr>
                <w:rFonts w:hint="eastAsia" w:ascii="宋体" w:hAnsi="宋体" w:cs="宋体"/>
                <w:b/>
                <w:bCs/>
                <w:color w:val="auto"/>
                <w:kern w:val="0"/>
                <w:szCs w:val="21"/>
                <w:lang w:val="en-US" w:eastAsia="zh-CN"/>
              </w:rPr>
              <w:t>。</w:t>
            </w:r>
          </w:p>
          <w:p w14:paraId="5E109D5F">
            <w:pPr>
              <w:keepNext w:val="0"/>
              <w:keepLines w:val="0"/>
              <w:pageBreakBefore w:val="0"/>
              <w:widowControl/>
              <w:kinsoku/>
              <w:wordWrap w:val="0"/>
              <w:overflowPunct/>
              <w:topLinePunct w:val="0"/>
              <w:autoSpaceDE/>
              <w:autoSpaceDN/>
              <w:bidi w:val="0"/>
              <w:spacing w:line="360" w:lineRule="exact"/>
              <w:jc w:val="left"/>
              <w:textAlignment w:val="auto"/>
              <w:rPr>
                <w:rFonts w:hint="default" w:ascii="宋体" w:hAnsi="宋体" w:cs="宋体"/>
                <w:b w:val="0"/>
                <w:bCs w:val="0"/>
                <w:color w:val="auto"/>
                <w:kern w:val="0"/>
                <w:szCs w:val="21"/>
                <w:lang w:val="en-US" w:eastAsia="zh-CN"/>
              </w:rPr>
            </w:pPr>
            <w:r>
              <w:rPr>
                <w:rFonts w:hint="eastAsia" w:ascii="宋体" w:hAnsi="宋体" w:cs="宋体"/>
                <w:b/>
                <w:bCs/>
                <w:color w:val="auto"/>
                <w:kern w:val="0"/>
                <w:szCs w:val="21"/>
                <w:lang w:val="en-US" w:eastAsia="zh-CN"/>
              </w:rPr>
              <w:t>▲</w:t>
            </w:r>
            <w:r>
              <w:rPr>
                <w:rFonts w:hint="default" w:ascii="宋体" w:hAnsi="宋体" w:cs="宋体"/>
                <w:b/>
                <w:bCs/>
                <w:color w:val="auto"/>
                <w:kern w:val="0"/>
                <w:szCs w:val="21"/>
                <w:lang w:val="en-US" w:eastAsia="zh-CN"/>
              </w:rPr>
              <w:t>9</w:t>
            </w:r>
            <w:r>
              <w:rPr>
                <w:rFonts w:hint="eastAsia" w:ascii="宋体" w:hAnsi="宋体" w:cs="宋体"/>
                <w:b/>
                <w:bCs/>
                <w:color w:val="auto"/>
                <w:kern w:val="0"/>
                <w:szCs w:val="21"/>
                <w:lang w:val="en-US" w:eastAsia="zh-CN"/>
              </w:rPr>
              <w:t>.</w:t>
            </w:r>
            <w:r>
              <w:rPr>
                <w:rFonts w:hint="default" w:ascii="宋体" w:hAnsi="宋体" w:cs="宋体"/>
                <w:b/>
                <w:bCs/>
                <w:color w:val="auto"/>
                <w:kern w:val="0"/>
                <w:szCs w:val="21"/>
                <w:lang w:val="en-US" w:eastAsia="zh-CN"/>
              </w:rPr>
              <w:t>控制端口：机器后面板具有≥1路RS-232 通讯端口（通过本端口可通过电脑软件控制设备开关）；≥2 个网络级联控制端口（LINK IN、LINK OUT），（实现多台设备级联开关控制）；≥1 路Remote switch 远程控制端口</w:t>
            </w:r>
            <w:r>
              <w:rPr>
                <w:rFonts w:hint="eastAsia" w:ascii="宋体" w:hAnsi="宋体" w:cs="宋体"/>
                <w:b/>
                <w:bCs/>
                <w:color w:val="auto"/>
                <w:kern w:val="0"/>
                <w:szCs w:val="21"/>
                <w:lang w:val="en-US" w:eastAsia="zh-CN"/>
              </w:rPr>
              <w:t>。</w:t>
            </w:r>
            <w:r>
              <w:rPr>
                <w:rFonts w:hint="default" w:ascii="宋体" w:hAnsi="宋体" w:cs="宋体"/>
                <w:b w:val="0"/>
                <w:bCs w:val="0"/>
                <w:color w:val="auto"/>
                <w:kern w:val="0"/>
                <w:szCs w:val="21"/>
                <w:lang w:val="en-US" w:eastAsia="zh-CN"/>
              </w:rPr>
              <w:t xml:space="preserve"> </w:t>
            </w:r>
          </w:p>
          <w:p w14:paraId="049649D7">
            <w:pPr>
              <w:keepNext w:val="0"/>
              <w:keepLines w:val="0"/>
              <w:pageBreakBefore w:val="0"/>
              <w:widowControl/>
              <w:kinsoku/>
              <w:wordWrap w:val="0"/>
              <w:overflowPunct/>
              <w:topLinePunct w:val="0"/>
              <w:autoSpaceDE/>
              <w:autoSpaceDN/>
              <w:bidi w:val="0"/>
              <w:spacing w:line="360" w:lineRule="exact"/>
              <w:jc w:val="left"/>
              <w:textAlignment w:val="auto"/>
              <w:rPr>
                <w:rFonts w:hint="default" w:ascii="宋体" w:hAnsi="宋体" w:cs="宋体"/>
                <w:b w:val="0"/>
                <w:bCs w:val="0"/>
                <w:color w:val="auto"/>
                <w:kern w:val="0"/>
                <w:szCs w:val="21"/>
                <w:lang w:val="en-US" w:eastAsia="zh-CN"/>
              </w:rPr>
            </w:pPr>
            <w:r>
              <w:rPr>
                <w:rFonts w:hint="default" w:ascii="宋体" w:hAnsi="宋体" w:cs="宋体"/>
                <w:b w:val="0"/>
                <w:bCs w:val="0"/>
                <w:color w:val="auto"/>
                <w:kern w:val="0"/>
                <w:szCs w:val="21"/>
                <w:lang w:val="en-US" w:eastAsia="zh-CN"/>
              </w:rPr>
              <w:t>10</w:t>
            </w:r>
            <w:r>
              <w:rPr>
                <w:rFonts w:hint="eastAsia" w:ascii="宋体" w:hAnsi="宋体" w:cs="宋体"/>
                <w:b w:val="0"/>
                <w:bCs w:val="0"/>
                <w:color w:val="auto"/>
                <w:kern w:val="0"/>
                <w:szCs w:val="21"/>
                <w:lang w:val="en-US" w:eastAsia="zh-CN"/>
              </w:rPr>
              <w:t>.</w:t>
            </w:r>
            <w:r>
              <w:rPr>
                <w:rFonts w:hint="default" w:ascii="宋体" w:hAnsi="宋体" w:cs="宋体"/>
                <w:b w:val="0"/>
                <w:bCs w:val="0"/>
                <w:color w:val="auto"/>
                <w:kern w:val="0"/>
                <w:szCs w:val="21"/>
                <w:lang w:val="en-US" w:eastAsia="zh-CN"/>
              </w:rPr>
              <w:t>内部电源分配连接：采用非跳线的 PCB 板全触点焊接连接方式（避免跳线连接带来的接触不稳定）,每路输出带电源指示灯</w:t>
            </w:r>
            <w:r>
              <w:rPr>
                <w:rFonts w:hint="eastAsia" w:ascii="宋体" w:hAnsi="宋体" w:cs="宋体"/>
                <w:b w:val="0"/>
                <w:bCs w:val="0"/>
                <w:color w:val="auto"/>
                <w:kern w:val="0"/>
                <w:szCs w:val="21"/>
                <w:lang w:val="en-US" w:eastAsia="zh-CN"/>
              </w:rPr>
              <w:t>。</w:t>
            </w:r>
          </w:p>
          <w:p w14:paraId="1845FD0D">
            <w:pPr>
              <w:keepNext w:val="0"/>
              <w:keepLines w:val="0"/>
              <w:pageBreakBefore w:val="0"/>
              <w:widowControl/>
              <w:kinsoku/>
              <w:wordWrap w:val="0"/>
              <w:overflowPunct/>
              <w:topLinePunct w:val="0"/>
              <w:autoSpaceDE/>
              <w:autoSpaceDN/>
              <w:bidi w:val="0"/>
              <w:spacing w:line="360" w:lineRule="exact"/>
              <w:jc w:val="left"/>
              <w:textAlignment w:val="auto"/>
              <w:rPr>
                <w:rFonts w:hint="eastAsia" w:ascii="宋体" w:hAnsi="宋体" w:eastAsia="宋体" w:cs="宋体"/>
                <w:b w:val="0"/>
                <w:bCs/>
                <w:color w:val="auto"/>
                <w:szCs w:val="21"/>
                <w:lang w:eastAsia="zh-CN"/>
              </w:rPr>
            </w:pPr>
            <w:r>
              <w:rPr>
                <w:rFonts w:hint="eastAsia" w:ascii="宋体" w:hAnsi="宋体" w:cs="宋体"/>
                <w:b/>
                <w:bCs/>
                <w:color w:val="auto"/>
                <w:kern w:val="0"/>
                <w:szCs w:val="21"/>
                <w:highlight w:val="none"/>
                <w:lang w:val="en-US" w:eastAsia="zh-CN"/>
              </w:rPr>
              <w:t>▲</w:t>
            </w:r>
            <w:r>
              <w:rPr>
                <w:rFonts w:hint="default" w:ascii="宋体" w:hAnsi="宋体" w:cs="宋体"/>
                <w:b/>
                <w:bCs/>
                <w:color w:val="auto"/>
                <w:kern w:val="0"/>
                <w:szCs w:val="21"/>
                <w:highlight w:val="none"/>
                <w:lang w:val="en-US" w:eastAsia="zh-CN"/>
              </w:rPr>
              <w:t>11</w:t>
            </w:r>
            <w:r>
              <w:rPr>
                <w:rFonts w:hint="eastAsia" w:ascii="宋体" w:hAnsi="宋体" w:cs="宋体"/>
                <w:b/>
                <w:bCs/>
                <w:color w:val="auto"/>
                <w:kern w:val="0"/>
                <w:szCs w:val="21"/>
                <w:highlight w:val="none"/>
                <w:lang w:val="en-US" w:eastAsia="zh-CN"/>
              </w:rPr>
              <w:t>.</w:t>
            </w:r>
            <w:r>
              <w:rPr>
                <w:rFonts w:hint="default" w:ascii="宋体" w:hAnsi="宋体" w:cs="宋体"/>
                <w:b/>
                <w:bCs/>
                <w:color w:val="auto"/>
                <w:kern w:val="0"/>
                <w:szCs w:val="21"/>
                <w:highlight w:val="none"/>
                <w:lang w:val="en-US" w:eastAsia="zh-CN"/>
              </w:rPr>
              <w:t>为确保机房内主要设备的用电安全，投标人在投标文件中必须提供满足上述第2、6、8、9项功能的</w:t>
            </w:r>
            <w:r>
              <w:rPr>
                <w:rFonts w:hint="eastAsia" w:ascii="宋体" w:hAnsi="宋体" w:cs="宋体"/>
                <w:b/>
                <w:bCs/>
                <w:color w:val="auto"/>
                <w:kern w:val="0"/>
                <w:szCs w:val="21"/>
                <w:highlight w:val="none"/>
                <w:lang w:eastAsia="zh-CN"/>
              </w:rPr>
              <w:t>通过CMA认证或CNAS认证的</w:t>
            </w:r>
            <w:r>
              <w:rPr>
                <w:rFonts w:hint="eastAsia" w:ascii="宋体" w:hAnsi="宋体" w:cs="宋体"/>
                <w:b/>
                <w:bCs w:val="0"/>
                <w:color w:val="auto"/>
                <w:kern w:val="0"/>
                <w:szCs w:val="21"/>
                <w:highlight w:val="none"/>
              </w:rPr>
              <w:t>国家认可的第三方检验（检测）机构出具的检验（检测）报告复印件</w:t>
            </w:r>
            <w:r>
              <w:rPr>
                <w:rFonts w:hint="eastAsia" w:ascii="宋体" w:hAnsi="宋体" w:cs="宋体"/>
                <w:b/>
                <w:bCs w:val="0"/>
                <w:color w:val="auto"/>
                <w:kern w:val="0"/>
                <w:szCs w:val="21"/>
                <w:highlight w:val="none"/>
                <w:lang w:eastAsia="zh-CN"/>
              </w:rPr>
              <w:t>，</w:t>
            </w:r>
            <w:r>
              <w:rPr>
                <w:rFonts w:hint="default" w:ascii="宋体" w:hAnsi="宋体" w:cs="宋体"/>
                <w:b/>
                <w:bCs/>
                <w:color w:val="auto"/>
                <w:kern w:val="0"/>
                <w:szCs w:val="21"/>
                <w:highlight w:val="none"/>
                <w:lang w:val="en-US" w:eastAsia="zh-CN"/>
              </w:rPr>
              <w:t>并加盖投标人</w:t>
            </w:r>
            <w:r>
              <w:rPr>
                <w:rFonts w:hint="eastAsia" w:ascii="宋体" w:hAnsi="宋体" w:cs="宋体"/>
                <w:b/>
                <w:bCs/>
                <w:color w:val="auto"/>
                <w:kern w:val="0"/>
                <w:szCs w:val="21"/>
                <w:highlight w:val="none"/>
                <w:lang w:val="en-US" w:eastAsia="zh-CN"/>
              </w:rPr>
              <w:t>电子签章</w:t>
            </w:r>
            <w:r>
              <w:rPr>
                <w:rFonts w:hint="default" w:ascii="宋体" w:hAnsi="宋体" w:cs="宋体"/>
                <w:b/>
                <w:bCs/>
                <w:color w:val="auto"/>
                <w:kern w:val="0"/>
                <w:szCs w:val="21"/>
                <w:lang w:val="en-US" w:eastAsia="zh-CN"/>
              </w:rPr>
              <w:t>。</w:t>
            </w:r>
          </w:p>
        </w:tc>
        <w:tc>
          <w:tcPr>
            <w:tcW w:w="1299" w:type="dxa"/>
            <w:tcBorders>
              <w:top w:val="single" w:color="auto" w:sz="4" w:space="0"/>
              <w:left w:val="single" w:color="auto" w:sz="4" w:space="0"/>
              <w:bottom w:val="single" w:color="auto" w:sz="4" w:space="0"/>
              <w:right w:val="single" w:color="auto" w:sz="4" w:space="0"/>
            </w:tcBorders>
            <w:vAlign w:val="center"/>
          </w:tcPr>
          <w:p w14:paraId="0EC42A4B">
            <w:pPr>
              <w:tabs>
                <w:tab w:val="left" w:pos="180"/>
                <w:tab w:val="left" w:pos="1620"/>
              </w:tabs>
              <w:adjustRightInd w:val="0"/>
              <w:snapToGrid w:val="0"/>
              <w:spacing w:line="36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1</w:t>
            </w:r>
          </w:p>
        </w:tc>
        <w:tc>
          <w:tcPr>
            <w:tcW w:w="1482" w:type="dxa"/>
            <w:tcBorders>
              <w:top w:val="single" w:color="auto" w:sz="4" w:space="0"/>
              <w:left w:val="single" w:color="auto" w:sz="4" w:space="0"/>
              <w:bottom w:val="single" w:color="auto" w:sz="4" w:space="0"/>
              <w:right w:val="single" w:color="auto" w:sz="4" w:space="0"/>
            </w:tcBorders>
            <w:vAlign w:val="center"/>
          </w:tcPr>
          <w:p w14:paraId="0A241C9F">
            <w:pPr>
              <w:tabs>
                <w:tab w:val="left" w:pos="180"/>
                <w:tab w:val="left" w:pos="1620"/>
              </w:tabs>
              <w:adjustRightInd w:val="0"/>
              <w:snapToGrid w:val="0"/>
              <w:spacing w:line="360" w:lineRule="exact"/>
              <w:jc w:val="center"/>
              <w:rPr>
                <w:rFonts w:ascii="宋体" w:hAnsi="宋体" w:cs="宋体"/>
                <w:color w:val="auto"/>
                <w:szCs w:val="21"/>
              </w:rPr>
            </w:pPr>
            <w:r>
              <w:rPr>
                <w:rFonts w:hint="eastAsia" w:ascii="宋体" w:hAnsi="宋体" w:cs="宋体"/>
                <w:color w:val="auto"/>
                <w:szCs w:val="21"/>
                <w:lang w:eastAsia="zh-CN"/>
              </w:rPr>
              <w:t>项</w:t>
            </w:r>
          </w:p>
        </w:tc>
      </w:tr>
      <w:tr w14:paraId="73DA9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905" w:type="dxa"/>
            <w:gridSpan w:val="5"/>
            <w:tcBorders>
              <w:top w:val="single" w:color="auto" w:sz="4" w:space="0"/>
              <w:left w:val="single" w:color="auto" w:sz="4" w:space="0"/>
              <w:bottom w:val="single" w:color="auto" w:sz="4" w:space="0"/>
              <w:right w:val="single" w:color="auto" w:sz="4" w:space="0"/>
            </w:tcBorders>
            <w:vAlign w:val="center"/>
          </w:tcPr>
          <w:p w14:paraId="2A5B3342">
            <w:pPr>
              <w:wordWrap w:val="0"/>
              <w:adjustRightInd w:val="0"/>
              <w:snapToGrid w:val="0"/>
              <w:spacing w:line="300" w:lineRule="exact"/>
              <w:jc w:val="left"/>
              <w:textAlignment w:val="center"/>
              <w:rPr>
                <w:rFonts w:ascii="宋体" w:hAnsi="宋体" w:cs="宋体"/>
                <w:b/>
                <w:color w:val="auto"/>
                <w:szCs w:val="21"/>
              </w:rPr>
            </w:pPr>
            <w:r>
              <w:rPr>
                <w:rFonts w:hint="eastAsia" w:ascii="宋体" w:hAnsi="宋体" w:cs="宋体"/>
                <w:b/>
                <w:color w:val="auto"/>
                <w:kern w:val="0"/>
                <w:szCs w:val="21"/>
              </w:rPr>
              <w:t>▲</w:t>
            </w:r>
            <w:r>
              <w:rPr>
                <w:rFonts w:hint="eastAsia" w:ascii="宋体" w:hAnsi="宋体" w:cs="宋体"/>
                <w:b/>
                <w:color w:val="auto"/>
                <w:szCs w:val="21"/>
              </w:rPr>
              <w:t>二、商务要求</w:t>
            </w:r>
          </w:p>
        </w:tc>
      </w:tr>
      <w:tr w14:paraId="53857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14:paraId="54084DE8">
            <w:pPr>
              <w:wordWrap w:val="0"/>
              <w:adjustRightInd w:val="0"/>
              <w:snapToGrid w:val="0"/>
              <w:spacing w:line="300" w:lineRule="exact"/>
              <w:jc w:val="center"/>
              <w:textAlignment w:val="center"/>
              <w:rPr>
                <w:rFonts w:ascii="宋体" w:hAnsi="宋体" w:cs="宋体"/>
                <w:b/>
                <w:color w:val="auto"/>
                <w:szCs w:val="21"/>
              </w:rPr>
            </w:pPr>
            <w:r>
              <w:rPr>
                <w:rFonts w:hint="eastAsia" w:ascii="宋体" w:hAnsi="宋体" w:cs="宋体"/>
                <w:b/>
                <w:color w:val="auto"/>
                <w:szCs w:val="21"/>
              </w:rPr>
              <w:t>（一）售后服务</w:t>
            </w:r>
          </w:p>
        </w:tc>
        <w:tc>
          <w:tcPr>
            <w:tcW w:w="7760" w:type="dxa"/>
            <w:gridSpan w:val="4"/>
            <w:tcBorders>
              <w:top w:val="single" w:color="auto" w:sz="4" w:space="0"/>
              <w:left w:val="single" w:color="auto" w:sz="4" w:space="0"/>
              <w:bottom w:val="single" w:color="auto" w:sz="4" w:space="0"/>
              <w:right w:val="single" w:color="auto" w:sz="4" w:space="0"/>
            </w:tcBorders>
            <w:vAlign w:val="center"/>
          </w:tcPr>
          <w:p w14:paraId="18FAF23D">
            <w:pPr>
              <w:wordWrap w:val="0"/>
              <w:adjustRightInd w:val="0"/>
              <w:snapToGrid w:val="0"/>
              <w:spacing w:line="340" w:lineRule="exact"/>
              <w:textAlignment w:val="center"/>
              <w:rPr>
                <w:rFonts w:hint="eastAsia" w:ascii="宋体" w:hAnsi="宋体" w:cs="宋体"/>
                <w:b/>
                <w:color w:val="auto"/>
                <w:szCs w:val="21"/>
              </w:rPr>
            </w:pPr>
            <w:r>
              <w:rPr>
                <w:rFonts w:hint="eastAsia" w:ascii="宋体" w:hAnsi="宋体" w:cs="宋体"/>
                <w:b/>
                <w:color w:val="auto"/>
                <w:szCs w:val="21"/>
              </w:rPr>
              <w:t>投标人提供的以下售后服务均应包含在投标报价中，采购人不再就此另行支付任何费用：</w:t>
            </w:r>
          </w:p>
          <w:p w14:paraId="462BF73A">
            <w:pPr>
              <w:wordWrap w:val="0"/>
              <w:adjustRightInd w:val="0"/>
              <w:snapToGrid w:val="0"/>
              <w:spacing w:line="340" w:lineRule="exact"/>
              <w:textAlignment w:val="center"/>
              <w:rPr>
                <w:rFonts w:hint="eastAsia" w:ascii="宋体" w:hAnsi="宋体" w:eastAsia="宋体" w:cs="宋体"/>
                <w:b/>
                <w:color w:val="auto"/>
                <w:szCs w:val="21"/>
              </w:rPr>
            </w:pPr>
            <w:r>
              <w:rPr>
                <w:rFonts w:hint="eastAsia" w:ascii="宋体" w:hAnsi="宋体" w:eastAsia="宋体" w:cs="宋体"/>
                <w:b/>
                <w:color w:val="auto"/>
                <w:szCs w:val="21"/>
              </w:rPr>
              <w:t>1.</w:t>
            </w:r>
            <w:r>
              <w:rPr>
                <w:rFonts w:hint="eastAsia" w:ascii="宋体" w:hAnsi="宋体" w:eastAsia="宋体" w:cs="宋体"/>
                <w:b/>
                <w:color w:val="auto"/>
                <w:szCs w:val="21"/>
                <w:lang w:eastAsia="zh-CN"/>
              </w:rPr>
              <w:t>维护（保修）</w:t>
            </w:r>
            <w:r>
              <w:rPr>
                <w:rFonts w:hint="eastAsia" w:ascii="宋体" w:hAnsi="宋体" w:eastAsia="宋体" w:cs="宋体"/>
                <w:b/>
                <w:color w:val="auto"/>
                <w:szCs w:val="21"/>
              </w:rPr>
              <w:t>期要求：按国家有关产品“三包”规定执行“三包”</w:t>
            </w:r>
            <w:r>
              <w:rPr>
                <w:rFonts w:hint="eastAsia" w:ascii="宋体" w:hAnsi="宋体" w:eastAsia="宋体" w:cs="宋体"/>
                <w:b/>
                <w:color w:val="auto"/>
                <w:szCs w:val="21"/>
                <w:lang w:eastAsia="zh-CN"/>
              </w:rPr>
              <w:t>，维护（保修）</w:t>
            </w:r>
            <w:r>
              <w:rPr>
                <w:rFonts w:hint="eastAsia" w:ascii="宋体" w:hAnsi="宋体" w:eastAsia="宋体" w:cs="宋体"/>
                <w:b/>
                <w:color w:val="auto"/>
                <w:szCs w:val="21"/>
              </w:rPr>
              <w:t>期不少于</w:t>
            </w:r>
            <w:r>
              <w:rPr>
                <w:rFonts w:hint="eastAsia" w:ascii="宋体" w:hAnsi="宋体" w:eastAsia="宋体" w:cs="宋体"/>
                <w:b/>
                <w:color w:val="auto"/>
                <w:szCs w:val="21"/>
                <w:lang w:val="en-US" w:eastAsia="zh-CN"/>
              </w:rPr>
              <w:t>3</w:t>
            </w:r>
            <w:r>
              <w:rPr>
                <w:rFonts w:hint="eastAsia" w:ascii="宋体" w:hAnsi="宋体" w:eastAsia="宋体" w:cs="宋体"/>
                <w:b/>
                <w:color w:val="auto"/>
                <w:szCs w:val="21"/>
              </w:rPr>
              <w:t>年（自验收合格之日起计算），</w:t>
            </w:r>
            <w:r>
              <w:rPr>
                <w:rFonts w:hint="eastAsia" w:ascii="宋体" w:hAnsi="宋体" w:eastAsia="宋体" w:cs="宋体"/>
                <w:b/>
                <w:color w:val="auto"/>
                <w:szCs w:val="21"/>
                <w:lang w:eastAsia="zh-CN"/>
              </w:rPr>
              <w:t>维护（保修）</w:t>
            </w:r>
            <w:r>
              <w:rPr>
                <w:rFonts w:hint="eastAsia" w:ascii="宋体" w:hAnsi="宋体" w:eastAsia="宋体" w:cs="宋体"/>
                <w:b/>
                <w:color w:val="auto"/>
                <w:szCs w:val="21"/>
              </w:rPr>
              <w:t>期内进行软件升级及每年不少于</w:t>
            </w:r>
            <w:r>
              <w:rPr>
                <w:rFonts w:hint="eastAsia" w:ascii="宋体" w:hAnsi="宋体" w:eastAsia="宋体" w:cs="宋体"/>
                <w:b/>
                <w:color w:val="auto"/>
                <w:szCs w:val="21"/>
                <w:lang w:val="en-US" w:eastAsia="zh-CN"/>
              </w:rPr>
              <w:t>2</w:t>
            </w:r>
            <w:r>
              <w:rPr>
                <w:rFonts w:hint="eastAsia" w:ascii="宋体" w:hAnsi="宋体" w:eastAsia="宋体" w:cs="宋体"/>
                <w:b/>
                <w:color w:val="auto"/>
                <w:szCs w:val="21"/>
              </w:rPr>
              <w:t>次的巡检服务。</w:t>
            </w:r>
          </w:p>
          <w:p w14:paraId="351E5A65">
            <w:pPr>
              <w:wordWrap w:val="0"/>
              <w:adjustRightInd w:val="0"/>
              <w:snapToGrid w:val="0"/>
              <w:spacing w:line="340" w:lineRule="exact"/>
              <w:textAlignment w:val="center"/>
              <w:rPr>
                <w:rFonts w:hint="eastAsia" w:ascii="宋体" w:hAnsi="宋体" w:eastAsia="宋体" w:cs="宋体"/>
                <w:b/>
                <w:color w:val="auto"/>
                <w:szCs w:val="21"/>
              </w:rPr>
            </w:pPr>
            <w:r>
              <w:rPr>
                <w:rFonts w:hint="eastAsia" w:ascii="宋体" w:hAnsi="宋体" w:eastAsia="宋体" w:cs="宋体"/>
                <w:b/>
                <w:color w:val="auto"/>
                <w:szCs w:val="21"/>
              </w:rPr>
              <w:t>2.采购范围内的上门安装调试合格</w:t>
            </w:r>
            <w:r>
              <w:rPr>
                <w:rFonts w:hint="eastAsia" w:ascii="宋体" w:hAnsi="宋体" w:eastAsia="宋体" w:cs="宋体"/>
                <w:b/>
                <w:color w:val="auto"/>
                <w:szCs w:val="21"/>
                <w:lang w:eastAsia="zh-CN"/>
              </w:rPr>
              <w:t>（涉及货物的负责还需送货上门、</w:t>
            </w:r>
            <w:r>
              <w:rPr>
                <w:rFonts w:hint="eastAsia" w:ascii="宋体" w:hAnsi="宋体" w:eastAsia="宋体" w:cs="宋体"/>
                <w:b/>
                <w:color w:val="auto"/>
                <w:szCs w:val="21"/>
              </w:rPr>
              <w:t>装卸</w:t>
            </w:r>
            <w:r>
              <w:rPr>
                <w:rFonts w:hint="eastAsia" w:ascii="宋体" w:hAnsi="宋体" w:eastAsia="宋体" w:cs="宋体"/>
                <w:b/>
                <w:color w:val="auto"/>
                <w:szCs w:val="21"/>
                <w:lang w:eastAsia="zh-CN"/>
              </w:rPr>
              <w:t>）</w:t>
            </w:r>
            <w:r>
              <w:rPr>
                <w:rFonts w:hint="eastAsia" w:ascii="宋体" w:hAnsi="宋体" w:eastAsia="宋体" w:cs="宋体"/>
                <w:b/>
                <w:color w:val="auto"/>
                <w:szCs w:val="21"/>
              </w:rPr>
              <w:t>，提供技术服务及技术培训，保证采购人操作人员熟练操作系统。</w:t>
            </w:r>
          </w:p>
          <w:p w14:paraId="7CF4CEAB">
            <w:pPr>
              <w:wordWrap w:val="0"/>
              <w:adjustRightInd w:val="0"/>
              <w:snapToGrid w:val="0"/>
              <w:spacing w:line="340" w:lineRule="exact"/>
              <w:textAlignment w:val="center"/>
              <w:rPr>
                <w:rFonts w:hint="eastAsia" w:ascii="宋体" w:hAnsi="宋体" w:eastAsia="宋体" w:cs="宋体"/>
                <w:b/>
                <w:color w:val="auto"/>
                <w:szCs w:val="21"/>
              </w:rPr>
            </w:pPr>
            <w:r>
              <w:rPr>
                <w:rFonts w:hint="eastAsia" w:ascii="宋体" w:hAnsi="宋体" w:eastAsia="宋体" w:cs="宋体"/>
                <w:b/>
                <w:color w:val="auto"/>
                <w:szCs w:val="21"/>
              </w:rPr>
              <w:t>3.</w:t>
            </w:r>
            <w:r>
              <w:rPr>
                <w:rFonts w:hint="eastAsia" w:ascii="宋体" w:hAnsi="宋体" w:eastAsia="宋体" w:cs="宋体"/>
                <w:b/>
                <w:color w:val="auto"/>
                <w:szCs w:val="21"/>
                <w:lang w:eastAsia="zh-CN"/>
              </w:rPr>
              <w:t>维护（保修）</w:t>
            </w:r>
            <w:r>
              <w:rPr>
                <w:rFonts w:hint="eastAsia" w:ascii="宋体" w:hAnsi="宋体" w:eastAsia="宋体" w:cs="宋体"/>
                <w:b/>
                <w:color w:val="auto"/>
                <w:szCs w:val="21"/>
              </w:rPr>
              <w:t>期内上门提供维护服务，出现故障时，2小时内到达现场，24小时内解决故障。</w:t>
            </w:r>
          </w:p>
          <w:p w14:paraId="49D8B86A">
            <w:pPr>
              <w:wordWrap w:val="0"/>
              <w:adjustRightInd w:val="0"/>
              <w:snapToGrid w:val="0"/>
              <w:spacing w:line="340" w:lineRule="exact"/>
              <w:textAlignment w:val="center"/>
              <w:rPr>
                <w:rFonts w:ascii="宋体" w:hAnsi="宋体" w:cs="宋体"/>
                <w:b/>
                <w:color w:val="auto"/>
                <w:szCs w:val="21"/>
              </w:rPr>
            </w:pPr>
            <w:r>
              <w:rPr>
                <w:rFonts w:hint="eastAsia" w:ascii="宋体" w:hAnsi="宋体" w:eastAsia="宋体" w:cs="宋体"/>
                <w:b/>
                <w:color w:val="auto"/>
                <w:szCs w:val="21"/>
              </w:rPr>
              <w:t>4.售后服务过程中，中标人如有违反合同约定的情况，采购人有权</w:t>
            </w:r>
            <w:r>
              <w:rPr>
                <w:rFonts w:hint="eastAsia" w:ascii="宋体" w:hAnsi="宋体" w:eastAsia="宋体" w:cs="宋体"/>
                <w:b/>
                <w:color w:val="auto"/>
                <w:szCs w:val="21"/>
                <w:lang w:eastAsia="zh-CN"/>
              </w:rPr>
              <w:t>要求中标人支付</w:t>
            </w:r>
            <w:r>
              <w:rPr>
                <w:rFonts w:hint="eastAsia" w:ascii="宋体" w:hAnsi="宋体" w:eastAsia="宋体" w:cs="宋体"/>
                <w:b/>
                <w:color w:val="auto"/>
                <w:szCs w:val="21"/>
              </w:rPr>
              <w:t>相应</w:t>
            </w:r>
            <w:r>
              <w:rPr>
                <w:rFonts w:hint="eastAsia" w:ascii="宋体" w:hAnsi="宋体" w:eastAsia="宋体" w:cs="宋体"/>
                <w:b/>
                <w:color w:val="auto"/>
                <w:szCs w:val="21"/>
                <w:lang w:eastAsia="zh-CN"/>
              </w:rPr>
              <w:t>的违约金</w:t>
            </w:r>
            <w:r>
              <w:rPr>
                <w:rFonts w:hint="eastAsia" w:ascii="宋体" w:hAnsi="宋体" w:eastAsia="宋体" w:cs="宋体"/>
                <w:b/>
                <w:color w:val="auto"/>
                <w:szCs w:val="21"/>
              </w:rPr>
              <w:t>。</w:t>
            </w:r>
          </w:p>
        </w:tc>
      </w:tr>
      <w:tr w14:paraId="19695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14:paraId="612FD232">
            <w:pPr>
              <w:wordWrap w:val="0"/>
              <w:adjustRightInd w:val="0"/>
              <w:snapToGrid w:val="0"/>
              <w:spacing w:line="300" w:lineRule="exact"/>
              <w:jc w:val="center"/>
              <w:textAlignment w:val="center"/>
              <w:rPr>
                <w:rFonts w:ascii="宋体" w:hAnsi="宋体" w:cs="宋体"/>
                <w:b/>
                <w:color w:val="auto"/>
                <w:szCs w:val="21"/>
                <w:highlight w:val="none"/>
              </w:rPr>
            </w:pPr>
            <w:r>
              <w:rPr>
                <w:rFonts w:hint="eastAsia" w:ascii="宋体" w:hAnsi="宋体" w:cs="宋体"/>
                <w:b/>
                <w:color w:val="auto"/>
                <w:szCs w:val="21"/>
                <w:highlight w:val="none"/>
              </w:rPr>
              <w:t>（二）交付时间和地点</w:t>
            </w:r>
          </w:p>
        </w:tc>
        <w:tc>
          <w:tcPr>
            <w:tcW w:w="7760" w:type="dxa"/>
            <w:gridSpan w:val="4"/>
            <w:tcBorders>
              <w:top w:val="single" w:color="auto" w:sz="4" w:space="0"/>
              <w:left w:val="single" w:color="auto" w:sz="4" w:space="0"/>
              <w:bottom w:val="single" w:color="auto" w:sz="4" w:space="0"/>
              <w:right w:val="single" w:color="auto" w:sz="4" w:space="0"/>
            </w:tcBorders>
            <w:vAlign w:val="center"/>
          </w:tcPr>
          <w:p w14:paraId="7E7EE528">
            <w:pPr>
              <w:wordWrap w:val="0"/>
              <w:spacing w:line="340" w:lineRule="exact"/>
              <w:rPr>
                <w:rFonts w:ascii="宋体" w:hAnsi="宋体" w:cs="宋体"/>
                <w:b/>
                <w:color w:val="auto"/>
                <w:szCs w:val="21"/>
                <w:highlight w:val="none"/>
              </w:rPr>
            </w:pPr>
            <w:r>
              <w:rPr>
                <w:rFonts w:hint="eastAsia" w:ascii="宋体" w:hAnsi="宋体" w:cs="宋体"/>
                <w:b/>
                <w:color w:val="auto"/>
                <w:szCs w:val="21"/>
                <w:highlight w:val="none"/>
              </w:rPr>
              <w:t>1.交付时间：自签订合同之日起30个日历日内安装调试合格并交付使用。</w:t>
            </w:r>
          </w:p>
          <w:p w14:paraId="78D4BA7D">
            <w:pPr>
              <w:wordWrap w:val="0"/>
              <w:adjustRightInd w:val="0"/>
              <w:snapToGrid w:val="0"/>
              <w:spacing w:line="340" w:lineRule="exact"/>
              <w:textAlignment w:val="center"/>
              <w:rPr>
                <w:rFonts w:ascii="宋体" w:hAnsi="宋体" w:cs="宋体"/>
                <w:b/>
                <w:color w:val="auto"/>
                <w:szCs w:val="21"/>
                <w:highlight w:val="none"/>
              </w:rPr>
            </w:pPr>
            <w:r>
              <w:rPr>
                <w:rFonts w:hint="eastAsia" w:ascii="宋体" w:hAnsi="宋体" w:cs="宋体"/>
                <w:b/>
                <w:color w:val="auto"/>
                <w:szCs w:val="21"/>
                <w:highlight w:val="none"/>
              </w:rPr>
              <w:t>2.交付地点：广西桂林市内采购人指定地点</w:t>
            </w:r>
            <w:r>
              <w:rPr>
                <w:rFonts w:hint="eastAsia" w:ascii="宋体" w:hAnsi="宋体" w:cs="宋体"/>
                <w:b/>
                <w:color w:val="auto"/>
                <w:szCs w:val="21"/>
                <w:highlight w:val="none"/>
                <w:lang w:eastAsia="zh-CN"/>
              </w:rPr>
              <w:t>（桂林市中西医结合医院内）</w:t>
            </w:r>
            <w:r>
              <w:rPr>
                <w:rFonts w:hint="eastAsia" w:ascii="宋体" w:hAnsi="宋体" w:cs="宋体"/>
                <w:b/>
                <w:color w:val="auto"/>
                <w:szCs w:val="21"/>
                <w:highlight w:val="none"/>
              </w:rPr>
              <w:t>。</w:t>
            </w:r>
          </w:p>
        </w:tc>
      </w:tr>
      <w:tr w14:paraId="6F105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14:paraId="61B5E5C1">
            <w:pPr>
              <w:wordWrap w:val="0"/>
              <w:adjustRightInd w:val="0"/>
              <w:snapToGrid w:val="0"/>
              <w:spacing w:line="300" w:lineRule="exact"/>
              <w:jc w:val="center"/>
              <w:textAlignment w:val="center"/>
              <w:rPr>
                <w:rFonts w:ascii="宋体" w:hAnsi="宋体" w:cs="宋体"/>
                <w:b/>
                <w:bCs w:val="0"/>
                <w:color w:val="auto"/>
                <w:szCs w:val="21"/>
                <w:highlight w:val="none"/>
              </w:rPr>
            </w:pPr>
            <w:r>
              <w:rPr>
                <w:rFonts w:hint="eastAsia" w:ascii="宋体" w:hAnsi="宋体" w:cs="宋体"/>
                <w:b/>
                <w:bCs w:val="0"/>
                <w:color w:val="auto"/>
                <w:szCs w:val="21"/>
                <w:highlight w:val="none"/>
              </w:rPr>
              <w:t>（三）付款方式</w:t>
            </w:r>
          </w:p>
        </w:tc>
        <w:tc>
          <w:tcPr>
            <w:tcW w:w="7760" w:type="dxa"/>
            <w:gridSpan w:val="4"/>
            <w:tcBorders>
              <w:top w:val="single" w:color="auto" w:sz="4" w:space="0"/>
              <w:left w:val="single" w:color="auto" w:sz="4" w:space="0"/>
              <w:bottom w:val="single" w:color="auto" w:sz="4" w:space="0"/>
              <w:right w:val="single" w:color="auto" w:sz="4" w:space="0"/>
            </w:tcBorders>
            <w:vAlign w:val="center"/>
          </w:tcPr>
          <w:p w14:paraId="58078D0E">
            <w:pPr>
              <w:wordWrap w:val="0"/>
              <w:spacing w:line="340" w:lineRule="exact"/>
              <w:rPr>
                <w:rFonts w:ascii="宋体" w:hAnsi="宋体" w:cs="宋体"/>
                <w:b/>
                <w:bCs w:val="0"/>
                <w:color w:val="auto"/>
                <w:szCs w:val="21"/>
                <w:highlight w:val="none"/>
              </w:rPr>
            </w:pPr>
            <w:r>
              <w:rPr>
                <w:rFonts w:hint="eastAsia" w:ascii="宋体" w:hAnsi="宋体" w:cs="宋体"/>
                <w:b/>
                <w:bCs w:val="0"/>
                <w:color w:val="auto"/>
                <w:kern w:val="0"/>
                <w:szCs w:val="21"/>
                <w:highlight w:val="none"/>
                <w:lang w:eastAsia="zh-CN"/>
              </w:rPr>
              <w:t>第一阶段：</w:t>
            </w:r>
            <w:r>
              <w:rPr>
                <w:rFonts w:hint="eastAsia" w:ascii="宋体" w:hAnsi="宋体" w:cs="宋体"/>
                <w:b/>
                <w:bCs w:val="0"/>
                <w:color w:val="auto"/>
                <w:kern w:val="0"/>
                <w:szCs w:val="21"/>
                <w:highlight w:val="none"/>
              </w:rPr>
              <w:t>合同签订</w:t>
            </w:r>
            <w:r>
              <w:rPr>
                <w:rFonts w:hint="eastAsia" w:ascii="宋体" w:hAnsi="宋体" w:cs="宋体"/>
                <w:b/>
                <w:bCs w:val="0"/>
                <w:color w:val="auto"/>
                <w:kern w:val="0"/>
                <w:szCs w:val="21"/>
                <w:highlight w:val="none"/>
                <w:lang w:eastAsia="zh-CN"/>
              </w:rPr>
              <w:t>且</w:t>
            </w:r>
            <w:r>
              <w:rPr>
                <w:rFonts w:hint="eastAsia" w:ascii="宋体" w:hAnsi="宋体" w:cs="宋体"/>
                <w:b/>
                <w:bCs w:val="0"/>
                <w:color w:val="auto"/>
                <w:kern w:val="0"/>
                <w:szCs w:val="21"/>
                <w:highlight w:val="none"/>
              </w:rPr>
              <w:t>硬件设备到货，经开箱上架通电正常后，</w:t>
            </w:r>
            <w:r>
              <w:rPr>
                <w:rFonts w:hint="eastAsia" w:ascii="宋体" w:hAnsi="宋体" w:cs="宋体"/>
                <w:b/>
                <w:bCs w:val="0"/>
                <w:color w:val="auto"/>
                <w:kern w:val="0"/>
                <w:szCs w:val="21"/>
                <w:highlight w:val="none"/>
                <w:lang w:eastAsia="zh-CN"/>
              </w:rPr>
              <w:t>中标人</w:t>
            </w:r>
            <w:r>
              <w:rPr>
                <w:rFonts w:hint="eastAsia" w:ascii="宋体" w:hAnsi="宋体" w:cs="宋体"/>
                <w:b/>
                <w:bCs w:val="0"/>
                <w:color w:val="auto"/>
                <w:kern w:val="0"/>
                <w:szCs w:val="21"/>
                <w:highlight w:val="none"/>
              </w:rPr>
              <w:t>向</w:t>
            </w:r>
            <w:r>
              <w:rPr>
                <w:rFonts w:hint="eastAsia" w:ascii="宋体" w:hAnsi="宋体" w:cs="宋体"/>
                <w:b/>
                <w:bCs w:val="0"/>
                <w:color w:val="auto"/>
                <w:kern w:val="0"/>
                <w:szCs w:val="21"/>
                <w:highlight w:val="none"/>
                <w:lang w:eastAsia="zh-CN"/>
              </w:rPr>
              <w:t>采购人</w:t>
            </w:r>
            <w:r>
              <w:rPr>
                <w:rFonts w:hint="eastAsia" w:ascii="宋体" w:hAnsi="宋体" w:cs="宋体"/>
                <w:b/>
                <w:bCs w:val="0"/>
                <w:color w:val="auto"/>
                <w:kern w:val="0"/>
                <w:szCs w:val="21"/>
                <w:highlight w:val="none"/>
              </w:rPr>
              <w:t>一次性开具</w:t>
            </w:r>
            <w:r>
              <w:rPr>
                <w:rFonts w:hint="eastAsia" w:ascii="宋体" w:hAnsi="宋体" w:cs="宋体"/>
                <w:b/>
                <w:bCs w:val="0"/>
                <w:color w:val="auto"/>
                <w:kern w:val="0"/>
                <w:szCs w:val="21"/>
                <w:highlight w:val="none"/>
                <w:lang w:eastAsia="zh-CN"/>
              </w:rPr>
              <w:t>项目</w:t>
            </w:r>
            <w:r>
              <w:rPr>
                <w:rFonts w:hint="eastAsia" w:ascii="宋体" w:hAnsi="宋体" w:cs="宋体"/>
                <w:b/>
                <w:bCs w:val="0"/>
                <w:color w:val="auto"/>
                <w:kern w:val="0"/>
                <w:szCs w:val="21"/>
                <w:highlight w:val="none"/>
              </w:rPr>
              <w:t>合同</w:t>
            </w:r>
            <w:r>
              <w:rPr>
                <w:rFonts w:hint="eastAsia" w:ascii="宋体" w:hAnsi="宋体" w:cs="宋体"/>
                <w:b/>
                <w:bCs w:val="0"/>
                <w:color w:val="auto"/>
                <w:kern w:val="0"/>
                <w:szCs w:val="21"/>
                <w:highlight w:val="none"/>
                <w:lang w:eastAsia="zh-CN"/>
              </w:rPr>
              <w:t>金额</w:t>
            </w:r>
            <w:r>
              <w:rPr>
                <w:rFonts w:hint="eastAsia" w:ascii="宋体" w:hAnsi="宋体" w:cs="宋体"/>
                <w:b/>
                <w:bCs w:val="0"/>
                <w:color w:val="auto"/>
                <w:kern w:val="0"/>
                <w:szCs w:val="21"/>
                <w:highlight w:val="none"/>
              </w:rPr>
              <w:t>全额的合法完税发票，</w:t>
            </w:r>
            <w:r>
              <w:rPr>
                <w:rFonts w:hint="eastAsia" w:ascii="宋体" w:hAnsi="宋体" w:cs="宋体"/>
                <w:b/>
                <w:bCs w:val="0"/>
                <w:color w:val="auto"/>
                <w:kern w:val="0"/>
                <w:szCs w:val="21"/>
                <w:highlight w:val="none"/>
                <w:lang w:eastAsia="zh-CN"/>
              </w:rPr>
              <w:t>采购人</w:t>
            </w:r>
            <w:r>
              <w:rPr>
                <w:rFonts w:hint="eastAsia" w:ascii="宋体" w:hAnsi="宋体" w:cs="宋体"/>
                <w:b/>
                <w:bCs w:val="0"/>
                <w:color w:val="auto"/>
                <w:kern w:val="0"/>
                <w:szCs w:val="21"/>
                <w:highlight w:val="none"/>
              </w:rPr>
              <w:t>向</w:t>
            </w:r>
            <w:r>
              <w:rPr>
                <w:rFonts w:hint="eastAsia" w:ascii="宋体" w:hAnsi="宋体" w:cs="宋体"/>
                <w:b/>
                <w:bCs w:val="0"/>
                <w:color w:val="auto"/>
                <w:kern w:val="0"/>
                <w:szCs w:val="21"/>
                <w:highlight w:val="none"/>
                <w:lang w:eastAsia="zh-CN"/>
              </w:rPr>
              <w:t>中标人</w:t>
            </w:r>
            <w:r>
              <w:rPr>
                <w:rFonts w:hint="eastAsia" w:ascii="宋体" w:hAnsi="宋体" w:cs="宋体"/>
                <w:b/>
                <w:bCs w:val="0"/>
                <w:color w:val="auto"/>
                <w:kern w:val="0"/>
                <w:szCs w:val="21"/>
                <w:highlight w:val="none"/>
              </w:rPr>
              <w:t>支付至项目合同金额的50%；第二阶段：项目整体验收后，</w:t>
            </w:r>
            <w:r>
              <w:rPr>
                <w:rFonts w:hint="eastAsia" w:ascii="宋体" w:hAnsi="宋体" w:cs="宋体"/>
                <w:b/>
                <w:bCs w:val="0"/>
                <w:color w:val="auto"/>
                <w:kern w:val="0"/>
                <w:szCs w:val="21"/>
                <w:highlight w:val="none"/>
                <w:lang w:eastAsia="zh-CN"/>
              </w:rPr>
              <w:t>采购人</w:t>
            </w:r>
            <w:r>
              <w:rPr>
                <w:rFonts w:hint="eastAsia" w:ascii="宋体" w:hAnsi="宋体" w:cs="宋体"/>
                <w:b/>
                <w:bCs w:val="0"/>
                <w:color w:val="auto"/>
                <w:kern w:val="0"/>
                <w:szCs w:val="21"/>
                <w:highlight w:val="none"/>
              </w:rPr>
              <w:t>向</w:t>
            </w:r>
            <w:r>
              <w:rPr>
                <w:rFonts w:hint="eastAsia" w:ascii="宋体" w:hAnsi="宋体" w:cs="宋体"/>
                <w:b/>
                <w:bCs w:val="0"/>
                <w:color w:val="auto"/>
                <w:kern w:val="0"/>
                <w:szCs w:val="21"/>
                <w:highlight w:val="none"/>
                <w:lang w:eastAsia="zh-CN"/>
              </w:rPr>
              <w:t>中标人</w:t>
            </w:r>
            <w:r>
              <w:rPr>
                <w:rFonts w:hint="eastAsia" w:ascii="宋体" w:hAnsi="宋体" w:cs="宋体"/>
                <w:b/>
                <w:bCs w:val="0"/>
                <w:color w:val="auto"/>
                <w:kern w:val="0"/>
                <w:szCs w:val="21"/>
                <w:highlight w:val="none"/>
              </w:rPr>
              <w:t>支付至合同金额的95%；第三阶段：</w:t>
            </w:r>
            <w:r>
              <w:rPr>
                <w:rFonts w:hint="eastAsia" w:ascii="宋体" w:hAnsi="宋体"/>
                <w:b/>
                <w:bCs w:val="0"/>
                <w:color w:val="auto"/>
                <w:highlight w:val="none"/>
                <w:lang w:eastAsia="zh-CN"/>
              </w:rPr>
              <w:t>维护（保修）</w:t>
            </w:r>
            <w:r>
              <w:rPr>
                <w:rFonts w:hint="eastAsia" w:ascii="宋体" w:hAnsi="宋体"/>
                <w:b/>
                <w:bCs w:val="0"/>
                <w:color w:val="auto"/>
                <w:highlight w:val="none"/>
              </w:rPr>
              <w:t>期</w:t>
            </w:r>
            <w:r>
              <w:rPr>
                <w:rFonts w:hint="eastAsia" w:ascii="宋体" w:hAnsi="宋体" w:cs="宋体"/>
                <w:b/>
                <w:bCs w:val="0"/>
                <w:color w:val="auto"/>
                <w:kern w:val="0"/>
                <w:szCs w:val="21"/>
                <w:highlight w:val="none"/>
              </w:rPr>
              <w:t>满后支付合同金额的5%</w:t>
            </w:r>
            <w:r>
              <w:rPr>
                <w:rFonts w:hint="eastAsia" w:ascii="宋体" w:hAnsi="宋体" w:cs="宋体"/>
                <w:b/>
                <w:bCs w:val="0"/>
                <w:color w:val="auto"/>
                <w:kern w:val="0"/>
                <w:szCs w:val="21"/>
                <w:highlight w:val="none"/>
                <w:lang w:eastAsia="zh-CN"/>
              </w:rPr>
              <w:t>（无息）</w:t>
            </w:r>
            <w:r>
              <w:rPr>
                <w:rFonts w:hint="eastAsia" w:ascii="宋体" w:hAnsi="宋体" w:cs="宋体"/>
                <w:b/>
                <w:bCs w:val="0"/>
                <w:color w:val="auto"/>
                <w:kern w:val="0"/>
                <w:szCs w:val="21"/>
                <w:highlight w:val="none"/>
              </w:rPr>
              <w:t>。</w:t>
            </w:r>
          </w:p>
        </w:tc>
      </w:tr>
      <w:tr w14:paraId="5CF12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14:paraId="7A0F8054">
            <w:pPr>
              <w:wordWrap w:val="0"/>
              <w:adjustRightInd w:val="0"/>
              <w:snapToGrid w:val="0"/>
              <w:spacing w:line="300" w:lineRule="exact"/>
              <w:jc w:val="center"/>
              <w:textAlignment w:val="center"/>
              <w:rPr>
                <w:rFonts w:ascii="宋体" w:hAnsi="宋体" w:cs="宋体"/>
                <w:b/>
                <w:color w:val="auto"/>
                <w:szCs w:val="21"/>
              </w:rPr>
            </w:pPr>
            <w:r>
              <w:rPr>
                <w:rFonts w:hint="eastAsia" w:ascii="宋体" w:hAnsi="宋体" w:cs="宋体"/>
                <w:b/>
                <w:color w:val="auto"/>
                <w:szCs w:val="21"/>
              </w:rPr>
              <w:t>（四）</w:t>
            </w:r>
            <w:r>
              <w:rPr>
                <w:rFonts w:hint="eastAsia" w:ascii="宋体" w:hAnsi="宋体" w:cs="宋体"/>
                <w:b/>
                <w:color w:val="auto"/>
                <w:szCs w:val="21"/>
                <w:lang w:eastAsia="zh-CN"/>
              </w:rPr>
              <w:t>硬件部分</w:t>
            </w:r>
            <w:r>
              <w:rPr>
                <w:rFonts w:hint="eastAsia" w:ascii="宋体" w:hAnsi="宋体" w:cs="宋体"/>
                <w:b/>
                <w:color w:val="auto"/>
                <w:szCs w:val="21"/>
              </w:rPr>
              <w:t>包装和运输</w:t>
            </w:r>
          </w:p>
        </w:tc>
        <w:tc>
          <w:tcPr>
            <w:tcW w:w="7760" w:type="dxa"/>
            <w:gridSpan w:val="4"/>
            <w:tcBorders>
              <w:top w:val="single" w:color="auto" w:sz="4" w:space="0"/>
              <w:left w:val="single" w:color="auto" w:sz="4" w:space="0"/>
              <w:bottom w:val="single" w:color="auto" w:sz="4" w:space="0"/>
              <w:right w:val="single" w:color="auto" w:sz="4" w:space="0"/>
            </w:tcBorders>
            <w:vAlign w:val="center"/>
          </w:tcPr>
          <w:p w14:paraId="1EE84047">
            <w:pPr>
              <w:wordWrap w:val="0"/>
              <w:adjustRightInd w:val="0"/>
              <w:snapToGrid w:val="0"/>
              <w:spacing w:line="340" w:lineRule="exact"/>
              <w:textAlignment w:val="center"/>
              <w:rPr>
                <w:rFonts w:ascii="宋体" w:hAnsi="宋体" w:cs="宋体"/>
                <w:b/>
                <w:color w:val="auto"/>
                <w:szCs w:val="21"/>
              </w:rPr>
            </w:pPr>
            <w:r>
              <w:rPr>
                <w:rFonts w:hint="eastAsia" w:ascii="宋体" w:hAnsi="宋体" w:cs="宋体"/>
                <w:b/>
                <w:color w:val="auto"/>
                <w:szCs w:val="21"/>
              </w:rPr>
              <w:t>1.原厂原包装，包装完好完整、无破损、未开封。</w:t>
            </w:r>
          </w:p>
          <w:p w14:paraId="4B988DEA">
            <w:pPr>
              <w:wordWrap w:val="0"/>
              <w:adjustRightInd w:val="0"/>
              <w:snapToGrid w:val="0"/>
              <w:spacing w:line="340" w:lineRule="exact"/>
              <w:textAlignment w:val="center"/>
              <w:rPr>
                <w:rFonts w:ascii="宋体" w:hAnsi="宋体" w:cs="宋体"/>
                <w:b/>
                <w:color w:val="auto"/>
                <w:szCs w:val="21"/>
              </w:rPr>
            </w:pPr>
            <w:r>
              <w:rPr>
                <w:rFonts w:hint="eastAsia" w:ascii="宋体" w:hAnsi="宋体" w:cs="宋体"/>
                <w:b/>
                <w:color w:val="auto"/>
                <w:szCs w:val="21"/>
              </w:rPr>
              <w:t>2.包装及运输方式应综合考虑运输距离、防潮、防震、防锈和防破损装卸等要求。</w:t>
            </w:r>
          </w:p>
          <w:p w14:paraId="5FA3B725">
            <w:pPr>
              <w:wordWrap w:val="0"/>
              <w:adjustRightInd w:val="0"/>
              <w:snapToGrid w:val="0"/>
              <w:spacing w:line="340" w:lineRule="exact"/>
              <w:textAlignment w:val="center"/>
              <w:rPr>
                <w:rFonts w:ascii="宋体" w:hAnsi="宋体" w:cs="宋体"/>
                <w:b/>
                <w:color w:val="auto"/>
                <w:szCs w:val="21"/>
              </w:rPr>
            </w:pPr>
            <w:r>
              <w:rPr>
                <w:rFonts w:hint="eastAsia" w:ascii="宋体" w:hAnsi="宋体" w:cs="宋体"/>
                <w:b/>
                <w:color w:val="auto"/>
                <w:szCs w:val="21"/>
              </w:rPr>
              <w:t>3.国家对包装及运输有相关强制性标准或要求的，中标人应当执行。</w:t>
            </w:r>
          </w:p>
          <w:p w14:paraId="329F001B">
            <w:pPr>
              <w:wordWrap w:val="0"/>
              <w:adjustRightInd w:val="0"/>
              <w:snapToGrid w:val="0"/>
              <w:spacing w:line="340" w:lineRule="exact"/>
              <w:textAlignment w:val="center"/>
              <w:rPr>
                <w:rFonts w:ascii="宋体" w:hAnsi="宋体" w:cs="宋体"/>
                <w:b/>
                <w:color w:val="auto"/>
                <w:szCs w:val="21"/>
              </w:rPr>
            </w:pPr>
            <w:r>
              <w:rPr>
                <w:rFonts w:hint="eastAsia" w:ascii="宋体" w:hAnsi="宋体" w:cs="宋体"/>
                <w:b/>
                <w:color w:val="auto"/>
                <w:szCs w:val="21"/>
              </w:rPr>
              <w:t>4.产品（含包装）运抵采购人指定交付地点前发生损坏的，相关损失由中标人自行承担。</w:t>
            </w:r>
          </w:p>
        </w:tc>
      </w:tr>
      <w:tr w14:paraId="4E521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14:paraId="211B2FFF">
            <w:pPr>
              <w:wordWrap w:val="0"/>
              <w:adjustRightInd w:val="0"/>
              <w:snapToGrid w:val="0"/>
              <w:spacing w:line="300" w:lineRule="exact"/>
              <w:jc w:val="center"/>
              <w:textAlignment w:val="center"/>
              <w:rPr>
                <w:rFonts w:ascii="宋体" w:hAnsi="宋体" w:cs="宋体"/>
                <w:b/>
                <w:color w:val="auto"/>
                <w:szCs w:val="21"/>
              </w:rPr>
            </w:pPr>
            <w:r>
              <w:rPr>
                <w:rFonts w:hint="eastAsia" w:ascii="宋体" w:hAnsi="宋体" w:cs="宋体"/>
                <w:b/>
                <w:color w:val="auto"/>
                <w:szCs w:val="21"/>
              </w:rPr>
              <w:t>（五）保险</w:t>
            </w:r>
          </w:p>
        </w:tc>
        <w:tc>
          <w:tcPr>
            <w:tcW w:w="7760" w:type="dxa"/>
            <w:gridSpan w:val="4"/>
            <w:tcBorders>
              <w:top w:val="single" w:color="auto" w:sz="4" w:space="0"/>
              <w:left w:val="single" w:color="auto" w:sz="4" w:space="0"/>
              <w:bottom w:val="single" w:color="auto" w:sz="4" w:space="0"/>
              <w:right w:val="single" w:color="auto" w:sz="4" w:space="0"/>
            </w:tcBorders>
            <w:vAlign w:val="center"/>
          </w:tcPr>
          <w:p w14:paraId="6C6750BF">
            <w:pPr>
              <w:wordWrap w:val="0"/>
              <w:adjustRightInd w:val="0"/>
              <w:snapToGrid w:val="0"/>
              <w:spacing w:line="340" w:lineRule="exact"/>
              <w:textAlignment w:val="center"/>
              <w:rPr>
                <w:rFonts w:ascii="宋体" w:hAnsi="宋体" w:cs="宋体"/>
                <w:b/>
                <w:color w:val="auto"/>
                <w:szCs w:val="21"/>
              </w:rPr>
            </w:pPr>
            <w:r>
              <w:rPr>
                <w:rFonts w:hint="eastAsia" w:ascii="宋体" w:hAnsi="宋体" w:cs="宋体"/>
                <w:b/>
                <w:color w:val="auto"/>
                <w:szCs w:val="21"/>
              </w:rPr>
              <w:t>若投标人为本项目标的及标的涉及的相关材料、设备、人员、运输等购买保险的，相关费用由投标人自行承担。</w:t>
            </w:r>
          </w:p>
        </w:tc>
      </w:tr>
      <w:tr w14:paraId="68644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14:paraId="7C8ADDF3">
            <w:pPr>
              <w:wordWrap w:val="0"/>
              <w:adjustRightInd w:val="0"/>
              <w:snapToGrid w:val="0"/>
              <w:spacing w:line="300" w:lineRule="exact"/>
              <w:jc w:val="center"/>
              <w:textAlignment w:val="center"/>
              <w:rPr>
                <w:rFonts w:hint="eastAsia" w:ascii="宋体" w:hAnsi="宋体" w:eastAsia="宋体" w:cs="宋体"/>
                <w:b/>
                <w:color w:val="auto"/>
                <w:szCs w:val="21"/>
                <w:lang w:eastAsia="zh-CN"/>
              </w:rPr>
            </w:pPr>
            <w:r>
              <w:rPr>
                <w:rFonts w:hint="eastAsia" w:ascii="宋体" w:hAnsi="宋体" w:cs="宋体"/>
                <w:b/>
                <w:color w:val="auto"/>
                <w:szCs w:val="21"/>
              </w:rPr>
              <w:t>（六）验收标准</w:t>
            </w:r>
          </w:p>
        </w:tc>
        <w:tc>
          <w:tcPr>
            <w:tcW w:w="7760" w:type="dxa"/>
            <w:gridSpan w:val="4"/>
            <w:tcBorders>
              <w:top w:val="single" w:color="auto" w:sz="4" w:space="0"/>
              <w:left w:val="single" w:color="auto" w:sz="4" w:space="0"/>
              <w:bottom w:val="single" w:color="auto" w:sz="4" w:space="0"/>
              <w:right w:val="single" w:color="auto" w:sz="4" w:space="0"/>
            </w:tcBorders>
            <w:vAlign w:val="center"/>
          </w:tcPr>
          <w:p w14:paraId="4BB7913B">
            <w:pPr>
              <w:wordWrap w:val="0"/>
              <w:adjustRightInd w:val="0"/>
              <w:snapToGrid w:val="0"/>
              <w:spacing w:line="340" w:lineRule="exact"/>
              <w:textAlignment w:val="center"/>
              <w:rPr>
                <w:rFonts w:ascii="宋体" w:hAnsi="宋体" w:cs="宋体"/>
                <w:b/>
                <w:color w:val="auto"/>
                <w:szCs w:val="21"/>
              </w:rPr>
            </w:pPr>
            <w:r>
              <w:rPr>
                <w:rFonts w:hint="eastAsia" w:ascii="宋体" w:hAnsi="宋体" w:cs="宋体"/>
                <w:b/>
                <w:color w:val="auto"/>
                <w:szCs w:val="21"/>
              </w:rPr>
              <w:t>1.中标人提供的产品必须符合国家、行业强制执行的相关质量标准要求以及产品制造厂家合格产品的出厂质量标准。</w:t>
            </w:r>
          </w:p>
          <w:p w14:paraId="13D4F494">
            <w:pPr>
              <w:wordWrap w:val="0"/>
              <w:adjustRightInd w:val="0"/>
              <w:snapToGrid w:val="0"/>
              <w:spacing w:line="340" w:lineRule="exact"/>
              <w:textAlignment w:val="center"/>
              <w:rPr>
                <w:rFonts w:ascii="宋体" w:hAnsi="宋体" w:cs="宋体"/>
                <w:b/>
                <w:color w:val="auto"/>
                <w:szCs w:val="21"/>
              </w:rPr>
            </w:pPr>
            <w:r>
              <w:rPr>
                <w:rFonts w:hint="eastAsia" w:ascii="宋体" w:hAnsi="宋体" w:cs="宋体"/>
                <w:b/>
                <w:color w:val="auto"/>
                <w:szCs w:val="21"/>
              </w:rPr>
              <w:t>2.设备须全新、完好、无破损，产品到</w:t>
            </w:r>
            <w:r>
              <w:rPr>
                <w:rFonts w:hint="eastAsia" w:ascii="宋体" w:hAnsi="宋体" w:cs="宋体"/>
                <w:b/>
                <w:color w:val="auto"/>
                <w:szCs w:val="21"/>
                <w:lang w:eastAsia="zh-CN"/>
              </w:rPr>
              <w:t>付</w:t>
            </w:r>
            <w:r>
              <w:rPr>
                <w:rFonts w:hint="eastAsia" w:ascii="宋体" w:hAnsi="宋体" w:cs="宋体"/>
                <w:b/>
                <w:color w:val="auto"/>
                <w:szCs w:val="21"/>
              </w:rPr>
              <w:t>后，采购人现场根据招标文件要求、投标文件承诺以及国家相关标准、地方标准进行验收，必要时，采购人有权邀请国家质量监督检验部门或国家认可的检测机构参与共同验收。如产品不满足投标文件要求、中标人投标文件承诺或国家、行业强制执行的相关质量标准要求以及产品制造厂家合格产品的出厂质量标准，采购人有权不予验收，由此造成采购人的经济损失由中标人承担全部赔偿责任。</w:t>
            </w:r>
          </w:p>
        </w:tc>
      </w:tr>
      <w:tr w14:paraId="43678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14:paraId="53E1C066">
            <w:pPr>
              <w:wordWrap w:val="0"/>
              <w:adjustRightInd w:val="0"/>
              <w:snapToGrid w:val="0"/>
              <w:spacing w:line="320" w:lineRule="exact"/>
              <w:jc w:val="center"/>
              <w:rPr>
                <w:rFonts w:ascii="宋体" w:hAnsi="宋体"/>
                <w:b/>
                <w:color w:val="auto"/>
                <w:kern w:val="0"/>
              </w:rPr>
            </w:pPr>
            <w:r>
              <w:rPr>
                <w:rFonts w:hint="eastAsia" w:ascii="宋体" w:hAnsi="宋体" w:cs="宋体"/>
                <w:b/>
                <w:color w:val="auto"/>
                <w:kern w:val="0"/>
                <w:szCs w:val="21"/>
              </w:rPr>
              <w:t>（</w:t>
            </w:r>
            <w:r>
              <w:rPr>
                <w:rFonts w:hint="eastAsia" w:ascii="宋体" w:hAnsi="宋体" w:cs="宋体"/>
                <w:b/>
                <w:color w:val="auto"/>
                <w:kern w:val="0"/>
                <w:szCs w:val="21"/>
                <w:lang w:eastAsia="zh-CN"/>
              </w:rPr>
              <w:t>七</w:t>
            </w:r>
            <w:r>
              <w:rPr>
                <w:rFonts w:hint="eastAsia" w:ascii="宋体" w:hAnsi="宋体" w:cs="宋体"/>
                <w:b/>
                <w:color w:val="auto"/>
                <w:kern w:val="0"/>
                <w:szCs w:val="21"/>
              </w:rPr>
              <w:t>）</w:t>
            </w:r>
            <w:r>
              <w:rPr>
                <w:rFonts w:hint="eastAsia" w:ascii="宋体" w:hAnsi="宋体" w:cs="宋体"/>
                <w:b/>
                <w:color w:val="auto"/>
                <w:kern w:val="0"/>
                <w:szCs w:val="21"/>
                <w:lang w:eastAsia="zh-CN"/>
              </w:rPr>
              <w:t>硬件部分</w:t>
            </w:r>
            <w:r>
              <w:rPr>
                <w:rFonts w:hint="eastAsia" w:ascii="宋体" w:hAnsi="宋体" w:cs="宋体"/>
                <w:b/>
                <w:color w:val="auto"/>
                <w:kern w:val="0"/>
                <w:szCs w:val="21"/>
              </w:rPr>
              <w:t>进口产品说明</w:t>
            </w:r>
          </w:p>
        </w:tc>
        <w:tc>
          <w:tcPr>
            <w:tcW w:w="7760" w:type="dxa"/>
            <w:gridSpan w:val="4"/>
            <w:tcBorders>
              <w:top w:val="single" w:color="auto" w:sz="4" w:space="0"/>
              <w:left w:val="single" w:color="auto" w:sz="4" w:space="0"/>
              <w:bottom w:val="single" w:color="auto" w:sz="4" w:space="0"/>
              <w:right w:val="single" w:color="auto" w:sz="4" w:space="0"/>
            </w:tcBorders>
            <w:vAlign w:val="center"/>
          </w:tcPr>
          <w:p w14:paraId="5A6F6B04">
            <w:pPr>
              <w:wordWrap w:val="0"/>
              <w:adjustRightInd w:val="0"/>
              <w:snapToGrid w:val="0"/>
              <w:spacing w:line="340" w:lineRule="exact"/>
              <w:jc w:val="left"/>
              <w:rPr>
                <w:rFonts w:ascii="宋体" w:hAnsi="宋体"/>
                <w:b/>
                <w:color w:val="auto"/>
                <w:szCs w:val="21"/>
              </w:rPr>
            </w:pPr>
            <w:r>
              <w:rPr>
                <w:rFonts w:hint="eastAsia" w:ascii="宋体" w:hAnsi="宋体"/>
                <w:b/>
                <w:color w:val="auto"/>
              </w:rPr>
              <w:t>本</w:t>
            </w:r>
            <w:r>
              <w:rPr>
                <w:rFonts w:hint="eastAsia" w:ascii="宋体" w:hAnsi="宋体"/>
                <w:b/>
                <w:color w:val="auto"/>
                <w:lang w:eastAsia="zh-CN"/>
              </w:rPr>
              <w:t>项目硬件部分</w:t>
            </w:r>
            <w:r>
              <w:rPr>
                <w:rFonts w:hint="eastAsia" w:ascii="宋体" w:hAnsi="宋体"/>
                <w:b/>
                <w:color w:val="auto"/>
              </w:rPr>
              <w:t>均不接受进口产品（即通过中国海关报关验放进入中国境内且产自关境外的产品）参与投标，如有此类产品参与投标的作无效投标处理。</w:t>
            </w:r>
          </w:p>
        </w:tc>
      </w:tr>
      <w:tr w14:paraId="37D00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14:paraId="0F37DDBE">
            <w:pPr>
              <w:wordWrap w:val="0"/>
              <w:adjustRightInd w:val="0"/>
              <w:snapToGrid w:val="0"/>
              <w:spacing w:line="320" w:lineRule="exact"/>
              <w:jc w:val="center"/>
              <w:rPr>
                <w:rFonts w:ascii="宋体" w:hAnsi="宋体" w:cs="宋体"/>
                <w:b/>
                <w:color w:val="auto"/>
                <w:kern w:val="0"/>
                <w:szCs w:val="21"/>
              </w:rPr>
            </w:pPr>
            <w:r>
              <w:rPr>
                <w:rFonts w:hint="eastAsia" w:ascii="宋体" w:hAnsi="宋体" w:cs="宋体"/>
                <w:b/>
                <w:color w:val="auto"/>
                <w:kern w:val="0"/>
                <w:szCs w:val="21"/>
              </w:rPr>
              <w:t>（九）采购预算</w:t>
            </w:r>
          </w:p>
        </w:tc>
        <w:tc>
          <w:tcPr>
            <w:tcW w:w="7760" w:type="dxa"/>
            <w:gridSpan w:val="4"/>
            <w:tcBorders>
              <w:top w:val="single" w:color="auto" w:sz="4" w:space="0"/>
              <w:left w:val="single" w:color="auto" w:sz="4" w:space="0"/>
              <w:bottom w:val="single" w:color="auto" w:sz="4" w:space="0"/>
              <w:right w:val="single" w:color="auto" w:sz="4" w:space="0"/>
            </w:tcBorders>
            <w:vAlign w:val="center"/>
          </w:tcPr>
          <w:p w14:paraId="72B230B3">
            <w:pPr>
              <w:spacing w:line="340" w:lineRule="exact"/>
              <w:rPr>
                <w:rFonts w:ascii="宋体" w:hAnsi="宋体"/>
                <w:b/>
                <w:color w:val="auto"/>
                <w:szCs w:val="21"/>
              </w:rPr>
            </w:pPr>
            <w:r>
              <w:rPr>
                <w:rFonts w:hint="eastAsia" w:ascii="宋体" w:hAnsi="宋体"/>
                <w:b/>
                <w:color w:val="auto"/>
                <w:szCs w:val="21"/>
              </w:rPr>
              <w:t>本项目采购预算金额为</w:t>
            </w:r>
            <w:r>
              <w:rPr>
                <w:rFonts w:hint="eastAsia" w:ascii="宋体" w:hAnsi="宋体"/>
                <w:b/>
                <w:color w:val="auto"/>
                <w:szCs w:val="21"/>
                <w:lang w:val="en-US" w:eastAsia="zh-CN"/>
              </w:rPr>
              <w:t>捌拾万元整</w:t>
            </w:r>
            <w:r>
              <w:rPr>
                <w:rFonts w:hint="eastAsia" w:ascii="宋体" w:hAnsi="宋体"/>
                <w:b/>
                <w:color w:val="auto"/>
                <w:szCs w:val="21"/>
              </w:rPr>
              <w:t>（¥</w:t>
            </w:r>
            <w:r>
              <w:rPr>
                <w:rFonts w:hint="eastAsia" w:ascii="宋体" w:hAnsi="宋体"/>
                <w:b/>
                <w:color w:val="auto"/>
                <w:szCs w:val="21"/>
                <w:lang w:val="en-US" w:eastAsia="zh-CN"/>
              </w:rPr>
              <w:t>800000</w:t>
            </w:r>
            <w:r>
              <w:rPr>
                <w:rFonts w:hint="eastAsia" w:ascii="宋体" w:hAnsi="宋体"/>
                <w:b/>
                <w:color w:val="auto"/>
                <w:szCs w:val="21"/>
              </w:rPr>
              <w:t>.00），</w:t>
            </w:r>
            <w:r>
              <w:rPr>
                <w:rFonts w:hint="eastAsia" w:ascii="宋体" w:hAnsi="宋体"/>
                <w:b/>
                <w:color w:val="auto"/>
                <w:szCs w:val="21"/>
                <w:lang w:val="en-US" w:eastAsia="zh-CN"/>
              </w:rPr>
              <w:t>最高限价为柒拾捌万元整（</w:t>
            </w:r>
            <w:r>
              <w:rPr>
                <w:rFonts w:hint="eastAsia" w:ascii="宋体" w:hAnsi="宋体"/>
                <w:b/>
                <w:color w:val="auto"/>
                <w:szCs w:val="21"/>
              </w:rPr>
              <w:t>¥</w:t>
            </w:r>
            <w:r>
              <w:rPr>
                <w:rFonts w:hint="eastAsia" w:ascii="宋体" w:hAnsi="宋体"/>
                <w:b/>
                <w:color w:val="auto"/>
                <w:szCs w:val="21"/>
                <w:lang w:val="en-US" w:eastAsia="zh-CN"/>
              </w:rPr>
              <w:t>780000</w:t>
            </w:r>
            <w:r>
              <w:rPr>
                <w:rFonts w:hint="eastAsia" w:ascii="宋体" w:hAnsi="宋体"/>
                <w:b/>
                <w:color w:val="auto"/>
                <w:szCs w:val="21"/>
              </w:rPr>
              <w:t>.00</w:t>
            </w:r>
            <w:r>
              <w:rPr>
                <w:rFonts w:hint="eastAsia" w:ascii="宋体" w:hAnsi="宋体"/>
                <w:b/>
                <w:color w:val="auto"/>
                <w:szCs w:val="21"/>
                <w:lang w:val="en-US" w:eastAsia="zh-CN"/>
              </w:rPr>
              <w:t>），</w:t>
            </w:r>
            <w:r>
              <w:rPr>
                <w:rFonts w:hint="eastAsia" w:ascii="宋体" w:hAnsi="宋体"/>
                <w:b/>
                <w:color w:val="auto"/>
                <w:szCs w:val="21"/>
              </w:rPr>
              <w:t>投标人的投标报价超</w:t>
            </w:r>
            <w:r>
              <w:rPr>
                <w:rFonts w:hint="eastAsia" w:ascii="宋体" w:hAnsi="宋体"/>
                <w:b/>
                <w:color w:val="auto"/>
                <w:szCs w:val="21"/>
                <w:lang w:val="en-US" w:eastAsia="zh-CN"/>
              </w:rPr>
              <w:t>出最高限价金额</w:t>
            </w:r>
            <w:r>
              <w:rPr>
                <w:rFonts w:hint="eastAsia" w:ascii="宋体" w:hAnsi="宋体"/>
                <w:b/>
                <w:color w:val="auto"/>
                <w:szCs w:val="21"/>
              </w:rPr>
              <w:t>的，投标文件作无效处理。</w:t>
            </w:r>
          </w:p>
        </w:tc>
      </w:tr>
      <w:tr w14:paraId="3B721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905" w:type="dxa"/>
            <w:gridSpan w:val="5"/>
            <w:tcBorders>
              <w:top w:val="single" w:color="auto" w:sz="4" w:space="0"/>
              <w:left w:val="single" w:color="auto" w:sz="4" w:space="0"/>
              <w:bottom w:val="single" w:color="auto" w:sz="4" w:space="0"/>
              <w:right w:val="single" w:color="auto" w:sz="4" w:space="0"/>
            </w:tcBorders>
            <w:vAlign w:val="center"/>
          </w:tcPr>
          <w:p w14:paraId="720394AF">
            <w:pPr>
              <w:wordWrap w:val="0"/>
              <w:adjustRightInd w:val="0"/>
              <w:snapToGrid w:val="0"/>
              <w:spacing w:line="340" w:lineRule="exact"/>
              <w:jc w:val="left"/>
              <w:textAlignment w:val="center"/>
              <w:rPr>
                <w:rFonts w:ascii="仿宋_GB2312" w:hAnsi="宋体" w:eastAsia="仿宋_GB2312"/>
                <w:color w:val="auto"/>
                <w:sz w:val="28"/>
                <w:szCs w:val="28"/>
              </w:rPr>
            </w:pPr>
            <w:r>
              <w:rPr>
                <w:rFonts w:hint="eastAsia" w:ascii="宋体" w:hAnsi="宋体" w:cs="宋体"/>
                <w:b/>
                <w:color w:val="auto"/>
                <w:szCs w:val="21"/>
              </w:rPr>
              <w:t>三、与实现项目目标相关的其他要求</w:t>
            </w:r>
          </w:p>
        </w:tc>
      </w:tr>
      <w:tr w14:paraId="225FC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14:paraId="74957334">
            <w:pPr>
              <w:wordWrap w:val="0"/>
              <w:adjustRightInd w:val="0"/>
              <w:snapToGrid w:val="0"/>
              <w:spacing w:line="320" w:lineRule="exact"/>
              <w:jc w:val="center"/>
              <w:rPr>
                <w:rFonts w:ascii="宋体" w:hAnsi="宋体"/>
                <w:bCs/>
                <w:color w:val="auto"/>
                <w:szCs w:val="21"/>
              </w:rPr>
            </w:pPr>
            <w:r>
              <w:rPr>
                <w:rFonts w:hint="eastAsia" w:hAnsi="宋体"/>
                <w:bCs/>
                <w:color w:val="auto"/>
              </w:rPr>
              <w:t>（</w:t>
            </w:r>
            <w:r>
              <w:rPr>
                <w:rFonts w:hint="eastAsia" w:ascii="宋体" w:hAnsi="宋体"/>
                <w:color w:val="auto"/>
                <w:szCs w:val="21"/>
              </w:rPr>
              <w:t>一）</w:t>
            </w:r>
            <w:r>
              <w:rPr>
                <w:rFonts w:hint="eastAsia" w:hAnsi="宋体"/>
                <w:color w:val="auto"/>
              </w:rPr>
              <w:t>项目分析及实施方案</w:t>
            </w:r>
          </w:p>
        </w:tc>
        <w:tc>
          <w:tcPr>
            <w:tcW w:w="7760" w:type="dxa"/>
            <w:gridSpan w:val="4"/>
            <w:tcBorders>
              <w:top w:val="single" w:color="auto" w:sz="4" w:space="0"/>
              <w:left w:val="single" w:color="auto" w:sz="4" w:space="0"/>
              <w:bottom w:val="single" w:color="auto" w:sz="4" w:space="0"/>
              <w:right w:val="single" w:color="auto" w:sz="4" w:space="0"/>
            </w:tcBorders>
            <w:vAlign w:val="center"/>
          </w:tcPr>
          <w:p w14:paraId="04B5EA4D">
            <w:pPr>
              <w:wordWrap w:val="0"/>
              <w:adjustRightInd w:val="0"/>
              <w:snapToGrid w:val="0"/>
              <w:spacing w:line="340" w:lineRule="exact"/>
              <w:rPr>
                <w:rFonts w:hAnsi="宋体" w:cs="宋体"/>
                <w:b/>
                <w:color w:val="auto"/>
                <w:kern w:val="0"/>
                <w:szCs w:val="21"/>
              </w:rPr>
            </w:pPr>
            <w:r>
              <w:rPr>
                <w:rFonts w:hint="eastAsia" w:hAnsi="宋体" w:cs="宋体"/>
                <w:color w:val="auto"/>
                <w:kern w:val="0"/>
                <w:szCs w:val="21"/>
              </w:rPr>
              <w:t>投标人根据自身情况，可于投标文件提供</w:t>
            </w:r>
            <w:r>
              <w:rPr>
                <w:rFonts w:hint="eastAsia" w:hAnsi="宋体"/>
                <w:color w:val="auto"/>
              </w:rPr>
              <w:t>项目分析及实施方案</w:t>
            </w:r>
            <w:r>
              <w:rPr>
                <w:rFonts w:hint="eastAsia" w:hAnsi="宋体"/>
                <w:color w:val="auto"/>
                <w:spacing w:val="-4"/>
              </w:rPr>
              <w:t>，包含但不限于：</w:t>
            </w:r>
            <w:r>
              <w:rPr>
                <w:rFonts w:hint="eastAsia" w:ascii="Times New Roman" w:hAnsi="宋体" w:eastAsia="宋体" w:cs="Times New Roman"/>
                <w:color w:val="auto"/>
                <w:szCs w:val="21"/>
                <w:highlight w:val="none"/>
                <w:lang w:eastAsia="zh-CN"/>
              </w:rPr>
              <w:t>①项目分析方案；②技术功能方案与架构；③项目实施与管理方案等</w:t>
            </w:r>
            <w:r>
              <w:rPr>
                <w:rFonts w:hint="eastAsia" w:hAnsi="宋体" w:cs="宋体"/>
                <w:color w:val="auto"/>
                <w:kern w:val="0"/>
                <w:szCs w:val="21"/>
              </w:rPr>
              <w:t>。</w:t>
            </w:r>
          </w:p>
          <w:p w14:paraId="6B422E35">
            <w:pPr>
              <w:wordWrap w:val="0"/>
              <w:adjustRightInd w:val="0"/>
              <w:snapToGrid w:val="0"/>
              <w:spacing w:line="340" w:lineRule="exact"/>
              <w:rPr>
                <w:rFonts w:hAnsi="宋体" w:cs="宋体"/>
                <w:color w:val="auto"/>
                <w:kern w:val="0"/>
                <w:szCs w:val="21"/>
              </w:rPr>
            </w:pPr>
            <w:r>
              <w:rPr>
                <w:rFonts w:hint="eastAsia" w:hAnsi="宋体" w:cs="宋体"/>
                <w:b/>
                <w:color w:val="auto"/>
                <w:kern w:val="0"/>
                <w:szCs w:val="21"/>
              </w:rPr>
              <w:t>注：</w:t>
            </w:r>
            <w:r>
              <w:rPr>
                <w:rFonts w:hint="eastAsia" w:ascii="Times New Roman" w:hAnsi="宋体" w:eastAsia="宋体" w:cs="宋体"/>
                <w:b/>
                <w:color w:val="auto"/>
                <w:kern w:val="0"/>
                <w:szCs w:val="21"/>
              </w:rPr>
              <w:t>上述项目分析及实施方案详见第四章“评标办法”。</w:t>
            </w:r>
          </w:p>
        </w:tc>
      </w:tr>
      <w:tr w14:paraId="12BF2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14:paraId="47CA787A">
            <w:pPr>
              <w:wordWrap w:val="0"/>
              <w:adjustRightInd w:val="0"/>
              <w:snapToGrid w:val="0"/>
              <w:spacing w:line="320" w:lineRule="exact"/>
              <w:jc w:val="center"/>
              <w:rPr>
                <w:rFonts w:ascii="宋体" w:hAnsi="宋体"/>
                <w:bCs/>
                <w:color w:val="auto"/>
                <w:szCs w:val="21"/>
              </w:rPr>
            </w:pPr>
            <w:r>
              <w:rPr>
                <w:rFonts w:hint="eastAsia" w:ascii="宋体" w:hAnsi="宋体"/>
                <w:bCs/>
                <w:color w:val="auto"/>
                <w:szCs w:val="21"/>
              </w:rPr>
              <w:t>（二）</w:t>
            </w:r>
            <w:r>
              <w:rPr>
                <w:rFonts w:hint="eastAsia" w:hAnsi="宋体"/>
                <w:color w:val="auto"/>
                <w:szCs w:val="21"/>
              </w:rPr>
              <w:t>售后服务方案</w:t>
            </w:r>
          </w:p>
        </w:tc>
        <w:tc>
          <w:tcPr>
            <w:tcW w:w="7760" w:type="dxa"/>
            <w:gridSpan w:val="4"/>
            <w:tcBorders>
              <w:top w:val="single" w:color="auto" w:sz="4" w:space="0"/>
              <w:left w:val="single" w:color="auto" w:sz="4" w:space="0"/>
              <w:bottom w:val="single" w:color="auto" w:sz="4" w:space="0"/>
              <w:right w:val="single" w:color="auto" w:sz="4" w:space="0"/>
            </w:tcBorders>
            <w:vAlign w:val="center"/>
          </w:tcPr>
          <w:p w14:paraId="301FDD43">
            <w:pPr>
              <w:wordWrap w:val="0"/>
              <w:adjustRightInd w:val="0"/>
              <w:snapToGrid w:val="0"/>
              <w:spacing w:line="340" w:lineRule="exact"/>
              <w:rPr>
                <w:rFonts w:ascii="宋体" w:hAnsi="宋体"/>
                <w:color w:val="auto"/>
                <w:szCs w:val="21"/>
              </w:rPr>
            </w:pPr>
            <w:r>
              <w:rPr>
                <w:rFonts w:hint="eastAsia" w:ascii="宋体" w:hAnsi="宋体"/>
                <w:color w:val="auto"/>
                <w:szCs w:val="21"/>
              </w:rPr>
              <w:t>投标人根据售后服务基本要求和自身情况，可于投标文件提供</w:t>
            </w:r>
            <w:r>
              <w:rPr>
                <w:rFonts w:hint="eastAsia" w:hAnsi="宋体"/>
                <w:color w:val="auto"/>
                <w:szCs w:val="21"/>
              </w:rPr>
              <w:t>售后服务方案</w:t>
            </w:r>
            <w:r>
              <w:rPr>
                <w:rFonts w:hint="eastAsia" w:ascii="宋体" w:hAnsi="宋体"/>
                <w:color w:val="auto"/>
                <w:szCs w:val="21"/>
              </w:rPr>
              <w:t>，包含但不限于：</w:t>
            </w:r>
            <w:r>
              <w:rPr>
                <w:rFonts w:hint="eastAsia" w:hAnsi="宋体"/>
                <w:color w:val="auto"/>
                <w:szCs w:val="21"/>
              </w:rPr>
              <w:t>①售后人员配备</w:t>
            </w:r>
            <w:r>
              <w:rPr>
                <w:rFonts w:hint="eastAsia" w:ascii="宋体" w:hAnsi="宋体" w:cs="宋体"/>
                <w:color w:val="auto"/>
                <w:kern w:val="0"/>
                <w:szCs w:val="21"/>
              </w:rPr>
              <w:t>方案</w:t>
            </w:r>
            <w:r>
              <w:rPr>
                <w:rFonts w:hint="eastAsia" w:hAnsi="宋体"/>
                <w:color w:val="auto"/>
                <w:szCs w:val="21"/>
              </w:rPr>
              <w:t>；②</w:t>
            </w:r>
            <w:r>
              <w:rPr>
                <w:rFonts w:hint="eastAsia" w:ascii="宋体" w:hAnsi="宋体" w:cs="宋体"/>
                <w:color w:val="auto"/>
                <w:kern w:val="0"/>
                <w:szCs w:val="21"/>
              </w:rPr>
              <w:t>培训方案</w:t>
            </w:r>
            <w:r>
              <w:rPr>
                <w:rFonts w:hint="eastAsia" w:hAnsi="宋体"/>
                <w:color w:val="auto"/>
                <w:szCs w:val="21"/>
              </w:rPr>
              <w:t>；③</w:t>
            </w:r>
            <w:r>
              <w:rPr>
                <w:rFonts w:hint="eastAsia" w:ascii="宋体" w:hAnsi="宋体" w:cs="宋体"/>
                <w:color w:val="auto"/>
                <w:kern w:val="0"/>
                <w:szCs w:val="21"/>
              </w:rPr>
              <w:t>应急响应方案</w:t>
            </w:r>
            <w:r>
              <w:rPr>
                <w:rFonts w:hint="eastAsia" w:hAnsi="宋体"/>
                <w:color w:val="auto"/>
                <w:szCs w:val="21"/>
              </w:rPr>
              <w:t>等</w:t>
            </w:r>
            <w:r>
              <w:rPr>
                <w:rFonts w:hint="eastAsia" w:hAnsi="宋体"/>
                <w:color w:val="auto"/>
                <w:spacing w:val="-4"/>
              </w:rPr>
              <w:t>。</w:t>
            </w:r>
          </w:p>
          <w:p w14:paraId="4FBD2516">
            <w:pPr>
              <w:wordWrap w:val="0"/>
              <w:adjustRightInd w:val="0"/>
              <w:snapToGrid w:val="0"/>
              <w:spacing w:line="340" w:lineRule="exact"/>
              <w:rPr>
                <w:b/>
                <w:bCs/>
                <w:color w:val="auto"/>
              </w:rPr>
            </w:pPr>
            <w:r>
              <w:rPr>
                <w:rFonts w:hint="eastAsia"/>
                <w:b/>
                <w:bCs/>
                <w:color w:val="auto"/>
              </w:rPr>
              <w:t>注：上述售后服务方案评分详见第四章“评标办法”。</w:t>
            </w:r>
          </w:p>
        </w:tc>
      </w:tr>
      <w:tr w14:paraId="216A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14:paraId="316ACF93">
            <w:pPr>
              <w:wordWrap w:val="0"/>
              <w:adjustRightInd w:val="0"/>
              <w:snapToGrid w:val="0"/>
              <w:spacing w:line="320" w:lineRule="exact"/>
              <w:jc w:val="center"/>
              <w:rPr>
                <w:rFonts w:ascii="宋体" w:hAnsi="宋体"/>
                <w:i/>
                <w:color w:val="auto"/>
                <w:szCs w:val="21"/>
                <w:highlight w:val="none"/>
              </w:rPr>
            </w:pPr>
            <w:r>
              <w:rPr>
                <w:rFonts w:hint="eastAsia" w:ascii="宋体" w:hAnsi="宋体"/>
                <w:color w:val="auto"/>
                <w:szCs w:val="21"/>
                <w:highlight w:val="none"/>
              </w:rPr>
              <w:t>（三）履约能力要求</w:t>
            </w:r>
          </w:p>
        </w:tc>
        <w:tc>
          <w:tcPr>
            <w:tcW w:w="7760" w:type="dxa"/>
            <w:gridSpan w:val="4"/>
            <w:tcBorders>
              <w:top w:val="single" w:color="auto" w:sz="4" w:space="0"/>
              <w:left w:val="single" w:color="auto" w:sz="4" w:space="0"/>
              <w:bottom w:val="single" w:color="auto" w:sz="4" w:space="0"/>
              <w:right w:val="single" w:color="auto" w:sz="4" w:space="0"/>
            </w:tcBorders>
            <w:vAlign w:val="center"/>
          </w:tcPr>
          <w:p w14:paraId="08A84117">
            <w:pPr>
              <w:wordWrap w:val="0"/>
              <w:adjustRightInd w:val="0"/>
              <w:snapToGrid w:val="0"/>
              <w:spacing w:line="340" w:lineRule="exact"/>
              <w:rPr>
                <w:rFonts w:hint="eastAsia" w:ascii="宋体" w:hAnsi="宋体" w:eastAsia="宋体" w:cs="宋体"/>
                <w:b/>
                <w:bCs/>
                <w:color w:val="auto"/>
                <w:highlight w:val="none"/>
                <w:lang w:eastAsia="zh-CN"/>
              </w:rPr>
            </w:pPr>
            <w:r>
              <w:rPr>
                <w:rFonts w:hint="eastAsia" w:ascii="宋体" w:hAnsi="宋体" w:eastAsia="宋体" w:cs="宋体"/>
                <w:color w:val="auto"/>
                <w:sz w:val="21"/>
                <w:szCs w:val="21"/>
                <w:highlight w:val="none"/>
                <w:lang w:eastAsia="zh-CN"/>
              </w:rPr>
              <w:t>投标人</w:t>
            </w:r>
            <w:r>
              <w:rPr>
                <w:rFonts w:hint="eastAsia" w:ascii="宋体" w:hAnsi="宋体" w:cs="宋体"/>
                <w:color w:val="auto"/>
                <w:sz w:val="21"/>
                <w:szCs w:val="21"/>
                <w:highlight w:val="none"/>
                <w:lang w:eastAsia="zh-CN"/>
              </w:rPr>
              <w:t>或所投产品生产厂家</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年以来具有同类项目业绩的。</w:t>
            </w:r>
          </w:p>
          <w:p w14:paraId="60CE4395">
            <w:pPr>
              <w:wordWrap w:val="0"/>
              <w:adjustRightInd w:val="0"/>
              <w:snapToGrid w:val="0"/>
              <w:spacing w:line="340" w:lineRule="exact"/>
              <w:rPr>
                <w:rFonts w:ascii="宋体" w:hAnsi="宋体"/>
                <w:b/>
                <w:i/>
                <w:color w:val="auto"/>
                <w:szCs w:val="21"/>
                <w:highlight w:val="none"/>
              </w:rPr>
            </w:pPr>
            <w:r>
              <w:rPr>
                <w:rFonts w:hint="eastAsia"/>
                <w:b/>
                <w:bCs/>
                <w:color w:val="auto"/>
                <w:highlight w:val="none"/>
              </w:rPr>
              <w:t>注：上述履约能力加分详见第四章“评标办法”。</w:t>
            </w:r>
          </w:p>
        </w:tc>
      </w:tr>
      <w:tr w14:paraId="76BE0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14:paraId="5E8F5709">
            <w:pPr>
              <w:wordWrap w:val="0"/>
              <w:adjustRightInd w:val="0"/>
              <w:snapToGrid w:val="0"/>
              <w:spacing w:line="320" w:lineRule="exact"/>
              <w:jc w:val="center"/>
              <w:rPr>
                <w:rFonts w:hint="eastAsia" w:ascii="宋体" w:hAnsi="宋体"/>
                <w:color w:val="auto"/>
                <w:szCs w:val="21"/>
              </w:rPr>
            </w:pPr>
            <w:r>
              <w:rPr>
                <w:rFonts w:hint="eastAsia" w:ascii="宋体" w:hAnsi="宋体"/>
                <w:color w:val="auto"/>
                <w:szCs w:val="21"/>
              </w:rPr>
              <w:t>（四）政策性加分条件</w:t>
            </w:r>
          </w:p>
        </w:tc>
        <w:tc>
          <w:tcPr>
            <w:tcW w:w="7760" w:type="dxa"/>
            <w:gridSpan w:val="4"/>
            <w:tcBorders>
              <w:top w:val="single" w:color="auto" w:sz="4" w:space="0"/>
              <w:left w:val="single" w:color="auto" w:sz="4" w:space="0"/>
              <w:bottom w:val="single" w:color="auto" w:sz="4" w:space="0"/>
              <w:right w:val="single" w:color="auto" w:sz="4" w:space="0"/>
            </w:tcBorders>
            <w:vAlign w:val="center"/>
          </w:tcPr>
          <w:p w14:paraId="4AA676B8">
            <w:pPr>
              <w:wordWrap w:val="0"/>
              <w:adjustRightInd w:val="0"/>
              <w:snapToGrid w:val="0"/>
              <w:spacing w:line="340" w:lineRule="exact"/>
              <w:rPr>
                <w:rFonts w:ascii="宋体" w:hAnsi="宋体"/>
                <w:color w:val="auto"/>
              </w:rPr>
            </w:pPr>
            <w:r>
              <w:rPr>
                <w:rFonts w:hint="eastAsia" w:ascii="宋体" w:hAnsi="宋体"/>
                <w:color w:val="auto"/>
              </w:rPr>
              <w:t>1.节能产品加分：属于财政部《节能产品政府采购品目清单》内优先采购（清单内未标注“★”的品目）的产品（投标文件中提供有效的认证证书复印件，并加盖投标人</w:t>
            </w:r>
            <w:r>
              <w:rPr>
                <w:rFonts w:hint="eastAsia" w:hAnsi="宋体"/>
                <w:color w:val="auto"/>
              </w:rPr>
              <w:t>电子签章</w:t>
            </w:r>
            <w:r>
              <w:rPr>
                <w:rFonts w:hint="eastAsia" w:ascii="宋体" w:hAnsi="宋体"/>
                <w:color w:val="auto"/>
              </w:rPr>
              <w:t>），相应予以加分。</w:t>
            </w:r>
          </w:p>
          <w:p w14:paraId="235021D2">
            <w:pPr>
              <w:wordWrap w:val="0"/>
              <w:adjustRightInd w:val="0"/>
              <w:snapToGrid w:val="0"/>
              <w:spacing w:line="340" w:lineRule="exact"/>
              <w:rPr>
                <w:rFonts w:ascii="宋体" w:hAnsi="宋体"/>
                <w:color w:val="auto"/>
              </w:rPr>
            </w:pPr>
            <w:r>
              <w:rPr>
                <w:rFonts w:hint="eastAsia" w:ascii="宋体" w:hAnsi="宋体"/>
                <w:color w:val="auto"/>
              </w:rPr>
              <w:t>2.环境标志产品加分：属于财政部《环境标志产品政府采购品目清单》内的产品（投标文件中提供有效的认证证书复印件，并加盖投标人</w:t>
            </w:r>
            <w:r>
              <w:rPr>
                <w:rFonts w:hint="eastAsia" w:hAnsi="宋体"/>
                <w:color w:val="auto"/>
              </w:rPr>
              <w:t>电子签章</w:t>
            </w:r>
            <w:r>
              <w:rPr>
                <w:rFonts w:hint="eastAsia" w:ascii="宋体" w:hAnsi="宋体"/>
                <w:color w:val="auto"/>
              </w:rPr>
              <w:t>），相应予以加分。</w:t>
            </w:r>
          </w:p>
          <w:p w14:paraId="71444F3B">
            <w:pPr>
              <w:wordWrap w:val="0"/>
              <w:adjustRightInd w:val="0"/>
              <w:snapToGrid w:val="0"/>
              <w:spacing w:line="340" w:lineRule="exact"/>
              <w:rPr>
                <w:rFonts w:hint="eastAsia"/>
                <w:b/>
                <w:bCs/>
                <w:color w:val="auto"/>
              </w:rPr>
            </w:pPr>
            <w:r>
              <w:rPr>
                <w:rFonts w:hint="eastAsia" w:ascii="宋体" w:hAnsi="宋体"/>
                <w:b/>
                <w:color w:val="auto"/>
              </w:rPr>
              <w:t>注：上述政策性加分详见第四章“评标办法”。</w:t>
            </w:r>
          </w:p>
        </w:tc>
      </w:tr>
    </w:tbl>
    <w:p w14:paraId="50BBB736">
      <w:pPr>
        <w:adjustRightInd w:val="0"/>
        <w:spacing w:line="360" w:lineRule="exact"/>
        <w:rPr>
          <w:rFonts w:ascii="宋体" w:hAnsi="宋体"/>
          <w:b/>
          <w:color w:val="auto"/>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E64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2025-12-03T01:10:53Z</dcterms:created>
  <dc:creator>Administrator</dc:creator>
  <cp:lastModifiedBy>用户</cp:lastModifiedBy>
  <dcterms:modified xsi:type="dcterms:W3CDTF">2025-12-03T01:11:04Z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eyJoZGlkIjoiNjYxNGMxOWE1NmJmNjE2NWUxMWZiOTdlYWFjMjI2YjIiLCJ1c2VySWQiOiIyNDA5MzM3NzAifQ==</vt:lpwstr>
  </property>
  <property fmtid="{D5CDD505-2E9C-101B-9397-08002B2CF9AE}" pid="4" name="ICV">
    <vt:lpwstr>46D5964FFADE4236A62F189C52CB0656_12</vt:lpwstr>
  </property>
</Properties>
</file>