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70DA94">
      <w:pPr>
        <w:spacing w:line="360" w:lineRule="auto"/>
        <w:jc w:val="center"/>
        <w:rPr>
          <w:rFonts w:hint="eastAsia" w:ascii="方正小标宋简体" w:hAnsi="方正小标宋简体" w:eastAsia="方正小标宋简体" w:cs="方正小标宋简体"/>
          <w:color w:val="auto"/>
          <w:sz w:val="52"/>
          <w:szCs w:val="52"/>
          <w:highlight w:val="none"/>
        </w:rPr>
      </w:pPr>
      <w:r>
        <w:rPr>
          <w:rFonts w:hint="eastAsia" w:ascii="方正小标宋简体" w:hAnsi="宋体" w:eastAsia="方正小标宋简体"/>
          <w:color w:val="auto"/>
          <w:sz w:val="52"/>
          <w:szCs w:val="52"/>
          <w:highlight w:val="none"/>
        </w:rPr>
        <w:t>云之龙咨询集团有限公司</w:t>
      </w:r>
    </w:p>
    <w:p w14:paraId="317E0827">
      <w:pPr>
        <w:spacing w:line="360" w:lineRule="auto"/>
        <w:jc w:val="center"/>
        <w:rPr>
          <w:rFonts w:hint="eastAsia" w:ascii="宋体" w:hAnsi="宋体"/>
          <w:i/>
          <w:color w:val="auto"/>
          <w:sz w:val="52"/>
          <w:szCs w:val="52"/>
          <w:highlight w:val="none"/>
        </w:rPr>
      </w:pPr>
    </w:p>
    <w:p w14:paraId="4B0B9656">
      <w:pPr>
        <w:spacing w:line="360" w:lineRule="auto"/>
        <w:jc w:val="center"/>
        <w:rPr>
          <w:rFonts w:hint="eastAsia" w:ascii="方正小标宋简体" w:hAnsi="方正小标宋简体" w:eastAsia="方正小标宋简体" w:cs="方正小标宋简体"/>
          <w:b/>
          <w:color w:val="auto"/>
          <w:sz w:val="44"/>
          <w:szCs w:val="44"/>
          <w:highlight w:val="none"/>
        </w:rPr>
      </w:pPr>
    </w:p>
    <w:p w14:paraId="169336BD">
      <w:pPr>
        <w:spacing w:line="360" w:lineRule="auto"/>
        <w:jc w:val="center"/>
        <w:rPr>
          <w:rFonts w:hint="eastAsia" w:ascii="方正小标宋简体" w:hAnsi="方正小标宋简体" w:eastAsia="方正小标宋简体" w:cs="方正小标宋简体"/>
          <w:b/>
          <w:color w:val="auto"/>
          <w:sz w:val="44"/>
          <w:szCs w:val="44"/>
          <w:highlight w:val="none"/>
        </w:rPr>
      </w:pPr>
    </w:p>
    <w:p w14:paraId="28A7ADCE">
      <w:pPr>
        <w:snapToGrid w:val="0"/>
        <w:spacing w:before="156" w:beforeLines="50" w:line="360" w:lineRule="auto"/>
        <w:jc w:val="center"/>
        <w:rPr>
          <w:rFonts w:hint="eastAsia" w:ascii="华文新魏" w:hAnsi="宋体" w:eastAsia="华文新魏"/>
          <w:color w:val="auto"/>
          <w:sz w:val="120"/>
          <w:szCs w:val="120"/>
          <w:highlight w:val="none"/>
        </w:rPr>
      </w:pPr>
      <w:r>
        <w:rPr>
          <w:rFonts w:hint="eastAsia" w:ascii="华文新魏" w:hAnsi="宋体" w:eastAsia="华文新魏"/>
          <w:color w:val="auto"/>
          <w:sz w:val="120"/>
          <w:szCs w:val="120"/>
          <w:highlight w:val="none"/>
        </w:rPr>
        <w:t>竞争性磋商文件</w:t>
      </w:r>
    </w:p>
    <w:p w14:paraId="43C373B4">
      <w:pPr>
        <w:snapToGrid w:val="0"/>
        <w:spacing w:before="156" w:beforeLines="50" w:line="360" w:lineRule="auto"/>
        <w:jc w:val="center"/>
        <w:rPr>
          <w:rFonts w:hint="eastAsia" w:ascii="仿宋_GB2312" w:hAnsi="宋体" w:eastAsia="仿宋_GB2312"/>
          <w:b/>
          <w:color w:val="auto"/>
          <w:sz w:val="30"/>
          <w:szCs w:val="72"/>
          <w:highlight w:val="none"/>
        </w:rPr>
      </w:pPr>
      <w:r>
        <w:rPr>
          <w:rFonts w:hint="eastAsia" w:ascii="仿宋_GB2312" w:hAnsi="宋体" w:eastAsia="仿宋_GB2312"/>
          <w:b/>
          <w:color w:val="auto"/>
          <w:sz w:val="48"/>
          <w:szCs w:val="48"/>
          <w:highlight w:val="none"/>
        </w:rPr>
        <w:t>（全流程电子化采购）</w:t>
      </w:r>
    </w:p>
    <w:p w14:paraId="3C3A9F40">
      <w:pPr>
        <w:snapToGrid w:val="0"/>
        <w:spacing w:line="360" w:lineRule="auto"/>
        <w:rPr>
          <w:rFonts w:hint="eastAsia" w:ascii="仿宋_GB2312" w:hAnsi="宋体" w:eastAsia="仿宋_GB2312"/>
          <w:color w:val="auto"/>
          <w:sz w:val="30"/>
          <w:szCs w:val="72"/>
          <w:highlight w:val="none"/>
        </w:rPr>
      </w:pPr>
    </w:p>
    <w:p w14:paraId="278102A5">
      <w:pPr>
        <w:pStyle w:val="27"/>
        <w:snapToGrid w:val="0"/>
        <w:spacing w:line="360" w:lineRule="auto"/>
        <w:ind w:firstLine="1205" w:firstLineChars="400"/>
        <w:rPr>
          <w:rFonts w:hint="eastAsia" w:ascii="仿宋_GB2312" w:hAnsi="宋体" w:eastAsia="仿宋_GB2312"/>
          <w:b/>
          <w:bCs/>
          <w:color w:val="auto"/>
          <w:sz w:val="30"/>
          <w:szCs w:val="30"/>
          <w:highlight w:val="none"/>
        </w:rPr>
      </w:pPr>
      <w:r>
        <w:rPr>
          <w:rFonts w:hint="eastAsia" w:ascii="仿宋_GB2312" w:hAnsi="宋体" w:eastAsia="仿宋_GB2312"/>
          <w:b/>
          <w:bCs/>
          <w:color w:val="auto"/>
          <w:sz w:val="30"/>
          <w:szCs w:val="30"/>
          <w:highlight w:val="none"/>
        </w:rPr>
        <w:t>项目</w:t>
      </w:r>
      <w:r>
        <w:rPr>
          <w:rFonts w:hint="eastAsia" w:ascii="仿宋_GB2312" w:hAnsi="宋体" w:eastAsia="仿宋_GB2312" w:cs="Courier New"/>
          <w:b/>
          <w:bCs/>
          <w:color w:val="auto"/>
          <w:w w:val="95"/>
          <w:sz w:val="30"/>
          <w:szCs w:val="30"/>
          <w:highlight w:val="none"/>
        </w:rPr>
        <w:t>名称</w:t>
      </w:r>
      <w:r>
        <w:rPr>
          <w:rFonts w:hint="eastAsia" w:ascii="仿宋_GB2312" w:hAnsi="宋体" w:eastAsia="仿宋_GB2312"/>
          <w:b/>
          <w:bCs/>
          <w:color w:val="auto"/>
          <w:sz w:val="30"/>
          <w:szCs w:val="30"/>
          <w:highlight w:val="none"/>
        </w:rPr>
        <w:t>：桂林航天工业学院多媒体教室安装空调</w:t>
      </w:r>
    </w:p>
    <w:p w14:paraId="7927EADF">
      <w:pPr>
        <w:pStyle w:val="27"/>
        <w:snapToGrid w:val="0"/>
        <w:spacing w:line="360" w:lineRule="auto"/>
        <w:ind w:firstLine="2711" w:firstLineChars="900"/>
        <w:rPr>
          <w:rFonts w:hint="eastAsia" w:ascii="仿宋_GB2312" w:hAnsi="宋体" w:eastAsia="仿宋_GB2312"/>
          <w:b/>
          <w:bCs/>
          <w:color w:val="auto"/>
          <w:sz w:val="30"/>
          <w:szCs w:val="30"/>
          <w:highlight w:val="none"/>
        </w:rPr>
      </w:pPr>
      <w:r>
        <w:rPr>
          <w:rFonts w:hint="eastAsia" w:ascii="仿宋_GB2312" w:hAnsi="宋体" w:eastAsia="仿宋_GB2312"/>
          <w:b/>
          <w:bCs/>
          <w:color w:val="auto"/>
          <w:sz w:val="30"/>
          <w:szCs w:val="30"/>
          <w:highlight w:val="none"/>
        </w:rPr>
        <w:t>供电改造工程</w:t>
      </w:r>
    </w:p>
    <w:p w14:paraId="0B6A5457">
      <w:pPr>
        <w:snapToGrid w:val="0"/>
        <w:spacing w:line="360" w:lineRule="auto"/>
        <w:ind w:firstLine="1145" w:firstLineChars="400"/>
        <w:rPr>
          <w:rFonts w:hint="eastAsia" w:ascii="仿宋_GB2312" w:hAnsi="宋体" w:eastAsia="仿宋_GB2312" w:cs="Times New Roman"/>
          <w:b/>
          <w:bCs/>
          <w:color w:val="auto"/>
          <w:kern w:val="0"/>
          <w:sz w:val="30"/>
          <w:szCs w:val="30"/>
          <w:highlight w:val="none"/>
          <w:lang w:val="en-US" w:eastAsia="zh-CN" w:bidi="ar-SA"/>
        </w:rPr>
      </w:pPr>
      <w:r>
        <w:rPr>
          <w:rFonts w:hint="eastAsia" w:ascii="仿宋_GB2312" w:hAnsi="宋体" w:eastAsia="仿宋_GB2312" w:cs="Courier New"/>
          <w:b/>
          <w:bCs/>
          <w:color w:val="auto"/>
          <w:w w:val="95"/>
          <w:sz w:val="30"/>
          <w:szCs w:val="30"/>
          <w:highlight w:val="none"/>
        </w:rPr>
        <w:t>项目</w:t>
      </w:r>
      <w:r>
        <w:rPr>
          <w:rFonts w:hint="eastAsia" w:ascii="仿宋_GB2312" w:hAnsi="宋体" w:eastAsia="仿宋_GB2312"/>
          <w:b/>
          <w:bCs/>
          <w:color w:val="auto"/>
          <w:sz w:val="30"/>
          <w:szCs w:val="30"/>
          <w:highlight w:val="none"/>
        </w:rPr>
        <w:t>编</w:t>
      </w:r>
      <w:r>
        <w:rPr>
          <w:rFonts w:hint="eastAsia" w:ascii="仿宋_GB2312" w:hAnsi="宋体" w:eastAsia="仿宋_GB2312" w:cs="Times New Roman"/>
          <w:b/>
          <w:bCs/>
          <w:color w:val="auto"/>
          <w:kern w:val="0"/>
          <w:sz w:val="30"/>
          <w:szCs w:val="30"/>
          <w:highlight w:val="none"/>
          <w:lang w:val="en-US" w:eastAsia="zh-CN" w:bidi="ar-SA"/>
        </w:rPr>
        <w:t>号：GXZC2025-C2-002693-YZLZ</w:t>
      </w:r>
    </w:p>
    <w:p w14:paraId="093253AB">
      <w:pPr>
        <w:pStyle w:val="27"/>
        <w:snapToGrid w:val="0"/>
        <w:spacing w:line="360" w:lineRule="auto"/>
        <w:ind w:firstLine="1125" w:firstLineChars="393"/>
        <w:rPr>
          <w:rFonts w:hint="eastAsia" w:ascii="仿宋_GB2312" w:hAnsi="宋体" w:eastAsia="仿宋_GB2312"/>
          <w:b/>
          <w:bCs/>
          <w:color w:val="auto"/>
          <w:w w:val="95"/>
          <w:sz w:val="30"/>
          <w:szCs w:val="30"/>
          <w:highlight w:val="none"/>
        </w:rPr>
      </w:pPr>
      <w:r>
        <w:rPr>
          <w:rFonts w:hint="eastAsia" w:ascii="仿宋_GB2312" w:hAnsi="宋体" w:eastAsia="仿宋_GB2312"/>
          <w:b/>
          <w:bCs/>
          <w:color w:val="auto"/>
          <w:w w:val="95"/>
          <w:sz w:val="30"/>
          <w:szCs w:val="30"/>
          <w:highlight w:val="none"/>
        </w:rPr>
        <w:t xml:space="preserve">采 购 人：桂林航天工业学院 </w:t>
      </w:r>
    </w:p>
    <w:p w14:paraId="6AC0743A">
      <w:pPr>
        <w:pStyle w:val="27"/>
        <w:snapToGrid w:val="0"/>
        <w:spacing w:line="360" w:lineRule="auto"/>
        <w:ind w:firstLine="1125" w:firstLineChars="393"/>
        <w:rPr>
          <w:rFonts w:hint="eastAsia" w:ascii="仿宋_GB2312" w:hAnsi="宋体" w:eastAsia="仿宋_GB2312"/>
          <w:b/>
          <w:bCs/>
          <w:color w:val="auto"/>
          <w:w w:val="95"/>
          <w:sz w:val="30"/>
          <w:szCs w:val="30"/>
          <w:highlight w:val="none"/>
        </w:rPr>
      </w:pPr>
      <w:r>
        <w:rPr>
          <w:rFonts w:hint="eastAsia" w:ascii="仿宋_GB2312" w:hAnsi="宋体" w:eastAsia="仿宋_GB2312"/>
          <w:b/>
          <w:bCs/>
          <w:color w:val="auto"/>
          <w:w w:val="95"/>
          <w:sz w:val="30"/>
          <w:szCs w:val="30"/>
          <w:highlight w:val="none"/>
        </w:rPr>
        <w:t>采购代理机构：云之龙咨询集团有限公司</w:t>
      </w:r>
    </w:p>
    <w:p w14:paraId="7437BC3E">
      <w:pPr>
        <w:pStyle w:val="27"/>
        <w:snapToGrid w:val="0"/>
        <w:spacing w:line="360" w:lineRule="auto"/>
        <w:ind w:firstLine="1125" w:firstLineChars="393"/>
        <w:rPr>
          <w:rFonts w:hint="eastAsia" w:ascii="仿宋_GB2312" w:hAnsi="宋体" w:eastAsia="仿宋_GB2312"/>
          <w:b/>
          <w:bCs/>
          <w:color w:val="auto"/>
          <w:w w:val="95"/>
          <w:sz w:val="30"/>
          <w:szCs w:val="30"/>
          <w:highlight w:val="none"/>
        </w:rPr>
      </w:pPr>
    </w:p>
    <w:p w14:paraId="193D9B4D">
      <w:pPr>
        <w:pStyle w:val="27"/>
        <w:snapToGrid w:val="0"/>
        <w:spacing w:line="360" w:lineRule="auto"/>
        <w:ind w:left="420" w:firstLine="841" w:firstLineChars="294"/>
        <w:rPr>
          <w:rFonts w:hint="eastAsia" w:ascii="仿宋_GB2312" w:eastAsia="仿宋_GB2312"/>
          <w:color w:val="auto"/>
          <w:szCs w:val="20"/>
          <w:highlight w:val="none"/>
          <w:lang w:eastAsia="zh-CN"/>
        </w:rPr>
      </w:pPr>
      <w:r>
        <w:rPr>
          <w:rFonts w:hint="eastAsia" w:ascii="仿宋_GB2312" w:hAnsi="宋体" w:eastAsia="仿宋_GB2312"/>
          <w:b/>
          <w:bCs/>
          <w:color w:val="auto"/>
          <w:w w:val="95"/>
          <w:sz w:val="30"/>
          <w:szCs w:val="30"/>
          <w:highlight w:val="none"/>
        </w:rPr>
        <w:t xml:space="preserve">               </w:t>
      </w:r>
      <w:r>
        <w:rPr>
          <w:rFonts w:hint="eastAsia" w:ascii="仿宋_GB2312" w:hAnsi="宋体" w:eastAsia="仿宋_GB2312"/>
          <w:b/>
          <w:bCs/>
          <w:color w:val="auto"/>
          <w:w w:val="95"/>
          <w:sz w:val="30"/>
          <w:szCs w:val="30"/>
          <w:highlight w:val="none"/>
          <w:lang w:eastAsia="zh-CN"/>
        </w:rPr>
        <w:t>2025年</w:t>
      </w:r>
      <w:r>
        <w:rPr>
          <w:rFonts w:hint="eastAsia" w:ascii="仿宋_GB2312" w:hAnsi="宋体" w:eastAsia="仿宋_GB2312"/>
          <w:b/>
          <w:bCs/>
          <w:color w:val="auto"/>
          <w:w w:val="95"/>
          <w:sz w:val="30"/>
          <w:szCs w:val="30"/>
          <w:highlight w:val="none"/>
          <w:lang w:val="en-US" w:eastAsia="zh-CN"/>
        </w:rPr>
        <w:t>9</w:t>
      </w:r>
      <w:r>
        <w:rPr>
          <w:rFonts w:hint="eastAsia" w:ascii="仿宋_GB2312" w:hAnsi="宋体" w:eastAsia="仿宋_GB2312"/>
          <w:b/>
          <w:bCs/>
          <w:color w:val="auto"/>
          <w:w w:val="95"/>
          <w:sz w:val="30"/>
          <w:szCs w:val="30"/>
          <w:highlight w:val="none"/>
          <w:lang w:eastAsia="zh-CN"/>
        </w:rPr>
        <w:t>月</w:t>
      </w:r>
      <w:r>
        <w:rPr>
          <w:rFonts w:hint="eastAsia" w:ascii="仿宋_GB2312" w:hAnsi="宋体" w:eastAsia="仿宋_GB2312"/>
          <w:b/>
          <w:bCs/>
          <w:color w:val="auto"/>
          <w:w w:val="95"/>
          <w:sz w:val="30"/>
          <w:szCs w:val="30"/>
          <w:highlight w:val="none"/>
          <w:lang w:val="en-US" w:eastAsia="zh-CN"/>
        </w:rPr>
        <w:t>23</w:t>
      </w:r>
      <w:r>
        <w:rPr>
          <w:rFonts w:hint="eastAsia" w:ascii="仿宋_GB2312" w:hAnsi="宋体" w:eastAsia="仿宋_GB2312"/>
          <w:b/>
          <w:bCs/>
          <w:color w:val="auto"/>
          <w:w w:val="95"/>
          <w:sz w:val="30"/>
          <w:szCs w:val="30"/>
          <w:highlight w:val="none"/>
          <w:lang w:eastAsia="zh-CN"/>
        </w:rPr>
        <w:t>日</w:t>
      </w:r>
    </w:p>
    <w:p w14:paraId="6B7B875A">
      <w:pPr>
        <w:spacing w:line="360" w:lineRule="auto"/>
        <w:jc w:val="center"/>
        <w:rPr>
          <w:rFonts w:hint="eastAsia" w:ascii="宋体" w:hAnsi="宋体"/>
          <w:b/>
          <w:color w:val="auto"/>
          <w:sz w:val="44"/>
          <w:szCs w:val="44"/>
          <w:highlight w:val="none"/>
        </w:rPr>
      </w:pPr>
      <w:r>
        <w:rPr>
          <w:rFonts w:hint="eastAsia" w:ascii="黑体" w:hAnsi="黑体" w:eastAsia="黑体" w:cs="宋体"/>
          <w:b/>
          <w:bCs/>
          <w:color w:val="auto"/>
          <w:kern w:val="0"/>
          <w:sz w:val="32"/>
          <w:szCs w:val="32"/>
          <w:highlight w:val="none"/>
        </w:rPr>
        <w:br w:type="page"/>
      </w:r>
      <w:r>
        <w:rPr>
          <w:rFonts w:hint="eastAsia" w:ascii="宋体" w:hAnsi="宋体"/>
          <w:b/>
          <w:color w:val="auto"/>
          <w:sz w:val="44"/>
          <w:szCs w:val="44"/>
          <w:highlight w:val="none"/>
        </w:rPr>
        <w:t>目  录</w:t>
      </w:r>
    </w:p>
    <w:p w14:paraId="7D04723D">
      <w:pPr>
        <w:spacing w:line="400" w:lineRule="exact"/>
        <w:jc w:val="center"/>
        <w:rPr>
          <w:rFonts w:hint="eastAsia" w:ascii="宋体" w:hAnsi="宋体"/>
          <w:b/>
          <w:color w:val="auto"/>
          <w:sz w:val="44"/>
          <w:szCs w:val="44"/>
          <w:highlight w:val="none"/>
        </w:rPr>
      </w:pPr>
    </w:p>
    <w:p w14:paraId="2E9F99C1">
      <w:pPr>
        <w:pStyle w:val="34"/>
        <w:tabs>
          <w:tab w:val="right" w:leader="dot" w:pos="8869"/>
        </w:tabs>
        <w:snapToGrid w:val="0"/>
        <w:spacing w:line="500" w:lineRule="atLeast"/>
        <w:rPr>
          <w:rStyle w:val="58"/>
          <w:rFonts w:hint="eastAsia" w:asciiTheme="minorEastAsia" w:hAnsiTheme="minorEastAsia" w:eastAsiaTheme="minorEastAsia"/>
          <w:b/>
          <w:color w:val="auto"/>
          <w:sz w:val="28"/>
          <w:szCs w:val="28"/>
          <w:highlight w:val="none"/>
        </w:rPr>
      </w:pPr>
      <w:r>
        <w:rPr>
          <w:rFonts w:asciiTheme="minorEastAsia" w:hAnsiTheme="minorEastAsia" w:eastAsiaTheme="minorEastAsia"/>
          <w:b/>
          <w:color w:val="auto"/>
          <w:sz w:val="28"/>
          <w:szCs w:val="28"/>
          <w:highlight w:val="none"/>
        </w:rPr>
        <w:fldChar w:fldCharType="begin"/>
      </w:r>
      <w:r>
        <w:rPr>
          <w:rFonts w:asciiTheme="minorEastAsia" w:hAnsiTheme="minorEastAsia" w:eastAsiaTheme="minorEastAsia"/>
          <w:b/>
          <w:color w:val="auto"/>
          <w:sz w:val="28"/>
          <w:szCs w:val="28"/>
          <w:highlight w:val="none"/>
        </w:rPr>
        <w:instrText xml:space="preserve"> </w:instrText>
      </w:r>
      <w:r>
        <w:rPr>
          <w:rFonts w:hint="eastAsia" w:asciiTheme="minorEastAsia" w:hAnsiTheme="minorEastAsia" w:eastAsiaTheme="minorEastAsia"/>
          <w:b/>
          <w:color w:val="auto"/>
          <w:sz w:val="28"/>
          <w:szCs w:val="28"/>
          <w:highlight w:val="none"/>
        </w:rPr>
        <w:instrText xml:space="preserve">TOC \o "1-3" \h \z \u</w:instrText>
      </w:r>
      <w:r>
        <w:rPr>
          <w:rFonts w:asciiTheme="minorEastAsia" w:hAnsiTheme="minorEastAsia" w:eastAsiaTheme="minorEastAsia"/>
          <w:b/>
          <w:color w:val="auto"/>
          <w:sz w:val="28"/>
          <w:szCs w:val="28"/>
          <w:highlight w:val="none"/>
        </w:rPr>
        <w:instrText xml:space="preserve"> </w:instrText>
      </w:r>
      <w:r>
        <w:rPr>
          <w:rFonts w:asciiTheme="minorEastAsia" w:hAnsiTheme="minorEastAsia" w:eastAsiaTheme="minorEastAsia"/>
          <w:b/>
          <w:color w:val="auto"/>
          <w:sz w:val="28"/>
          <w:szCs w:val="28"/>
          <w:highlight w:val="none"/>
        </w:rPr>
        <w:fldChar w:fldCharType="separate"/>
      </w:r>
      <w:r>
        <w:rPr>
          <w:color w:val="auto"/>
          <w:highlight w:val="none"/>
        </w:rPr>
        <w:fldChar w:fldCharType="begin"/>
      </w:r>
      <w:r>
        <w:rPr>
          <w:color w:val="auto"/>
          <w:highlight w:val="none"/>
        </w:rPr>
        <w:instrText xml:space="preserve"> HYPERLINK \l "_Toc74323456" </w:instrText>
      </w:r>
      <w:r>
        <w:rPr>
          <w:color w:val="auto"/>
          <w:highlight w:val="none"/>
        </w:rPr>
        <w:fldChar w:fldCharType="separate"/>
      </w:r>
      <w:r>
        <w:rPr>
          <w:rStyle w:val="58"/>
          <w:rFonts w:hint="eastAsia" w:asciiTheme="minorEastAsia" w:hAnsiTheme="minorEastAsia" w:eastAsiaTheme="minorEastAsia"/>
          <w:b/>
          <w:color w:val="auto"/>
          <w:sz w:val="28"/>
          <w:szCs w:val="28"/>
          <w:highlight w:val="none"/>
        </w:rPr>
        <w:t>第一章</w:t>
      </w:r>
      <w:r>
        <w:rPr>
          <w:rStyle w:val="58"/>
          <w:rFonts w:asciiTheme="minorEastAsia" w:hAnsiTheme="minorEastAsia" w:eastAsiaTheme="minorEastAsia"/>
          <w:b/>
          <w:color w:val="auto"/>
          <w:sz w:val="28"/>
          <w:szCs w:val="28"/>
          <w:highlight w:val="none"/>
        </w:rPr>
        <w:t xml:space="preserve"> </w:t>
      </w:r>
      <w:r>
        <w:rPr>
          <w:rStyle w:val="58"/>
          <w:rFonts w:hint="eastAsia" w:asciiTheme="minorEastAsia" w:hAnsiTheme="minorEastAsia" w:eastAsiaTheme="minorEastAsia"/>
          <w:b/>
          <w:color w:val="auto"/>
          <w:sz w:val="28"/>
          <w:szCs w:val="28"/>
          <w:highlight w:val="none"/>
        </w:rPr>
        <w:t>竞争性磋商公告</w:t>
      </w:r>
      <w:r>
        <w:rPr>
          <w:rStyle w:val="58"/>
          <w:rFonts w:asciiTheme="minorEastAsia" w:hAnsiTheme="minorEastAsia" w:eastAsiaTheme="minorEastAsia"/>
          <w:b/>
          <w:color w:val="auto"/>
          <w:sz w:val="28"/>
          <w:szCs w:val="28"/>
          <w:highlight w:val="none"/>
        </w:rPr>
        <w:tab/>
      </w:r>
      <w:r>
        <w:rPr>
          <w:rStyle w:val="58"/>
          <w:rFonts w:asciiTheme="minorEastAsia" w:hAnsiTheme="minorEastAsia" w:eastAsiaTheme="minorEastAsia"/>
          <w:b/>
          <w:color w:val="auto"/>
          <w:sz w:val="28"/>
          <w:szCs w:val="28"/>
          <w:highlight w:val="none"/>
        </w:rPr>
        <w:fldChar w:fldCharType="begin"/>
      </w:r>
      <w:r>
        <w:rPr>
          <w:rStyle w:val="58"/>
          <w:rFonts w:asciiTheme="minorEastAsia" w:hAnsiTheme="minorEastAsia" w:eastAsiaTheme="minorEastAsia"/>
          <w:b/>
          <w:color w:val="auto"/>
          <w:sz w:val="28"/>
          <w:szCs w:val="28"/>
          <w:highlight w:val="none"/>
        </w:rPr>
        <w:instrText xml:space="preserve"> PAGEREF _Toc74323456 \h </w:instrText>
      </w:r>
      <w:r>
        <w:rPr>
          <w:rStyle w:val="58"/>
          <w:rFonts w:asciiTheme="minorEastAsia" w:hAnsiTheme="minorEastAsia" w:eastAsiaTheme="minorEastAsia"/>
          <w:b/>
          <w:color w:val="auto"/>
          <w:sz w:val="28"/>
          <w:szCs w:val="28"/>
          <w:highlight w:val="none"/>
        </w:rPr>
        <w:fldChar w:fldCharType="separate"/>
      </w:r>
      <w:r>
        <w:rPr>
          <w:rStyle w:val="58"/>
          <w:rFonts w:asciiTheme="minorEastAsia" w:hAnsiTheme="minorEastAsia" w:eastAsiaTheme="minorEastAsia"/>
          <w:b/>
          <w:color w:val="auto"/>
          <w:sz w:val="28"/>
          <w:szCs w:val="28"/>
          <w:highlight w:val="none"/>
        </w:rPr>
        <w:t>2</w:t>
      </w:r>
      <w:r>
        <w:rPr>
          <w:rStyle w:val="58"/>
          <w:rFonts w:asciiTheme="minorEastAsia" w:hAnsiTheme="minorEastAsia" w:eastAsiaTheme="minorEastAsia"/>
          <w:b/>
          <w:color w:val="auto"/>
          <w:sz w:val="28"/>
          <w:szCs w:val="28"/>
          <w:highlight w:val="none"/>
        </w:rPr>
        <w:fldChar w:fldCharType="end"/>
      </w:r>
      <w:r>
        <w:rPr>
          <w:rStyle w:val="58"/>
          <w:rFonts w:asciiTheme="minorEastAsia" w:hAnsiTheme="minorEastAsia" w:eastAsiaTheme="minorEastAsia"/>
          <w:b/>
          <w:color w:val="auto"/>
          <w:sz w:val="28"/>
          <w:szCs w:val="28"/>
          <w:highlight w:val="none"/>
        </w:rPr>
        <w:fldChar w:fldCharType="end"/>
      </w:r>
    </w:p>
    <w:p w14:paraId="3BDA43E0">
      <w:pPr>
        <w:pStyle w:val="34"/>
        <w:tabs>
          <w:tab w:val="right" w:leader="dot" w:pos="8869"/>
        </w:tabs>
        <w:snapToGrid w:val="0"/>
        <w:spacing w:line="500" w:lineRule="atLeast"/>
        <w:rPr>
          <w:rStyle w:val="58"/>
          <w:rFonts w:hint="eastAsia" w:asciiTheme="minorEastAsia" w:hAnsiTheme="minorEastAsia" w:eastAsiaTheme="minorEastAsia"/>
          <w:b/>
          <w:color w:val="auto"/>
          <w:sz w:val="28"/>
          <w:szCs w:val="28"/>
          <w:highlight w:val="none"/>
        </w:rPr>
      </w:pPr>
      <w:r>
        <w:rPr>
          <w:color w:val="auto"/>
          <w:highlight w:val="none"/>
        </w:rPr>
        <w:fldChar w:fldCharType="begin"/>
      </w:r>
      <w:r>
        <w:rPr>
          <w:color w:val="auto"/>
          <w:highlight w:val="none"/>
        </w:rPr>
        <w:instrText xml:space="preserve"> HYPERLINK \l "_Toc74323457" </w:instrText>
      </w:r>
      <w:r>
        <w:rPr>
          <w:color w:val="auto"/>
          <w:highlight w:val="none"/>
        </w:rPr>
        <w:fldChar w:fldCharType="separate"/>
      </w:r>
      <w:r>
        <w:rPr>
          <w:rStyle w:val="58"/>
          <w:rFonts w:hint="eastAsia" w:asciiTheme="minorEastAsia" w:hAnsiTheme="minorEastAsia" w:eastAsiaTheme="minorEastAsia"/>
          <w:b/>
          <w:color w:val="auto"/>
          <w:sz w:val="28"/>
          <w:szCs w:val="28"/>
          <w:highlight w:val="none"/>
        </w:rPr>
        <w:t>第二章</w:t>
      </w:r>
      <w:r>
        <w:rPr>
          <w:rStyle w:val="58"/>
          <w:rFonts w:asciiTheme="minorEastAsia" w:hAnsiTheme="minorEastAsia" w:eastAsiaTheme="minorEastAsia"/>
          <w:b/>
          <w:color w:val="auto"/>
          <w:sz w:val="28"/>
          <w:szCs w:val="28"/>
          <w:highlight w:val="none"/>
        </w:rPr>
        <w:t xml:space="preserve"> </w:t>
      </w:r>
      <w:r>
        <w:rPr>
          <w:rStyle w:val="58"/>
          <w:rFonts w:hint="eastAsia" w:asciiTheme="minorEastAsia" w:hAnsiTheme="minorEastAsia" w:eastAsiaTheme="minorEastAsia"/>
          <w:b/>
          <w:color w:val="auto"/>
          <w:sz w:val="28"/>
          <w:szCs w:val="28"/>
          <w:highlight w:val="none"/>
        </w:rPr>
        <w:t>供应</w:t>
      </w:r>
      <w:bookmarkStart w:id="0" w:name="_Hlt82161237"/>
      <w:r>
        <w:rPr>
          <w:rStyle w:val="58"/>
          <w:rFonts w:hint="eastAsia" w:asciiTheme="minorEastAsia" w:hAnsiTheme="minorEastAsia" w:eastAsiaTheme="minorEastAsia"/>
          <w:b/>
          <w:color w:val="auto"/>
          <w:sz w:val="28"/>
          <w:szCs w:val="28"/>
          <w:highlight w:val="none"/>
        </w:rPr>
        <w:t>商</w:t>
      </w:r>
      <w:bookmarkEnd w:id="0"/>
      <w:r>
        <w:rPr>
          <w:rStyle w:val="58"/>
          <w:rFonts w:hint="eastAsia" w:asciiTheme="minorEastAsia" w:hAnsiTheme="minorEastAsia" w:eastAsiaTheme="minorEastAsia"/>
          <w:b/>
          <w:color w:val="auto"/>
          <w:sz w:val="28"/>
          <w:szCs w:val="28"/>
          <w:highlight w:val="none"/>
        </w:rPr>
        <w:t>须知</w:t>
      </w:r>
      <w:r>
        <w:rPr>
          <w:rStyle w:val="58"/>
          <w:rFonts w:asciiTheme="minorEastAsia" w:hAnsiTheme="minorEastAsia" w:eastAsiaTheme="minorEastAsia"/>
          <w:b/>
          <w:color w:val="auto"/>
          <w:sz w:val="28"/>
          <w:szCs w:val="28"/>
          <w:highlight w:val="none"/>
        </w:rPr>
        <w:tab/>
      </w:r>
      <w:r>
        <w:rPr>
          <w:rStyle w:val="58"/>
          <w:rFonts w:asciiTheme="minorEastAsia" w:hAnsiTheme="minorEastAsia" w:eastAsiaTheme="minorEastAsia"/>
          <w:b/>
          <w:color w:val="auto"/>
          <w:sz w:val="28"/>
          <w:szCs w:val="28"/>
          <w:highlight w:val="none"/>
        </w:rPr>
        <w:fldChar w:fldCharType="begin"/>
      </w:r>
      <w:r>
        <w:rPr>
          <w:rStyle w:val="58"/>
          <w:rFonts w:asciiTheme="minorEastAsia" w:hAnsiTheme="minorEastAsia" w:eastAsiaTheme="minorEastAsia"/>
          <w:b/>
          <w:color w:val="auto"/>
          <w:sz w:val="28"/>
          <w:szCs w:val="28"/>
          <w:highlight w:val="none"/>
        </w:rPr>
        <w:instrText xml:space="preserve"> PAGEREF _Toc74323457 \h </w:instrText>
      </w:r>
      <w:r>
        <w:rPr>
          <w:rStyle w:val="58"/>
          <w:rFonts w:asciiTheme="minorEastAsia" w:hAnsiTheme="minorEastAsia" w:eastAsiaTheme="minorEastAsia"/>
          <w:b/>
          <w:color w:val="auto"/>
          <w:sz w:val="28"/>
          <w:szCs w:val="28"/>
          <w:highlight w:val="none"/>
        </w:rPr>
        <w:fldChar w:fldCharType="separate"/>
      </w:r>
      <w:r>
        <w:rPr>
          <w:rStyle w:val="58"/>
          <w:rFonts w:asciiTheme="minorEastAsia" w:hAnsiTheme="minorEastAsia" w:eastAsiaTheme="minorEastAsia"/>
          <w:b/>
          <w:color w:val="auto"/>
          <w:sz w:val="28"/>
          <w:szCs w:val="28"/>
          <w:highlight w:val="none"/>
        </w:rPr>
        <w:t>5</w:t>
      </w:r>
      <w:r>
        <w:rPr>
          <w:rStyle w:val="58"/>
          <w:rFonts w:asciiTheme="minorEastAsia" w:hAnsiTheme="minorEastAsia" w:eastAsiaTheme="minorEastAsia"/>
          <w:b/>
          <w:color w:val="auto"/>
          <w:sz w:val="28"/>
          <w:szCs w:val="28"/>
          <w:highlight w:val="none"/>
        </w:rPr>
        <w:fldChar w:fldCharType="end"/>
      </w:r>
      <w:r>
        <w:rPr>
          <w:rStyle w:val="58"/>
          <w:rFonts w:asciiTheme="minorEastAsia" w:hAnsiTheme="minorEastAsia" w:eastAsiaTheme="minorEastAsia"/>
          <w:b/>
          <w:color w:val="auto"/>
          <w:sz w:val="28"/>
          <w:szCs w:val="28"/>
          <w:highlight w:val="none"/>
        </w:rPr>
        <w:fldChar w:fldCharType="end"/>
      </w:r>
    </w:p>
    <w:p w14:paraId="3F6ABC25">
      <w:pPr>
        <w:pStyle w:val="34"/>
        <w:tabs>
          <w:tab w:val="right" w:leader="dot" w:pos="8869"/>
        </w:tabs>
        <w:snapToGrid w:val="0"/>
        <w:spacing w:line="500" w:lineRule="atLeast"/>
        <w:rPr>
          <w:rStyle w:val="58"/>
          <w:rFonts w:hint="eastAsia" w:asciiTheme="minorEastAsia" w:hAnsiTheme="minorEastAsia" w:eastAsiaTheme="minorEastAsia"/>
          <w:b/>
          <w:color w:val="auto"/>
          <w:sz w:val="28"/>
          <w:szCs w:val="28"/>
          <w:highlight w:val="none"/>
        </w:rPr>
      </w:pPr>
      <w:r>
        <w:rPr>
          <w:color w:val="auto"/>
          <w:highlight w:val="none"/>
        </w:rPr>
        <w:fldChar w:fldCharType="begin"/>
      </w:r>
      <w:r>
        <w:rPr>
          <w:color w:val="auto"/>
          <w:highlight w:val="none"/>
        </w:rPr>
        <w:instrText xml:space="preserve"> HYPERLINK \l "_Toc74323458" </w:instrText>
      </w:r>
      <w:r>
        <w:rPr>
          <w:color w:val="auto"/>
          <w:highlight w:val="none"/>
        </w:rPr>
        <w:fldChar w:fldCharType="separate"/>
      </w:r>
      <w:r>
        <w:rPr>
          <w:rStyle w:val="58"/>
          <w:rFonts w:hint="eastAsia" w:asciiTheme="minorEastAsia" w:hAnsiTheme="minorEastAsia" w:eastAsiaTheme="minorEastAsia"/>
          <w:b/>
          <w:color w:val="auto"/>
          <w:sz w:val="28"/>
          <w:szCs w:val="28"/>
          <w:highlight w:val="none"/>
        </w:rPr>
        <w:t>第三章</w:t>
      </w:r>
      <w:r>
        <w:rPr>
          <w:rStyle w:val="58"/>
          <w:rFonts w:asciiTheme="minorEastAsia" w:hAnsiTheme="minorEastAsia" w:eastAsiaTheme="minorEastAsia"/>
          <w:b/>
          <w:color w:val="auto"/>
          <w:sz w:val="28"/>
          <w:szCs w:val="28"/>
          <w:highlight w:val="none"/>
        </w:rPr>
        <w:t xml:space="preserve"> </w:t>
      </w:r>
      <w:r>
        <w:rPr>
          <w:rStyle w:val="58"/>
          <w:rFonts w:hint="eastAsia" w:asciiTheme="minorEastAsia" w:hAnsiTheme="minorEastAsia" w:eastAsiaTheme="minorEastAsia"/>
          <w:b/>
          <w:color w:val="auto"/>
          <w:sz w:val="28"/>
          <w:szCs w:val="28"/>
          <w:highlight w:val="none"/>
        </w:rPr>
        <w:t>采购需</w:t>
      </w:r>
      <w:bookmarkStart w:id="1" w:name="_Hlt82166940"/>
      <w:r>
        <w:rPr>
          <w:rStyle w:val="58"/>
          <w:rFonts w:hint="eastAsia" w:asciiTheme="minorEastAsia" w:hAnsiTheme="minorEastAsia" w:eastAsiaTheme="minorEastAsia"/>
          <w:b/>
          <w:color w:val="auto"/>
          <w:sz w:val="28"/>
          <w:szCs w:val="28"/>
          <w:highlight w:val="none"/>
        </w:rPr>
        <w:t>求</w:t>
      </w:r>
      <w:bookmarkEnd w:id="1"/>
      <w:r>
        <w:rPr>
          <w:rStyle w:val="58"/>
          <w:rFonts w:asciiTheme="minorEastAsia" w:hAnsiTheme="minorEastAsia" w:eastAsiaTheme="minorEastAsia"/>
          <w:b/>
          <w:color w:val="auto"/>
          <w:sz w:val="28"/>
          <w:szCs w:val="28"/>
          <w:highlight w:val="none"/>
        </w:rPr>
        <w:tab/>
      </w:r>
      <w:r>
        <w:rPr>
          <w:rStyle w:val="58"/>
          <w:rFonts w:hint="eastAsia" w:asciiTheme="minorEastAsia" w:hAnsiTheme="minorEastAsia" w:eastAsiaTheme="minorEastAsia"/>
          <w:b/>
          <w:color w:val="auto"/>
          <w:sz w:val="28"/>
          <w:szCs w:val="28"/>
          <w:highlight w:val="none"/>
        </w:rPr>
        <w:t>23</w:t>
      </w:r>
      <w:r>
        <w:rPr>
          <w:rStyle w:val="58"/>
          <w:rFonts w:hint="eastAsia" w:asciiTheme="minorEastAsia" w:hAnsiTheme="minorEastAsia" w:eastAsiaTheme="minorEastAsia"/>
          <w:b/>
          <w:color w:val="auto"/>
          <w:sz w:val="28"/>
          <w:szCs w:val="28"/>
          <w:highlight w:val="none"/>
        </w:rPr>
        <w:fldChar w:fldCharType="end"/>
      </w:r>
    </w:p>
    <w:p w14:paraId="7CC0B420">
      <w:pPr>
        <w:pStyle w:val="34"/>
        <w:tabs>
          <w:tab w:val="right" w:leader="dot" w:pos="8869"/>
        </w:tabs>
        <w:snapToGrid w:val="0"/>
        <w:spacing w:line="500" w:lineRule="atLeast"/>
        <w:rPr>
          <w:rStyle w:val="58"/>
          <w:rFonts w:hint="default" w:asciiTheme="minorEastAsia" w:hAnsiTheme="minorEastAsia" w:eastAsiaTheme="minorEastAsia"/>
          <w:b/>
          <w:color w:val="auto"/>
          <w:sz w:val="28"/>
          <w:szCs w:val="28"/>
          <w:highlight w:val="none"/>
          <w:lang w:val="en-US" w:eastAsia="zh-CN"/>
        </w:rPr>
      </w:pPr>
      <w:r>
        <w:rPr>
          <w:color w:val="auto"/>
          <w:highlight w:val="none"/>
        </w:rPr>
        <w:fldChar w:fldCharType="begin"/>
      </w:r>
      <w:r>
        <w:rPr>
          <w:color w:val="auto"/>
          <w:highlight w:val="none"/>
        </w:rPr>
        <w:instrText xml:space="preserve"> HYPERLINK \l "_Toc74323459" </w:instrText>
      </w:r>
      <w:r>
        <w:rPr>
          <w:color w:val="auto"/>
          <w:highlight w:val="none"/>
        </w:rPr>
        <w:fldChar w:fldCharType="separate"/>
      </w:r>
      <w:r>
        <w:rPr>
          <w:rStyle w:val="58"/>
          <w:rFonts w:hint="eastAsia" w:asciiTheme="minorEastAsia" w:hAnsiTheme="minorEastAsia" w:eastAsiaTheme="minorEastAsia"/>
          <w:b/>
          <w:color w:val="auto"/>
          <w:sz w:val="28"/>
          <w:szCs w:val="28"/>
          <w:highlight w:val="none"/>
        </w:rPr>
        <w:t>第四章</w:t>
      </w:r>
      <w:r>
        <w:rPr>
          <w:rStyle w:val="58"/>
          <w:rFonts w:asciiTheme="minorEastAsia" w:hAnsiTheme="minorEastAsia" w:eastAsiaTheme="minorEastAsia"/>
          <w:b/>
          <w:color w:val="auto"/>
          <w:sz w:val="28"/>
          <w:szCs w:val="28"/>
          <w:highlight w:val="none"/>
        </w:rPr>
        <w:t xml:space="preserve"> </w:t>
      </w:r>
      <w:r>
        <w:rPr>
          <w:rStyle w:val="58"/>
          <w:rFonts w:hint="eastAsia" w:asciiTheme="minorEastAsia" w:hAnsiTheme="minorEastAsia" w:eastAsiaTheme="minorEastAsia"/>
          <w:b/>
          <w:color w:val="auto"/>
          <w:sz w:val="28"/>
          <w:szCs w:val="28"/>
          <w:highlight w:val="none"/>
        </w:rPr>
        <w:t>评审程序、</w:t>
      </w:r>
      <w:bookmarkStart w:id="2" w:name="_Hlt82166000"/>
      <w:r>
        <w:rPr>
          <w:rStyle w:val="58"/>
          <w:rFonts w:hint="eastAsia" w:asciiTheme="minorEastAsia" w:hAnsiTheme="minorEastAsia" w:eastAsiaTheme="minorEastAsia"/>
          <w:b/>
          <w:color w:val="auto"/>
          <w:sz w:val="28"/>
          <w:szCs w:val="28"/>
          <w:highlight w:val="none"/>
        </w:rPr>
        <w:t>评</w:t>
      </w:r>
      <w:bookmarkEnd w:id="2"/>
      <w:r>
        <w:rPr>
          <w:rStyle w:val="58"/>
          <w:rFonts w:hint="eastAsia" w:asciiTheme="minorEastAsia" w:hAnsiTheme="minorEastAsia" w:eastAsiaTheme="minorEastAsia"/>
          <w:b/>
          <w:color w:val="auto"/>
          <w:sz w:val="28"/>
          <w:szCs w:val="28"/>
          <w:highlight w:val="none"/>
        </w:rPr>
        <w:t>审方法和评审标准</w:t>
      </w:r>
      <w:r>
        <w:rPr>
          <w:rStyle w:val="58"/>
          <w:rFonts w:asciiTheme="minorEastAsia" w:hAnsiTheme="minorEastAsia" w:eastAsiaTheme="minorEastAsia"/>
          <w:b/>
          <w:color w:val="auto"/>
          <w:sz w:val="28"/>
          <w:szCs w:val="28"/>
          <w:highlight w:val="none"/>
        </w:rPr>
        <w:tab/>
      </w:r>
      <w:r>
        <w:rPr>
          <w:rStyle w:val="58"/>
          <w:rFonts w:hint="eastAsia" w:asciiTheme="minorEastAsia" w:hAnsiTheme="minorEastAsia" w:eastAsiaTheme="minorEastAsia"/>
          <w:b/>
          <w:color w:val="auto"/>
          <w:sz w:val="28"/>
          <w:szCs w:val="28"/>
          <w:highlight w:val="none"/>
        </w:rPr>
        <w:fldChar w:fldCharType="end"/>
      </w:r>
      <w:r>
        <w:rPr>
          <w:rStyle w:val="58"/>
          <w:rFonts w:hint="eastAsia" w:asciiTheme="minorEastAsia" w:hAnsiTheme="minorEastAsia" w:eastAsiaTheme="minorEastAsia"/>
          <w:b/>
          <w:color w:val="auto"/>
          <w:sz w:val="28"/>
          <w:szCs w:val="28"/>
          <w:highlight w:val="none"/>
          <w:lang w:val="en-US" w:eastAsia="zh-CN"/>
        </w:rPr>
        <w:t>28</w:t>
      </w:r>
    </w:p>
    <w:p w14:paraId="07CB23EB">
      <w:pPr>
        <w:pStyle w:val="34"/>
        <w:tabs>
          <w:tab w:val="right" w:leader="dot" w:pos="8869"/>
        </w:tabs>
        <w:snapToGrid w:val="0"/>
        <w:spacing w:line="500" w:lineRule="atLeast"/>
        <w:rPr>
          <w:rStyle w:val="58"/>
          <w:rFonts w:hint="default" w:asciiTheme="minorEastAsia" w:hAnsiTheme="minorEastAsia" w:eastAsiaTheme="minorEastAsia"/>
          <w:b/>
          <w:color w:val="auto"/>
          <w:sz w:val="28"/>
          <w:szCs w:val="28"/>
          <w:highlight w:val="none"/>
          <w:lang w:val="en-US" w:eastAsia="zh-CN"/>
        </w:rPr>
      </w:pPr>
      <w:r>
        <w:rPr>
          <w:color w:val="auto"/>
          <w:highlight w:val="none"/>
        </w:rPr>
        <w:fldChar w:fldCharType="begin"/>
      </w:r>
      <w:r>
        <w:rPr>
          <w:color w:val="auto"/>
          <w:highlight w:val="none"/>
        </w:rPr>
        <w:instrText xml:space="preserve"> HYPERLINK \l "_Toc74323460" </w:instrText>
      </w:r>
      <w:r>
        <w:rPr>
          <w:color w:val="auto"/>
          <w:highlight w:val="none"/>
        </w:rPr>
        <w:fldChar w:fldCharType="separate"/>
      </w:r>
      <w:r>
        <w:rPr>
          <w:rStyle w:val="58"/>
          <w:rFonts w:hint="eastAsia" w:asciiTheme="minorEastAsia" w:hAnsiTheme="minorEastAsia" w:eastAsiaTheme="minorEastAsia"/>
          <w:b/>
          <w:color w:val="auto"/>
          <w:sz w:val="28"/>
          <w:szCs w:val="28"/>
          <w:highlight w:val="none"/>
        </w:rPr>
        <w:t>第五章</w:t>
      </w:r>
      <w:r>
        <w:rPr>
          <w:rStyle w:val="58"/>
          <w:rFonts w:asciiTheme="minorEastAsia" w:hAnsiTheme="minorEastAsia" w:eastAsiaTheme="minorEastAsia"/>
          <w:b/>
          <w:color w:val="auto"/>
          <w:sz w:val="28"/>
          <w:szCs w:val="28"/>
          <w:highlight w:val="none"/>
        </w:rPr>
        <w:t xml:space="preserve"> </w:t>
      </w:r>
      <w:r>
        <w:rPr>
          <w:rStyle w:val="58"/>
          <w:rFonts w:hint="eastAsia" w:asciiTheme="minorEastAsia" w:hAnsiTheme="minorEastAsia" w:eastAsiaTheme="minorEastAsia"/>
          <w:b/>
          <w:color w:val="auto"/>
          <w:sz w:val="28"/>
          <w:szCs w:val="28"/>
          <w:highlight w:val="none"/>
        </w:rPr>
        <w:t>工程量清单及图纸</w:t>
      </w:r>
      <w:r>
        <w:rPr>
          <w:rStyle w:val="58"/>
          <w:rFonts w:asciiTheme="minorEastAsia" w:hAnsiTheme="minorEastAsia" w:eastAsiaTheme="minorEastAsia"/>
          <w:b/>
          <w:color w:val="auto"/>
          <w:sz w:val="28"/>
          <w:szCs w:val="28"/>
          <w:highlight w:val="none"/>
        </w:rPr>
        <w:tab/>
      </w:r>
      <w:r>
        <w:rPr>
          <w:rStyle w:val="58"/>
          <w:rFonts w:hint="eastAsia" w:asciiTheme="minorEastAsia" w:hAnsiTheme="minorEastAsia" w:eastAsiaTheme="minorEastAsia"/>
          <w:b/>
          <w:color w:val="auto"/>
          <w:sz w:val="28"/>
          <w:szCs w:val="28"/>
          <w:highlight w:val="none"/>
        </w:rPr>
        <w:fldChar w:fldCharType="end"/>
      </w:r>
      <w:r>
        <w:rPr>
          <w:rStyle w:val="58"/>
          <w:rFonts w:hint="eastAsia" w:asciiTheme="minorEastAsia" w:hAnsiTheme="minorEastAsia" w:eastAsiaTheme="minorEastAsia"/>
          <w:b/>
          <w:color w:val="auto"/>
          <w:sz w:val="28"/>
          <w:szCs w:val="28"/>
          <w:highlight w:val="none"/>
          <w:lang w:val="en-US" w:eastAsia="zh-CN"/>
        </w:rPr>
        <w:t>38</w:t>
      </w:r>
    </w:p>
    <w:p w14:paraId="172D9E41">
      <w:pPr>
        <w:pStyle w:val="34"/>
        <w:tabs>
          <w:tab w:val="right" w:leader="dot" w:pos="8869"/>
        </w:tabs>
        <w:snapToGrid w:val="0"/>
        <w:spacing w:line="500" w:lineRule="atLeast"/>
        <w:rPr>
          <w:rStyle w:val="58"/>
          <w:rFonts w:hint="eastAsia" w:asciiTheme="minorEastAsia" w:hAnsiTheme="minorEastAsia" w:eastAsiaTheme="minorEastAsia"/>
          <w:b/>
          <w:color w:val="auto"/>
          <w:sz w:val="28"/>
          <w:szCs w:val="28"/>
          <w:highlight w:val="none"/>
          <w:lang w:eastAsia="zh-CN"/>
        </w:rPr>
      </w:pPr>
      <w:r>
        <w:rPr>
          <w:rStyle w:val="58"/>
          <w:rFonts w:hint="eastAsia" w:asciiTheme="minorEastAsia" w:hAnsiTheme="minorEastAsia" w:eastAsiaTheme="minorEastAsia"/>
          <w:b/>
          <w:color w:val="auto"/>
          <w:sz w:val="28"/>
          <w:szCs w:val="28"/>
          <w:highlight w:val="none"/>
          <w:u w:val="none"/>
        </w:rPr>
        <w:t>第六章</w:t>
      </w:r>
      <w:r>
        <w:rPr>
          <w:rStyle w:val="58"/>
          <w:rFonts w:asciiTheme="minorEastAsia" w:hAnsiTheme="minorEastAsia" w:eastAsiaTheme="minorEastAsia"/>
          <w:b/>
          <w:color w:val="auto"/>
          <w:sz w:val="28"/>
          <w:szCs w:val="28"/>
          <w:highlight w:val="none"/>
          <w:u w:val="none"/>
        </w:rPr>
        <w:t xml:space="preserve"> </w:t>
      </w:r>
      <w:r>
        <w:rPr>
          <w:rStyle w:val="58"/>
          <w:rFonts w:hint="eastAsia" w:asciiTheme="minorEastAsia" w:hAnsiTheme="minorEastAsia" w:eastAsiaTheme="minorEastAsia"/>
          <w:b/>
          <w:color w:val="auto"/>
          <w:sz w:val="28"/>
          <w:szCs w:val="28"/>
          <w:highlight w:val="none"/>
          <w:u w:val="none"/>
        </w:rPr>
        <w:t>响应文件格式</w:t>
      </w:r>
      <w:r>
        <w:rPr>
          <w:rStyle w:val="58"/>
          <w:rFonts w:asciiTheme="minorEastAsia" w:hAnsiTheme="minorEastAsia" w:eastAsiaTheme="minorEastAsia"/>
          <w:b/>
          <w:color w:val="auto"/>
          <w:sz w:val="28"/>
          <w:szCs w:val="28"/>
          <w:highlight w:val="none"/>
          <w:u w:val="none"/>
        </w:rPr>
        <w:tab/>
      </w:r>
      <w:r>
        <w:rPr>
          <w:rStyle w:val="58"/>
          <w:rFonts w:hint="eastAsia" w:asciiTheme="minorEastAsia" w:hAnsiTheme="minorEastAsia" w:eastAsiaTheme="minorEastAsia"/>
          <w:b/>
          <w:color w:val="auto"/>
          <w:sz w:val="28"/>
          <w:szCs w:val="28"/>
          <w:highlight w:val="none"/>
          <w:u w:val="none"/>
        </w:rPr>
        <w:t>4</w:t>
      </w:r>
      <w:r>
        <w:rPr>
          <w:rStyle w:val="58"/>
          <w:rFonts w:hint="eastAsia" w:asciiTheme="minorEastAsia" w:hAnsiTheme="minorEastAsia" w:eastAsiaTheme="minorEastAsia"/>
          <w:b/>
          <w:color w:val="auto"/>
          <w:sz w:val="28"/>
          <w:szCs w:val="28"/>
          <w:highlight w:val="none"/>
          <w:u w:val="none"/>
          <w:lang w:val="en-US" w:eastAsia="zh-CN"/>
        </w:rPr>
        <w:t>3</w:t>
      </w:r>
    </w:p>
    <w:p w14:paraId="4C1CD9B6">
      <w:pPr>
        <w:pStyle w:val="34"/>
        <w:tabs>
          <w:tab w:val="right" w:leader="dot" w:pos="8869"/>
        </w:tabs>
        <w:snapToGrid w:val="0"/>
        <w:spacing w:line="500" w:lineRule="atLeast"/>
        <w:rPr>
          <w:rFonts w:hint="eastAsia" w:asciiTheme="minorEastAsia" w:hAnsiTheme="minorEastAsia" w:eastAsiaTheme="minorEastAsia"/>
          <w:b/>
          <w:color w:val="auto"/>
          <w:sz w:val="28"/>
          <w:szCs w:val="28"/>
          <w:highlight w:val="none"/>
        </w:rPr>
      </w:pPr>
      <w:r>
        <w:rPr>
          <w:color w:val="auto"/>
          <w:highlight w:val="none"/>
        </w:rPr>
        <w:fldChar w:fldCharType="begin"/>
      </w:r>
      <w:r>
        <w:rPr>
          <w:color w:val="auto"/>
          <w:highlight w:val="none"/>
        </w:rPr>
        <w:instrText xml:space="preserve"> HYPERLINK \l "_Toc74323461" </w:instrText>
      </w:r>
      <w:r>
        <w:rPr>
          <w:color w:val="auto"/>
          <w:highlight w:val="none"/>
        </w:rPr>
        <w:fldChar w:fldCharType="separate"/>
      </w:r>
      <w:r>
        <w:rPr>
          <w:rStyle w:val="58"/>
          <w:rFonts w:hint="eastAsia" w:asciiTheme="minorEastAsia" w:hAnsiTheme="minorEastAsia" w:eastAsiaTheme="minorEastAsia"/>
          <w:b/>
          <w:color w:val="auto"/>
          <w:sz w:val="28"/>
          <w:szCs w:val="28"/>
          <w:highlight w:val="none"/>
        </w:rPr>
        <w:t>第七章</w:t>
      </w:r>
      <w:r>
        <w:rPr>
          <w:rStyle w:val="58"/>
          <w:rFonts w:asciiTheme="minorEastAsia" w:hAnsiTheme="minorEastAsia" w:eastAsiaTheme="minorEastAsia"/>
          <w:b/>
          <w:color w:val="auto"/>
          <w:sz w:val="28"/>
          <w:szCs w:val="28"/>
          <w:highlight w:val="none"/>
        </w:rPr>
        <w:t xml:space="preserve"> </w:t>
      </w:r>
      <w:r>
        <w:rPr>
          <w:rStyle w:val="58"/>
          <w:rFonts w:hint="eastAsia" w:asciiTheme="minorEastAsia" w:hAnsiTheme="minorEastAsia" w:eastAsiaTheme="minorEastAsia"/>
          <w:b/>
          <w:color w:val="auto"/>
          <w:sz w:val="28"/>
          <w:szCs w:val="28"/>
          <w:highlight w:val="none"/>
        </w:rPr>
        <w:t>合同文本</w:t>
      </w:r>
      <w:r>
        <w:rPr>
          <w:rStyle w:val="58"/>
          <w:rFonts w:asciiTheme="minorEastAsia" w:hAnsiTheme="minorEastAsia" w:eastAsiaTheme="minorEastAsia"/>
          <w:b/>
          <w:color w:val="auto"/>
          <w:sz w:val="28"/>
          <w:szCs w:val="28"/>
          <w:highlight w:val="none"/>
        </w:rPr>
        <w:tab/>
      </w:r>
      <w:r>
        <w:rPr>
          <w:rStyle w:val="58"/>
          <w:rFonts w:asciiTheme="minorEastAsia" w:hAnsiTheme="minorEastAsia" w:eastAsiaTheme="minorEastAsia"/>
          <w:b/>
          <w:color w:val="auto"/>
          <w:sz w:val="28"/>
          <w:szCs w:val="28"/>
          <w:highlight w:val="none"/>
        </w:rPr>
        <w:fldChar w:fldCharType="begin"/>
      </w:r>
      <w:r>
        <w:rPr>
          <w:rStyle w:val="58"/>
          <w:rFonts w:asciiTheme="minorEastAsia" w:hAnsiTheme="minorEastAsia" w:eastAsiaTheme="minorEastAsia"/>
          <w:b/>
          <w:color w:val="auto"/>
          <w:sz w:val="28"/>
          <w:szCs w:val="28"/>
          <w:highlight w:val="none"/>
        </w:rPr>
        <w:instrText xml:space="preserve"> PAGEREF _Toc74323461 \h </w:instrText>
      </w:r>
      <w:r>
        <w:rPr>
          <w:rStyle w:val="58"/>
          <w:rFonts w:asciiTheme="minorEastAsia" w:hAnsiTheme="minorEastAsia" w:eastAsiaTheme="minorEastAsia"/>
          <w:b/>
          <w:color w:val="auto"/>
          <w:sz w:val="28"/>
          <w:szCs w:val="28"/>
          <w:highlight w:val="none"/>
        </w:rPr>
        <w:fldChar w:fldCharType="separate"/>
      </w:r>
      <w:r>
        <w:rPr>
          <w:rStyle w:val="58"/>
          <w:rFonts w:asciiTheme="minorEastAsia" w:hAnsiTheme="minorEastAsia" w:eastAsiaTheme="minorEastAsia"/>
          <w:b/>
          <w:color w:val="auto"/>
          <w:sz w:val="28"/>
          <w:szCs w:val="28"/>
          <w:highlight w:val="none"/>
        </w:rPr>
        <w:t>75</w:t>
      </w:r>
      <w:r>
        <w:rPr>
          <w:rStyle w:val="58"/>
          <w:rFonts w:asciiTheme="minorEastAsia" w:hAnsiTheme="minorEastAsia" w:eastAsiaTheme="minorEastAsia"/>
          <w:b/>
          <w:color w:val="auto"/>
          <w:sz w:val="28"/>
          <w:szCs w:val="28"/>
          <w:highlight w:val="none"/>
        </w:rPr>
        <w:fldChar w:fldCharType="end"/>
      </w:r>
      <w:r>
        <w:rPr>
          <w:rStyle w:val="58"/>
          <w:rFonts w:asciiTheme="minorEastAsia" w:hAnsiTheme="minorEastAsia" w:eastAsiaTheme="minorEastAsia"/>
          <w:b/>
          <w:color w:val="auto"/>
          <w:sz w:val="28"/>
          <w:szCs w:val="28"/>
          <w:highlight w:val="none"/>
        </w:rPr>
        <w:fldChar w:fldCharType="end"/>
      </w:r>
    </w:p>
    <w:p w14:paraId="09D8FA81">
      <w:pPr>
        <w:pStyle w:val="40"/>
        <w:tabs>
          <w:tab w:val="right" w:leader="dot" w:pos="8931"/>
          <w:tab w:val="clear" w:pos="8296"/>
        </w:tabs>
        <w:snapToGrid w:val="0"/>
        <w:spacing w:line="500" w:lineRule="atLeast"/>
        <w:ind w:left="0" w:leftChars="0"/>
        <w:rPr>
          <w:rFonts w:hint="eastAsia" w:asciiTheme="minorEastAsia" w:hAnsiTheme="minorEastAsia" w:eastAsiaTheme="minorEastAsia"/>
          <w:b/>
          <w:color w:val="auto"/>
          <w:sz w:val="28"/>
          <w:szCs w:val="28"/>
          <w:highlight w:val="none"/>
        </w:rPr>
      </w:pPr>
      <w:r>
        <w:rPr>
          <w:rFonts w:asciiTheme="minorEastAsia" w:hAnsiTheme="minorEastAsia" w:eastAsiaTheme="minorEastAsia"/>
          <w:b/>
          <w:color w:val="auto"/>
          <w:sz w:val="28"/>
          <w:szCs w:val="28"/>
          <w:highlight w:val="none"/>
        </w:rPr>
        <w:fldChar w:fldCharType="end"/>
      </w:r>
    </w:p>
    <w:p w14:paraId="640EE31B">
      <w:pPr>
        <w:spacing w:line="400" w:lineRule="exact"/>
        <w:jc w:val="left"/>
        <w:rPr>
          <w:rFonts w:hint="eastAsia" w:ascii="宋体" w:hAnsi="宋体"/>
          <w:b/>
          <w:color w:val="auto"/>
          <w:sz w:val="32"/>
          <w:szCs w:val="32"/>
          <w:highlight w:val="none"/>
        </w:rPr>
      </w:pPr>
    </w:p>
    <w:p w14:paraId="2A2B5E26">
      <w:pPr>
        <w:spacing w:line="400" w:lineRule="exact"/>
        <w:jc w:val="center"/>
        <w:rPr>
          <w:rFonts w:hint="eastAsia" w:ascii="宋体" w:hAnsi="宋体"/>
          <w:b/>
          <w:color w:val="auto"/>
          <w:sz w:val="32"/>
          <w:szCs w:val="32"/>
          <w:highlight w:val="none"/>
        </w:rPr>
      </w:pPr>
    </w:p>
    <w:p w14:paraId="5CC79B63">
      <w:pPr>
        <w:spacing w:line="400" w:lineRule="exact"/>
        <w:jc w:val="center"/>
        <w:rPr>
          <w:rFonts w:hint="eastAsia" w:ascii="宋体" w:hAnsi="宋体"/>
          <w:b/>
          <w:color w:val="auto"/>
          <w:sz w:val="32"/>
          <w:szCs w:val="32"/>
          <w:highlight w:val="none"/>
        </w:rPr>
      </w:pPr>
    </w:p>
    <w:p w14:paraId="70A11F05">
      <w:pPr>
        <w:spacing w:line="400" w:lineRule="exact"/>
        <w:jc w:val="center"/>
        <w:rPr>
          <w:rFonts w:hint="eastAsia" w:ascii="宋体" w:hAnsi="宋体"/>
          <w:b/>
          <w:color w:val="auto"/>
          <w:sz w:val="32"/>
          <w:szCs w:val="32"/>
          <w:highlight w:val="none"/>
        </w:rPr>
      </w:pPr>
    </w:p>
    <w:p w14:paraId="702FFEE5">
      <w:pPr>
        <w:spacing w:line="400" w:lineRule="exact"/>
        <w:jc w:val="center"/>
        <w:rPr>
          <w:rFonts w:hint="eastAsia" w:ascii="宋体" w:hAnsi="宋体"/>
          <w:b/>
          <w:color w:val="auto"/>
          <w:sz w:val="32"/>
          <w:szCs w:val="32"/>
          <w:highlight w:val="none"/>
        </w:rPr>
      </w:pPr>
    </w:p>
    <w:p w14:paraId="246FB68D">
      <w:pPr>
        <w:spacing w:line="400" w:lineRule="exact"/>
        <w:rPr>
          <w:rFonts w:hint="eastAsia" w:ascii="宋体" w:hAnsi="宋体"/>
          <w:b/>
          <w:color w:val="auto"/>
          <w:sz w:val="32"/>
          <w:szCs w:val="32"/>
          <w:highlight w:val="none"/>
        </w:rPr>
        <w:sectPr>
          <w:headerReference r:id="rId5" w:type="first"/>
          <w:footerReference r:id="rId7" w:type="first"/>
          <w:headerReference r:id="rId3" w:type="default"/>
          <w:footerReference r:id="rId6" w:type="default"/>
          <w:headerReference r:id="rId4" w:type="even"/>
          <w:pgSz w:w="11906" w:h="16838"/>
          <w:pgMar w:top="1440" w:right="1440" w:bottom="1440" w:left="1587" w:header="851" w:footer="992" w:gutter="0"/>
          <w:pgNumType w:start="0"/>
          <w:cols w:space="720" w:num="1"/>
          <w:titlePg/>
          <w:docGrid w:type="lines" w:linePitch="312" w:charSpace="0"/>
        </w:sectPr>
      </w:pPr>
    </w:p>
    <w:p w14:paraId="065BDCE4">
      <w:pPr>
        <w:pStyle w:val="2"/>
        <w:spacing w:after="340" w:line="360" w:lineRule="auto"/>
        <w:jc w:val="center"/>
        <w:rPr>
          <w:rFonts w:hint="default" w:eastAsia="宋体"/>
          <w:color w:val="auto"/>
          <w:highlight w:val="none"/>
          <w:lang w:val="en-US" w:eastAsia="zh-CN"/>
        </w:rPr>
      </w:pPr>
      <w:bookmarkStart w:id="3" w:name="_Toc74323456"/>
      <w:r>
        <w:rPr>
          <w:rFonts w:hint="eastAsia"/>
          <w:color w:val="auto"/>
          <w:highlight w:val="none"/>
        </w:rPr>
        <w:t>第一章 竞争性磋商公告</w:t>
      </w:r>
      <w:bookmarkEnd w:id="3"/>
    </w:p>
    <w:p w14:paraId="0D35D77F">
      <w:pPr>
        <w:spacing w:line="400" w:lineRule="exact"/>
        <w:jc w:val="center"/>
        <w:rPr>
          <w:rFonts w:hint="eastAsia" w:ascii="宋体" w:hAnsi="宋体"/>
          <w:b/>
          <w:bCs/>
          <w:color w:val="auto"/>
          <w:sz w:val="32"/>
          <w:szCs w:val="32"/>
          <w:highlight w:val="none"/>
        </w:rPr>
      </w:pPr>
      <w:r>
        <w:rPr>
          <w:rFonts w:hint="eastAsia" w:ascii="宋体" w:hAnsi="宋体"/>
          <w:b/>
          <w:bCs/>
          <w:color w:val="auto"/>
          <w:sz w:val="32"/>
          <w:szCs w:val="32"/>
          <w:highlight w:val="none"/>
        </w:rPr>
        <w:t>竞争性磋商公告</w:t>
      </w:r>
    </w:p>
    <w:p w14:paraId="6598CD3F">
      <w:pPr>
        <w:spacing w:line="360" w:lineRule="auto"/>
        <w:rPr>
          <w:rFonts w:hint="eastAsia" w:ascii="宋体" w:hAnsi="宋体"/>
          <w:color w:val="auto"/>
          <w:szCs w:val="21"/>
          <w:highlight w:val="none"/>
        </w:rPr>
      </w:pPr>
    </w:p>
    <w:p w14:paraId="3206C6E0">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color w:val="auto"/>
          <w:szCs w:val="21"/>
          <w:highlight w:val="none"/>
        </w:rPr>
      </w:pPr>
      <w:bookmarkStart w:id="4" w:name="_Hlk37430271"/>
      <w:r>
        <w:rPr>
          <w:rFonts w:hint="eastAsia" w:ascii="宋体" w:hAnsi="宋体"/>
          <w:color w:val="auto"/>
          <w:szCs w:val="21"/>
          <w:highlight w:val="none"/>
        </w:rPr>
        <w:t>项目概况</w:t>
      </w:r>
    </w:p>
    <w:p w14:paraId="490842CF">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u w:val="single"/>
        </w:rPr>
        <w:t>桂林航天工业学院多媒体教室安装空调供电改造工程</w:t>
      </w:r>
      <w:r>
        <w:rPr>
          <w:rFonts w:hint="eastAsia" w:ascii="宋体" w:hAnsi="宋体"/>
          <w:color w:val="auto"/>
          <w:szCs w:val="21"/>
          <w:highlight w:val="none"/>
        </w:rPr>
        <w:t>采购项目的潜在供应商应在广西政府采购云平台（</w:t>
      </w:r>
      <w:r>
        <w:rPr>
          <w:color w:val="auto"/>
          <w:highlight w:val="none"/>
        </w:rPr>
        <w:fldChar w:fldCharType="begin"/>
      </w:r>
      <w:r>
        <w:rPr>
          <w:color w:val="auto"/>
          <w:highlight w:val="none"/>
        </w:rPr>
        <w:instrText xml:space="preserve"> HYPERLINK "http://www.gcy.zfcg.gxzf.gov.cn）获取（下载）竞争性磋商文件，并于2024年" </w:instrText>
      </w:r>
      <w:r>
        <w:rPr>
          <w:color w:val="auto"/>
          <w:highlight w:val="none"/>
        </w:rPr>
        <w:fldChar w:fldCharType="separate"/>
      </w:r>
      <w:r>
        <w:rPr>
          <w:rFonts w:hint="eastAsia"/>
          <w:color w:val="auto"/>
          <w:highlight w:val="none"/>
        </w:rPr>
        <w:t>www.gcy.zfcg.gxzf.gov.cn）获取（下载）竞争性磋商文件，并于</w:t>
      </w:r>
      <w:r>
        <w:rPr>
          <w:rFonts w:hint="eastAsia"/>
          <w:color w:val="auto"/>
          <w:highlight w:val="none"/>
          <w:u w:val="single"/>
        </w:rPr>
        <w:t>202</w:t>
      </w:r>
      <w:r>
        <w:rPr>
          <w:rFonts w:hint="eastAsia"/>
          <w:color w:val="auto"/>
          <w:highlight w:val="none"/>
          <w:u w:val="single"/>
          <w:lang w:val="en-US" w:eastAsia="zh-CN"/>
        </w:rPr>
        <w:t>5</w:t>
      </w:r>
      <w:r>
        <w:rPr>
          <w:rFonts w:hint="eastAsia"/>
          <w:color w:val="auto"/>
          <w:highlight w:val="none"/>
        </w:rPr>
        <w:t>年</w:t>
      </w:r>
      <w:r>
        <w:rPr>
          <w:rFonts w:hint="eastAsia"/>
          <w:color w:val="auto"/>
          <w:highlight w:val="none"/>
        </w:rPr>
        <w:fldChar w:fldCharType="end"/>
      </w:r>
      <w:r>
        <w:rPr>
          <w:rFonts w:hint="eastAsia" w:ascii="宋体" w:hAnsi="宋体"/>
          <w:bCs/>
          <w:color w:val="auto"/>
          <w:szCs w:val="21"/>
          <w:highlight w:val="none"/>
          <w:u w:val="single"/>
          <w:lang w:val="en-US" w:eastAsia="zh-CN"/>
        </w:rPr>
        <w:t>10</w:t>
      </w:r>
      <w:r>
        <w:rPr>
          <w:rFonts w:hint="eastAsia" w:ascii="宋体" w:hAnsi="宋体"/>
          <w:bCs/>
          <w:color w:val="auto"/>
          <w:szCs w:val="21"/>
          <w:highlight w:val="none"/>
        </w:rPr>
        <w:t>月</w:t>
      </w:r>
      <w:r>
        <w:rPr>
          <w:rFonts w:hint="eastAsia" w:ascii="宋体" w:hAnsi="宋体"/>
          <w:bCs/>
          <w:color w:val="auto"/>
          <w:szCs w:val="21"/>
          <w:highlight w:val="none"/>
          <w:u w:val="single"/>
          <w:lang w:val="en-US" w:eastAsia="zh-CN"/>
        </w:rPr>
        <w:t>9</w:t>
      </w:r>
      <w:r>
        <w:rPr>
          <w:rFonts w:hint="eastAsia" w:ascii="宋体" w:hAnsi="宋体"/>
          <w:bCs/>
          <w:color w:val="auto"/>
          <w:szCs w:val="21"/>
          <w:highlight w:val="none"/>
        </w:rPr>
        <w:t>日</w:t>
      </w:r>
      <w:r>
        <w:rPr>
          <w:rFonts w:hint="eastAsia" w:ascii="宋体" w:hAnsi="宋体"/>
          <w:bCs/>
          <w:color w:val="auto"/>
          <w:szCs w:val="21"/>
          <w:highlight w:val="none"/>
          <w:u w:val="single"/>
        </w:rPr>
        <w:t>9</w:t>
      </w:r>
      <w:r>
        <w:rPr>
          <w:rFonts w:hint="eastAsia" w:ascii="宋体" w:hAnsi="宋体"/>
          <w:bCs/>
          <w:color w:val="auto"/>
          <w:szCs w:val="21"/>
          <w:highlight w:val="none"/>
        </w:rPr>
        <w:t>时</w:t>
      </w:r>
      <w:r>
        <w:rPr>
          <w:rFonts w:hint="eastAsia" w:ascii="宋体" w:hAnsi="宋体"/>
          <w:bCs/>
          <w:color w:val="auto"/>
          <w:szCs w:val="21"/>
          <w:highlight w:val="none"/>
          <w:u w:val="single"/>
        </w:rPr>
        <w:t>30</w:t>
      </w:r>
      <w:r>
        <w:rPr>
          <w:rFonts w:hint="eastAsia" w:ascii="宋体" w:hAnsi="宋体"/>
          <w:bCs/>
          <w:color w:val="auto"/>
          <w:szCs w:val="21"/>
          <w:highlight w:val="none"/>
        </w:rPr>
        <w:t>分（北京时间）前提交（上传）</w:t>
      </w:r>
      <w:r>
        <w:rPr>
          <w:rFonts w:hint="eastAsia" w:ascii="宋体" w:hAnsi="宋体"/>
          <w:color w:val="auto"/>
          <w:szCs w:val="21"/>
          <w:highlight w:val="none"/>
        </w:rPr>
        <w:t>响应</w:t>
      </w:r>
      <w:r>
        <w:rPr>
          <w:rFonts w:hint="eastAsia" w:ascii="宋体" w:hAnsi="宋体"/>
          <w:bCs/>
          <w:color w:val="auto"/>
          <w:szCs w:val="21"/>
          <w:highlight w:val="none"/>
        </w:rPr>
        <w:t>文件</w:t>
      </w:r>
      <w:r>
        <w:rPr>
          <w:rFonts w:hint="eastAsia" w:ascii="宋体" w:hAnsi="宋体"/>
          <w:color w:val="auto"/>
          <w:szCs w:val="21"/>
          <w:highlight w:val="none"/>
        </w:rPr>
        <w:t>。</w:t>
      </w:r>
    </w:p>
    <w:p w14:paraId="5CF7EB52">
      <w:pPr>
        <w:spacing w:line="380" w:lineRule="exact"/>
        <w:ind w:firstLine="354" w:firstLineChars="147"/>
        <w:rPr>
          <w:rFonts w:hint="eastAsia" w:ascii="黑体" w:hAnsi="黑体" w:eastAsia="黑体"/>
          <w:b/>
          <w:color w:val="auto"/>
          <w:sz w:val="24"/>
          <w:highlight w:val="none"/>
        </w:rPr>
      </w:pPr>
      <w:bookmarkStart w:id="5" w:name="_Toc44229878"/>
      <w:bookmarkStart w:id="6" w:name="_Toc28359012"/>
      <w:bookmarkStart w:id="7" w:name="_Toc35393798"/>
      <w:bookmarkStart w:id="8" w:name="_Toc35393629"/>
      <w:bookmarkStart w:id="9" w:name="_Toc28359089"/>
      <w:bookmarkStart w:id="10" w:name="_Toc71365905"/>
      <w:r>
        <w:rPr>
          <w:rFonts w:hint="eastAsia" w:ascii="黑体" w:hAnsi="黑体" w:eastAsia="黑体"/>
          <w:b/>
          <w:color w:val="auto"/>
          <w:sz w:val="24"/>
          <w:highlight w:val="none"/>
        </w:rPr>
        <w:t>一、项目基本情况</w:t>
      </w:r>
      <w:bookmarkEnd w:id="5"/>
      <w:bookmarkEnd w:id="6"/>
      <w:bookmarkEnd w:id="7"/>
      <w:bookmarkEnd w:id="8"/>
      <w:bookmarkEnd w:id="9"/>
      <w:bookmarkEnd w:id="10"/>
    </w:p>
    <w:p w14:paraId="2E0B86C0">
      <w:pPr>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项目编号：</w:t>
      </w:r>
      <w:r>
        <w:rPr>
          <w:rFonts w:hint="eastAsia" w:ascii="宋体" w:hAnsi="宋体"/>
          <w:color w:val="auto"/>
          <w:szCs w:val="21"/>
          <w:highlight w:val="none"/>
          <w:lang w:eastAsia="zh-CN"/>
        </w:rPr>
        <w:t>GXZC2025-C2-002693-YZLZ</w:t>
      </w:r>
      <w:r>
        <w:rPr>
          <w:rFonts w:hint="eastAsia" w:ascii="宋体" w:hAnsi="宋体"/>
          <w:color w:val="auto"/>
          <w:szCs w:val="21"/>
          <w:highlight w:val="none"/>
        </w:rPr>
        <w:t>（代理编号：YZLGL2025-C7-103-GXZC）</w:t>
      </w:r>
    </w:p>
    <w:p w14:paraId="0B3D450D">
      <w:pPr>
        <w:spacing w:line="380" w:lineRule="exact"/>
        <w:ind w:firstLine="420" w:firstLineChars="200"/>
        <w:rPr>
          <w:rFonts w:hint="eastAsia" w:ascii="宋体" w:hAnsi="宋体"/>
          <w:color w:val="auto"/>
          <w:szCs w:val="21"/>
          <w:highlight w:val="none"/>
          <w:u w:val="single"/>
        </w:rPr>
      </w:pPr>
      <w:r>
        <w:rPr>
          <w:rFonts w:hint="eastAsia" w:ascii="宋体" w:hAnsi="宋体"/>
          <w:color w:val="auto"/>
          <w:szCs w:val="21"/>
          <w:highlight w:val="none"/>
        </w:rPr>
        <w:t>项目名称：</w:t>
      </w:r>
      <w:bookmarkStart w:id="11" w:name="OLE_LINK2"/>
      <w:r>
        <w:rPr>
          <w:rFonts w:hint="eastAsia" w:ascii="宋体" w:hAnsi="宋体"/>
          <w:color w:val="auto"/>
          <w:szCs w:val="21"/>
          <w:highlight w:val="none"/>
        </w:rPr>
        <w:t>桂林航天工业学院多媒体教室安装空调供电改造工程</w:t>
      </w:r>
    </w:p>
    <w:bookmarkEnd w:id="11"/>
    <w:p w14:paraId="488EBA45">
      <w:pPr>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采购方式：竞争性磋商</w:t>
      </w:r>
    </w:p>
    <w:p w14:paraId="268CCBE6">
      <w:pPr>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预算金额：1893193.74元</w:t>
      </w:r>
    </w:p>
    <w:p w14:paraId="02770070">
      <w:pPr>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最高限价（如有）：无</w:t>
      </w:r>
    </w:p>
    <w:p w14:paraId="2A587FE9">
      <w:pPr>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采购需求：标的名称、数量：桂林航天工业学院多媒体教室安装空调供电改造工程1项；简要技术需求或者服务要求：（1）建设地点：广西桂林市七星区金鸡路2号；（2）工程内容</w:t>
      </w:r>
      <w:r>
        <w:rPr>
          <w:rFonts w:hint="eastAsia" w:ascii="宋体" w:hAnsi="宋体"/>
          <w:color w:val="auto"/>
          <w:szCs w:val="21"/>
          <w:highlight w:val="none"/>
          <w:lang w:eastAsia="zh-CN"/>
        </w:rPr>
        <w:t>及规模</w:t>
      </w:r>
      <w:r>
        <w:rPr>
          <w:rFonts w:hint="eastAsia" w:ascii="宋体" w:hAnsi="宋体"/>
          <w:color w:val="auto"/>
          <w:szCs w:val="21"/>
          <w:highlight w:val="none"/>
        </w:rPr>
        <w:t>：</w:t>
      </w:r>
      <w:r>
        <w:rPr>
          <w:rFonts w:hint="eastAsia" w:ascii="宋体" w:hAnsi="宋体" w:eastAsia="宋体" w:cs="Times New Roman"/>
          <w:color w:val="auto"/>
          <w:szCs w:val="21"/>
          <w:highlight w:val="none"/>
        </w:rPr>
        <w:t>电压等级</w:t>
      </w:r>
      <w:r>
        <w:rPr>
          <w:rFonts w:hint="eastAsia" w:ascii="宋体" w:hAnsi="宋体" w:eastAsia="宋体" w:cs="Times New Roman"/>
          <w:color w:val="auto"/>
          <w:szCs w:val="21"/>
          <w:highlight w:val="none"/>
          <w:lang w:eastAsia="zh-CN"/>
        </w:rPr>
        <w:t>：0.4Kv，</w:t>
      </w:r>
      <w:r>
        <w:rPr>
          <w:rFonts w:hint="eastAsia" w:ascii="宋体" w:hAnsi="宋体"/>
          <w:color w:val="auto"/>
          <w:szCs w:val="21"/>
          <w:highlight w:val="none"/>
        </w:rPr>
        <w:t>空调配电工程新建低压分接箱2个、低压配电箱7个、室内开关盒98个及相配套的低压电缆线路、低压导线线路，</w:t>
      </w:r>
      <w:r>
        <w:rPr>
          <w:rFonts w:hint="eastAsia" w:ascii="宋体" w:hAnsi="宋体"/>
          <w:color w:val="auto"/>
          <w:highlight w:val="none"/>
          <w:lang w:eastAsia="zh-CN"/>
        </w:rPr>
        <w:t>包括供电主电缆、支线路、开关插座等安装，并含相关配套土建及线路接驳、附属电气类设备施工，</w:t>
      </w:r>
      <w:r>
        <w:rPr>
          <w:rFonts w:hint="eastAsia" w:ascii="宋体" w:hAnsi="宋体"/>
          <w:color w:val="auto"/>
          <w:szCs w:val="21"/>
          <w:highlight w:val="none"/>
        </w:rPr>
        <w:t>具体详见图纸及工程量清单；（3）质量要求：</w:t>
      </w:r>
      <w:r>
        <w:rPr>
          <w:rFonts w:hint="eastAsia" w:ascii="宋体" w:hAnsi="宋体"/>
          <w:color w:val="auto"/>
          <w:highlight w:val="none"/>
        </w:rPr>
        <w:t>达到现行国家施工验收规范合格标准</w:t>
      </w:r>
      <w:r>
        <w:rPr>
          <w:rFonts w:hint="eastAsia" w:ascii="宋体" w:hAnsi="宋体"/>
          <w:color w:val="auto"/>
          <w:szCs w:val="21"/>
          <w:highlight w:val="none"/>
        </w:rPr>
        <w:t>。</w:t>
      </w:r>
    </w:p>
    <w:p w14:paraId="202FE278">
      <w:pPr>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合同履行期限：自接到采购人或采购人委托的监理单位发出开工令之日起</w:t>
      </w:r>
      <w:r>
        <w:rPr>
          <w:rFonts w:hint="eastAsia" w:ascii="宋体" w:hAnsi="宋体"/>
          <w:color w:val="auto"/>
          <w:szCs w:val="21"/>
          <w:highlight w:val="none"/>
          <w:lang w:val="en-US" w:eastAsia="zh-CN"/>
        </w:rPr>
        <w:t>30</w:t>
      </w:r>
      <w:r>
        <w:rPr>
          <w:rFonts w:hint="eastAsia" w:ascii="宋体" w:hAnsi="宋体"/>
          <w:color w:val="auto"/>
          <w:szCs w:val="21"/>
          <w:highlight w:val="none"/>
        </w:rPr>
        <w:t>天（日历天）内。</w:t>
      </w:r>
    </w:p>
    <w:p w14:paraId="680FD162">
      <w:pPr>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本项目不接受联合体参与磋商。</w:t>
      </w:r>
    </w:p>
    <w:p w14:paraId="41E09ADB">
      <w:pPr>
        <w:spacing w:line="380" w:lineRule="exact"/>
        <w:ind w:firstLine="354" w:firstLineChars="147"/>
        <w:rPr>
          <w:rFonts w:hint="eastAsia" w:ascii="黑体" w:hAnsi="黑体" w:eastAsia="黑体"/>
          <w:b/>
          <w:color w:val="auto"/>
          <w:sz w:val="24"/>
          <w:highlight w:val="none"/>
        </w:rPr>
      </w:pPr>
      <w:bookmarkStart w:id="12" w:name="_Toc71365906"/>
      <w:bookmarkStart w:id="13" w:name="_Toc28359090"/>
      <w:bookmarkStart w:id="14" w:name="_Toc44229879"/>
      <w:bookmarkStart w:id="15" w:name="_Toc28359013"/>
      <w:bookmarkStart w:id="16" w:name="_Toc35393630"/>
      <w:bookmarkStart w:id="17" w:name="_Toc35393799"/>
      <w:r>
        <w:rPr>
          <w:rFonts w:hint="eastAsia" w:ascii="黑体" w:hAnsi="黑体" w:eastAsia="黑体"/>
          <w:b/>
          <w:color w:val="auto"/>
          <w:sz w:val="24"/>
          <w:highlight w:val="none"/>
        </w:rPr>
        <w:t>二、申请人的资格条件：</w:t>
      </w:r>
      <w:bookmarkEnd w:id="12"/>
      <w:bookmarkEnd w:id="13"/>
      <w:bookmarkEnd w:id="14"/>
      <w:bookmarkEnd w:id="15"/>
      <w:bookmarkEnd w:id="16"/>
      <w:bookmarkEnd w:id="17"/>
    </w:p>
    <w:p w14:paraId="60A19FDE">
      <w:pPr>
        <w:spacing w:line="380" w:lineRule="exact"/>
        <w:ind w:firstLine="420" w:firstLineChars="200"/>
        <w:rPr>
          <w:rFonts w:hint="eastAsia" w:ascii="宋体" w:hAnsi="宋体"/>
          <w:color w:val="auto"/>
          <w:szCs w:val="21"/>
          <w:highlight w:val="none"/>
        </w:rPr>
      </w:pPr>
      <w:bookmarkStart w:id="18" w:name="_Toc28359091"/>
      <w:bookmarkStart w:id="19" w:name="_Toc35393800"/>
      <w:bookmarkStart w:id="20" w:name="_Toc44229880"/>
      <w:bookmarkStart w:id="21" w:name="_Toc28359014"/>
      <w:bookmarkStart w:id="22" w:name="_Toc35393631"/>
      <w:r>
        <w:rPr>
          <w:rFonts w:hint="eastAsia" w:ascii="宋体" w:hAnsi="宋体"/>
          <w:color w:val="auto"/>
          <w:szCs w:val="21"/>
          <w:highlight w:val="none"/>
        </w:rPr>
        <w:t>1.满足《中华人民共和国政府采购法》第二十二条规定；</w:t>
      </w:r>
    </w:p>
    <w:p w14:paraId="337EFF76">
      <w:pPr>
        <w:spacing w:line="380" w:lineRule="exact"/>
        <w:ind w:firstLine="420" w:firstLineChars="200"/>
        <w:rPr>
          <w:rFonts w:hint="eastAsia"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.落实政府采购政策需满足的资格要求：</w:t>
      </w:r>
      <w:r>
        <w:rPr>
          <w:rFonts w:hint="eastAsia" w:ascii="宋体" w:hAnsi="宋体" w:cs="宋体"/>
          <w:color w:val="auto"/>
          <w:szCs w:val="21"/>
          <w:highlight w:val="none"/>
        </w:rPr>
        <w:t>本项目专门面向中小企业采购【供应商须满足《政府采购促进中小企业发展管理办法》</w:t>
      </w:r>
      <w:r>
        <w:rPr>
          <w:rFonts w:hint="eastAsia" w:ascii="宋体" w:hAnsi="宋体" w:cs="宋体"/>
          <w:color w:val="auto"/>
          <w:szCs w:val="21"/>
          <w:highlight w:val="none"/>
          <w:lang w:eastAsia="zh-CN"/>
        </w:rPr>
        <w:t>（</w:t>
      </w:r>
      <w:r>
        <w:rPr>
          <w:rFonts w:hint="eastAsia" w:ascii="宋体" w:hAnsi="宋体" w:cs="宋体"/>
          <w:color w:val="auto"/>
          <w:szCs w:val="21"/>
          <w:highlight w:val="none"/>
        </w:rPr>
        <w:t>财库〔2020〕46号</w:t>
      </w:r>
      <w:r>
        <w:rPr>
          <w:rFonts w:hint="eastAsia" w:ascii="宋体" w:hAnsi="宋体" w:cs="宋体"/>
          <w:color w:val="auto"/>
          <w:szCs w:val="21"/>
          <w:highlight w:val="none"/>
          <w:lang w:eastAsia="zh-CN"/>
        </w:rPr>
        <w:t>）</w:t>
      </w:r>
      <w:r>
        <w:rPr>
          <w:rFonts w:hint="eastAsia" w:ascii="宋体" w:hAnsi="宋体" w:cs="宋体"/>
          <w:color w:val="auto"/>
          <w:szCs w:val="21"/>
          <w:highlight w:val="none"/>
        </w:rPr>
        <w:t>第二条规定；供应商如为监狱企业、残疾人福利单位的，视同小型、微型企业】</w:t>
      </w:r>
      <w:r>
        <w:rPr>
          <w:rFonts w:hint="eastAsia" w:ascii="宋体" w:hAnsi="宋体"/>
          <w:color w:val="auto"/>
          <w:szCs w:val="21"/>
          <w:highlight w:val="none"/>
        </w:rPr>
        <w:t>；</w:t>
      </w:r>
    </w:p>
    <w:p w14:paraId="2A1B165A">
      <w:pPr>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3.本项目的特定资格要求：供应商须具备</w:t>
      </w:r>
      <w:r>
        <w:rPr>
          <w:rFonts w:hint="eastAsia" w:asciiTheme="majorEastAsia" w:hAnsiTheme="majorEastAsia" w:eastAsiaTheme="majorEastAsia"/>
          <w:color w:val="auto"/>
          <w:szCs w:val="20"/>
          <w:highlight w:val="none"/>
        </w:rPr>
        <w:t>建筑工程施工总承包三级以上（含三级）资质</w:t>
      </w:r>
      <w:r>
        <w:rPr>
          <w:rFonts w:hint="eastAsia" w:ascii="宋体" w:hAnsi="宋体"/>
          <w:color w:val="auto"/>
          <w:szCs w:val="21"/>
          <w:highlight w:val="none"/>
        </w:rPr>
        <w:t>，同时具备有效的安全生产许可证，并在人员、设备、资金等方面具有相应的履约能力。</w:t>
      </w:r>
    </w:p>
    <w:p w14:paraId="6C355548">
      <w:pPr>
        <w:spacing w:line="380" w:lineRule="exact"/>
        <w:ind w:firstLine="354" w:firstLineChars="147"/>
        <w:rPr>
          <w:rFonts w:hint="eastAsia" w:ascii="黑体" w:hAnsi="黑体" w:eastAsia="黑体"/>
          <w:b/>
          <w:color w:val="auto"/>
          <w:sz w:val="24"/>
          <w:highlight w:val="none"/>
        </w:rPr>
      </w:pPr>
      <w:bookmarkStart w:id="23" w:name="_Toc71365907"/>
      <w:r>
        <w:rPr>
          <w:rFonts w:hint="eastAsia" w:ascii="黑体" w:hAnsi="黑体" w:eastAsia="黑体"/>
          <w:b/>
          <w:color w:val="auto"/>
          <w:sz w:val="24"/>
          <w:highlight w:val="none"/>
        </w:rPr>
        <w:t>三、获取竞争性磋商文件</w:t>
      </w:r>
      <w:bookmarkEnd w:id="18"/>
      <w:bookmarkEnd w:id="19"/>
      <w:bookmarkEnd w:id="20"/>
      <w:bookmarkEnd w:id="21"/>
      <w:bookmarkEnd w:id="22"/>
      <w:bookmarkEnd w:id="23"/>
    </w:p>
    <w:p w14:paraId="55159C26">
      <w:pPr>
        <w:spacing w:line="380" w:lineRule="exact"/>
        <w:ind w:firstLine="424" w:firstLineChars="202"/>
        <w:rPr>
          <w:rFonts w:hint="eastAsia" w:ascii="宋体" w:hAnsi="宋体" w:cs="宋体"/>
          <w:bCs/>
          <w:color w:val="auto"/>
          <w:kern w:val="0"/>
          <w:szCs w:val="21"/>
          <w:highlight w:val="none"/>
        </w:rPr>
      </w:pPr>
      <w:bookmarkStart w:id="24" w:name="_Toc35393632"/>
      <w:bookmarkStart w:id="25" w:name="_Toc28359015"/>
      <w:bookmarkStart w:id="26" w:name="_Toc35393801"/>
      <w:bookmarkStart w:id="27" w:name="_Toc44229881"/>
      <w:bookmarkStart w:id="28" w:name="_Toc28359092"/>
      <w:r>
        <w:rPr>
          <w:rFonts w:hint="eastAsia" w:ascii="宋体" w:hAnsi="宋体" w:cs="宋体"/>
          <w:bCs/>
          <w:color w:val="auto"/>
          <w:kern w:val="0"/>
          <w:szCs w:val="21"/>
          <w:highlight w:val="none"/>
        </w:rPr>
        <w:t>时间：2025年9月2</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日至</w:t>
      </w:r>
      <w:r>
        <w:rPr>
          <w:rFonts w:hint="eastAsia" w:ascii="宋体" w:hAnsi="宋体" w:cs="宋体"/>
          <w:bCs/>
          <w:color w:val="auto"/>
          <w:kern w:val="0"/>
          <w:szCs w:val="21"/>
          <w:highlight w:val="none"/>
          <w:lang w:eastAsia="zh-CN"/>
        </w:rPr>
        <w:t>2025年</w:t>
      </w:r>
      <w:r>
        <w:rPr>
          <w:rFonts w:hint="eastAsia" w:ascii="宋体" w:hAnsi="宋体" w:cs="宋体"/>
          <w:bCs/>
          <w:color w:val="auto"/>
          <w:kern w:val="0"/>
          <w:szCs w:val="21"/>
          <w:highlight w:val="none"/>
          <w:lang w:val="en-US" w:eastAsia="zh-CN"/>
        </w:rPr>
        <w:t>9</w:t>
      </w:r>
      <w:r>
        <w:rPr>
          <w:rFonts w:hint="eastAsia" w:ascii="宋体" w:hAnsi="宋体" w:cs="宋体"/>
          <w:bCs/>
          <w:color w:val="auto"/>
          <w:kern w:val="0"/>
          <w:szCs w:val="21"/>
          <w:highlight w:val="none"/>
          <w:lang w:eastAsia="zh-CN"/>
        </w:rPr>
        <w:t>月</w:t>
      </w:r>
      <w:r>
        <w:rPr>
          <w:rFonts w:hint="eastAsia" w:ascii="宋体" w:hAnsi="宋体" w:cs="宋体"/>
          <w:bCs/>
          <w:color w:val="auto"/>
          <w:kern w:val="0"/>
          <w:szCs w:val="21"/>
          <w:highlight w:val="none"/>
          <w:lang w:val="en-US" w:eastAsia="zh-CN"/>
        </w:rPr>
        <w:t>29</w:t>
      </w:r>
      <w:r>
        <w:rPr>
          <w:rFonts w:hint="eastAsia" w:ascii="宋体" w:hAnsi="宋体" w:cs="宋体"/>
          <w:bCs/>
          <w:color w:val="auto"/>
          <w:kern w:val="0"/>
          <w:szCs w:val="21"/>
          <w:highlight w:val="none"/>
          <w:lang w:eastAsia="zh-CN"/>
        </w:rPr>
        <w:t>日</w:t>
      </w:r>
      <w:r>
        <w:rPr>
          <w:rFonts w:hint="eastAsia" w:ascii="宋体" w:hAnsi="宋体" w:cs="宋体"/>
          <w:bCs/>
          <w:color w:val="auto"/>
          <w:kern w:val="0"/>
          <w:szCs w:val="21"/>
          <w:highlight w:val="none"/>
        </w:rPr>
        <w:t>，每天上午00：00至11</w:t>
      </w:r>
      <w:r>
        <w:rPr>
          <w:rFonts w:hint="eastAsia" w:ascii="宋体" w:hAnsi="宋体" w:cs="宋体"/>
          <w:bCs/>
          <w:color w:val="auto"/>
          <w:kern w:val="0"/>
          <w:szCs w:val="21"/>
          <w:highlight w:val="none"/>
          <w:lang w:eastAsia="zh-CN"/>
        </w:rPr>
        <w:t>:</w:t>
      </w:r>
      <w:r>
        <w:rPr>
          <w:rFonts w:hint="eastAsia" w:ascii="宋体" w:hAnsi="宋体" w:cs="宋体"/>
          <w:bCs/>
          <w:color w:val="auto"/>
          <w:kern w:val="0"/>
          <w:szCs w:val="21"/>
          <w:highlight w:val="none"/>
        </w:rPr>
        <w:t>59，下午12</w:t>
      </w:r>
      <w:r>
        <w:rPr>
          <w:rFonts w:hint="eastAsia" w:ascii="宋体" w:hAnsi="宋体" w:cs="宋体"/>
          <w:bCs/>
          <w:color w:val="auto"/>
          <w:kern w:val="0"/>
          <w:szCs w:val="21"/>
          <w:highlight w:val="none"/>
          <w:lang w:eastAsia="zh-CN"/>
        </w:rPr>
        <w:t>:</w:t>
      </w:r>
      <w:r>
        <w:rPr>
          <w:rFonts w:hint="eastAsia" w:ascii="宋体" w:hAnsi="宋体" w:cs="宋体"/>
          <w:bCs/>
          <w:color w:val="auto"/>
          <w:kern w:val="0"/>
          <w:szCs w:val="21"/>
          <w:highlight w:val="none"/>
        </w:rPr>
        <w:t>00至23</w:t>
      </w:r>
      <w:r>
        <w:rPr>
          <w:rFonts w:hint="eastAsia" w:ascii="宋体" w:hAnsi="宋体" w:cs="宋体"/>
          <w:bCs/>
          <w:color w:val="auto"/>
          <w:kern w:val="0"/>
          <w:szCs w:val="21"/>
          <w:highlight w:val="none"/>
          <w:lang w:eastAsia="zh-CN"/>
        </w:rPr>
        <w:t>:</w:t>
      </w:r>
      <w:r>
        <w:rPr>
          <w:rFonts w:hint="eastAsia" w:ascii="宋体" w:hAnsi="宋体" w:cs="宋体"/>
          <w:bCs/>
          <w:color w:val="auto"/>
          <w:kern w:val="0"/>
          <w:szCs w:val="21"/>
          <w:highlight w:val="none"/>
        </w:rPr>
        <w:t>59（北京时间，法定节假日除外）</w:t>
      </w:r>
    </w:p>
    <w:p w14:paraId="39143459">
      <w:pPr>
        <w:spacing w:line="380" w:lineRule="exact"/>
        <w:ind w:firstLine="424" w:firstLineChars="202"/>
        <w:rPr>
          <w:rFonts w:hint="eastAsia" w:ascii="宋体" w:hAnsi="宋体" w:cs="宋体"/>
          <w:bCs/>
          <w:color w:val="auto"/>
          <w:kern w:val="0"/>
          <w:szCs w:val="21"/>
          <w:highlight w:val="none"/>
        </w:rPr>
      </w:pPr>
      <w:r>
        <w:rPr>
          <w:rFonts w:hint="eastAsia" w:ascii="宋体" w:hAnsi="宋体" w:cs="宋体"/>
          <w:bCs/>
          <w:color w:val="auto"/>
          <w:kern w:val="0"/>
          <w:szCs w:val="21"/>
          <w:highlight w:val="none"/>
        </w:rPr>
        <w:t>地点：广西政府采购云平台（www.gcy.zfcg.gxzf.gov.cn）</w:t>
      </w:r>
    </w:p>
    <w:p w14:paraId="57290C4D">
      <w:pPr>
        <w:spacing w:line="380" w:lineRule="exact"/>
        <w:ind w:firstLine="424" w:firstLineChars="202"/>
        <w:rPr>
          <w:rFonts w:hint="eastAsia" w:ascii="宋体" w:hAnsi="宋体" w:cs="宋体"/>
          <w:bCs/>
          <w:color w:val="auto"/>
          <w:kern w:val="0"/>
          <w:szCs w:val="21"/>
          <w:highlight w:val="none"/>
        </w:rPr>
      </w:pPr>
      <w:r>
        <w:rPr>
          <w:rFonts w:hint="eastAsia" w:ascii="宋体" w:hAnsi="宋体" w:cs="宋体"/>
          <w:bCs/>
          <w:color w:val="auto"/>
          <w:kern w:val="0"/>
          <w:szCs w:val="21"/>
          <w:highlight w:val="none"/>
        </w:rPr>
        <w:t>方式：网上下载。本项目不提供纸质文件，潜在供应商需使用账号登录或者使用CA登录广西政府采购云平台（www.gcy.zfcg.gxzf.gov.cn）</w:t>
      </w:r>
      <w:r>
        <w:rPr>
          <w:rFonts w:hint="eastAsia" w:ascii="宋体" w:hAnsi="宋体" w:cs="宋体"/>
          <w:bCs/>
          <w:color w:val="auto"/>
          <w:kern w:val="0"/>
          <w:szCs w:val="21"/>
          <w:highlight w:val="none"/>
          <w:lang w:eastAsia="zh-CN"/>
        </w:rPr>
        <w:t>－</w:t>
      </w:r>
      <w:r>
        <w:rPr>
          <w:rFonts w:hint="eastAsia" w:ascii="宋体" w:hAnsi="宋体" w:cs="宋体"/>
          <w:bCs/>
          <w:color w:val="auto"/>
          <w:kern w:val="0"/>
          <w:szCs w:val="21"/>
          <w:highlight w:val="none"/>
        </w:rPr>
        <w:t>进入“项目采购”应用，在获取采购文件菜单中选择项目，获取竞争性磋商文件。</w:t>
      </w:r>
      <w:r>
        <w:rPr>
          <w:rFonts w:hint="eastAsia" w:ascii="宋体" w:hAnsi="宋体"/>
          <w:color w:val="auto"/>
          <w:szCs w:val="21"/>
          <w:highlight w:val="none"/>
        </w:rPr>
        <w:t>电子</w:t>
      </w:r>
      <w:r>
        <w:rPr>
          <w:rFonts w:hint="eastAsia"/>
          <w:color w:val="auto"/>
          <w:highlight w:val="none"/>
        </w:rPr>
        <w:t>响应文件</w:t>
      </w:r>
      <w:r>
        <w:rPr>
          <w:rFonts w:hint="eastAsia" w:ascii="宋体" w:hAnsi="宋体"/>
          <w:color w:val="auto"/>
          <w:szCs w:val="21"/>
          <w:highlight w:val="none"/>
        </w:rPr>
        <w:t>制作需要基于广西政府采购云平台获取的磋商文件编制，</w:t>
      </w:r>
      <w:r>
        <w:rPr>
          <w:rFonts w:hint="eastAsia" w:ascii="宋体" w:hAnsi="宋体" w:cs="宋体"/>
          <w:bCs/>
          <w:color w:val="auto"/>
          <w:kern w:val="0"/>
          <w:szCs w:val="21"/>
          <w:highlight w:val="none"/>
        </w:rPr>
        <w:t>通过其他方式获取磋商文件的，将有可能导致供应商无法在</w:t>
      </w:r>
      <w:r>
        <w:rPr>
          <w:rFonts w:hint="eastAsia" w:ascii="宋体" w:hAnsi="宋体"/>
          <w:color w:val="auto"/>
          <w:szCs w:val="21"/>
          <w:highlight w:val="none"/>
        </w:rPr>
        <w:t>广西政府采购云平台</w:t>
      </w:r>
      <w:r>
        <w:rPr>
          <w:rFonts w:hint="eastAsia" w:ascii="宋体" w:hAnsi="宋体" w:cs="宋体"/>
          <w:bCs/>
          <w:color w:val="auto"/>
          <w:kern w:val="0"/>
          <w:szCs w:val="21"/>
          <w:highlight w:val="none"/>
        </w:rPr>
        <w:t>编制及上传响应文件。</w:t>
      </w:r>
    </w:p>
    <w:p w14:paraId="5CC9DB3C">
      <w:pPr>
        <w:spacing w:line="380" w:lineRule="exact"/>
        <w:ind w:firstLine="424" w:firstLineChars="202"/>
        <w:rPr>
          <w:rFonts w:hint="eastAsia" w:ascii="宋体" w:hAnsi="宋体" w:cs="宋体"/>
          <w:bCs/>
          <w:color w:val="auto"/>
          <w:kern w:val="0"/>
          <w:szCs w:val="21"/>
          <w:highlight w:val="none"/>
        </w:rPr>
      </w:pPr>
      <w:r>
        <w:rPr>
          <w:rFonts w:hint="eastAsia" w:ascii="宋体" w:hAnsi="宋体" w:cs="宋体"/>
          <w:bCs/>
          <w:color w:val="auto"/>
          <w:kern w:val="0"/>
          <w:szCs w:val="21"/>
          <w:highlight w:val="none"/>
        </w:rPr>
        <w:t>售价：0元</w:t>
      </w:r>
    </w:p>
    <w:p w14:paraId="46EC70E7">
      <w:pPr>
        <w:spacing w:line="380" w:lineRule="exact"/>
        <w:ind w:firstLine="354" w:firstLineChars="147"/>
        <w:rPr>
          <w:rFonts w:hint="eastAsia" w:ascii="黑体" w:hAnsi="黑体" w:eastAsia="黑体"/>
          <w:b/>
          <w:color w:val="auto"/>
          <w:sz w:val="24"/>
          <w:highlight w:val="none"/>
        </w:rPr>
      </w:pPr>
      <w:bookmarkStart w:id="29" w:name="_Toc71365908"/>
      <w:r>
        <w:rPr>
          <w:rFonts w:hint="eastAsia" w:ascii="黑体" w:hAnsi="黑体" w:eastAsia="黑体"/>
          <w:b/>
          <w:color w:val="auto"/>
          <w:sz w:val="24"/>
          <w:highlight w:val="none"/>
        </w:rPr>
        <w:t>四、响应文件提交</w:t>
      </w:r>
      <w:bookmarkEnd w:id="24"/>
      <w:bookmarkEnd w:id="25"/>
      <w:bookmarkEnd w:id="26"/>
      <w:bookmarkEnd w:id="27"/>
      <w:bookmarkEnd w:id="28"/>
      <w:bookmarkEnd w:id="29"/>
    </w:p>
    <w:p w14:paraId="77B41B2A">
      <w:pPr>
        <w:spacing w:line="380" w:lineRule="exact"/>
        <w:ind w:firstLine="420" w:firstLineChars="200"/>
        <w:rPr>
          <w:rFonts w:hint="eastAsia" w:ascii="宋体" w:hAnsi="宋体"/>
          <w:color w:val="auto"/>
          <w:szCs w:val="21"/>
          <w:highlight w:val="none"/>
        </w:rPr>
      </w:pPr>
      <w:bookmarkStart w:id="30" w:name="_Toc28359016"/>
      <w:bookmarkStart w:id="31" w:name="_Toc35393802"/>
      <w:bookmarkStart w:id="32" w:name="_Toc44229882"/>
      <w:bookmarkStart w:id="33" w:name="_Toc35393633"/>
      <w:bookmarkStart w:id="34" w:name="_Toc28359093"/>
      <w:r>
        <w:rPr>
          <w:rFonts w:hint="eastAsia" w:ascii="宋体" w:hAnsi="宋体"/>
          <w:color w:val="auto"/>
          <w:szCs w:val="21"/>
          <w:highlight w:val="none"/>
        </w:rPr>
        <w:t>截止时间：</w:t>
      </w:r>
      <w:r>
        <w:rPr>
          <w:rFonts w:hint="eastAsia" w:ascii="宋体" w:hAnsi="宋体"/>
          <w:bCs/>
          <w:color w:val="auto"/>
          <w:szCs w:val="21"/>
          <w:highlight w:val="none"/>
          <w:lang w:eastAsia="zh-CN"/>
        </w:rPr>
        <w:t>2025年</w:t>
      </w:r>
      <w:r>
        <w:rPr>
          <w:rFonts w:hint="eastAsia" w:ascii="宋体" w:hAnsi="宋体"/>
          <w:bCs/>
          <w:color w:val="auto"/>
          <w:szCs w:val="21"/>
          <w:highlight w:val="none"/>
          <w:lang w:val="en-US" w:eastAsia="zh-CN"/>
        </w:rPr>
        <w:t>10</w:t>
      </w:r>
      <w:r>
        <w:rPr>
          <w:rFonts w:hint="eastAsia" w:ascii="宋体" w:hAnsi="宋体"/>
          <w:bCs/>
          <w:color w:val="auto"/>
          <w:szCs w:val="21"/>
          <w:highlight w:val="none"/>
          <w:lang w:eastAsia="zh-CN"/>
        </w:rPr>
        <w:t>月</w:t>
      </w:r>
      <w:r>
        <w:rPr>
          <w:rFonts w:hint="eastAsia" w:ascii="宋体" w:hAnsi="宋体"/>
          <w:bCs/>
          <w:color w:val="auto"/>
          <w:szCs w:val="21"/>
          <w:highlight w:val="none"/>
          <w:lang w:val="en-US" w:eastAsia="zh-CN"/>
        </w:rPr>
        <w:t>9</w:t>
      </w:r>
      <w:r>
        <w:rPr>
          <w:rFonts w:hint="eastAsia" w:ascii="宋体" w:hAnsi="宋体"/>
          <w:bCs/>
          <w:color w:val="auto"/>
          <w:szCs w:val="21"/>
          <w:highlight w:val="none"/>
          <w:lang w:eastAsia="zh-CN"/>
        </w:rPr>
        <w:t>日</w:t>
      </w:r>
      <w:r>
        <w:rPr>
          <w:rFonts w:hint="eastAsia" w:ascii="宋体" w:hAnsi="宋体"/>
          <w:bCs/>
          <w:color w:val="auto"/>
          <w:szCs w:val="21"/>
          <w:highlight w:val="none"/>
        </w:rPr>
        <w:t>上</w:t>
      </w:r>
      <w:r>
        <w:rPr>
          <w:rFonts w:hint="eastAsia" w:ascii="宋体" w:hAnsi="宋体"/>
          <w:color w:val="auto"/>
          <w:szCs w:val="21"/>
          <w:highlight w:val="none"/>
        </w:rPr>
        <w:t>午9点30分（北京时间）</w:t>
      </w:r>
    </w:p>
    <w:p w14:paraId="538324E0">
      <w:pPr>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地点：广西政府采购云平台（</w:t>
      </w:r>
      <w:r>
        <w:rPr>
          <w:rFonts w:hint="eastAsia" w:ascii="宋体" w:hAnsi="宋体"/>
          <w:bCs/>
          <w:color w:val="auto"/>
          <w:szCs w:val="21"/>
          <w:highlight w:val="none"/>
        </w:rPr>
        <w:t>www.gcy.zfcg.gxzf.gov.cn</w:t>
      </w:r>
      <w:r>
        <w:rPr>
          <w:rFonts w:hint="eastAsia" w:ascii="宋体" w:hAnsi="宋体"/>
          <w:color w:val="auto"/>
          <w:szCs w:val="21"/>
          <w:highlight w:val="none"/>
        </w:rPr>
        <w:t>）</w:t>
      </w:r>
    </w:p>
    <w:p w14:paraId="692A80B6">
      <w:pPr>
        <w:spacing w:line="380" w:lineRule="exact"/>
        <w:ind w:firstLine="354" w:firstLineChars="147"/>
        <w:rPr>
          <w:rFonts w:hint="eastAsia" w:ascii="黑体" w:hAnsi="黑体" w:eastAsia="黑体"/>
          <w:b/>
          <w:color w:val="auto"/>
          <w:sz w:val="24"/>
          <w:highlight w:val="none"/>
        </w:rPr>
      </w:pPr>
      <w:bookmarkStart w:id="35" w:name="_Toc71365909"/>
      <w:r>
        <w:rPr>
          <w:rFonts w:hint="eastAsia" w:ascii="黑体" w:hAnsi="黑体" w:eastAsia="黑体"/>
          <w:b/>
          <w:color w:val="auto"/>
          <w:sz w:val="24"/>
          <w:highlight w:val="none"/>
        </w:rPr>
        <w:t>五、开启</w:t>
      </w:r>
      <w:bookmarkEnd w:id="30"/>
      <w:bookmarkEnd w:id="31"/>
      <w:bookmarkEnd w:id="32"/>
      <w:bookmarkEnd w:id="33"/>
      <w:bookmarkEnd w:id="34"/>
      <w:bookmarkEnd w:id="35"/>
    </w:p>
    <w:p w14:paraId="1E98B011">
      <w:pPr>
        <w:spacing w:line="380" w:lineRule="exact"/>
        <w:ind w:firstLine="420" w:firstLineChars="200"/>
        <w:rPr>
          <w:rFonts w:hint="eastAsia" w:ascii="宋体" w:hAnsi="宋体"/>
          <w:bCs/>
          <w:color w:val="auto"/>
          <w:szCs w:val="21"/>
          <w:highlight w:val="none"/>
          <w:u w:val="single"/>
        </w:rPr>
      </w:pPr>
      <w:r>
        <w:rPr>
          <w:rFonts w:hint="eastAsia" w:ascii="宋体" w:hAnsi="宋体"/>
          <w:color w:val="auto"/>
          <w:szCs w:val="21"/>
          <w:highlight w:val="none"/>
        </w:rPr>
        <w:t>时间：</w:t>
      </w:r>
      <w:r>
        <w:rPr>
          <w:rFonts w:hint="eastAsia" w:ascii="宋体" w:hAnsi="宋体"/>
          <w:bCs/>
          <w:color w:val="auto"/>
          <w:szCs w:val="21"/>
          <w:highlight w:val="none"/>
          <w:lang w:eastAsia="zh-CN"/>
        </w:rPr>
        <w:t>2025年</w:t>
      </w:r>
      <w:r>
        <w:rPr>
          <w:rFonts w:hint="eastAsia" w:ascii="宋体" w:hAnsi="宋体"/>
          <w:bCs/>
          <w:color w:val="auto"/>
          <w:szCs w:val="21"/>
          <w:highlight w:val="none"/>
          <w:lang w:val="en-US" w:eastAsia="zh-CN"/>
        </w:rPr>
        <w:t>10</w:t>
      </w:r>
      <w:r>
        <w:rPr>
          <w:rFonts w:hint="eastAsia" w:ascii="宋体" w:hAnsi="宋体"/>
          <w:bCs/>
          <w:color w:val="auto"/>
          <w:szCs w:val="21"/>
          <w:highlight w:val="none"/>
          <w:lang w:eastAsia="zh-CN"/>
        </w:rPr>
        <w:t>月</w:t>
      </w:r>
      <w:r>
        <w:rPr>
          <w:rFonts w:hint="eastAsia" w:ascii="宋体" w:hAnsi="宋体"/>
          <w:bCs/>
          <w:color w:val="auto"/>
          <w:szCs w:val="21"/>
          <w:highlight w:val="none"/>
          <w:lang w:val="en-US" w:eastAsia="zh-CN"/>
        </w:rPr>
        <w:t>9</w:t>
      </w:r>
      <w:r>
        <w:rPr>
          <w:rFonts w:hint="eastAsia" w:ascii="宋体" w:hAnsi="宋体"/>
          <w:bCs/>
          <w:color w:val="auto"/>
          <w:szCs w:val="21"/>
          <w:highlight w:val="none"/>
          <w:lang w:eastAsia="zh-CN"/>
        </w:rPr>
        <w:t>日</w:t>
      </w:r>
      <w:r>
        <w:rPr>
          <w:rFonts w:hint="eastAsia" w:ascii="宋体" w:hAnsi="宋体"/>
          <w:bCs/>
          <w:color w:val="auto"/>
          <w:szCs w:val="21"/>
          <w:highlight w:val="none"/>
        </w:rPr>
        <w:t>上</w:t>
      </w:r>
      <w:r>
        <w:rPr>
          <w:rFonts w:hint="eastAsia" w:ascii="宋体" w:hAnsi="宋体"/>
          <w:color w:val="auto"/>
          <w:szCs w:val="21"/>
          <w:highlight w:val="none"/>
        </w:rPr>
        <w:t>午9点30分</w:t>
      </w:r>
      <w:r>
        <w:rPr>
          <w:rFonts w:hint="eastAsia" w:ascii="宋体" w:hAnsi="宋体"/>
          <w:bCs/>
          <w:color w:val="auto"/>
          <w:szCs w:val="21"/>
          <w:highlight w:val="none"/>
        </w:rPr>
        <w:t>（北京时间）</w:t>
      </w:r>
    </w:p>
    <w:p w14:paraId="62A74FDE">
      <w:pPr>
        <w:spacing w:line="380" w:lineRule="exact"/>
        <w:ind w:firstLine="420" w:firstLineChars="200"/>
        <w:rPr>
          <w:rFonts w:hint="eastAsia" w:ascii="宋体" w:hAnsi="宋体"/>
          <w:bCs/>
          <w:color w:val="auto"/>
          <w:szCs w:val="21"/>
          <w:highlight w:val="none"/>
          <w:u w:val="single"/>
        </w:rPr>
      </w:pPr>
      <w:r>
        <w:rPr>
          <w:rFonts w:hint="eastAsia" w:ascii="宋体" w:hAnsi="宋体"/>
          <w:color w:val="auto"/>
          <w:szCs w:val="21"/>
          <w:highlight w:val="none"/>
        </w:rPr>
        <w:t>地点：广西政府采购云平台（</w:t>
      </w:r>
      <w:r>
        <w:rPr>
          <w:rFonts w:hint="eastAsia" w:ascii="宋体" w:hAnsi="宋体"/>
          <w:bCs/>
          <w:color w:val="auto"/>
          <w:szCs w:val="21"/>
          <w:highlight w:val="none"/>
        </w:rPr>
        <w:t>www.gcy.zfcg.gxzf.gov.cn</w:t>
      </w:r>
      <w:r>
        <w:rPr>
          <w:rFonts w:hint="eastAsia" w:ascii="宋体" w:hAnsi="宋体"/>
          <w:color w:val="auto"/>
          <w:szCs w:val="21"/>
          <w:highlight w:val="none"/>
        </w:rPr>
        <w:t>）</w:t>
      </w:r>
    </w:p>
    <w:p w14:paraId="47AFF3BB">
      <w:pPr>
        <w:spacing w:line="380" w:lineRule="exact"/>
        <w:ind w:firstLine="354" w:firstLineChars="147"/>
        <w:rPr>
          <w:rFonts w:hint="eastAsia" w:ascii="黑体" w:hAnsi="黑体" w:eastAsia="黑体"/>
          <w:b/>
          <w:color w:val="auto"/>
          <w:sz w:val="24"/>
          <w:highlight w:val="none"/>
        </w:rPr>
      </w:pPr>
      <w:bookmarkStart w:id="36" w:name="_Toc28359094"/>
      <w:bookmarkStart w:id="37" w:name="_Toc35393634"/>
      <w:bookmarkStart w:id="38" w:name="_Toc44229883"/>
      <w:bookmarkStart w:id="39" w:name="_Toc28359017"/>
      <w:bookmarkStart w:id="40" w:name="_Toc71365910"/>
      <w:bookmarkStart w:id="41" w:name="_Toc35393803"/>
      <w:r>
        <w:rPr>
          <w:rFonts w:hint="eastAsia" w:ascii="黑体" w:hAnsi="黑体" w:eastAsia="黑体"/>
          <w:b/>
          <w:color w:val="auto"/>
          <w:sz w:val="24"/>
          <w:highlight w:val="none"/>
        </w:rPr>
        <w:t>六、公告期限</w:t>
      </w:r>
      <w:bookmarkEnd w:id="36"/>
      <w:bookmarkEnd w:id="37"/>
      <w:bookmarkEnd w:id="38"/>
      <w:bookmarkEnd w:id="39"/>
      <w:bookmarkEnd w:id="40"/>
      <w:bookmarkEnd w:id="41"/>
    </w:p>
    <w:p w14:paraId="44261EFB">
      <w:pPr>
        <w:spacing w:line="38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自本公告发布之日起3个工作日。</w:t>
      </w:r>
    </w:p>
    <w:p w14:paraId="057F590E">
      <w:pPr>
        <w:spacing w:line="380" w:lineRule="exact"/>
        <w:ind w:firstLine="354" w:firstLineChars="147"/>
        <w:rPr>
          <w:rFonts w:hint="eastAsia" w:ascii="黑体" w:hAnsi="黑体" w:eastAsia="黑体"/>
          <w:b/>
          <w:color w:val="auto"/>
          <w:sz w:val="24"/>
          <w:highlight w:val="none"/>
        </w:rPr>
      </w:pPr>
      <w:bookmarkStart w:id="42" w:name="_Toc35393635"/>
      <w:bookmarkStart w:id="43" w:name="_Toc44229884"/>
      <w:bookmarkStart w:id="44" w:name="_Toc35393804"/>
      <w:bookmarkStart w:id="45" w:name="_Toc71365911"/>
      <w:r>
        <w:rPr>
          <w:rFonts w:hint="eastAsia" w:ascii="黑体" w:hAnsi="黑体" w:eastAsia="黑体"/>
          <w:b/>
          <w:color w:val="auto"/>
          <w:sz w:val="24"/>
          <w:highlight w:val="none"/>
        </w:rPr>
        <w:t>七、其他补充事宜</w:t>
      </w:r>
      <w:bookmarkEnd w:id="42"/>
      <w:bookmarkEnd w:id="43"/>
      <w:bookmarkEnd w:id="44"/>
      <w:bookmarkEnd w:id="45"/>
    </w:p>
    <w:p w14:paraId="018827B6">
      <w:pPr>
        <w:spacing w:line="38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w:t>
      </w:r>
      <w:r>
        <w:rPr>
          <w:rFonts w:ascii="宋体" w:hAnsi="宋体" w:cs="宋体"/>
          <w:color w:val="auto"/>
          <w:kern w:val="0"/>
          <w:szCs w:val="21"/>
          <w:highlight w:val="none"/>
        </w:rPr>
        <w:t>.</w:t>
      </w:r>
      <w:r>
        <w:rPr>
          <w:rFonts w:hint="eastAsia" w:ascii="宋体" w:hAnsi="宋体" w:cs="宋体"/>
          <w:color w:val="auto"/>
          <w:kern w:val="0"/>
          <w:szCs w:val="21"/>
          <w:highlight w:val="none"/>
        </w:rPr>
        <w:t>网上查询地址</w:t>
      </w:r>
    </w:p>
    <w:p w14:paraId="5F681861">
      <w:pPr>
        <w:spacing w:line="38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中国政府采购网（</w:t>
      </w:r>
      <w:r>
        <w:rPr>
          <w:rFonts w:ascii="宋体" w:hAnsi="宋体" w:cs="宋体"/>
          <w:color w:val="auto"/>
          <w:kern w:val="0"/>
          <w:szCs w:val="21"/>
          <w:highlight w:val="none"/>
        </w:rPr>
        <w:t>www.ccgp.gov.cn</w:t>
      </w:r>
      <w:r>
        <w:rPr>
          <w:rFonts w:hint="eastAsia" w:ascii="宋体" w:hAnsi="宋体" w:cs="宋体"/>
          <w:color w:val="auto"/>
          <w:kern w:val="0"/>
          <w:szCs w:val="21"/>
          <w:highlight w:val="none"/>
        </w:rPr>
        <w:t>）、广西壮族自治区政府采购网（</w:t>
      </w:r>
      <w:r>
        <w:rPr>
          <w:rFonts w:ascii="宋体" w:hAnsi="宋体" w:cs="宋体"/>
          <w:color w:val="auto"/>
          <w:kern w:val="0"/>
          <w:szCs w:val="21"/>
          <w:highlight w:val="none"/>
        </w:rPr>
        <w:t>zfcg.gxzf.gov.cn</w:t>
      </w:r>
      <w:r>
        <w:rPr>
          <w:rFonts w:hint="eastAsia" w:ascii="宋体" w:hAnsi="宋体" w:cs="宋体"/>
          <w:color w:val="auto"/>
          <w:kern w:val="0"/>
          <w:szCs w:val="21"/>
          <w:highlight w:val="none"/>
        </w:rPr>
        <w:t>）</w:t>
      </w:r>
      <w:r>
        <w:rPr>
          <w:rFonts w:hint="eastAsia" w:ascii="宋体" w:hAnsi="宋体" w:cs="宋体"/>
          <w:i/>
          <w:color w:val="auto"/>
          <w:kern w:val="0"/>
          <w:szCs w:val="21"/>
          <w:highlight w:val="none"/>
        </w:rPr>
        <w:t>。</w:t>
      </w:r>
    </w:p>
    <w:p w14:paraId="377C21F9">
      <w:pPr>
        <w:spacing w:line="380" w:lineRule="exact"/>
        <w:ind w:firstLine="420" w:firstLineChars="200"/>
        <w:rPr>
          <w:rFonts w:hint="eastAsia" w:ascii="宋体" w:hAnsi="宋体" w:cs="宋体"/>
          <w:color w:val="auto"/>
          <w:kern w:val="0"/>
          <w:szCs w:val="21"/>
          <w:highlight w:val="none"/>
        </w:rPr>
      </w:pPr>
      <w:bookmarkStart w:id="46" w:name="_Hlk37429674"/>
      <w:bookmarkStart w:id="47" w:name="_Toc35393636"/>
      <w:bookmarkStart w:id="48" w:name="_Toc35393805"/>
      <w:bookmarkStart w:id="49" w:name="_Toc28359095"/>
      <w:bookmarkStart w:id="50" w:name="_Toc44229885"/>
      <w:bookmarkStart w:id="51" w:name="_Toc28359018"/>
      <w:r>
        <w:rPr>
          <w:rFonts w:hint="eastAsia" w:ascii="宋体" w:hAnsi="宋体" w:cs="宋体"/>
          <w:color w:val="auto"/>
          <w:kern w:val="0"/>
          <w:szCs w:val="21"/>
          <w:highlight w:val="none"/>
        </w:rPr>
        <w:t>2</w:t>
      </w:r>
      <w:r>
        <w:rPr>
          <w:rFonts w:ascii="宋体" w:hAnsi="宋体" w:cs="宋体"/>
          <w:color w:val="auto"/>
          <w:kern w:val="0"/>
          <w:szCs w:val="21"/>
          <w:highlight w:val="none"/>
        </w:rPr>
        <w:t>.</w:t>
      </w:r>
      <w:r>
        <w:rPr>
          <w:rFonts w:hint="eastAsia" w:ascii="宋体" w:hAnsi="宋体" w:cs="宋体"/>
          <w:color w:val="auto"/>
          <w:kern w:val="0"/>
          <w:szCs w:val="21"/>
          <w:highlight w:val="none"/>
        </w:rPr>
        <w:t>本项目需要落实的政府采购政策</w:t>
      </w:r>
    </w:p>
    <w:p w14:paraId="30301F81">
      <w:pPr>
        <w:spacing w:line="38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（1）政府采购促进中小企业发展。</w:t>
      </w:r>
    </w:p>
    <w:p w14:paraId="41356DBB">
      <w:pPr>
        <w:spacing w:line="38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（2）政府采购支持采用本国产品的政策。</w:t>
      </w:r>
    </w:p>
    <w:p w14:paraId="39BF7EEB">
      <w:pPr>
        <w:spacing w:line="38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（3）强制采购节能产品；优先采购节能产品、环境标志产品。</w:t>
      </w:r>
    </w:p>
    <w:p w14:paraId="0274CB00">
      <w:pPr>
        <w:spacing w:line="38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（4）政府采购促进残疾人就业政策。</w:t>
      </w:r>
    </w:p>
    <w:p w14:paraId="559C795E">
      <w:pPr>
        <w:spacing w:line="38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（5）政府采购支持监狱企业发展。</w:t>
      </w:r>
    </w:p>
    <w:bookmarkEnd w:id="46"/>
    <w:p w14:paraId="6EE8F818">
      <w:pPr>
        <w:widowControl/>
        <w:spacing w:line="380" w:lineRule="exact"/>
        <w:ind w:firstLine="420" w:firstLineChars="200"/>
        <w:jc w:val="left"/>
        <w:rPr>
          <w:rFonts w:hint="eastAsia" w:ascii="宋体" w:hAnsi="宋体"/>
          <w:color w:val="auto"/>
          <w:szCs w:val="21"/>
          <w:highlight w:val="none"/>
        </w:rPr>
      </w:pPr>
      <w:r>
        <w:rPr>
          <w:rFonts w:hint="eastAsia" w:ascii="宋体" w:hAnsi="宋体" w:cs="宋体"/>
          <w:color w:val="auto"/>
          <w:kern w:val="0"/>
          <w:szCs w:val="21"/>
          <w:highlight w:val="none"/>
        </w:rPr>
        <w:t>3.供应商</w:t>
      </w:r>
      <w:r>
        <w:rPr>
          <w:rFonts w:hint="eastAsia" w:ascii="宋体" w:hAnsi="宋体"/>
          <w:color w:val="auto"/>
          <w:szCs w:val="21"/>
          <w:highlight w:val="none"/>
        </w:rPr>
        <w:t>竞标注意事项</w:t>
      </w:r>
    </w:p>
    <w:p w14:paraId="7A82A59B">
      <w:pPr>
        <w:spacing w:line="380" w:lineRule="exact"/>
        <w:ind w:firstLine="424" w:firstLineChars="202"/>
        <w:rPr>
          <w:rFonts w:hint="eastAsia" w:ascii="宋体" w:hAnsi="宋体"/>
          <w:color w:val="auto"/>
          <w:szCs w:val="21"/>
          <w:highlight w:val="none"/>
        </w:rPr>
      </w:pPr>
      <w:r>
        <w:rPr>
          <w:rFonts w:hint="eastAsia" w:ascii="宋体" w:hAnsi="宋体"/>
          <w:color w:val="auto"/>
          <w:szCs w:val="21"/>
          <w:highlight w:val="none"/>
        </w:rPr>
        <w:t>（1）本项目为全流程电子化采购项目，通过广西政府采购云平台（</w:t>
      </w:r>
      <w:r>
        <w:rPr>
          <w:rFonts w:hint="eastAsia" w:ascii="宋体" w:hAnsi="宋体"/>
          <w:bCs/>
          <w:color w:val="auto"/>
          <w:szCs w:val="21"/>
          <w:highlight w:val="none"/>
        </w:rPr>
        <w:t>www.gcy.zfcg.gxzf.gov.cn</w:t>
      </w:r>
      <w:r>
        <w:rPr>
          <w:rFonts w:hint="eastAsia" w:ascii="宋体" w:hAnsi="宋体"/>
          <w:color w:val="auto"/>
          <w:szCs w:val="21"/>
          <w:highlight w:val="none"/>
        </w:rPr>
        <w:t>）</w:t>
      </w:r>
      <w:r>
        <w:rPr>
          <w:rFonts w:hint="eastAsia" w:ascii="宋体" w:hAnsi="宋体"/>
          <w:bCs/>
          <w:color w:val="auto"/>
          <w:szCs w:val="21"/>
          <w:highlight w:val="none"/>
        </w:rPr>
        <w:t>实行在线电子竞标，供应商应按照本项目竞争性磋商文件和广西政府采购云平台的要求编制、加密</w:t>
      </w:r>
      <w:r>
        <w:rPr>
          <w:rFonts w:hint="eastAsia" w:ascii="宋体" w:hAnsi="宋体"/>
          <w:color w:val="auto"/>
          <w:szCs w:val="21"/>
          <w:highlight w:val="none"/>
        </w:rPr>
        <w:t>后在提交响应文件截止时间前通过网络上传至广西政府采购云平台（加密的电子响应文件是指后缀名为“jmbs”的文件），供应商在广西政府采购云平台提交电子响应文件时，请填写参加远程采购活动经办人联系方式。供应商登录广西政府采购云平台，依次进入“服务中心</w:t>
      </w:r>
      <w:r>
        <w:rPr>
          <w:rFonts w:hint="eastAsia" w:ascii="宋体" w:hAnsi="宋体"/>
          <w:color w:val="auto"/>
          <w:szCs w:val="21"/>
          <w:highlight w:val="none"/>
          <w:lang w:eastAsia="zh-CN"/>
        </w:rPr>
        <w:t>－</w:t>
      </w:r>
      <w:r>
        <w:rPr>
          <w:rFonts w:hint="eastAsia" w:ascii="宋体" w:hAnsi="宋体"/>
          <w:color w:val="auto"/>
          <w:szCs w:val="21"/>
          <w:highlight w:val="none"/>
        </w:rPr>
        <w:t>项目采购</w:t>
      </w:r>
      <w:r>
        <w:rPr>
          <w:rFonts w:hint="eastAsia" w:ascii="宋体" w:hAnsi="宋体"/>
          <w:color w:val="auto"/>
          <w:szCs w:val="21"/>
          <w:highlight w:val="none"/>
          <w:lang w:eastAsia="zh-CN"/>
        </w:rPr>
        <w:t>－</w:t>
      </w:r>
      <w:r>
        <w:rPr>
          <w:rFonts w:hint="eastAsia" w:ascii="宋体" w:hAnsi="宋体"/>
          <w:color w:val="auto"/>
          <w:szCs w:val="21"/>
          <w:highlight w:val="none"/>
        </w:rPr>
        <w:t>操作流程</w:t>
      </w:r>
      <w:r>
        <w:rPr>
          <w:rFonts w:hint="eastAsia" w:ascii="宋体" w:hAnsi="宋体"/>
          <w:color w:val="auto"/>
          <w:szCs w:val="21"/>
          <w:highlight w:val="none"/>
          <w:lang w:eastAsia="zh-CN"/>
        </w:rPr>
        <w:t>－</w:t>
      </w:r>
      <w:r>
        <w:rPr>
          <w:rFonts w:hint="eastAsia" w:ascii="宋体" w:hAnsi="宋体"/>
          <w:color w:val="auto"/>
          <w:szCs w:val="21"/>
          <w:highlight w:val="none"/>
        </w:rPr>
        <w:t>电子招投标</w:t>
      </w:r>
      <w:r>
        <w:rPr>
          <w:rFonts w:hint="eastAsia" w:ascii="宋体" w:hAnsi="宋体"/>
          <w:color w:val="auto"/>
          <w:szCs w:val="21"/>
          <w:highlight w:val="none"/>
          <w:lang w:eastAsia="zh-CN"/>
        </w:rPr>
        <w:t>－</w:t>
      </w:r>
      <w:r>
        <w:rPr>
          <w:rFonts w:hint="eastAsia" w:ascii="宋体" w:hAnsi="宋体"/>
          <w:color w:val="auto"/>
          <w:szCs w:val="21"/>
          <w:highlight w:val="none"/>
        </w:rPr>
        <w:t>政府采购项目电子交易管理操作指南</w:t>
      </w:r>
      <w:r>
        <w:rPr>
          <w:rFonts w:hint="eastAsia" w:ascii="宋体" w:hAnsi="宋体"/>
          <w:color w:val="auto"/>
          <w:szCs w:val="21"/>
          <w:highlight w:val="none"/>
          <w:lang w:eastAsia="zh-CN"/>
        </w:rPr>
        <w:t>－</w:t>
      </w:r>
      <w:r>
        <w:rPr>
          <w:rFonts w:hint="eastAsia" w:ascii="宋体" w:hAnsi="宋体"/>
          <w:color w:val="auto"/>
          <w:szCs w:val="21"/>
          <w:highlight w:val="none"/>
        </w:rPr>
        <w:t>供应商”查看电子竞标具体操作流程。</w:t>
      </w:r>
    </w:p>
    <w:p w14:paraId="011812F0">
      <w:pPr>
        <w:spacing w:line="380" w:lineRule="exact"/>
        <w:ind w:firstLine="424" w:firstLineChars="202"/>
        <w:rPr>
          <w:rFonts w:hint="eastAsia" w:ascii="宋体" w:hAnsi="宋体"/>
          <w:color w:val="auto"/>
          <w:szCs w:val="21"/>
          <w:highlight w:val="none"/>
        </w:rPr>
      </w:pPr>
      <w:r>
        <w:rPr>
          <w:rFonts w:hint="eastAsia" w:ascii="宋体" w:hAnsi="宋体"/>
          <w:color w:val="auto"/>
          <w:szCs w:val="21"/>
          <w:highlight w:val="none"/>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w:t>
      </w:r>
      <w:r>
        <w:rPr>
          <w:rFonts w:hint="eastAsia" w:ascii="宋体" w:hAnsi="宋体"/>
          <w:color w:val="auto"/>
          <w:szCs w:val="21"/>
          <w:highlight w:val="none"/>
          <w:lang w:eastAsia="zh-CN"/>
        </w:rPr>
        <w:t>－</w:t>
      </w:r>
      <w:r>
        <w:rPr>
          <w:rFonts w:hint="eastAsia" w:ascii="宋体" w:hAnsi="宋体"/>
          <w:color w:val="auto"/>
          <w:szCs w:val="21"/>
          <w:highlight w:val="none"/>
        </w:rPr>
        <w:t>下载专区”或者登录广西政府采购云平台，依次进入“服务中心</w:t>
      </w:r>
      <w:r>
        <w:rPr>
          <w:rFonts w:hint="eastAsia" w:ascii="宋体" w:hAnsi="宋体"/>
          <w:color w:val="auto"/>
          <w:szCs w:val="21"/>
          <w:highlight w:val="none"/>
          <w:lang w:eastAsia="zh-CN"/>
        </w:rPr>
        <w:t>－</w:t>
      </w:r>
      <w:r>
        <w:rPr>
          <w:rFonts w:hint="eastAsia" w:ascii="宋体" w:hAnsi="宋体"/>
          <w:color w:val="auto"/>
          <w:szCs w:val="21"/>
          <w:highlight w:val="none"/>
        </w:rPr>
        <w:t>入驻与配置”中查看CA数字证书办理操作流程。如在操作过程中遇到问题或者需要技术支持，请致电广西政府采购云平台客服热线：95763</w:t>
      </w:r>
      <w:r>
        <w:rPr>
          <w:rFonts w:hint="eastAsia" w:ascii="宋体" w:hAnsi="宋体"/>
          <w:color w:val="auto"/>
          <w:szCs w:val="21"/>
          <w:highlight w:val="none"/>
          <w:lang w:eastAsia="zh-CN"/>
        </w:rPr>
        <w:t>、</w:t>
      </w:r>
      <w:r>
        <w:rPr>
          <w:rFonts w:hint="eastAsia" w:ascii="宋体" w:hAnsi="宋体" w:cs="宋体"/>
          <w:bCs/>
          <w:color w:val="auto"/>
          <w:sz w:val="21"/>
          <w:szCs w:val="21"/>
          <w:highlight w:val="none"/>
        </w:rPr>
        <w:t>0771-3381253</w:t>
      </w:r>
      <w:r>
        <w:rPr>
          <w:rFonts w:hint="eastAsia" w:ascii="宋体" w:hAnsi="宋体"/>
          <w:color w:val="auto"/>
          <w:szCs w:val="21"/>
          <w:highlight w:val="none"/>
        </w:rPr>
        <w:t>）。</w:t>
      </w:r>
    </w:p>
    <w:p w14:paraId="139B3CC2">
      <w:pPr>
        <w:spacing w:line="380" w:lineRule="exact"/>
        <w:ind w:firstLine="424" w:firstLineChars="202"/>
        <w:rPr>
          <w:rFonts w:hint="eastAsia" w:ascii="宋体" w:hAnsi="宋体"/>
          <w:color w:val="auto"/>
          <w:szCs w:val="21"/>
          <w:highlight w:val="none"/>
        </w:rPr>
      </w:pPr>
      <w:r>
        <w:rPr>
          <w:rFonts w:hint="eastAsia" w:ascii="宋体" w:hAnsi="宋体"/>
          <w:color w:val="auto"/>
          <w:szCs w:val="21"/>
          <w:highlight w:val="none"/>
        </w:rPr>
        <w:t>（3）CA证书在线解密：首次响应文件开启时，需携带制作响应文件时用来加密的有效数字证书（CA认证）登录广西政府采购云平台电子开标大厅现场按规定时间对加密的响应文件进行解密，否则后果自负。</w:t>
      </w:r>
    </w:p>
    <w:p w14:paraId="4576A177">
      <w:pPr>
        <w:spacing w:line="380" w:lineRule="exact"/>
        <w:ind w:firstLine="424" w:firstLineChars="202"/>
        <w:rPr>
          <w:rFonts w:hint="eastAsia" w:ascii="宋体" w:hAnsi="宋体"/>
          <w:color w:val="auto"/>
          <w:szCs w:val="21"/>
          <w:highlight w:val="none"/>
        </w:rPr>
      </w:pPr>
      <w:r>
        <w:rPr>
          <w:rFonts w:hint="eastAsia" w:ascii="宋体" w:hAnsi="宋体"/>
          <w:color w:val="auto"/>
          <w:szCs w:val="21"/>
          <w:highlight w:val="none"/>
        </w:rPr>
        <w:t>注：1）为确保网上操作合法、有效和安全，请供应商确保在电子竞标过程中能够对相关数据电文进行加密和使用电子签章，妥善保管CA数字证书并使用有效的CA数字证书参与整个采购活动。2）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p>
    <w:p w14:paraId="731D200A">
      <w:pPr>
        <w:spacing w:line="380" w:lineRule="exact"/>
        <w:ind w:firstLine="424" w:firstLineChars="202"/>
        <w:rPr>
          <w:rFonts w:hint="eastAsia" w:ascii="宋体" w:hAnsi="宋体"/>
          <w:color w:val="auto"/>
          <w:szCs w:val="21"/>
          <w:highlight w:val="none"/>
        </w:rPr>
      </w:pPr>
      <w:r>
        <w:rPr>
          <w:rFonts w:hint="eastAsia" w:ascii="宋体" w:hAnsi="宋体"/>
          <w:color w:val="auto"/>
          <w:szCs w:val="21"/>
          <w:highlight w:val="none"/>
        </w:rPr>
        <w:t>（4）供应商需要在具备有摄像头及语音功能且互联网网络状况良好的电脑登录广西政府采购云平台远程开标大厅参与本次磋商，否则后果自负。</w:t>
      </w:r>
    </w:p>
    <w:p w14:paraId="598F7D7D">
      <w:pPr>
        <w:spacing w:line="380" w:lineRule="exact"/>
        <w:ind w:firstLine="354" w:firstLineChars="147"/>
        <w:rPr>
          <w:rFonts w:hint="eastAsia" w:ascii="黑体" w:hAnsi="黑体" w:eastAsia="黑体"/>
          <w:b/>
          <w:color w:val="auto"/>
          <w:sz w:val="24"/>
          <w:highlight w:val="none"/>
        </w:rPr>
      </w:pPr>
      <w:r>
        <w:rPr>
          <w:rFonts w:hint="eastAsia" w:ascii="黑体" w:hAnsi="黑体" w:eastAsia="黑体"/>
          <w:b/>
          <w:color w:val="auto"/>
          <w:sz w:val="24"/>
          <w:highlight w:val="none"/>
        </w:rPr>
        <w:t>八、凡对本次采购提出询问，请按</w:t>
      </w:r>
      <w:r>
        <w:rPr>
          <w:rFonts w:ascii="黑体" w:hAnsi="黑体" w:eastAsia="黑体"/>
          <w:b/>
          <w:color w:val="auto"/>
          <w:sz w:val="24"/>
          <w:highlight w:val="none"/>
        </w:rPr>
        <w:t>以下方式</w:t>
      </w:r>
      <w:r>
        <w:rPr>
          <w:rFonts w:hint="eastAsia" w:ascii="黑体" w:hAnsi="黑体" w:eastAsia="黑体"/>
          <w:b/>
          <w:color w:val="auto"/>
          <w:sz w:val="24"/>
          <w:highlight w:val="none"/>
        </w:rPr>
        <w:t>联系。</w:t>
      </w:r>
      <w:bookmarkEnd w:id="47"/>
      <w:bookmarkEnd w:id="48"/>
      <w:bookmarkEnd w:id="49"/>
      <w:bookmarkEnd w:id="50"/>
      <w:bookmarkEnd w:id="51"/>
    </w:p>
    <w:p w14:paraId="70CE145A">
      <w:pPr>
        <w:spacing w:line="380" w:lineRule="exact"/>
        <w:ind w:firstLine="424" w:firstLineChars="202"/>
        <w:rPr>
          <w:rFonts w:hint="eastAsia" w:ascii="宋体" w:hAnsi="宋体"/>
          <w:color w:val="auto"/>
          <w:szCs w:val="21"/>
          <w:highlight w:val="none"/>
        </w:rPr>
      </w:pPr>
      <w:r>
        <w:rPr>
          <w:rFonts w:hint="eastAsia" w:ascii="宋体" w:hAnsi="宋体"/>
          <w:color w:val="auto"/>
          <w:szCs w:val="21"/>
          <w:highlight w:val="none"/>
        </w:rPr>
        <w:t>1.采购人信息</w:t>
      </w:r>
    </w:p>
    <w:p w14:paraId="2CEFA8C6">
      <w:pPr>
        <w:spacing w:line="380" w:lineRule="exact"/>
        <w:ind w:firstLine="424" w:firstLineChars="202"/>
        <w:rPr>
          <w:rFonts w:hint="eastAsia" w:ascii="宋体" w:hAnsi="宋体"/>
          <w:color w:val="auto"/>
          <w:szCs w:val="21"/>
          <w:highlight w:val="none"/>
        </w:rPr>
      </w:pPr>
      <w:r>
        <w:rPr>
          <w:rFonts w:hint="eastAsia" w:ascii="宋体" w:hAnsi="宋体"/>
          <w:color w:val="auto"/>
          <w:szCs w:val="21"/>
          <w:highlight w:val="none"/>
        </w:rPr>
        <w:t>名称：桂林航天工业学院</w:t>
      </w:r>
    </w:p>
    <w:p w14:paraId="012A72F3">
      <w:pPr>
        <w:spacing w:line="380" w:lineRule="exact"/>
        <w:ind w:firstLine="424" w:firstLineChars="202"/>
        <w:rPr>
          <w:rFonts w:hint="eastAsia" w:ascii="宋体" w:hAnsi="宋体"/>
          <w:color w:val="auto"/>
          <w:szCs w:val="21"/>
          <w:highlight w:val="none"/>
        </w:rPr>
      </w:pPr>
      <w:r>
        <w:rPr>
          <w:rFonts w:hint="eastAsia" w:ascii="宋体" w:hAnsi="宋体"/>
          <w:color w:val="auto"/>
          <w:szCs w:val="21"/>
          <w:highlight w:val="none"/>
        </w:rPr>
        <w:t>地址：广西桂林市金鸡路2号</w:t>
      </w:r>
    </w:p>
    <w:p w14:paraId="54887E89">
      <w:pPr>
        <w:spacing w:line="380" w:lineRule="exact"/>
        <w:ind w:firstLine="424" w:firstLineChars="202"/>
        <w:rPr>
          <w:rFonts w:hint="eastAsia" w:ascii="宋体" w:hAnsi="宋体"/>
          <w:color w:val="auto"/>
          <w:szCs w:val="21"/>
          <w:highlight w:val="none"/>
        </w:rPr>
      </w:pPr>
      <w:r>
        <w:rPr>
          <w:rFonts w:hint="eastAsia" w:ascii="宋体" w:hAnsi="宋体"/>
          <w:color w:val="auto"/>
          <w:szCs w:val="21"/>
          <w:highlight w:val="none"/>
        </w:rPr>
        <w:t>联系方式：</w:t>
      </w:r>
      <w:bookmarkStart w:id="52" w:name="_Toc28359086"/>
      <w:bookmarkStart w:id="53" w:name="_Toc28359009"/>
      <w:r>
        <w:rPr>
          <w:rFonts w:hint="eastAsia" w:ascii="宋体" w:hAnsi="宋体"/>
          <w:color w:val="auto"/>
          <w:szCs w:val="21"/>
          <w:highlight w:val="none"/>
          <w:lang w:eastAsia="zh-CN"/>
        </w:rPr>
        <w:t>蓝永胜</w:t>
      </w:r>
      <w:r>
        <w:rPr>
          <w:rFonts w:hint="eastAsia" w:ascii="宋体" w:hAnsi="宋体"/>
          <w:color w:val="auto"/>
          <w:szCs w:val="21"/>
          <w:highlight w:val="none"/>
        </w:rPr>
        <w:t xml:space="preserve">  0773-6796677</w:t>
      </w:r>
    </w:p>
    <w:p w14:paraId="136B38B2">
      <w:pPr>
        <w:spacing w:line="380" w:lineRule="exact"/>
        <w:ind w:firstLine="424" w:firstLineChars="202"/>
        <w:rPr>
          <w:rFonts w:hint="eastAsia" w:ascii="宋体" w:hAnsi="宋体"/>
          <w:color w:val="auto"/>
          <w:szCs w:val="21"/>
          <w:highlight w:val="none"/>
        </w:rPr>
      </w:pPr>
      <w:r>
        <w:rPr>
          <w:rFonts w:hint="eastAsia" w:ascii="宋体" w:hAnsi="宋体"/>
          <w:color w:val="auto"/>
          <w:szCs w:val="21"/>
          <w:highlight w:val="none"/>
        </w:rPr>
        <w:t>2.采购代理机构信息</w:t>
      </w:r>
      <w:bookmarkEnd w:id="52"/>
      <w:bookmarkEnd w:id="53"/>
    </w:p>
    <w:p w14:paraId="136ACB53">
      <w:pPr>
        <w:spacing w:line="380" w:lineRule="exact"/>
        <w:ind w:firstLine="424" w:firstLineChars="202"/>
        <w:rPr>
          <w:rFonts w:hint="eastAsia" w:ascii="宋体" w:hAnsi="宋体"/>
          <w:color w:val="auto"/>
          <w:szCs w:val="21"/>
          <w:highlight w:val="none"/>
        </w:rPr>
      </w:pPr>
      <w:bookmarkStart w:id="54" w:name="_Toc28359087"/>
      <w:bookmarkStart w:id="55" w:name="_Toc28359010"/>
      <w:r>
        <w:rPr>
          <w:rFonts w:hint="eastAsia" w:ascii="宋体" w:hAnsi="宋体"/>
          <w:color w:val="auto"/>
          <w:szCs w:val="21"/>
          <w:highlight w:val="none"/>
        </w:rPr>
        <w:t>名称：云之龙咨询集团有限公司</w:t>
      </w:r>
    </w:p>
    <w:p w14:paraId="0306EDA6">
      <w:pPr>
        <w:spacing w:line="380" w:lineRule="exact"/>
        <w:ind w:firstLine="424" w:firstLineChars="202"/>
        <w:rPr>
          <w:rFonts w:hint="eastAsia" w:ascii="宋体" w:hAnsi="宋体"/>
          <w:color w:val="auto"/>
          <w:szCs w:val="21"/>
          <w:highlight w:val="none"/>
        </w:rPr>
      </w:pPr>
      <w:r>
        <w:rPr>
          <w:rFonts w:hint="eastAsia" w:ascii="宋体" w:hAnsi="宋体"/>
          <w:color w:val="auto"/>
          <w:szCs w:val="21"/>
          <w:highlight w:val="none"/>
        </w:rPr>
        <w:t>地址：广西桂林市临桂区西城北路2号耀辉•美好家园2幢12层1号房</w:t>
      </w:r>
    </w:p>
    <w:p w14:paraId="3BD79926">
      <w:pPr>
        <w:spacing w:line="380" w:lineRule="exact"/>
        <w:ind w:firstLine="424" w:firstLineChars="202"/>
        <w:rPr>
          <w:rFonts w:hint="eastAsia" w:ascii="宋体" w:hAnsi="宋体"/>
          <w:color w:val="auto"/>
          <w:szCs w:val="21"/>
          <w:highlight w:val="none"/>
        </w:rPr>
      </w:pPr>
      <w:r>
        <w:rPr>
          <w:rFonts w:hint="eastAsia" w:ascii="宋体" w:hAnsi="宋体"/>
          <w:color w:val="auto"/>
          <w:szCs w:val="21"/>
          <w:highlight w:val="none"/>
        </w:rPr>
        <w:t>联系方式：</w:t>
      </w:r>
      <w:r>
        <w:rPr>
          <w:rFonts w:ascii="宋体" w:hAnsi="宋体"/>
          <w:color w:val="auto"/>
          <w:szCs w:val="21"/>
          <w:highlight w:val="none"/>
        </w:rPr>
        <w:t>0773-2887388  2887399</w:t>
      </w:r>
      <w:r>
        <w:rPr>
          <w:rFonts w:hint="eastAsia" w:ascii="宋体" w:hAnsi="宋体"/>
          <w:color w:val="auto"/>
          <w:szCs w:val="21"/>
          <w:highlight w:val="none"/>
        </w:rPr>
        <w:t xml:space="preserve">  传真：</w:t>
      </w:r>
      <w:r>
        <w:rPr>
          <w:rFonts w:ascii="宋体" w:hAnsi="宋体"/>
          <w:color w:val="auto"/>
          <w:szCs w:val="21"/>
          <w:highlight w:val="none"/>
        </w:rPr>
        <w:t>0773-2889218</w:t>
      </w:r>
    </w:p>
    <w:p w14:paraId="591B2836">
      <w:pPr>
        <w:spacing w:line="380" w:lineRule="exact"/>
        <w:ind w:firstLine="424" w:firstLineChars="202"/>
        <w:rPr>
          <w:rFonts w:hint="eastAsia" w:ascii="宋体" w:hAnsi="宋体"/>
          <w:color w:val="auto"/>
          <w:szCs w:val="21"/>
          <w:highlight w:val="none"/>
        </w:rPr>
      </w:pPr>
      <w:r>
        <w:rPr>
          <w:rFonts w:hint="eastAsia" w:ascii="宋体" w:hAnsi="宋体"/>
          <w:color w:val="auto"/>
          <w:szCs w:val="21"/>
          <w:highlight w:val="none"/>
        </w:rPr>
        <w:t>3.项目联系方式</w:t>
      </w:r>
      <w:bookmarkEnd w:id="54"/>
      <w:bookmarkEnd w:id="55"/>
    </w:p>
    <w:p w14:paraId="01E2958F">
      <w:pPr>
        <w:spacing w:line="380" w:lineRule="exact"/>
        <w:ind w:firstLine="424" w:firstLineChars="202"/>
        <w:rPr>
          <w:rFonts w:hint="eastAsia" w:ascii="宋体" w:hAnsi="宋体"/>
          <w:color w:val="auto"/>
          <w:szCs w:val="21"/>
          <w:highlight w:val="none"/>
        </w:rPr>
      </w:pPr>
      <w:r>
        <w:rPr>
          <w:rFonts w:hint="eastAsia" w:ascii="宋体" w:hAnsi="宋体"/>
          <w:color w:val="auto"/>
          <w:szCs w:val="21"/>
          <w:highlight w:val="none"/>
        </w:rPr>
        <w:t>项目联系人：李贞</w:t>
      </w:r>
      <w:r>
        <w:rPr>
          <w:rFonts w:ascii="宋体" w:hAnsi="宋体"/>
          <w:color w:val="auto"/>
          <w:szCs w:val="21"/>
          <w:highlight w:val="none"/>
        </w:rPr>
        <w:tab/>
      </w:r>
    </w:p>
    <w:p w14:paraId="6C903EAD">
      <w:pPr>
        <w:spacing w:line="380" w:lineRule="exact"/>
        <w:ind w:firstLine="424" w:firstLineChars="202"/>
        <w:rPr>
          <w:rFonts w:hint="eastAsia" w:ascii="宋体" w:hAnsi="宋体"/>
          <w:color w:val="auto"/>
          <w:szCs w:val="21"/>
          <w:highlight w:val="none"/>
        </w:rPr>
      </w:pPr>
      <w:r>
        <w:rPr>
          <w:rFonts w:hint="eastAsia" w:ascii="宋体" w:hAnsi="宋体"/>
          <w:color w:val="auto"/>
          <w:szCs w:val="21"/>
          <w:highlight w:val="none"/>
        </w:rPr>
        <w:t>电话：</w:t>
      </w:r>
      <w:r>
        <w:rPr>
          <w:rFonts w:ascii="宋体" w:hAnsi="宋体"/>
          <w:color w:val="auto"/>
          <w:szCs w:val="21"/>
          <w:highlight w:val="none"/>
        </w:rPr>
        <w:t>0773-2887388  2887399</w:t>
      </w:r>
    </w:p>
    <w:bookmarkEnd w:id="4"/>
    <w:p w14:paraId="74C167BC">
      <w:pPr>
        <w:spacing w:line="400" w:lineRule="exact"/>
        <w:jc w:val="center"/>
        <w:rPr>
          <w:rFonts w:hint="eastAsia" w:ascii="宋体" w:hAnsi="宋体"/>
          <w:color w:val="auto"/>
          <w:sz w:val="32"/>
          <w:szCs w:val="32"/>
          <w:highlight w:val="none"/>
        </w:rPr>
      </w:pPr>
    </w:p>
    <w:p w14:paraId="3FBDDA8E">
      <w:pPr>
        <w:pStyle w:val="2"/>
        <w:keepNext w:val="0"/>
        <w:keepLines w:val="0"/>
        <w:pageBreakBefore w:val="0"/>
        <w:widowControl w:val="0"/>
        <w:kinsoku/>
        <w:wordWrap/>
        <w:overflowPunct/>
        <w:topLinePunct w:val="0"/>
        <w:autoSpaceDE/>
        <w:autoSpaceDN/>
        <w:bidi w:val="0"/>
        <w:adjustRightInd/>
        <w:snapToGrid/>
        <w:spacing w:before="300" w:after="300" w:line="360" w:lineRule="auto"/>
        <w:jc w:val="center"/>
        <w:textAlignment w:val="auto"/>
        <w:rPr>
          <w:rFonts w:hint="eastAsia"/>
          <w:color w:val="auto"/>
          <w:highlight w:val="none"/>
        </w:rPr>
      </w:pPr>
      <w:bookmarkStart w:id="56" w:name="_Toc74323457"/>
    </w:p>
    <w:p w14:paraId="507C9FC7">
      <w:pPr>
        <w:pStyle w:val="2"/>
        <w:keepNext w:val="0"/>
        <w:keepLines w:val="0"/>
        <w:pageBreakBefore w:val="0"/>
        <w:widowControl w:val="0"/>
        <w:kinsoku/>
        <w:wordWrap/>
        <w:overflowPunct/>
        <w:topLinePunct w:val="0"/>
        <w:autoSpaceDE/>
        <w:autoSpaceDN/>
        <w:bidi w:val="0"/>
        <w:adjustRightInd/>
        <w:snapToGrid/>
        <w:spacing w:before="300" w:after="300" w:line="360" w:lineRule="auto"/>
        <w:jc w:val="center"/>
        <w:textAlignment w:val="auto"/>
        <w:rPr>
          <w:rFonts w:hint="eastAsia"/>
          <w:color w:val="auto"/>
          <w:highlight w:val="none"/>
        </w:rPr>
      </w:pPr>
    </w:p>
    <w:p w14:paraId="7817FEAA">
      <w:pPr>
        <w:pStyle w:val="2"/>
        <w:keepNext w:val="0"/>
        <w:keepLines w:val="0"/>
        <w:pageBreakBefore w:val="0"/>
        <w:widowControl w:val="0"/>
        <w:kinsoku/>
        <w:wordWrap/>
        <w:overflowPunct/>
        <w:topLinePunct w:val="0"/>
        <w:autoSpaceDE/>
        <w:autoSpaceDN/>
        <w:bidi w:val="0"/>
        <w:adjustRightInd/>
        <w:snapToGrid/>
        <w:spacing w:before="300" w:after="300" w:line="360" w:lineRule="auto"/>
        <w:jc w:val="center"/>
        <w:textAlignment w:val="auto"/>
        <w:rPr>
          <w:rFonts w:hint="eastAsia"/>
          <w:color w:val="auto"/>
          <w:highlight w:val="none"/>
        </w:rPr>
      </w:pPr>
    </w:p>
    <w:p w14:paraId="7E8284CD">
      <w:pPr>
        <w:pStyle w:val="2"/>
        <w:keepNext w:val="0"/>
        <w:keepLines w:val="0"/>
        <w:pageBreakBefore w:val="0"/>
        <w:widowControl w:val="0"/>
        <w:kinsoku/>
        <w:wordWrap/>
        <w:overflowPunct/>
        <w:topLinePunct w:val="0"/>
        <w:autoSpaceDE/>
        <w:autoSpaceDN/>
        <w:bidi w:val="0"/>
        <w:adjustRightInd/>
        <w:snapToGrid/>
        <w:spacing w:before="300" w:after="300" w:line="360" w:lineRule="auto"/>
        <w:jc w:val="center"/>
        <w:textAlignment w:val="auto"/>
        <w:rPr>
          <w:rFonts w:hint="eastAsia"/>
          <w:color w:val="auto"/>
          <w:highlight w:val="none"/>
        </w:rPr>
      </w:pPr>
    </w:p>
    <w:p w14:paraId="4D44FB05">
      <w:pPr>
        <w:pStyle w:val="2"/>
        <w:keepNext w:val="0"/>
        <w:keepLines w:val="0"/>
        <w:pageBreakBefore w:val="0"/>
        <w:widowControl w:val="0"/>
        <w:kinsoku/>
        <w:wordWrap/>
        <w:overflowPunct/>
        <w:topLinePunct w:val="0"/>
        <w:autoSpaceDE/>
        <w:autoSpaceDN/>
        <w:bidi w:val="0"/>
        <w:adjustRightInd/>
        <w:snapToGrid/>
        <w:spacing w:before="300" w:after="300" w:line="360" w:lineRule="auto"/>
        <w:jc w:val="center"/>
        <w:textAlignment w:val="auto"/>
        <w:rPr>
          <w:color w:val="auto"/>
          <w:highlight w:val="none"/>
        </w:rPr>
      </w:pPr>
      <w:r>
        <w:rPr>
          <w:rFonts w:hint="eastAsia"/>
          <w:color w:val="auto"/>
          <w:highlight w:val="none"/>
        </w:rPr>
        <w:t>第二章 供应商须知</w:t>
      </w:r>
      <w:bookmarkEnd w:id="56"/>
    </w:p>
    <w:p w14:paraId="6A5ED3B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b/>
          <w:color w:val="auto"/>
          <w:sz w:val="32"/>
          <w:szCs w:val="32"/>
          <w:highlight w:val="none"/>
        </w:rPr>
      </w:pPr>
      <w:r>
        <w:rPr>
          <w:rFonts w:hint="eastAsia" w:ascii="宋体" w:hAnsi="宋体"/>
          <w:b/>
          <w:color w:val="auto"/>
          <w:sz w:val="32"/>
          <w:szCs w:val="32"/>
          <w:highlight w:val="none"/>
        </w:rPr>
        <w:t>供应商须知前附表</w:t>
      </w:r>
    </w:p>
    <w:p w14:paraId="52EE1390">
      <w:pPr>
        <w:spacing w:line="400" w:lineRule="exact"/>
        <w:jc w:val="center"/>
        <w:rPr>
          <w:rFonts w:hint="eastAsia" w:ascii="宋体" w:hAnsi="宋体"/>
          <w:b/>
          <w:color w:val="auto"/>
          <w:sz w:val="32"/>
          <w:szCs w:val="32"/>
          <w:highlight w:val="none"/>
        </w:rPr>
      </w:pPr>
    </w:p>
    <w:tbl>
      <w:tblPr>
        <w:tblStyle w:val="4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7912"/>
      </w:tblGrid>
      <w:tr w14:paraId="186E3A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Pr>
          <w:p w14:paraId="1271589A">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条款号</w:t>
            </w:r>
          </w:p>
        </w:tc>
        <w:tc>
          <w:tcPr>
            <w:tcW w:w="7912" w:type="dxa"/>
          </w:tcPr>
          <w:p w14:paraId="2160C4E5">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内    容</w:t>
            </w:r>
          </w:p>
        </w:tc>
      </w:tr>
      <w:tr w14:paraId="5B6D64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7C5C6B0">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7912" w:type="dxa"/>
            <w:vAlign w:val="center"/>
          </w:tcPr>
          <w:p w14:paraId="59643783">
            <w:pPr>
              <w:spacing w:line="360" w:lineRule="auto"/>
              <w:rPr>
                <w:rFonts w:hint="eastAsia" w:ascii="宋体" w:hAnsi="宋体"/>
                <w:color w:val="auto"/>
                <w:szCs w:val="21"/>
                <w:highlight w:val="none"/>
              </w:rPr>
            </w:pPr>
            <w:r>
              <w:rPr>
                <w:rFonts w:hint="eastAsia" w:ascii="宋体" w:hAnsi="宋体" w:cs="宋体"/>
                <w:bCs/>
                <w:color w:val="auto"/>
                <w:szCs w:val="21"/>
                <w:highlight w:val="none"/>
              </w:rPr>
              <w:t>1.供应商的资格条件</w:t>
            </w:r>
            <w:r>
              <w:rPr>
                <w:rFonts w:hint="eastAsia" w:ascii="宋体" w:hAnsi="宋体" w:cs="宋体"/>
                <w:color w:val="auto"/>
                <w:szCs w:val="21"/>
                <w:highlight w:val="none"/>
              </w:rPr>
              <w:t>：详见竞争性磋商公告</w:t>
            </w:r>
          </w:p>
          <w:p w14:paraId="74B273CE">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bCs/>
                <w:color w:val="auto"/>
                <w:szCs w:val="21"/>
                <w:highlight w:val="none"/>
              </w:rPr>
              <w:t>供应商</w:t>
            </w:r>
            <w:r>
              <w:rPr>
                <w:rFonts w:hint="eastAsia" w:ascii="宋体" w:hAnsi="宋体" w:cs="宋体"/>
                <w:color w:val="auto"/>
                <w:szCs w:val="21"/>
                <w:highlight w:val="none"/>
              </w:rPr>
              <w:t>出现下列情形之一的，不得参加政府采购活动：</w:t>
            </w:r>
          </w:p>
          <w:p w14:paraId="7D119028">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2.1单位负责人为同一人或者存在直接控股、管理关系的不同供应商，不得参加同一合同项下的政府采购活动。为本项目提供过整体设计、规范编制或者项目管理、监理、检测等服务的供应商，不得再参加该采购项目的其他采购活动。</w:t>
            </w:r>
          </w:p>
          <w:p w14:paraId="25D44525">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2.2对在“信用中国”网站（</w:t>
            </w:r>
            <w:r>
              <w:rPr>
                <w:rFonts w:ascii="宋体" w:hAnsi="宋体" w:cs="宋体"/>
                <w:color w:val="auto"/>
                <w:szCs w:val="21"/>
                <w:highlight w:val="none"/>
              </w:rPr>
              <w:t>www.creditchina.gov.cn</w:t>
            </w:r>
            <w:r>
              <w:rPr>
                <w:rFonts w:hint="eastAsia" w:ascii="宋体" w:hAnsi="宋体" w:cs="宋体"/>
                <w:color w:val="auto"/>
                <w:szCs w:val="21"/>
                <w:highlight w:val="none"/>
              </w:rPr>
              <w:t>） 、中国政府采购网（</w:t>
            </w:r>
            <w:r>
              <w:rPr>
                <w:rFonts w:ascii="宋体" w:hAnsi="宋体" w:cs="宋体"/>
                <w:color w:val="auto"/>
                <w:szCs w:val="21"/>
                <w:highlight w:val="none"/>
              </w:rPr>
              <w:t>www.ccgp.gov.cn</w:t>
            </w:r>
            <w:r>
              <w:rPr>
                <w:rFonts w:hint="eastAsia" w:ascii="宋体" w:hAnsi="宋体" w:cs="宋体"/>
                <w:color w:val="auto"/>
                <w:szCs w:val="21"/>
                <w:highlight w:val="none"/>
              </w:rPr>
              <w:t>）被列入失信被执行人、重大税收违法失信主体、政府采购严重违法失信行为记录名单及其他不符合《中华人民共和国政府采购法》第二十二条规定条件的供应商，不得参与政府采购活动。</w:t>
            </w:r>
          </w:p>
        </w:tc>
      </w:tr>
      <w:tr w14:paraId="76B6DB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EB9185A">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5.1</w:t>
            </w:r>
          </w:p>
        </w:tc>
        <w:tc>
          <w:tcPr>
            <w:tcW w:w="7912" w:type="dxa"/>
            <w:vAlign w:val="center"/>
          </w:tcPr>
          <w:p w14:paraId="6DE7F535">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是否接受联合体竞标： 详见竞争性磋商公告</w:t>
            </w:r>
          </w:p>
        </w:tc>
      </w:tr>
      <w:tr w14:paraId="65E7D0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0024C65">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.2</w:t>
            </w:r>
          </w:p>
        </w:tc>
        <w:tc>
          <w:tcPr>
            <w:tcW w:w="7912" w:type="dxa"/>
            <w:vAlign w:val="center"/>
          </w:tcPr>
          <w:p w14:paraId="5339A7D1">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本项目不接受联合体参与磋商</w:t>
            </w:r>
          </w:p>
        </w:tc>
      </w:tr>
      <w:tr w14:paraId="474590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93E195B">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6.2</w:t>
            </w:r>
          </w:p>
        </w:tc>
        <w:tc>
          <w:tcPr>
            <w:tcW w:w="7912" w:type="dxa"/>
            <w:vAlign w:val="center"/>
          </w:tcPr>
          <w:p w14:paraId="2E5F5F9F">
            <w:pPr>
              <w:pStyle w:val="16"/>
              <w:spacing w:line="360" w:lineRule="auto"/>
              <w:rPr>
                <w:rFonts w:hint="eastAsia" w:ascii="宋体" w:hAnsi="宋体"/>
                <w:color w:val="auto"/>
                <w:highlight w:val="none"/>
              </w:rPr>
            </w:pPr>
            <w:r>
              <w:rPr>
                <w:color w:val="auto"/>
                <w:highlight w:val="none"/>
              </w:rPr>
              <w:sym w:font="Wingdings" w:char="00FE"/>
            </w:r>
            <w:r>
              <w:rPr>
                <w:rFonts w:hint="eastAsia" w:ascii="宋体" w:hAnsi="宋体"/>
                <w:color w:val="auto"/>
                <w:highlight w:val="none"/>
              </w:rPr>
              <w:t>不允许分包</w:t>
            </w:r>
          </w:p>
          <w:p w14:paraId="1BE42D02">
            <w:pPr>
              <w:pStyle w:val="16"/>
              <w:spacing w:line="360" w:lineRule="auto"/>
              <w:rPr>
                <w:rFonts w:hint="eastAsia" w:ascii="宋体" w:hAnsi="宋体"/>
                <w:color w:val="auto"/>
                <w:highlight w:val="none"/>
              </w:rPr>
            </w:pPr>
            <w:r>
              <w:rPr>
                <w:rFonts w:hint="eastAsia" w:ascii="宋体" w:hAnsi="宋体"/>
                <w:color w:val="auto"/>
                <w:highlight w:val="none"/>
              </w:rPr>
              <w:t>□允许分包</w:t>
            </w:r>
          </w:p>
          <w:p w14:paraId="1B9F5BD4">
            <w:pPr>
              <w:pStyle w:val="16"/>
              <w:spacing w:line="360" w:lineRule="auto"/>
              <w:rPr>
                <w:rFonts w:hint="eastAsia" w:ascii="宋体" w:hAnsi="宋体"/>
                <w:color w:val="auto"/>
                <w:highlight w:val="none"/>
                <w:u w:val="single"/>
              </w:rPr>
            </w:pPr>
            <w:r>
              <w:rPr>
                <w:rFonts w:hint="eastAsia" w:ascii="宋体" w:hAnsi="宋体"/>
                <w:color w:val="auto"/>
                <w:highlight w:val="none"/>
              </w:rPr>
              <w:t>分包内容：</w:t>
            </w:r>
            <w:r>
              <w:rPr>
                <w:rFonts w:hint="eastAsia" w:ascii="宋体" w:hAnsi="宋体"/>
                <w:color w:val="auto"/>
                <w:highlight w:val="none"/>
                <w:u w:val="single"/>
              </w:rPr>
              <w:t xml:space="preserve">                                     </w:t>
            </w:r>
            <w:r>
              <w:rPr>
                <w:rFonts w:hint="eastAsia" w:ascii="宋体" w:hAnsi="宋体"/>
                <w:color w:val="auto"/>
                <w:highlight w:val="none"/>
              </w:rPr>
              <w:t>。</w:t>
            </w:r>
          </w:p>
          <w:p w14:paraId="4B928D09">
            <w:pPr>
              <w:pStyle w:val="16"/>
              <w:spacing w:line="360" w:lineRule="auto"/>
              <w:rPr>
                <w:rFonts w:hint="eastAsia" w:ascii="宋体" w:hAnsi="宋体"/>
                <w:color w:val="auto"/>
                <w:highlight w:val="none"/>
                <w:u w:val="single"/>
              </w:rPr>
            </w:pPr>
            <w:r>
              <w:rPr>
                <w:rFonts w:hint="eastAsia" w:ascii="宋体" w:hAnsi="宋体"/>
                <w:color w:val="auto"/>
                <w:highlight w:val="none"/>
              </w:rPr>
              <w:t>分包金额或者比例：</w:t>
            </w:r>
            <w:r>
              <w:rPr>
                <w:rFonts w:hint="eastAsia" w:ascii="宋体" w:hAnsi="宋体"/>
                <w:color w:val="auto"/>
                <w:highlight w:val="none"/>
                <w:u w:val="single"/>
              </w:rPr>
              <w:t xml:space="preserve">                                     </w:t>
            </w:r>
            <w:r>
              <w:rPr>
                <w:rFonts w:hint="eastAsia" w:ascii="宋体" w:hAnsi="宋体"/>
                <w:color w:val="auto"/>
                <w:highlight w:val="none"/>
              </w:rPr>
              <w:t>。</w:t>
            </w:r>
          </w:p>
          <w:p w14:paraId="503974E0">
            <w:pPr>
              <w:pStyle w:val="16"/>
              <w:spacing w:line="360" w:lineRule="auto"/>
              <w:rPr>
                <w:rFonts w:hint="eastAsia" w:ascii="宋体" w:hAnsi="宋体"/>
                <w:color w:val="auto"/>
                <w:highlight w:val="none"/>
              </w:rPr>
            </w:pPr>
            <w:r>
              <w:rPr>
                <w:rFonts w:hint="eastAsia" w:ascii="宋体" w:hAnsi="宋体"/>
                <w:color w:val="auto"/>
                <w:highlight w:val="none"/>
              </w:rPr>
              <w:t>分包供应商必须具备的资质：</w:t>
            </w:r>
            <w:r>
              <w:rPr>
                <w:rFonts w:hint="eastAsia" w:ascii="宋体" w:hAnsi="宋体"/>
                <w:color w:val="auto"/>
                <w:highlight w:val="none"/>
                <w:u w:val="single"/>
              </w:rPr>
              <w:t xml:space="preserve">                                </w:t>
            </w:r>
            <w:r>
              <w:rPr>
                <w:rFonts w:hint="eastAsia" w:ascii="宋体" w:hAnsi="宋体"/>
                <w:color w:val="auto"/>
                <w:highlight w:val="none"/>
              </w:rPr>
              <w:t>。</w:t>
            </w:r>
          </w:p>
        </w:tc>
      </w:tr>
      <w:tr w14:paraId="456E1E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2CD8011">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12.1.</w:t>
            </w:r>
            <w:r>
              <w:rPr>
                <w:rFonts w:ascii="宋体" w:hAnsi="宋体" w:cs="宋体"/>
                <w:color w:val="auto"/>
                <w:szCs w:val="21"/>
                <w:highlight w:val="none"/>
              </w:rPr>
              <w:t>1</w:t>
            </w:r>
          </w:p>
        </w:tc>
        <w:tc>
          <w:tcPr>
            <w:tcW w:w="7912" w:type="dxa"/>
            <w:vAlign w:val="center"/>
          </w:tcPr>
          <w:p w14:paraId="30B6DFDF">
            <w:pPr>
              <w:snapToGrid w:val="0"/>
              <w:spacing w:line="360" w:lineRule="auto"/>
              <w:jc w:val="left"/>
              <w:rPr>
                <w:rFonts w:hint="eastAsia" w:ascii="宋体" w:hAnsi="宋体" w:cs="宋体"/>
                <w:b/>
                <w:color w:val="auto"/>
                <w:szCs w:val="21"/>
                <w:highlight w:val="none"/>
              </w:rPr>
            </w:pPr>
            <w:r>
              <w:rPr>
                <w:rFonts w:hint="eastAsia" w:ascii="宋体" w:hAnsi="宋体" w:cs="宋体"/>
                <w:b/>
                <w:color w:val="auto"/>
                <w:szCs w:val="21"/>
                <w:highlight w:val="none"/>
              </w:rPr>
              <w:t>资格证明文件</w:t>
            </w:r>
          </w:p>
          <w:p w14:paraId="72B743BA">
            <w:pPr>
              <w:pStyle w:val="16"/>
              <w:spacing w:line="360" w:lineRule="auto"/>
              <w:rPr>
                <w:rFonts w:hint="eastAsia" w:ascii="宋体" w:hAnsi="宋体"/>
                <w:color w:val="auto"/>
                <w:highlight w:val="none"/>
              </w:rPr>
            </w:pPr>
            <w:r>
              <w:rPr>
                <w:rFonts w:hint="eastAsia" w:ascii="宋体" w:hAnsi="宋体"/>
                <w:color w:val="auto"/>
                <w:highlight w:val="none"/>
              </w:rPr>
              <w:t>1.供应商为法人或者其他组织的提供其营业执照等证明文件复印件（如营业执照或者事业单位法人证书或者执业许可证或者登记证书等）；（</w:t>
            </w:r>
            <w:r>
              <w:rPr>
                <w:rFonts w:hint="eastAsia" w:ascii="宋体" w:hAnsi="宋体"/>
                <w:b/>
                <w:color w:val="auto"/>
                <w:highlight w:val="none"/>
              </w:rPr>
              <w:t>必须提供，否则响应文件按无效处理</w:t>
            </w:r>
            <w:r>
              <w:rPr>
                <w:rFonts w:hint="eastAsia" w:ascii="宋体" w:hAnsi="宋体"/>
                <w:color w:val="auto"/>
                <w:highlight w:val="none"/>
              </w:rPr>
              <w:t>）</w:t>
            </w:r>
          </w:p>
          <w:p w14:paraId="7655BBEE">
            <w:pPr>
              <w:spacing w:line="360" w:lineRule="auto"/>
              <w:contextualSpacing/>
              <w:jc w:val="left"/>
              <w:rPr>
                <w:rFonts w:hint="eastAsia" w:ascii="宋体" w:hAnsi="宋体" w:cs="宋体"/>
                <w:color w:val="auto"/>
                <w:szCs w:val="21"/>
                <w:highlight w:val="none"/>
              </w:rPr>
            </w:pPr>
            <w:r>
              <w:rPr>
                <w:rFonts w:hint="eastAsia" w:ascii="宋体" w:hAnsi="宋体" w:cs="宋体"/>
                <w:color w:val="auto"/>
                <w:szCs w:val="21"/>
                <w:highlight w:val="none"/>
              </w:rPr>
              <w:t>2.供应商依法缴纳税收的相关材料（</w:t>
            </w:r>
            <w:r>
              <w:rPr>
                <w:rFonts w:hint="eastAsia" w:ascii="宋体" w:hAnsi="宋体" w:cs="宋体"/>
                <w:color w:val="auto"/>
                <w:szCs w:val="21"/>
                <w:highlight w:val="none"/>
                <w:u w:val="single"/>
              </w:rPr>
              <w:t>2025</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rPr>
              <w:t>月以来任意1个月的依法缴纳税收的证明材料复印件；</w:t>
            </w:r>
            <w:r>
              <w:rPr>
                <w:rFonts w:hint="eastAsia"/>
                <w:color w:val="auto"/>
                <w:highlight w:val="none"/>
              </w:rPr>
              <w:t>依法免税的供应商，必须提供符合免税条件的证明材料。</w:t>
            </w:r>
            <w:r>
              <w:rPr>
                <w:rFonts w:hint="eastAsia" w:ascii="宋体" w:hAnsi="宋体" w:cs="宋体"/>
                <w:color w:val="auto"/>
                <w:szCs w:val="21"/>
                <w:highlight w:val="none"/>
              </w:rPr>
              <w:t>从</w:t>
            </w:r>
            <w:r>
              <w:rPr>
                <w:color w:val="auto"/>
                <w:szCs w:val="21"/>
                <w:highlight w:val="none"/>
              </w:rPr>
              <w:t>成立</w:t>
            </w:r>
            <w:r>
              <w:rPr>
                <w:rFonts w:hint="eastAsia"/>
                <w:color w:val="auto"/>
                <w:szCs w:val="21"/>
                <w:highlight w:val="none"/>
              </w:rPr>
              <w:t>之日起</w:t>
            </w:r>
            <w:r>
              <w:rPr>
                <w:rFonts w:hint="eastAsia" w:ascii="宋体" w:hAnsi="宋体" w:cs="宋体"/>
                <w:color w:val="auto"/>
                <w:szCs w:val="21"/>
                <w:highlight w:val="none"/>
              </w:rPr>
              <w:t>到响应文件提交截止时间止不足要求月数的，则无需提供）；（</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0F468407">
            <w:pPr>
              <w:spacing w:line="360" w:lineRule="auto"/>
              <w:contextualSpacing/>
              <w:jc w:val="left"/>
              <w:rPr>
                <w:rFonts w:hint="eastAsia" w:ascii="宋体" w:hAnsi="宋体" w:cs="宋体"/>
                <w:color w:val="auto"/>
                <w:szCs w:val="21"/>
                <w:highlight w:val="none"/>
              </w:rPr>
            </w:pPr>
            <w:r>
              <w:rPr>
                <w:rFonts w:hint="eastAsia" w:ascii="宋体" w:hAnsi="宋体" w:cs="宋体"/>
                <w:color w:val="auto"/>
                <w:szCs w:val="21"/>
                <w:highlight w:val="none"/>
              </w:rPr>
              <w:t>3.供应商依法缴纳社会保障资金的相关材料[</w:t>
            </w:r>
            <w:r>
              <w:rPr>
                <w:rFonts w:hint="eastAsia" w:ascii="宋体" w:hAnsi="宋体" w:cs="宋体"/>
                <w:color w:val="auto"/>
                <w:szCs w:val="21"/>
                <w:highlight w:val="none"/>
                <w:u w:val="single"/>
              </w:rPr>
              <w:t>2025</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rPr>
              <w:t>月以来任意1个月的依法缴纳社会保障资金的缴费证明材料（专用收据、社会保险缴纳清单或社保部门的证明）复印件；</w:t>
            </w:r>
            <w:r>
              <w:rPr>
                <w:rFonts w:hint="eastAsia"/>
                <w:color w:val="auto"/>
                <w:highlight w:val="none"/>
              </w:rPr>
              <w:t>依法不需要缴纳社会保障资金的供应商，必须提供相应文件证明不需要缴纳社会保障资金。</w:t>
            </w:r>
            <w:r>
              <w:rPr>
                <w:rFonts w:hint="eastAsia" w:ascii="宋体" w:hAnsi="宋体" w:cs="宋体"/>
                <w:color w:val="auto"/>
                <w:szCs w:val="21"/>
                <w:highlight w:val="none"/>
              </w:rPr>
              <w:t>从</w:t>
            </w:r>
            <w:r>
              <w:rPr>
                <w:color w:val="auto"/>
                <w:szCs w:val="21"/>
                <w:highlight w:val="none"/>
              </w:rPr>
              <w:t>成立</w:t>
            </w:r>
            <w:r>
              <w:rPr>
                <w:rFonts w:hint="eastAsia"/>
                <w:color w:val="auto"/>
                <w:szCs w:val="21"/>
                <w:highlight w:val="none"/>
              </w:rPr>
              <w:t>之日起</w:t>
            </w:r>
            <w:r>
              <w:rPr>
                <w:rFonts w:hint="eastAsia" w:ascii="宋体" w:hAnsi="宋体" w:cs="宋体"/>
                <w:color w:val="auto"/>
                <w:szCs w:val="21"/>
                <w:highlight w:val="none"/>
              </w:rPr>
              <w:t>到响应文件提交截止时间止不足要求月数的，则无需提供]；（</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6AF6A88A">
            <w:pPr>
              <w:spacing w:line="360" w:lineRule="auto"/>
              <w:contextualSpacing/>
              <w:jc w:val="left"/>
              <w:rPr>
                <w:rFonts w:hint="eastAsia" w:ascii="宋体" w:hAnsi="宋体" w:cs="宋体"/>
                <w:b/>
                <w:color w:val="auto"/>
                <w:szCs w:val="21"/>
                <w:highlight w:val="none"/>
              </w:rPr>
            </w:pPr>
            <w:r>
              <w:rPr>
                <w:rFonts w:hint="eastAsia" w:ascii="宋体" w:hAnsi="宋体" w:cs="宋体"/>
                <w:color w:val="auto"/>
                <w:szCs w:val="21"/>
                <w:highlight w:val="none"/>
              </w:rPr>
              <w:t>4.供应商</w:t>
            </w:r>
            <w:r>
              <w:rPr>
                <w:rFonts w:hint="eastAsia"/>
                <w:color w:val="auto"/>
                <w:szCs w:val="21"/>
                <w:highlight w:val="none"/>
              </w:rPr>
              <w:t>财务状况报告</w:t>
            </w:r>
            <w:r>
              <w:rPr>
                <w:rFonts w:hint="eastAsia" w:ascii="宋体" w:hAnsi="宋体" w:cs="宋体"/>
                <w:color w:val="auto"/>
                <w:szCs w:val="21"/>
                <w:highlight w:val="none"/>
              </w:rPr>
              <w:t>【2024年度经会计师事务所或审计机构审计的财务状况报告复印件（包括资产负债表、现金流量表、利润表），</w:t>
            </w:r>
            <w:r>
              <w:rPr>
                <w:rFonts w:hint="eastAsia" w:asciiTheme="minorEastAsia" w:hAnsiTheme="minorEastAsia" w:eastAsiaTheme="minorEastAsia"/>
                <w:color w:val="auto"/>
                <w:szCs w:val="21"/>
                <w:highlight w:val="none"/>
              </w:rPr>
              <w:t>或者20</w:t>
            </w:r>
            <w:r>
              <w:rPr>
                <w:rFonts w:asciiTheme="minorEastAsia" w:hAnsiTheme="minorEastAsia" w:eastAsiaTheme="minorEastAsia"/>
                <w:color w:val="auto"/>
                <w:szCs w:val="21"/>
                <w:highlight w:val="none"/>
              </w:rPr>
              <w:t>2</w:t>
            </w:r>
            <w:r>
              <w:rPr>
                <w:rFonts w:hint="eastAsia" w:asciiTheme="minorEastAsia" w:hAnsiTheme="minorEastAsia" w:eastAsiaTheme="minorEastAsia"/>
                <w:color w:val="auto"/>
                <w:szCs w:val="21"/>
                <w:highlight w:val="none"/>
              </w:rPr>
              <w:t>5年以来银行出具的资信证明，或者2</w:t>
            </w:r>
            <w:r>
              <w:rPr>
                <w:rFonts w:asciiTheme="minorEastAsia" w:hAnsiTheme="minorEastAsia" w:eastAsiaTheme="minorEastAsia"/>
                <w:color w:val="auto"/>
                <w:szCs w:val="21"/>
                <w:highlight w:val="none"/>
              </w:rPr>
              <w:t>02</w:t>
            </w:r>
            <w:r>
              <w:rPr>
                <w:rFonts w:hint="eastAsia" w:asciiTheme="minorEastAsia" w:hAnsiTheme="minorEastAsia" w:eastAsiaTheme="minorEastAsia"/>
                <w:color w:val="auto"/>
                <w:szCs w:val="21"/>
                <w:highlight w:val="none"/>
              </w:rPr>
              <w:t>5年</w:t>
            </w:r>
            <w:r>
              <w:rPr>
                <w:rFonts w:hint="eastAsia"/>
                <w:color w:val="auto"/>
                <w:szCs w:val="21"/>
                <w:highlight w:val="none"/>
              </w:rPr>
              <w:t>以来中国人民银行征信中心出具的信用报告；供应商属于</w:t>
            </w:r>
            <w:r>
              <w:rPr>
                <w:rFonts w:hint="eastAsia"/>
                <w:color w:val="auto"/>
                <w:highlight w:val="none"/>
              </w:rPr>
              <w:t>成立时间</w:t>
            </w:r>
            <w:r>
              <w:rPr>
                <w:rFonts w:hint="eastAsia"/>
                <w:color w:val="auto"/>
                <w:kern w:val="0"/>
                <w:highlight w:val="none"/>
              </w:rPr>
              <w:t>在规定年度之后</w:t>
            </w:r>
            <w:r>
              <w:rPr>
                <w:rFonts w:hint="eastAsia"/>
                <w:color w:val="auto"/>
                <w:highlight w:val="none"/>
              </w:rPr>
              <w:t>的</w:t>
            </w:r>
            <w:r>
              <w:rPr>
                <w:rFonts w:hint="eastAsia"/>
                <w:color w:val="auto"/>
                <w:szCs w:val="21"/>
                <w:highlight w:val="none"/>
              </w:rPr>
              <w:t>法人或其他组织</w:t>
            </w:r>
            <w:r>
              <w:rPr>
                <w:rFonts w:hint="eastAsia"/>
                <w:color w:val="auto"/>
                <w:highlight w:val="none"/>
              </w:rPr>
              <w:t>，需提供成立之日起至响应文件提交截止时间前的月报表</w:t>
            </w:r>
            <w:r>
              <w:rPr>
                <w:rFonts w:hint="eastAsia"/>
                <w:color w:val="auto"/>
                <w:szCs w:val="21"/>
                <w:highlight w:val="none"/>
              </w:rPr>
              <w:t>或银行出具的资信证明或者中国人民银行征信中心出具的企业信用报告】</w:t>
            </w:r>
            <w:r>
              <w:rPr>
                <w:rFonts w:hint="eastAsia" w:ascii="宋体" w:hAnsi="宋体" w:cs="宋体"/>
                <w:color w:val="auto"/>
                <w:szCs w:val="21"/>
                <w:highlight w:val="none"/>
              </w:rPr>
              <w:t>；</w:t>
            </w:r>
            <w:r>
              <w:rPr>
                <w:rFonts w:hint="eastAsia" w:ascii="宋体" w:hAnsi="宋体" w:cs="宋体"/>
                <w:bCs/>
                <w:color w:val="auto"/>
                <w:szCs w:val="21"/>
                <w:highlight w:val="none"/>
              </w:rPr>
              <w:t>（</w:t>
            </w:r>
            <w:r>
              <w:rPr>
                <w:rFonts w:hint="eastAsia" w:ascii="宋体" w:hAnsi="宋体"/>
                <w:b/>
                <w:color w:val="auto"/>
                <w:szCs w:val="21"/>
                <w:highlight w:val="none"/>
              </w:rPr>
              <w:t>必须提供</w:t>
            </w:r>
            <w:r>
              <w:rPr>
                <w:rFonts w:hint="eastAsia" w:ascii="宋体" w:hAnsi="宋体" w:cs="宋体"/>
                <w:b/>
                <w:color w:val="auto"/>
                <w:szCs w:val="21"/>
                <w:highlight w:val="none"/>
              </w:rPr>
              <w:t>，否则响应文件按无效处理</w:t>
            </w:r>
            <w:r>
              <w:rPr>
                <w:rFonts w:hint="eastAsia" w:ascii="宋体" w:hAnsi="宋体" w:cs="宋体"/>
                <w:bCs/>
                <w:color w:val="auto"/>
                <w:szCs w:val="21"/>
                <w:highlight w:val="none"/>
              </w:rPr>
              <w:t>）</w:t>
            </w:r>
          </w:p>
          <w:p w14:paraId="5FD9B224">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5.供应商直接控股、管理关系信息表（格式后附）；（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3D93EC37">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6.竞标声明（格式后附）；（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345B1F93">
            <w:pPr>
              <w:snapToGrid w:val="0"/>
              <w:spacing w:line="360" w:lineRule="auto"/>
              <w:jc w:val="left"/>
              <w:rPr>
                <w:rFonts w:hint="eastAsia" w:ascii="宋体" w:hAnsi="宋体" w:cs="宋体"/>
                <w:b/>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w:t>
            </w:r>
            <w:r>
              <w:rPr>
                <w:rFonts w:hint="eastAsia" w:ascii="宋体" w:hAnsi="宋体"/>
                <w:color w:val="auto"/>
                <w:szCs w:val="21"/>
                <w:highlight w:val="none"/>
              </w:rPr>
              <w:t>供应商具备</w:t>
            </w:r>
            <w:r>
              <w:rPr>
                <w:rFonts w:hint="eastAsia" w:asciiTheme="majorEastAsia" w:hAnsiTheme="majorEastAsia" w:eastAsiaTheme="majorEastAsia"/>
                <w:color w:val="auto"/>
                <w:szCs w:val="20"/>
                <w:highlight w:val="none"/>
              </w:rPr>
              <w:t>建筑工程施工总承包三级以上（含三级）资质</w:t>
            </w:r>
            <w:r>
              <w:rPr>
                <w:rFonts w:hint="eastAsia" w:asciiTheme="majorEastAsia" w:hAnsiTheme="majorEastAsia" w:eastAsiaTheme="majorEastAsia"/>
                <w:color w:val="auto"/>
                <w:szCs w:val="20"/>
                <w:highlight w:val="none"/>
                <w:lang w:val="en-US" w:eastAsia="zh-CN"/>
              </w:rPr>
              <w:t>证书复印件</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（必须提供，否则响应文件按无效处理）</w:t>
            </w:r>
          </w:p>
          <w:p w14:paraId="26D72930">
            <w:pPr>
              <w:snapToGrid w:val="0"/>
              <w:spacing w:line="360" w:lineRule="auto"/>
              <w:jc w:val="left"/>
              <w:rPr>
                <w:rFonts w:hint="eastAsia" w:ascii="宋体" w:hAnsi="宋体" w:cs="宋体"/>
                <w:b/>
                <w:color w:val="auto"/>
                <w:szCs w:val="21"/>
                <w:highlight w:val="none"/>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.供应商的有效的安全生产许可证复印件；</w:t>
            </w:r>
            <w:r>
              <w:rPr>
                <w:rFonts w:hint="eastAsia" w:ascii="宋体" w:hAnsi="宋体" w:cs="宋体"/>
                <w:b/>
                <w:color w:val="auto"/>
                <w:szCs w:val="21"/>
                <w:highlight w:val="none"/>
              </w:rPr>
              <w:t>（必须提供，否则响应文件按无效处理）</w:t>
            </w:r>
          </w:p>
          <w:p w14:paraId="2753E7A9">
            <w:pPr>
              <w:snapToGrid w:val="0"/>
              <w:spacing w:line="360" w:lineRule="auto"/>
              <w:jc w:val="left"/>
              <w:rPr>
                <w:rFonts w:hint="eastAsia" w:ascii="宋体" w:hAnsi="宋体" w:cs="宋体"/>
                <w:b/>
                <w:color w:val="auto"/>
                <w:szCs w:val="21"/>
                <w:highlight w:val="none"/>
              </w:rPr>
            </w:pP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.供应商在人员、设备、资金等方面具有相应履约能力的承诺函；（格式后附）</w:t>
            </w:r>
            <w:r>
              <w:rPr>
                <w:rFonts w:hint="eastAsia" w:ascii="宋体" w:hAnsi="宋体" w:cs="宋体"/>
                <w:b/>
                <w:color w:val="auto"/>
                <w:szCs w:val="21"/>
                <w:highlight w:val="none"/>
              </w:rPr>
              <w:t>（必须提供，否则响应文件按无效处理）</w:t>
            </w:r>
          </w:p>
          <w:p w14:paraId="58EB1456">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.本项目专门面向中小企业采购</w:t>
            </w:r>
            <w:r>
              <w:rPr>
                <w:rFonts w:hint="eastAsia" w:ascii="宋体" w:hAnsi="宋体" w:cs="宋体"/>
                <w:color w:val="auto"/>
                <w:szCs w:val="21"/>
                <w:highlight w:val="none"/>
                <w:lang w:eastAsia="zh-CN"/>
              </w:rPr>
              <w:t>，</w:t>
            </w:r>
            <w:r>
              <w:rPr>
                <w:rFonts w:hint="eastAsia" w:ascii="宋体" w:hAnsi="宋体" w:cs="宋体"/>
                <w:color w:val="auto"/>
                <w:szCs w:val="21"/>
                <w:highlight w:val="none"/>
              </w:rPr>
              <w:t xml:space="preserve"> 供应商须满足《政府采购促进中小企业发展管理办法》</w:t>
            </w:r>
            <w:r>
              <w:rPr>
                <w:rFonts w:hint="eastAsia" w:ascii="宋体" w:hAnsi="宋体" w:cs="宋体"/>
                <w:color w:val="auto"/>
                <w:szCs w:val="21"/>
                <w:highlight w:val="none"/>
                <w:lang w:eastAsia="zh-CN"/>
              </w:rPr>
              <w:t>（</w:t>
            </w:r>
            <w:r>
              <w:rPr>
                <w:rFonts w:hint="eastAsia" w:ascii="宋体" w:hAnsi="宋体" w:cs="宋体"/>
                <w:color w:val="auto"/>
                <w:szCs w:val="21"/>
                <w:highlight w:val="none"/>
              </w:rPr>
              <w:t>财库〔2020〕46号</w:t>
            </w:r>
            <w:r>
              <w:rPr>
                <w:rFonts w:hint="eastAsia" w:ascii="宋体" w:hAnsi="宋体" w:cs="宋体"/>
                <w:color w:val="auto"/>
                <w:szCs w:val="21"/>
                <w:highlight w:val="none"/>
                <w:lang w:eastAsia="zh-CN"/>
              </w:rPr>
              <w:t>）</w:t>
            </w:r>
            <w:r>
              <w:rPr>
                <w:rFonts w:hint="eastAsia" w:ascii="宋体" w:hAnsi="宋体" w:cs="宋体"/>
                <w:color w:val="auto"/>
                <w:szCs w:val="21"/>
                <w:highlight w:val="none"/>
              </w:rPr>
              <w:t>第二条规定。监狱企业、残疾人福利单位视同小型、微型企业。供应商根据自身情况，必须提供以下任一证明材料：</w:t>
            </w:r>
            <w:r>
              <w:rPr>
                <w:rFonts w:hint="eastAsia" w:ascii="宋体" w:hAnsi="宋体" w:cs="宋体"/>
                <w:b/>
                <w:bCs/>
                <w:color w:val="auto"/>
                <w:szCs w:val="21"/>
                <w:highlight w:val="none"/>
              </w:rPr>
              <w:t>（必须提供，否则响应文件按无效处理）</w:t>
            </w:r>
          </w:p>
          <w:p w14:paraId="4D780E31">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①供应商如为符合政策要求的中小企业且承接本项目工程的，提供《中小企业声明函》；</w:t>
            </w:r>
          </w:p>
          <w:p w14:paraId="11C55DAC">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②供应商如属于监狱企业且承接本项目工程的，提供由省级以上监狱管理局、戒毒管理局</w:t>
            </w:r>
            <w:r>
              <w:rPr>
                <w:rFonts w:hint="eastAsia" w:ascii="宋体" w:hAnsi="宋体" w:cs="宋体"/>
                <w:color w:val="auto"/>
                <w:szCs w:val="21"/>
                <w:highlight w:val="none"/>
                <w:lang w:eastAsia="zh-CN"/>
              </w:rPr>
              <w:t>（</w:t>
            </w:r>
            <w:r>
              <w:rPr>
                <w:rFonts w:hint="eastAsia" w:ascii="宋体" w:hAnsi="宋体" w:cs="宋体"/>
                <w:color w:val="auto"/>
                <w:szCs w:val="21"/>
                <w:highlight w:val="none"/>
              </w:rPr>
              <w:t>含新疆生产建设兵团</w:t>
            </w:r>
            <w:r>
              <w:rPr>
                <w:rFonts w:hint="eastAsia" w:ascii="宋体" w:hAnsi="宋体" w:cs="宋体"/>
                <w:color w:val="auto"/>
                <w:szCs w:val="21"/>
                <w:highlight w:val="none"/>
                <w:lang w:eastAsia="zh-CN"/>
              </w:rPr>
              <w:t>）</w:t>
            </w:r>
            <w:r>
              <w:rPr>
                <w:rFonts w:hint="eastAsia" w:ascii="宋体" w:hAnsi="宋体" w:cs="宋体"/>
                <w:color w:val="auto"/>
                <w:szCs w:val="21"/>
                <w:highlight w:val="none"/>
              </w:rPr>
              <w:t>出具的属于监狱企业的证明文件；</w:t>
            </w:r>
          </w:p>
          <w:p w14:paraId="5BA74A3A">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③供应商如属于符合条件的残疾人福利性单位且承接本项目工程的，提供《残疾人福利性单位声明函》（并对声明的真实性负责）。</w:t>
            </w:r>
          </w:p>
          <w:p w14:paraId="3BD77C7F">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.除磋商文件规定必须提供以外，供应商认为需要提供的其他证明材料；</w:t>
            </w:r>
          </w:p>
          <w:p w14:paraId="54CFDD6A">
            <w:pPr>
              <w:snapToGrid w:val="0"/>
              <w:spacing w:line="360" w:lineRule="auto"/>
              <w:jc w:val="left"/>
              <w:rPr>
                <w:rFonts w:hint="eastAsia" w:ascii="宋体" w:hAnsi="宋体"/>
                <w:b/>
                <w:color w:val="auto"/>
                <w:highlight w:val="none"/>
              </w:rPr>
            </w:pPr>
            <w:r>
              <w:rPr>
                <w:rFonts w:hint="eastAsia" w:ascii="宋体" w:hAnsi="宋体" w:cs="宋体"/>
                <w:b/>
                <w:color w:val="auto"/>
                <w:szCs w:val="21"/>
                <w:highlight w:val="none"/>
              </w:rPr>
              <w:t>注：以上标明“必须提供”的材料，必须加盖供应商</w:t>
            </w:r>
            <w:r>
              <w:rPr>
                <w:rFonts w:hint="eastAsia"/>
                <w:b/>
                <w:color w:val="auto"/>
                <w:highlight w:val="none"/>
              </w:rPr>
              <w:t>电子签章</w:t>
            </w:r>
            <w:r>
              <w:rPr>
                <w:rFonts w:hint="eastAsia" w:ascii="宋体" w:hAnsi="宋体" w:cs="宋体"/>
                <w:b/>
                <w:color w:val="auto"/>
                <w:szCs w:val="21"/>
                <w:highlight w:val="none"/>
              </w:rPr>
              <w:t>，</w:t>
            </w:r>
            <w:r>
              <w:rPr>
                <w:rFonts w:hint="eastAsia" w:ascii="宋体" w:hAnsi="宋体" w:cs="Courier New"/>
                <w:b/>
                <w:color w:val="auto"/>
                <w:szCs w:val="21"/>
                <w:highlight w:val="none"/>
              </w:rPr>
              <w:t>必须提供的材料在第六章“响应文件格式”中有要求法定代表人或委托代理人签字（或者电子签名）的，必须由法定代表人或委托代理人签字</w:t>
            </w:r>
            <w:r>
              <w:rPr>
                <w:rFonts w:hint="eastAsia" w:ascii="宋体" w:hAnsi="宋体"/>
                <w:b/>
                <w:bCs/>
                <w:color w:val="auto"/>
                <w:szCs w:val="21"/>
                <w:highlight w:val="none"/>
              </w:rPr>
              <w:t>（或者电子签名），</w:t>
            </w:r>
            <w:r>
              <w:rPr>
                <w:rFonts w:hint="eastAsia" w:ascii="宋体" w:hAnsi="宋体" w:cs="宋体"/>
                <w:b/>
                <w:color w:val="auto"/>
                <w:szCs w:val="21"/>
                <w:highlight w:val="none"/>
              </w:rPr>
              <w:t>否则响应文件按无效处理。其中，竞标声明必须由法定代表人在规定签章处签字（或</w:t>
            </w:r>
            <w:r>
              <w:rPr>
                <w:rFonts w:hint="eastAsia" w:ascii="宋体" w:hAnsi="宋体" w:cs="宋体"/>
                <w:b/>
                <w:color w:val="auto"/>
                <w:szCs w:val="21"/>
                <w:highlight w:val="none"/>
                <w:lang w:eastAsia="zh-CN"/>
              </w:rPr>
              <w:t>盖章或</w:t>
            </w:r>
            <w:r>
              <w:rPr>
                <w:rFonts w:hint="eastAsia" w:ascii="宋体" w:hAnsi="宋体" w:cs="宋体"/>
                <w:b/>
                <w:color w:val="auto"/>
                <w:szCs w:val="21"/>
                <w:highlight w:val="none"/>
              </w:rPr>
              <w:t>电子签名），并加盖供应商电子签章，否则响应文件按无效处理。</w:t>
            </w:r>
          </w:p>
        </w:tc>
      </w:tr>
      <w:tr w14:paraId="243107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C848E54">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12.1.2</w:t>
            </w:r>
          </w:p>
        </w:tc>
        <w:tc>
          <w:tcPr>
            <w:tcW w:w="7912" w:type="dxa"/>
            <w:vAlign w:val="center"/>
          </w:tcPr>
          <w:p w14:paraId="7454F4AB">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报价文件</w:t>
            </w:r>
          </w:p>
          <w:p w14:paraId="7A3B4140">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1.竞标函及竞标函附录（格式后附）；（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4E431B47">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2.已标价工程量清单；（</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7F7A4356">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3.供应商认为需要提供的其他有关资料。</w:t>
            </w:r>
          </w:p>
          <w:p w14:paraId="10764490">
            <w:pPr>
              <w:snapToGrid w:val="0"/>
              <w:spacing w:line="360" w:lineRule="auto"/>
              <w:ind w:firstLine="8" w:firstLineChars="4"/>
              <w:jc w:val="left"/>
              <w:rPr>
                <w:b/>
                <w:color w:val="auto"/>
                <w:highlight w:val="none"/>
              </w:rPr>
            </w:pPr>
            <w:r>
              <w:rPr>
                <w:rFonts w:hint="eastAsia" w:ascii="宋体" w:hAnsi="宋体" w:cs="宋体"/>
                <w:b/>
                <w:color w:val="auto"/>
                <w:szCs w:val="21"/>
                <w:highlight w:val="none"/>
              </w:rPr>
              <w:t>注：</w:t>
            </w:r>
            <w:r>
              <w:rPr>
                <w:rFonts w:hint="eastAsia" w:ascii="宋体" w:hAnsi="宋体" w:cs="Courier New"/>
                <w:b/>
                <w:color w:val="auto"/>
                <w:szCs w:val="21"/>
                <w:highlight w:val="none"/>
              </w:rPr>
              <w:t>以上标明“必须提供”的材料，必须加盖供应商电子签章，必须提供的材料在第六章“响应文件格式”中有要求法定代表人或委托代理人签字（或者电子签名）的，必须由法定代表人或委托代理人签字（或者电子签名），否则响应文件按无效处理。</w:t>
            </w:r>
          </w:p>
        </w:tc>
      </w:tr>
      <w:tr w14:paraId="086096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804315E">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12.</w:t>
            </w:r>
            <w:r>
              <w:rPr>
                <w:rFonts w:ascii="宋体" w:hAnsi="宋体" w:cs="宋体"/>
                <w:color w:val="auto"/>
                <w:szCs w:val="21"/>
                <w:highlight w:val="none"/>
              </w:rPr>
              <w:t>1</w:t>
            </w:r>
            <w:r>
              <w:rPr>
                <w:rFonts w:hint="eastAsia" w:ascii="宋体" w:hAnsi="宋体" w:cs="宋体"/>
                <w:color w:val="auto"/>
                <w:szCs w:val="21"/>
                <w:highlight w:val="none"/>
              </w:rPr>
              <w:t>.3</w:t>
            </w:r>
          </w:p>
        </w:tc>
        <w:tc>
          <w:tcPr>
            <w:tcW w:w="7912" w:type="dxa"/>
            <w:vAlign w:val="center"/>
          </w:tcPr>
          <w:p w14:paraId="23E68EFC">
            <w:pPr>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商务技术文件</w:t>
            </w:r>
          </w:p>
          <w:p w14:paraId="5F0816FD">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1.无串通竞标行为的承诺函（格式后附）；（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5466BFA6">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2.法定代表人身份证明书及法定代表人有效身份证正反面复印件（格式后附）；（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04D3380C">
            <w:pPr>
              <w:spacing w:line="360" w:lineRule="auto"/>
              <w:rPr>
                <w:rFonts w:hint="eastAsia" w:ascii="宋体" w:hAnsi="宋体" w:cs="宋体"/>
                <w:b/>
                <w:color w:val="auto"/>
                <w:szCs w:val="21"/>
                <w:highlight w:val="none"/>
              </w:rPr>
            </w:pPr>
            <w:r>
              <w:rPr>
                <w:rFonts w:hint="eastAsia" w:ascii="宋体" w:hAnsi="宋体" w:cs="宋体"/>
                <w:color w:val="auto"/>
                <w:szCs w:val="21"/>
                <w:highlight w:val="none"/>
              </w:rPr>
              <w:t>3.授权委托书及委托代理人有效身份证正反面复印件（格式后附）；（</w:t>
            </w:r>
            <w:r>
              <w:rPr>
                <w:rFonts w:hint="eastAsia" w:ascii="宋体" w:hAnsi="宋体" w:cs="宋体"/>
                <w:b/>
                <w:color w:val="auto"/>
                <w:szCs w:val="21"/>
                <w:highlight w:val="none"/>
              </w:rPr>
              <w:t>委托时必须提供，否则响应文件按无效处理</w:t>
            </w:r>
            <w:r>
              <w:rPr>
                <w:rFonts w:hint="eastAsia" w:ascii="宋体" w:hAnsi="宋体" w:cs="宋体"/>
                <w:color w:val="auto"/>
                <w:szCs w:val="21"/>
                <w:highlight w:val="none"/>
              </w:rPr>
              <w:t>）</w:t>
            </w:r>
          </w:p>
          <w:p w14:paraId="3619D7B0">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4.磋商保证金提交凭证；（</w:t>
            </w:r>
            <w:r>
              <w:rPr>
                <w:rFonts w:hint="eastAsia"/>
                <w:b/>
                <w:bCs/>
                <w:color w:val="auto"/>
                <w:highlight w:val="none"/>
              </w:rPr>
              <w:t>如要求提交磋商保证金的则必须提供</w:t>
            </w:r>
            <w:r>
              <w:rPr>
                <w:rFonts w:hint="eastAsia" w:ascii="宋体" w:hAnsi="宋体" w:cs="宋体"/>
                <w:b/>
                <w:color w:val="auto"/>
                <w:szCs w:val="21"/>
                <w:highlight w:val="none"/>
              </w:rPr>
              <w:t>，否则响应文件按无效处理</w:t>
            </w:r>
            <w:r>
              <w:rPr>
                <w:rFonts w:hint="eastAsia" w:ascii="宋体" w:hAnsi="宋体" w:cs="宋体"/>
                <w:color w:val="auto"/>
                <w:szCs w:val="21"/>
                <w:highlight w:val="none"/>
              </w:rPr>
              <w:t>）</w:t>
            </w:r>
          </w:p>
          <w:p w14:paraId="18743EAD">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5.技术及其他要求、商务要求响应承诺表（格式后附）；（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3E952E1E">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6.项目管理机构配备情况表</w:t>
            </w:r>
            <w:r>
              <w:rPr>
                <w:rFonts w:hint="eastAsia" w:ascii="宋体" w:hAnsi="宋体" w:cs="宋体"/>
                <w:color w:val="auto"/>
                <w:szCs w:val="21"/>
                <w:highlight w:val="none"/>
                <w:lang w:eastAsia="zh-CN"/>
              </w:rPr>
              <w:t>【</w:t>
            </w:r>
            <w:r>
              <w:rPr>
                <w:rFonts w:hint="eastAsia" w:ascii="宋体" w:hAnsi="宋体" w:cs="宋体"/>
                <w:color w:val="auto"/>
                <w:szCs w:val="21"/>
                <w:highlight w:val="none"/>
              </w:rPr>
              <w:t>含项目经理、技术负责人、专职安全生产管理人员、施工员、质量员、材料员的基本情况，并</w:t>
            </w:r>
            <w:r>
              <w:rPr>
                <w:rFonts w:hint="eastAsia" w:ascii="宋体" w:hAnsi="宋体" w:cs="宋体"/>
                <w:color w:val="auto"/>
                <w:szCs w:val="21"/>
                <w:highlight w:val="none"/>
                <w:lang w:eastAsia="zh-CN"/>
              </w:rPr>
              <w:t>提供</w:t>
            </w:r>
            <w:r>
              <w:rPr>
                <w:rFonts w:hint="eastAsia" w:ascii="宋体" w:hAnsi="宋体" w:cs="宋体"/>
                <w:color w:val="auto"/>
                <w:szCs w:val="21"/>
                <w:highlight w:val="none"/>
              </w:rPr>
              <w:t>以下证明材料：①</w:t>
            </w:r>
            <w:r>
              <w:rPr>
                <w:rFonts w:hint="eastAsia" w:ascii="宋体" w:hAnsi="宋体" w:cs="宋体"/>
                <w:color w:val="auto"/>
                <w:szCs w:val="21"/>
                <w:highlight w:val="none"/>
                <w:lang w:eastAsia="zh-CN"/>
              </w:rPr>
              <w:t>提供</w:t>
            </w:r>
            <w:r>
              <w:rPr>
                <w:rFonts w:hint="eastAsia" w:ascii="宋体" w:hAnsi="宋体" w:cs="宋体"/>
                <w:color w:val="auto"/>
                <w:szCs w:val="21"/>
                <w:highlight w:val="none"/>
              </w:rPr>
              <w:t>项目经理具有</w:t>
            </w:r>
            <w:r>
              <w:rPr>
                <w:rFonts w:hint="eastAsia" w:ascii="宋体" w:hAnsi="宋体" w:cs="宋体"/>
                <w:color w:val="auto"/>
                <w:szCs w:val="21"/>
                <w:highlight w:val="none"/>
                <w:lang w:val="en-US" w:eastAsia="zh-CN"/>
              </w:rPr>
              <w:t>建筑工程或</w:t>
            </w:r>
            <w:r>
              <w:rPr>
                <w:rFonts w:hint="eastAsia" w:ascii="宋体" w:hAnsi="宋体" w:cs="宋体"/>
                <w:color w:val="auto"/>
                <w:szCs w:val="21"/>
                <w:highlight w:val="none"/>
              </w:rPr>
              <w:t>机电工程专业二级以上（含二级）注册建造师执业资格证书复印件及有效的安全生产考核合格证书复印件（B类）；②</w:t>
            </w:r>
            <w:r>
              <w:rPr>
                <w:rFonts w:hint="eastAsia" w:ascii="宋体" w:hAnsi="宋体" w:cs="宋体"/>
                <w:color w:val="auto"/>
                <w:szCs w:val="21"/>
                <w:highlight w:val="none"/>
                <w:lang w:eastAsia="zh-CN"/>
              </w:rPr>
              <w:t>提供</w:t>
            </w:r>
            <w:r>
              <w:rPr>
                <w:rFonts w:hint="eastAsia" w:ascii="宋体" w:hAnsi="宋体" w:cs="宋体"/>
                <w:color w:val="auto"/>
                <w:szCs w:val="21"/>
                <w:highlight w:val="none"/>
              </w:rPr>
              <w:t>技术负责人的与本项目相关的</w:t>
            </w:r>
            <w:r>
              <w:rPr>
                <w:rFonts w:hint="eastAsia"/>
                <w:color w:val="auto"/>
                <w:highlight w:val="none"/>
              </w:rPr>
              <w:t>电气</w:t>
            </w:r>
            <w:r>
              <w:rPr>
                <w:rFonts w:hint="eastAsia"/>
                <w:color w:val="auto"/>
                <w:highlight w:val="none"/>
                <w:lang w:val="en-US" w:eastAsia="zh-CN"/>
              </w:rPr>
              <w:t>类或</w:t>
            </w:r>
            <w:r>
              <w:rPr>
                <w:rFonts w:hint="eastAsia" w:ascii="宋体" w:hAnsi="宋体" w:cs="宋体"/>
                <w:color w:val="auto"/>
                <w:szCs w:val="21"/>
                <w:highlight w:val="none"/>
              </w:rPr>
              <w:t>电力工程专业中级及以上职称证书复印件；③</w:t>
            </w:r>
            <w:r>
              <w:rPr>
                <w:rFonts w:hint="eastAsia" w:ascii="宋体" w:hAnsi="宋体" w:cs="宋体"/>
                <w:color w:val="auto"/>
                <w:szCs w:val="21"/>
                <w:highlight w:val="none"/>
                <w:lang w:eastAsia="zh-CN"/>
              </w:rPr>
              <w:t>提供</w:t>
            </w:r>
            <w:r>
              <w:rPr>
                <w:rFonts w:hint="eastAsia" w:ascii="宋体" w:hAnsi="宋体" w:cs="宋体"/>
                <w:color w:val="auto"/>
                <w:szCs w:val="21"/>
                <w:highlight w:val="none"/>
              </w:rPr>
              <w:t>专职安全生产管理人员须具有安全生产考核合格证书复印件（C类）；④</w:t>
            </w:r>
            <w:r>
              <w:rPr>
                <w:rFonts w:hint="eastAsia" w:ascii="宋体" w:hAnsi="宋体" w:cs="宋体"/>
                <w:color w:val="auto"/>
                <w:szCs w:val="21"/>
                <w:highlight w:val="none"/>
                <w:lang w:eastAsia="zh-CN"/>
              </w:rPr>
              <w:t>提供</w:t>
            </w:r>
            <w:r>
              <w:rPr>
                <w:rFonts w:hint="eastAsia" w:ascii="宋体" w:hAnsi="宋体" w:cs="宋体"/>
                <w:color w:val="auto"/>
                <w:szCs w:val="21"/>
                <w:highlight w:val="none"/>
              </w:rPr>
              <w:t>施工员、质量员、材料员具有施工现场专业人员职业培训合格证书复印件；⑤</w:t>
            </w:r>
            <w:r>
              <w:rPr>
                <w:rFonts w:hint="eastAsia" w:ascii="宋体" w:hAnsi="宋体" w:cs="宋体"/>
                <w:color w:val="auto"/>
                <w:szCs w:val="21"/>
                <w:highlight w:val="none"/>
                <w:lang w:eastAsia="zh-CN"/>
              </w:rPr>
              <w:t>提供</w:t>
            </w:r>
            <w:r>
              <w:rPr>
                <w:rFonts w:hint="eastAsia" w:ascii="宋体" w:hAnsi="宋体" w:cs="宋体"/>
                <w:color w:val="auto"/>
                <w:szCs w:val="21"/>
                <w:highlight w:val="none"/>
              </w:rPr>
              <w:t>以上项目管理机构人员的身份证复印件及</w:t>
            </w:r>
            <w:r>
              <w:rPr>
                <w:rFonts w:hint="eastAsia" w:ascii="宋体" w:hAnsi="宋体" w:cs="宋体"/>
                <w:color w:val="auto"/>
                <w:szCs w:val="21"/>
                <w:highlight w:val="none"/>
                <w:lang w:eastAsia="zh-CN"/>
              </w:rPr>
              <w:t>以上人员为本单位在职员工的证明材料（可以是劳动合同复印件或</w:t>
            </w:r>
            <w:r>
              <w:rPr>
                <w:rFonts w:hint="eastAsia" w:ascii="宋体" w:hAnsi="宋体" w:cs="宋体"/>
                <w:color w:val="auto"/>
                <w:szCs w:val="21"/>
                <w:highlight w:val="none"/>
              </w:rPr>
              <w:t>202</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月以来任意一个月供应商为以上项目管理机构人员交纳的社保证明材料复印件</w:t>
            </w:r>
            <w:r>
              <w:rPr>
                <w:rFonts w:hint="eastAsia" w:ascii="宋体" w:hAnsi="宋体" w:cs="宋体"/>
                <w:color w:val="auto"/>
                <w:szCs w:val="21"/>
                <w:highlight w:val="none"/>
                <w:lang w:eastAsia="zh-CN"/>
              </w:rPr>
              <w:t>等</w:t>
            </w:r>
            <w:r>
              <w:rPr>
                <w:rFonts w:hint="eastAsia" w:ascii="宋体" w:hAnsi="宋体" w:cs="宋体"/>
                <w:color w:val="auto"/>
                <w:szCs w:val="21"/>
                <w:highlight w:val="none"/>
              </w:rPr>
              <w:t>）</w:t>
            </w:r>
            <w:r>
              <w:rPr>
                <w:rFonts w:hint="eastAsia" w:ascii="宋体" w:hAnsi="宋体" w:cs="宋体"/>
                <w:color w:val="auto"/>
                <w:szCs w:val="21"/>
                <w:highlight w:val="none"/>
                <w:lang w:eastAsia="zh-CN"/>
              </w:rPr>
              <w:t>】</w:t>
            </w:r>
            <w:r>
              <w:rPr>
                <w:rFonts w:hint="eastAsia" w:ascii="宋体" w:hAnsi="宋体" w:cs="宋体"/>
                <w:color w:val="auto"/>
                <w:szCs w:val="21"/>
                <w:highlight w:val="none"/>
              </w:rPr>
              <w:t>（格式后附）；（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 xml:space="preserve">） </w:t>
            </w:r>
          </w:p>
          <w:p w14:paraId="7C17025F">
            <w:pPr>
              <w:spacing w:line="360" w:lineRule="auto"/>
              <w:rPr>
                <w:rFonts w:hint="eastAsia" w:ascii="宋体" w:hAnsi="宋体" w:cs="宋体"/>
                <w:b/>
                <w:color w:val="auto"/>
                <w:szCs w:val="21"/>
                <w:highlight w:val="none"/>
              </w:rPr>
            </w:pPr>
            <w:r>
              <w:rPr>
                <w:rFonts w:hint="eastAsia" w:ascii="宋体" w:hAnsi="宋体"/>
                <w:color w:val="auto"/>
                <w:szCs w:val="21"/>
                <w:highlight w:val="none"/>
              </w:rPr>
              <w:t>7</w:t>
            </w:r>
            <w:r>
              <w:rPr>
                <w:rFonts w:hint="eastAsia" w:ascii="宋体" w:hAnsi="宋体"/>
                <w:b/>
                <w:color w:val="auto"/>
                <w:szCs w:val="21"/>
                <w:highlight w:val="none"/>
              </w:rPr>
              <w:t>.</w:t>
            </w:r>
            <w:r>
              <w:rPr>
                <w:rFonts w:hint="eastAsia" w:ascii="宋体" w:hAnsi="宋体"/>
                <w:color w:val="auto"/>
                <w:szCs w:val="21"/>
                <w:highlight w:val="none"/>
              </w:rPr>
              <w:t>供应商关于拟派项目经理的承诺书</w:t>
            </w:r>
            <w:r>
              <w:rPr>
                <w:rFonts w:hint="eastAsia" w:ascii="宋体" w:hAnsi="宋体" w:cs="宋体"/>
                <w:color w:val="auto"/>
                <w:szCs w:val="21"/>
                <w:highlight w:val="none"/>
              </w:rPr>
              <w:t>（格式后附）；</w:t>
            </w:r>
            <w:r>
              <w:rPr>
                <w:rFonts w:hint="eastAsia" w:ascii="宋体" w:hAnsi="宋体" w:cs="宋体"/>
                <w:b/>
                <w:color w:val="auto"/>
                <w:szCs w:val="21"/>
                <w:highlight w:val="none"/>
              </w:rPr>
              <w:t xml:space="preserve">（必须提供，否则响应文件按无效处理） </w:t>
            </w:r>
          </w:p>
          <w:p w14:paraId="19C2EFAC">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8.农民工工资保证金交纳与使用承诺书（格式后附）；</w:t>
            </w:r>
            <w:r>
              <w:rPr>
                <w:rFonts w:hint="eastAsia" w:ascii="宋体" w:hAnsi="宋体" w:cs="宋体"/>
                <w:b/>
                <w:color w:val="auto"/>
                <w:szCs w:val="21"/>
                <w:highlight w:val="none"/>
              </w:rPr>
              <w:t xml:space="preserve">（必须提供，否则响应文件按无效处理） </w:t>
            </w:r>
          </w:p>
          <w:p w14:paraId="66716862">
            <w:pPr>
              <w:spacing w:line="360" w:lineRule="auto"/>
              <w:rPr>
                <w:rFonts w:hint="eastAsia" w:ascii="宋体" w:hAnsi="宋体" w:cs="宋体"/>
                <w:color w:val="auto"/>
                <w:szCs w:val="21"/>
                <w:highlight w:val="none"/>
              </w:rPr>
            </w:pPr>
            <w:r>
              <w:rPr>
                <w:rFonts w:ascii="宋体" w:hAnsi="宋体" w:cs="宋体"/>
                <w:color w:val="auto"/>
                <w:szCs w:val="21"/>
                <w:highlight w:val="none"/>
              </w:rPr>
              <w:t>9.</w:t>
            </w:r>
            <w:r>
              <w:rPr>
                <w:rFonts w:hint="eastAsia" w:ascii="宋体" w:hAnsi="宋体" w:cs="宋体"/>
                <w:color w:val="auto"/>
                <w:szCs w:val="21"/>
                <w:highlight w:val="none"/>
              </w:rPr>
              <w:t>施工组织设计（</w:t>
            </w:r>
            <w:r>
              <w:rPr>
                <w:rFonts w:hint="eastAsia"/>
                <w:color w:val="auto"/>
                <w:highlight w:val="none"/>
              </w:rPr>
              <w:t>包括但不限于：</w:t>
            </w:r>
            <w:r>
              <w:rPr>
                <w:rFonts w:hint="eastAsia" w:ascii="宋体" w:hAnsi="宋体" w:cs="宋体"/>
                <w:color w:val="auto"/>
                <w:szCs w:val="21"/>
                <w:highlight w:val="none"/>
              </w:rPr>
              <w:t>①</w:t>
            </w:r>
            <w:r>
              <w:rPr>
                <w:rFonts w:hint="eastAsia" w:cs="宋体" w:asciiTheme="majorEastAsia" w:hAnsiTheme="majorEastAsia" w:eastAsiaTheme="majorEastAsia"/>
                <w:color w:val="auto"/>
                <w:spacing w:val="-2"/>
                <w:highlight w:val="none"/>
              </w:rPr>
              <w:t>主要</w:t>
            </w:r>
            <w:r>
              <w:rPr>
                <w:rFonts w:hint="eastAsia" w:cs="宋体" w:asciiTheme="majorEastAsia" w:hAnsiTheme="majorEastAsia" w:eastAsiaTheme="majorEastAsia"/>
                <w:color w:val="auto"/>
                <w:spacing w:val="-1"/>
                <w:highlight w:val="none"/>
              </w:rPr>
              <w:t>施工方</w:t>
            </w:r>
            <w:r>
              <w:rPr>
                <w:rFonts w:hint="eastAsia" w:cs="宋体" w:asciiTheme="majorEastAsia" w:hAnsiTheme="majorEastAsia" w:eastAsiaTheme="majorEastAsia"/>
                <w:color w:val="auto"/>
                <w:spacing w:val="7"/>
                <w:highlight w:val="none"/>
              </w:rPr>
              <w:t>法</w:t>
            </w:r>
            <w:r>
              <w:rPr>
                <w:rFonts w:hint="eastAsia" w:ascii="宋体" w:hAnsi="宋体" w:cs="宋体"/>
                <w:color w:val="auto"/>
                <w:szCs w:val="21"/>
                <w:highlight w:val="none"/>
              </w:rPr>
              <w:t>；②</w:t>
            </w:r>
            <w:r>
              <w:rPr>
                <w:rFonts w:hint="eastAsia" w:asciiTheme="majorEastAsia" w:hAnsiTheme="majorEastAsia" w:eastAsiaTheme="majorEastAsia"/>
                <w:bCs/>
                <w:color w:val="auto"/>
                <w:kern w:val="0"/>
                <w:highlight w:val="none"/>
              </w:rPr>
              <w:t>拟投入的主要物资计划</w:t>
            </w:r>
            <w:r>
              <w:rPr>
                <w:rFonts w:hint="eastAsia" w:ascii="宋体" w:hAnsi="宋体" w:cs="宋体"/>
                <w:color w:val="auto"/>
                <w:szCs w:val="21"/>
                <w:highlight w:val="none"/>
              </w:rPr>
              <w:t>；③</w:t>
            </w:r>
            <w:r>
              <w:rPr>
                <w:rFonts w:hint="eastAsia" w:cs="宋体" w:asciiTheme="majorEastAsia" w:hAnsiTheme="majorEastAsia" w:eastAsiaTheme="majorEastAsia"/>
                <w:color w:val="auto"/>
                <w:spacing w:val="-2"/>
                <w:highlight w:val="none"/>
              </w:rPr>
              <w:t>劳动力安排</w:t>
            </w:r>
            <w:r>
              <w:rPr>
                <w:rFonts w:hint="eastAsia" w:cs="宋体" w:asciiTheme="majorEastAsia" w:hAnsiTheme="majorEastAsia" w:eastAsiaTheme="majorEastAsia"/>
                <w:color w:val="auto"/>
                <w:spacing w:val="5"/>
                <w:highlight w:val="none"/>
              </w:rPr>
              <w:t>计划</w:t>
            </w:r>
            <w:r>
              <w:rPr>
                <w:rFonts w:hint="eastAsia" w:ascii="宋体" w:hAnsi="宋体" w:cs="宋体"/>
                <w:color w:val="auto"/>
                <w:szCs w:val="21"/>
                <w:highlight w:val="none"/>
              </w:rPr>
              <w:t>；④</w:t>
            </w:r>
            <w:r>
              <w:rPr>
                <w:rFonts w:hint="eastAsia" w:cs="宋体" w:asciiTheme="majorEastAsia" w:hAnsiTheme="majorEastAsia" w:eastAsiaTheme="majorEastAsia"/>
                <w:color w:val="auto"/>
                <w:spacing w:val="-1"/>
                <w:highlight w:val="none"/>
              </w:rPr>
              <w:t>确保工程质量的技术组</w:t>
            </w:r>
            <w:r>
              <w:rPr>
                <w:rFonts w:hint="eastAsia" w:cs="宋体" w:asciiTheme="majorEastAsia" w:hAnsiTheme="majorEastAsia" w:eastAsiaTheme="majorEastAsia"/>
                <w:color w:val="auto"/>
                <w:spacing w:val="15"/>
                <w:highlight w:val="none"/>
              </w:rPr>
              <w:t>织</w:t>
            </w:r>
            <w:r>
              <w:rPr>
                <w:rFonts w:hint="eastAsia" w:cs="宋体" w:asciiTheme="majorEastAsia" w:hAnsiTheme="majorEastAsia" w:eastAsiaTheme="majorEastAsia"/>
                <w:color w:val="auto"/>
                <w:spacing w:val="14"/>
                <w:highlight w:val="none"/>
              </w:rPr>
              <w:t>措施</w:t>
            </w:r>
            <w:r>
              <w:rPr>
                <w:rFonts w:hint="eastAsia" w:ascii="宋体" w:hAnsi="宋体" w:cs="宋体"/>
                <w:color w:val="auto"/>
                <w:szCs w:val="21"/>
                <w:highlight w:val="none"/>
              </w:rPr>
              <w:t>；⑤</w:t>
            </w:r>
            <w:r>
              <w:rPr>
                <w:rFonts w:hint="eastAsia" w:cs="宋体" w:asciiTheme="majorEastAsia" w:hAnsiTheme="majorEastAsia" w:eastAsiaTheme="majorEastAsia"/>
                <w:color w:val="auto"/>
                <w:spacing w:val="-1"/>
                <w:highlight w:val="none"/>
              </w:rPr>
              <w:t>确保安全生产的技术组</w:t>
            </w:r>
            <w:r>
              <w:rPr>
                <w:rFonts w:hint="eastAsia" w:cs="宋体" w:asciiTheme="majorEastAsia" w:hAnsiTheme="majorEastAsia" w:eastAsiaTheme="majorEastAsia"/>
                <w:color w:val="auto"/>
                <w:spacing w:val="15"/>
                <w:highlight w:val="none"/>
              </w:rPr>
              <w:t>织</w:t>
            </w:r>
            <w:r>
              <w:rPr>
                <w:rFonts w:hint="eastAsia" w:cs="宋体" w:asciiTheme="majorEastAsia" w:hAnsiTheme="majorEastAsia" w:eastAsiaTheme="majorEastAsia"/>
                <w:color w:val="auto"/>
                <w:spacing w:val="14"/>
                <w:highlight w:val="none"/>
              </w:rPr>
              <w:t>措施</w:t>
            </w:r>
            <w:r>
              <w:rPr>
                <w:rFonts w:hint="eastAsia" w:ascii="宋体" w:hAnsi="宋体" w:cs="宋体"/>
                <w:color w:val="auto"/>
                <w:szCs w:val="21"/>
                <w:highlight w:val="none"/>
              </w:rPr>
              <w:t>；⑥</w:t>
            </w:r>
            <w:r>
              <w:rPr>
                <w:rFonts w:hint="eastAsia" w:cs="宋体" w:asciiTheme="majorEastAsia" w:hAnsiTheme="majorEastAsia" w:eastAsiaTheme="majorEastAsia"/>
                <w:color w:val="auto"/>
                <w:spacing w:val="-1"/>
                <w:highlight w:val="none"/>
              </w:rPr>
              <w:t>确保工期的技术组织</w:t>
            </w:r>
            <w:r>
              <w:rPr>
                <w:rFonts w:hint="eastAsia" w:cs="宋体" w:asciiTheme="majorEastAsia" w:hAnsiTheme="majorEastAsia" w:eastAsiaTheme="majorEastAsia"/>
                <w:color w:val="auto"/>
                <w:highlight w:val="none"/>
              </w:rPr>
              <w:t>措</w:t>
            </w:r>
            <w:r>
              <w:rPr>
                <w:rFonts w:hint="eastAsia" w:cs="宋体" w:asciiTheme="majorEastAsia" w:hAnsiTheme="majorEastAsia" w:eastAsiaTheme="majorEastAsia"/>
                <w:color w:val="auto"/>
                <w:spacing w:val="7"/>
                <w:highlight w:val="none"/>
              </w:rPr>
              <w:t>施</w:t>
            </w:r>
            <w:r>
              <w:rPr>
                <w:rFonts w:hint="eastAsia" w:ascii="宋体" w:hAnsi="宋体" w:cs="宋体"/>
                <w:color w:val="auto"/>
                <w:szCs w:val="21"/>
                <w:highlight w:val="none"/>
              </w:rPr>
              <w:t>；⑦</w:t>
            </w:r>
            <w:r>
              <w:rPr>
                <w:rFonts w:hint="eastAsia" w:cs="宋体" w:asciiTheme="minorEastAsia" w:hAnsiTheme="minorEastAsia" w:eastAsiaTheme="minorEastAsia"/>
                <w:bCs/>
                <w:color w:val="auto"/>
                <w:szCs w:val="21"/>
                <w:highlight w:val="none"/>
              </w:rPr>
              <w:t>关键施工技术、工艺及工程实施的重点、难点和解决方案</w:t>
            </w:r>
            <w:r>
              <w:rPr>
                <w:rFonts w:hint="eastAsia" w:ascii="宋体" w:hAnsi="宋体" w:cs="宋体"/>
                <w:color w:val="auto"/>
                <w:szCs w:val="21"/>
                <w:highlight w:val="none"/>
              </w:rPr>
              <w:t>；⑧</w:t>
            </w:r>
            <w:r>
              <w:rPr>
                <w:rFonts w:hint="eastAsia" w:cs="宋体" w:asciiTheme="minorEastAsia" w:hAnsiTheme="minorEastAsia" w:eastAsiaTheme="minorEastAsia"/>
                <w:bCs/>
                <w:color w:val="auto"/>
                <w:szCs w:val="21"/>
                <w:highlight w:val="none"/>
              </w:rPr>
              <w:t>施工平面布置和临时设施布置</w:t>
            </w:r>
            <w:r>
              <w:rPr>
                <w:rFonts w:hint="eastAsia" w:ascii="宋体" w:hAnsi="宋体" w:cs="宋体"/>
                <w:color w:val="auto"/>
                <w:highlight w:val="none"/>
              </w:rPr>
              <w:t>；⑨</w:t>
            </w:r>
            <w:r>
              <w:rPr>
                <w:rFonts w:hint="eastAsia" w:cs="宋体" w:asciiTheme="minorEastAsia" w:hAnsiTheme="minorEastAsia" w:eastAsiaTheme="minorEastAsia"/>
                <w:bCs/>
                <w:color w:val="auto"/>
                <w:szCs w:val="21"/>
                <w:highlight w:val="none"/>
              </w:rPr>
              <w:t>主要设备</w:t>
            </w:r>
            <w:r>
              <w:rPr>
                <w:rFonts w:hint="eastAsia" w:cs="宋体" w:asciiTheme="minorEastAsia" w:hAnsiTheme="minorEastAsia" w:eastAsiaTheme="minorEastAsia"/>
                <w:bCs/>
                <w:color w:val="auto"/>
                <w:szCs w:val="21"/>
                <w:highlight w:val="none"/>
                <w:lang w:val="en-US" w:eastAsia="zh-CN"/>
              </w:rPr>
              <w:t>质保期</w:t>
            </w:r>
            <w:r>
              <w:rPr>
                <w:rFonts w:hint="eastAsia" w:cs="宋体" w:asciiTheme="minorEastAsia" w:hAnsiTheme="minorEastAsia" w:eastAsiaTheme="minorEastAsia"/>
                <w:bCs/>
                <w:color w:val="auto"/>
                <w:szCs w:val="21"/>
                <w:highlight w:val="none"/>
              </w:rPr>
              <w:t>延长</w:t>
            </w:r>
            <w:r>
              <w:rPr>
                <w:rFonts w:hint="eastAsia" w:ascii="宋体" w:hAnsi="宋体" w:cs="宋体"/>
                <w:color w:val="auto"/>
                <w:szCs w:val="21"/>
                <w:highlight w:val="none"/>
              </w:rPr>
              <w:t>）（格式自拟）；</w:t>
            </w:r>
          </w:p>
          <w:p w14:paraId="326D016B">
            <w:pPr>
              <w:spacing w:line="360" w:lineRule="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10.设备品牌型号表</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lang w:val="en-US" w:eastAsia="zh-CN"/>
              </w:rPr>
              <w:t>；</w:t>
            </w:r>
          </w:p>
          <w:p w14:paraId="27BE5BB5">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val="en-US" w:eastAsia="zh-CN"/>
              </w:rPr>
              <w:t>11</w:t>
            </w:r>
            <w:r>
              <w:rPr>
                <w:rFonts w:hint="eastAsia" w:ascii="宋体" w:hAnsi="宋体" w:cs="宋体"/>
                <w:color w:val="auto"/>
                <w:szCs w:val="21"/>
                <w:highlight w:val="none"/>
              </w:rPr>
              <w:t>.供应商认为需要提供的其他有关资料。</w:t>
            </w:r>
          </w:p>
          <w:p w14:paraId="4CD0FC01">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注：以上标明“必须提供”的材料，必须加盖供应商</w:t>
            </w:r>
            <w:r>
              <w:rPr>
                <w:rFonts w:hint="eastAsia"/>
                <w:b/>
                <w:color w:val="auto"/>
                <w:highlight w:val="none"/>
              </w:rPr>
              <w:t>电子签章</w:t>
            </w:r>
            <w:r>
              <w:rPr>
                <w:rFonts w:hint="eastAsia" w:ascii="宋体" w:hAnsi="宋体" w:cs="宋体"/>
                <w:b/>
                <w:color w:val="auto"/>
                <w:szCs w:val="21"/>
                <w:highlight w:val="none"/>
              </w:rPr>
              <w:t>，</w:t>
            </w:r>
            <w:r>
              <w:rPr>
                <w:rFonts w:hint="eastAsia" w:ascii="宋体" w:hAnsi="宋体" w:cs="Courier New"/>
                <w:b/>
                <w:color w:val="auto"/>
                <w:szCs w:val="21"/>
                <w:highlight w:val="none"/>
              </w:rPr>
              <w:t>必须提供的材料在第六章“响应文件格式”中有要求法定代表人或委托代理人签字（或者电子签名）的，必须由法定代表人或委托代理人签字</w:t>
            </w:r>
            <w:r>
              <w:rPr>
                <w:rFonts w:hint="eastAsia" w:ascii="宋体" w:hAnsi="宋体"/>
                <w:b/>
                <w:bCs/>
                <w:color w:val="auto"/>
                <w:szCs w:val="21"/>
                <w:highlight w:val="none"/>
              </w:rPr>
              <w:t>（或者电子签名），</w:t>
            </w:r>
            <w:r>
              <w:rPr>
                <w:rFonts w:hint="eastAsia" w:ascii="宋体" w:hAnsi="宋体" w:cs="宋体"/>
                <w:b/>
                <w:color w:val="auto"/>
                <w:szCs w:val="21"/>
                <w:highlight w:val="none"/>
              </w:rPr>
              <w:t>否则响应文件按无效处理。</w:t>
            </w:r>
          </w:p>
        </w:tc>
      </w:tr>
      <w:tr w14:paraId="36E424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C7F0695">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15.2</w:t>
            </w:r>
          </w:p>
        </w:tc>
        <w:tc>
          <w:tcPr>
            <w:tcW w:w="7912" w:type="dxa"/>
            <w:vAlign w:val="center"/>
          </w:tcPr>
          <w:p w14:paraId="302C8481">
            <w:pPr>
              <w:spacing w:line="360" w:lineRule="auto"/>
              <w:contextualSpacing/>
              <w:jc w:val="left"/>
              <w:rPr>
                <w:rFonts w:hint="eastAsia" w:ascii="宋体" w:hAnsi="宋体" w:cs="宋体"/>
                <w:color w:val="auto"/>
                <w:szCs w:val="21"/>
                <w:highlight w:val="none"/>
              </w:rPr>
            </w:pPr>
            <w:r>
              <w:rPr>
                <w:rFonts w:hint="eastAsia" w:ascii="宋体" w:hAnsi="宋体"/>
                <w:color w:val="auto"/>
                <w:szCs w:val="21"/>
                <w:highlight w:val="none"/>
              </w:rPr>
              <w:t>竞标报价是履行合同的最终价格，包括</w:t>
            </w:r>
            <w:r>
              <w:rPr>
                <w:rFonts w:hint="eastAsia" w:ascii="宋体" w:hAnsi="宋体" w:cs="宋体"/>
                <w:color w:val="auto"/>
                <w:szCs w:val="21"/>
                <w:highlight w:val="none"/>
              </w:rPr>
              <w:t>为实施和完成合同工程所需的劳务、材料、机械、质检（自检）、安装、缺陷修复、管理、验收、通电、保险、税费、利润、等费用，以及合同明示或暗示的所有责任、义务和一般风险。</w:t>
            </w:r>
            <w:r>
              <w:rPr>
                <w:rFonts w:hint="eastAsia" w:ascii="宋体" w:hAnsi="宋体"/>
                <w:b/>
                <w:color w:val="auto"/>
                <w:szCs w:val="21"/>
                <w:highlight w:val="none"/>
              </w:rPr>
              <w:t>（采购需求另有约定的，从其约定。）</w:t>
            </w:r>
          </w:p>
        </w:tc>
      </w:tr>
      <w:tr w14:paraId="0A734E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964A170">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15.3</w:t>
            </w:r>
          </w:p>
        </w:tc>
        <w:tc>
          <w:tcPr>
            <w:tcW w:w="7912" w:type="dxa"/>
            <w:vAlign w:val="center"/>
          </w:tcPr>
          <w:p w14:paraId="54924524">
            <w:pPr>
              <w:spacing w:line="360" w:lineRule="auto"/>
              <w:contextualSpacing/>
              <w:jc w:val="left"/>
              <w:rPr>
                <w:rFonts w:hint="eastAsia" w:ascii="宋体" w:hAnsi="宋体"/>
                <w:color w:val="auto"/>
                <w:szCs w:val="21"/>
                <w:highlight w:val="none"/>
              </w:rPr>
            </w:pPr>
            <w:r>
              <w:rPr>
                <w:rFonts w:hint="eastAsia" w:cs="宋体"/>
                <w:color w:val="auto"/>
                <w:highlight w:val="none"/>
              </w:rPr>
              <w:t>本工程增值税计税方法：一般计税法。</w:t>
            </w:r>
          </w:p>
        </w:tc>
      </w:tr>
      <w:tr w14:paraId="5215B0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4A29DFD">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16.</w:t>
            </w:r>
            <w:r>
              <w:rPr>
                <w:rFonts w:ascii="宋体" w:hAnsi="宋体" w:cs="宋体"/>
                <w:color w:val="auto"/>
                <w:szCs w:val="21"/>
                <w:highlight w:val="none"/>
              </w:rPr>
              <w:t>2</w:t>
            </w:r>
          </w:p>
        </w:tc>
        <w:tc>
          <w:tcPr>
            <w:tcW w:w="7912" w:type="dxa"/>
            <w:vAlign w:val="center"/>
          </w:tcPr>
          <w:p w14:paraId="6D939706">
            <w:pPr>
              <w:pStyle w:val="13"/>
              <w:widowControl w:val="0"/>
              <w:tabs>
                <w:tab w:val="clear" w:pos="454"/>
              </w:tabs>
              <w:snapToGrid w:val="0"/>
              <w:spacing w:afterLines="0" w:line="360" w:lineRule="auto"/>
              <w:ind w:left="283" w:hanging="283" w:hangingChars="135"/>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竞标有效期：自首次响应文件提交截止之日起</w:t>
            </w:r>
            <w:r>
              <w:rPr>
                <w:rFonts w:hint="eastAsia" w:ascii="宋体" w:hAnsi="宋体" w:cs="宋体"/>
                <w:color w:val="auto"/>
                <w:kern w:val="2"/>
                <w:sz w:val="21"/>
                <w:szCs w:val="21"/>
                <w:highlight w:val="none"/>
                <w:u w:val="single"/>
              </w:rPr>
              <w:t>90</w:t>
            </w:r>
            <w:r>
              <w:rPr>
                <w:rFonts w:hint="eastAsia" w:ascii="宋体" w:hAnsi="宋体" w:cs="宋体"/>
                <w:color w:val="auto"/>
                <w:kern w:val="2"/>
                <w:sz w:val="21"/>
                <w:szCs w:val="21"/>
                <w:highlight w:val="none"/>
              </w:rPr>
              <w:t>日。</w:t>
            </w:r>
          </w:p>
        </w:tc>
      </w:tr>
      <w:tr w14:paraId="408999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5137C18">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17.1</w:t>
            </w:r>
          </w:p>
        </w:tc>
        <w:tc>
          <w:tcPr>
            <w:tcW w:w="7912" w:type="dxa"/>
            <w:vAlign w:val="center"/>
          </w:tcPr>
          <w:p w14:paraId="778C79D6">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□本项目不收取磋商保证金。</w:t>
            </w:r>
          </w:p>
          <w:p w14:paraId="632AEDC4">
            <w:pPr>
              <w:snapToGrid w:val="0"/>
              <w:spacing w:line="360" w:lineRule="auto"/>
              <w:rPr>
                <w:rFonts w:hint="eastAsia" w:ascii="宋体" w:hAnsi="宋体"/>
                <w:color w:val="auto"/>
                <w:szCs w:val="21"/>
                <w:highlight w:val="none"/>
              </w:rPr>
            </w:pPr>
            <w:r>
              <w:rPr>
                <w:color w:val="auto"/>
                <w:highlight w:val="none"/>
              </w:rPr>
              <w:sym w:font="Wingdings" w:char="00FE"/>
            </w:r>
            <w:r>
              <w:rPr>
                <w:rFonts w:hint="eastAsia" w:ascii="宋体" w:hAnsi="宋体"/>
                <w:color w:val="auto"/>
                <w:szCs w:val="21"/>
                <w:highlight w:val="none"/>
              </w:rPr>
              <w:t>本项目收取磋商保证金，具体规定如下：</w:t>
            </w:r>
          </w:p>
          <w:p w14:paraId="00F06F1E">
            <w:pPr>
              <w:snapToGrid w:val="0"/>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磋商保证金人民币壹万元整（</w:t>
            </w:r>
            <w:r>
              <w:rPr>
                <w:rFonts w:hint="eastAsia" w:ascii="方正粗黑宋简体" w:hAnsi="方正粗黑宋简体" w:eastAsia="方正粗黑宋简体" w:cs="宋体"/>
                <w:color w:val="auto"/>
                <w:kern w:val="0"/>
                <w:szCs w:val="21"/>
                <w:highlight w:val="none"/>
              </w:rPr>
              <w:t>¥</w:t>
            </w:r>
            <w:r>
              <w:rPr>
                <w:rFonts w:hint="eastAsia" w:ascii="宋体" w:hAnsi="宋体" w:eastAsia="方正粗黑宋简体" w:cs="宋体"/>
                <w:color w:val="auto"/>
                <w:kern w:val="0"/>
                <w:szCs w:val="21"/>
                <w:highlight w:val="none"/>
                <w:u w:val="single"/>
              </w:rPr>
              <w:t>1</w:t>
            </w:r>
            <w:r>
              <w:rPr>
                <w:rFonts w:hint="eastAsia" w:ascii="宋体" w:hAnsi="宋体" w:cs="宋体"/>
                <w:color w:val="auto"/>
                <w:kern w:val="0"/>
                <w:szCs w:val="21"/>
                <w:highlight w:val="none"/>
                <w:u w:val="single"/>
              </w:rPr>
              <w:t>0000.00）</w:t>
            </w:r>
            <w:r>
              <w:rPr>
                <w:rFonts w:hint="eastAsia" w:ascii="宋体" w:hAnsi="宋体" w:cs="宋体"/>
                <w:color w:val="auto"/>
                <w:kern w:val="0"/>
                <w:szCs w:val="21"/>
                <w:highlight w:val="none"/>
              </w:rPr>
              <w:t>。</w:t>
            </w:r>
          </w:p>
          <w:p w14:paraId="22E38F7E">
            <w:pPr>
              <w:snapToGrid w:val="0"/>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磋商保证金的交纳方式：银行转账、支票、汇票、本票或者金融、担保机构出具的保函（包含电子保函），禁止采用现钞方式。采用银行转账方式的，在响应文件提交截止时间前交至指定账户并且到账</w:t>
            </w:r>
            <w:r>
              <w:rPr>
                <w:rFonts w:hint="eastAsia"/>
                <w:b/>
                <w:color w:val="auto"/>
                <w:kern w:val="0"/>
                <w:szCs w:val="21"/>
                <w:highlight w:val="none"/>
              </w:rPr>
              <w:t>（开户名称：云之龙咨询集团有限公司桂林分公司；开户银行：中信银行股份有限公司南宁东葛支行；银行账号：</w:t>
            </w:r>
            <w:r>
              <w:rPr>
                <w:b/>
                <w:color w:val="auto"/>
                <w:kern w:val="0"/>
                <w:szCs w:val="21"/>
                <w:highlight w:val="none"/>
              </w:rPr>
              <w:t>8113001013100074449</w:t>
            </w:r>
            <w:r>
              <w:rPr>
                <w:rFonts w:hint="eastAsia"/>
                <w:b/>
                <w:color w:val="auto"/>
                <w:kern w:val="0"/>
                <w:szCs w:val="21"/>
                <w:highlight w:val="none"/>
              </w:rPr>
              <w:t>）</w:t>
            </w:r>
            <w:r>
              <w:rPr>
                <w:rFonts w:hint="eastAsia" w:ascii="宋体" w:hAnsi="宋体" w:cs="宋体"/>
                <w:color w:val="auto"/>
                <w:kern w:val="0"/>
                <w:szCs w:val="21"/>
                <w:highlight w:val="none"/>
              </w:rPr>
              <w:t>；采用支票、汇票、本票或者保函等方式的，在响应文件提交截止时间前，供应商必须提交单独密封的支票、汇票、本票或者保函原件。</w:t>
            </w:r>
            <w:r>
              <w:rPr>
                <w:rFonts w:hint="eastAsia" w:ascii="宋体" w:hAnsi="宋体" w:cs="宋体"/>
                <w:b/>
                <w:color w:val="auto"/>
                <w:kern w:val="0"/>
                <w:szCs w:val="21"/>
                <w:highlight w:val="none"/>
              </w:rPr>
              <w:t>否则视为无效磋商保证金。</w:t>
            </w:r>
          </w:p>
          <w:p w14:paraId="0F049418">
            <w:pPr>
              <w:snapToGrid w:val="0"/>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相关要求：</w:t>
            </w:r>
          </w:p>
          <w:p w14:paraId="3DB207FE">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1.磋商保证金采用银行转账交纳方式的，在响应文件提交截止时间前交至指定账户并且到账，供应商应将银行转账底单的复印件作为磋商保证金提交凭证，放置于商务技术文件中，</w:t>
            </w:r>
            <w:r>
              <w:rPr>
                <w:rFonts w:hint="eastAsia" w:ascii="宋体" w:hAnsi="宋体" w:cs="宋体"/>
                <w:b/>
                <w:color w:val="auto"/>
                <w:szCs w:val="21"/>
                <w:highlight w:val="none"/>
              </w:rPr>
              <w:t>否则响应文件按无效处理</w:t>
            </w:r>
            <w:r>
              <w:rPr>
                <w:rFonts w:hint="eastAsia" w:ascii="宋体" w:hAnsi="宋体" w:cs="宋体"/>
                <w:color w:val="auto"/>
                <w:szCs w:val="21"/>
                <w:highlight w:val="none"/>
              </w:rPr>
              <w:t>。</w:t>
            </w:r>
          </w:p>
          <w:p w14:paraId="71E95DFF">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2.磋商保证金采用支票、汇票、本票或者金融、担保机构出具的保函（包含电子保函）交纳方式的，供应商应将支票、汇票、本票或者金融、担保机构出具的保函的复印件作为磋商保证金提交凭证，放置于</w:t>
            </w:r>
            <w:r>
              <w:rPr>
                <w:rFonts w:hint="eastAsia" w:ascii="宋体" w:hAnsi="宋体" w:cs="宋体"/>
                <w:color w:val="auto"/>
                <w:szCs w:val="21"/>
                <w:highlight w:val="none"/>
              </w:rPr>
              <w:t>商务技术文件</w:t>
            </w:r>
            <w:r>
              <w:rPr>
                <w:rFonts w:hint="eastAsia" w:ascii="宋体" w:hAnsi="宋体"/>
                <w:color w:val="auto"/>
                <w:szCs w:val="21"/>
                <w:highlight w:val="none"/>
              </w:rPr>
              <w:t>中，</w:t>
            </w:r>
            <w:r>
              <w:rPr>
                <w:rFonts w:hint="eastAsia" w:ascii="宋体" w:hAnsi="宋体" w:cs="宋体"/>
                <w:b/>
                <w:color w:val="auto"/>
                <w:szCs w:val="21"/>
                <w:highlight w:val="none"/>
              </w:rPr>
              <w:t>否则响应文件按无效处理</w:t>
            </w:r>
            <w:r>
              <w:rPr>
                <w:rFonts w:hint="eastAsia" w:ascii="宋体" w:hAnsi="宋体"/>
                <w:color w:val="auto"/>
                <w:szCs w:val="21"/>
                <w:highlight w:val="none"/>
              </w:rPr>
              <w:t>。供应商必须</w:t>
            </w:r>
            <w:r>
              <w:rPr>
                <w:rFonts w:hint="eastAsia"/>
                <w:color w:val="auto"/>
                <w:highlight w:val="none"/>
              </w:rPr>
              <w:t>在响应文件提交截止时间前采用现场或邮寄方式【现场提交地址：云之龙咨询集团有限公司开标大厅（广西桂林市临桂区西城北路</w:t>
            </w:r>
            <w:r>
              <w:rPr>
                <w:color w:val="auto"/>
                <w:highlight w:val="none"/>
              </w:rPr>
              <w:t>2</w:t>
            </w:r>
            <w:r>
              <w:rPr>
                <w:rFonts w:hint="eastAsia"/>
                <w:color w:val="auto"/>
                <w:highlight w:val="none"/>
              </w:rPr>
              <w:t>号耀辉</w:t>
            </w:r>
            <w:r>
              <w:rPr>
                <w:color w:val="auto"/>
                <w:highlight w:val="none"/>
              </w:rPr>
              <w:t>•</w:t>
            </w:r>
            <w:r>
              <w:rPr>
                <w:rFonts w:hint="eastAsia"/>
                <w:color w:val="auto"/>
                <w:highlight w:val="none"/>
              </w:rPr>
              <w:t>美好家园</w:t>
            </w:r>
            <w:r>
              <w:rPr>
                <w:color w:val="auto"/>
                <w:highlight w:val="none"/>
              </w:rPr>
              <w:t>2</w:t>
            </w:r>
            <w:r>
              <w:rPr>
                <w:rFonts w:hint="eastAsia"/>
                <w:color w:val="auto"/>
                <w:highlight w:val="none"/>
              </w:rPr>
              <w:t>幢</w:t>
            </w:r>
            <w:r>
              <w:rPr>
                <w:color w:val="auto"/>
                <w:highlight w:val="none"/>
              </w:rPr>
              <w:t>12</w:t>
            </w:r>
            <w:r>
              <w:rPr>
                <w:rFonts w:hint="eastAsia"/>
                <w:color w:val="auto"/>
                <w:highlight w:val="none"/>
              </w:rPr>
              <w:t>层）；邮寄地址：云之龙咨询集团有限公司（广西桂林市临桂区西城北路</w:t>
            </w:r>
            <w:r>
              <w:rPr>
                <w:color w:val="auto"/>
                <w:highlight w:val="none"/>
              </w:rPr>
              <w:t>2</w:t>
            </w:r>
            <w:r>
              <w:rPr>
                <w:rFonts w:hint="eastAsia"/>
                <w:color w:val="auto"/>
                <w:highlight w:val="none"/>
              </w:rPr>
              <w:t>号耀辉</w:t>
            </w:r>
            <w:r>
              <w:rPr>
                <w:color w:val="auto"/>
                <w:highlight w:val="none"/>
              </w:rPr>
              <w:t>•</w:t>
            </w:r>
            <w:r>
              <w:rPr>
                <w:rFonts w:hint="eastAsia"/>
                <w:color w:val="auto"/>
                <w:highlight w:val="none"/>
              </w:rPr>
              <w:t>美好家园</w:t>
            </w:r>
            <w:r>
              <w:rPr>
                <w:color w:val="auto"/>
                <w:highlight w:val="none"/>
              </w:rPr>
              <w:t>2</w:t>
            </w:r>
            <w:r>
              <w:rPr>
                <w:rFonts w:hint="eastAsia"/>
                <w:color w:val="auto"/>
                <w:highlight w:val="none"/>
              </w:rPr>
              <w:t>幢</w:t>
            </w:r>
            <w:r>
              <w:rPr>
                <w:color w:val="auto"/>
                <w:highlight w:val="none"/>
              </w:rPr>
              <w:t>12</w:t>
            </w:r>
            <w:r>
              <w:rPr>
                <w:rFonts w:hint="eastAsia"/>
                <w:color w:val="auto"/>
                <w:highlight w:val="none"/>
              </w:rPr>
              <w:t>层），收件人：</w:t>
            </w:r>
            <w:r>
              <w:rPr>
                <w:rFonts w:hint="eastAsia"/>
                <w:color w:val="auto"/>
                <w:highlight w:val="none"/>
                <w:u w:val="single"/>
              </w:rPr>
              <w:t>李贞</w:t>
            </w:r>
            <w:r>
              <w:rPr>
                <w:rFonts w:hint="eastAsia"/>
                <w:color w:val="auto"/>
                <w:highlight w:val="none"/>
              </w:rPr>
              <w:t>，联系方式</w:t>
            </w:r>
            <w:r>
              <w:rPr>
                <w:rFonts w:hint="eastAsia" w:asciiTheme="minorEastAsia" w:hAnsiTheme="minorEastAsia" w:eastAsiaTheme="minorEastAsia"/>
                <w:color w:val="auto"/>
                <w:highlight w:val="none"/>
              </w:rPr>
              <w:t>：</w:t>
            </w:r>
            <w:r>
              <w:rPr>
                <w:rFonts w:asciiTheme="minorEastAsia" w:hAnsiTheme="minorEastAsia" w:eastAsiaTheme="minorEastAsia"/>
                <w:color w:val="auto"/>
                <w:highlight w:val="none"/>
                <w:u w:val="single"/>
              </w:rPr>
              <w:t>0773-2887388</w:t>
            </w:r>
            <w:r>
              <w:rPr>
                <w:rFonts w:hint="eastAsia" w:asciiTheme="minorEastAsia" w:hAnsiTheme="minorEastAsia" w:eastAsiaTheme="minorEastAsia"/>
                <w:color w:val="auto"/>
                <w:highlight w:val="none"/>
                <w:u w:val="single"/>
              </w:rPr>
              <w:t>、</w:t>
            </w:r>
            <w:r>
              <w:rPr>
                <w:rFonts w:asciiTheme="minorEastAsia" w:hAnsiTheme="minorEastAsia" w:eastAsiaTheme="minorEastAsia"/>
                <w:color w:val="auto"/>
                <w:highlight w:val="none"/>
                <w:u w:val="single"/>
              </w:rPr>
              <w:t>2887399</w:t>
            </w:r>
            <w:r>
              <w:rPr>
                <w:rFonts w:hint="eastAsia" w:asciiTheme="minorEastAsia" w:hAnsiTheme="minorEastAsia" w:eastAsiaTheme="minorEastAsia"/>
                <w:color w:val="auto"/>
                <w:highlight w:val="none"/>
              </w:rPr>
              <w:t>）</w:t>
            </w:r>
            <w:r>
              <w:rPr>
                <w:rFonts w:hint="eastAsia"/>
                <w:color w:val="auto"/>
                <w:highlight w:val="none"/>
              </w:rPr>
              <w:t>】</w:t>
            </w:r>
            <w:r>
              <w:rPr>
                <w:rFonts w:hint="eastAsia" w:ascii="宋体" w:hAnsi="宋体"/>
                <w:color w:val="auto"/>
                <w:szCs w:val="21"/>
                <w:highlight w:val="none"/>
              </w:rPr>
              <w:t>将</w:t>
            </w:r>
            <w:r>
              <w:rPr>
                <w:rFonts w:hint="eastAsia" w:ascii="宋体" w:hAnsi="宋体" w:cs="宋体"/>
                <w:color w:val="auto"/>
                <w:kern w:val="0"/>
                <w:szCs w:val="21"/>
                <w:highlight w:val="none"/>
              </w:rPr>
              <w:t>单独密封的</w:t>
            </w:r>
            <w:r>
              <w:rPr>
                <w:rFonts w:hint="eastAsia" w:ascii="宋体" w:hAnsi="宋体"/>
                <w:color w:val="auto"/>
                <w:szCs w:val="21"/>
                <w:highlight w:val="none"/>
              </w:rPr>
              <w:t>支票、汇票、本票或者金融、担保机构出具的保函原件提交给采购人或者采购代理机构，由采购人或者采购代理机构向供应商出具回执（邮寄方式的除外），并妥善保管。</w:t>
            </w:r>
          </w:p>
          <w:p w14:paraId="20C7E325">
            <w:pPr>
              <w:snapToGrid w:val="0"/>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 xml:space="preserve">备注： </w:t>
            </w:r>
          </w:p>
          <w:p w14:paraId="2F61BE4F">
            <w:pPr>
              <w:snapToGrid w:val="0"/>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①磋商保证金在响应文件提交截止时间后提交的，或者不按规定交纳方式交纳的，或者未足额交纳的（包含保函额度不足的），视为无效磋商保证金。</w:t>
            </w:r>
          </w:p>
          <w:p w14:paraId="53CEBB8F">
            <w:pPr>
              <w:snapToGrid w:val="0"/>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②供应商采用现钞方式或者从个人账户转出的磋商保证金，视为无效磋商保证金。</w:t>
            </w:r>
          </w:p>
          <w:p w14:paraId="3CFE3524">
            <w:pPr>
              <w:snapToGrid w:val="0"/>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③支票、汇票或者本票出现无效或者背书情形的，视为无效磋商保证金。</w:t>
            </w:r>
          </w:p>
          <w:p w14:paraId="7F4977E5">
            <w:pPr>
              <w:snapToGrid w:val="0"/>
              <w:spacing w:line="360" w:lineRule="auto"/>
              <w:rPr>
                <w:rFonts w:hint="eastAsia" w:ascii="宋体" w:hAnsi="宋体" w:cs="宋体"/>
                <w:color w:val="auto"/>
                <w:szCs w:val="21"/>
                <w:highlight w:val="none"/>
              </w:rPr>
            </w:pPr>
            <w:r>
              <w:rPr>
                <w:rFonts w:hint="eastAsia" w:ascii="宋体" w:hAnsi="宋体" w:cs="宋体"/>
                <w:b/>
                <w:color w:val="auto"/>
                <w:szCs w:val="21"/>
                <w:highlight w:val="none"/>
              </w:rPr>
              <w:t>④保函有效期低于竞标有效期的，视为无效磋商保证金。</w:t>
            </w:r>
          </w:p>
        </w:tc>
      </w:tr>
      <w:tr w14:paraId="41B9B0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9E13928">
            <w:pPr>
              <w:spacing w:line="360" w:lineRule="auto"/>
              <w:jc w:val="center"/>
              <w:rPr>
                <w:rFonts w:hint="eastAsia" w:ascii="宋体" w:hAnsi="宋体" w:cs="宋体"/>
                <w:color w:val="auto"/>
                <w:szCs w:val="21"/>
                <w:highlight w:val="none"/>
              </w:rPr>
            </w:pPr>
            <w:r>
              <w:rPr>
                <w:rFonts w:ascii="宋体" w:hAnsi="宋体" w:cs="宋体"/>
                <w:color w:val="auto"/>
                <w:szCs w:val="21"/>
                <w:highlight w:val="none"/>
              </w:rPr>
              <w:t>19</w:t>
            </w:r>
          </w:p>
        </w:tc>
        <w:tc>
          <w:tcPr>
            <w:tcW w:w="7912" w:type="dxa"/>
            <w:vAlign w:val="center"/>
          </w:tcPr>
          <w:p w14:paraId="505AAD5D">
            <w:pPr>
              <w:spacing w:line="360" w:lineRule="auto"/>
              <w:rPr>
                <w:rFonts w:hint="eastAsia" w:ascii="宋体" w:hAnsi="宋体" w:cs="宋体"/>
                <w:color w:val="auto"/>
                <w:szCs w:val="21"/>
                <w:highlight w:val="none"/>
              </w:rPr>
            </w:pPr>
            <w:r>
              <w:rPr>
                <w:rFonts w:hint="eastAsia" w:ascii="宋体" w:hAnsi="宋体"/>
                <w:color w:val="auto"/>
                <w:szCs w:val="21"/>
                <w:highlight w:val="none"/>
              </w:rPr>
              <w:t>本项目不接受</w:t>
            </w:r>
            <w:r>
              <w:rPr>
                <w:rFonts w:hint="eastAsia"/>
                <w:color w:val="auto"/>
                <w:highlight w:val="none"/>
              </w:rPr>
              <w:t>电子</w:t>
            </w:r>
            <w:r>
              <w:rPr>
                <w:rFonts w:hint="eastAsia" w:ascii="宋体" w:hAnsi="宋体"/>
                <w:color w:val="auto"/>
                <w:szCs w:val="21"/>
                <w:highlight w:val="none"/>
              </w:rPr>
              <w:t>备份响应文件</w:t>
            </w:r>
          </w:p>
        </w:tc>
      </w:tr>
      <w:tr w14:paraId="4667E1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BA60E86">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20.1</w:t>
            </w:r>
          </w:p>
        </w:tc>
        <w:tc>
          <w:tcPr>
            <w:tcW w:w="7912" w:type="dxa"/>
            <w:vAlign w:val="center"/>
          </w:tcPr>
          <w:p w14:paraId="7C87D0D1">
            <w:pPr>
              <w:spacing w:line="360" w:lineRule="auto"/>
              <w:contextualSpacing/>
              <w:jc w:val="left"/>
              <w:rPr>
                <w:rFonts w:hint="eastAsia" w:ascii="宋体" w:hAnsi="宋体" w:cs="宋体"/>
                <w:color w:val="auto"/>
                <w:szCs w:val="21"/>
                <w:highlight w:val="none"/>
                <w:u w:val="single"/>
              </w:rPr>
            </w:pPr>
            <w:r>
              <w:rPr>
                <w:rFonts w:hint="eastAsia" w:ascii="宋体" w:hAnsi="宋体" w:cs="宋体"/>
                <w:color w:val="auto"/>
                <w:szCs w:val="21"/>
                <w:highlight w:val="none"/>
              </w:rPr>
              <w:t>响应文件提交截止时间：详见竞争性磋商公告。</w:t>
            </w:r>
          </w:p>
          <w:p w14:paraId="0162CD3A">
            <w:pPr>
              <w:spacing w:line="360" w:lineRule="auto"/>
              <w:contextualSpacing/>
              <w:jc w:val="left"/>
              <w:rPr>
                <w:rFonts w:hint="eastAsia" w:ascii="宋体" w:hAnsi="宋体" w:cs="宋体"/>
                <w:color w:val="auto"/>
                <w:szCs w:val="21"/>
                <w:highlight w:val="none"/>
              </w:rPr>
            </w:pPr>
            <w:r>
              <w:rPr>
                <w:rFonts w:hint="eastAsia" w:ascii="宋体" w:hAnsi="宋体" w:cs="宋体"/>
                <w:color w:val="auto"/>
                <w:szCs w:val="21"/>
                <w:highlight w:val="none"/>
              </w:rPr>
              <w:t>响应文件提交地点：详见竞争性磋商公告。</w:t>
            </w:r>
          </w:p>
        </w:tc>
      </w:tr>
      <w:tr w14:paraId="401746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A4C0E4B">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24.1</w:t>
            </w:r>
          </w:p>
        </w:tc>
        <w:tc>
          <w:tcPr>
            <w:tcW w:w="7912" w:type="dxa"/>
            <w:vAlign w:val="center"/>
          </w:tcPr>
          <w:p w14:paraId="72CD1122">
            <w:pPr>
              <w:snapToGrid w:val="0"/>
              <w:spacing w:line="360" w:lineRule="auto"/>
              <w:jc w:val="left"/>
              <w:rPr>
                <w:rFonts w:hint="eastAsia" w:ascii="宋体" w:hAnsi="宋体" w:cs="宋体"/>
                <w:color w:val="auto"/>
                <w:szCs w:val="21"/>
                <w:highlight w:val="none"/>
                <w:u w:val="single"/>
              </w:rPr>
            </w:pPr>
            <w:r>
              <w:rPr>
                <w:rFonts w:hint="eastAsia" w:ascii="宋体" w:hAnsi="宋体" w:cs="宋体"/>
                <w:color w:val="auto"/>
                <w:szCs w:val="21"/>
                <w:highlight w:val="none"/>
              </w:rPr>
              <w:t>磋商小组的人数：</w:t>
            </w:r>
            <w:r>
              <w:rPr>
                <w:rFonts w:hint="eastAsia" w:ascii="宋体" w:hAnsi="宋体" w:cs="宋体"/>
                <w:color w:val="auto"/>
                <w:szCs w:val="21"/>
                <w:highlight w:val="none"/>
                <w:u w:val="single"/>
              </w:rPr>
              <w:t>3</w:t>
            </w:r>
            <w:r>
              <w:rPr>
                <w:rFonts w:hint="eastAsia" w:ascii="宋体" w:hAnsi="宋体" w:cs="宋体"/>
                <w:color w:val="auto"/>
                <w:szCs w:val="21"/>
                <w:highlight w:val="none"/>
              </w:rPr>
              <w:t>人。</w:t>
            </w:r>
          </w:p>
        </w:tc>
      </w:tr>
      <w:tr w14:paraId="13ABAE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807E801">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5</w:t>
            </w:r>
          </w:p>
        </w:tc>
        <w:tc>
          <w:tcPr>
            <w:tcW w:w="7912" w:type="dxa"/>
            <w:vAlign w:val="center"/>
          </w:tcPr>
          <w:p w14:paraId="425C5145">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首次响应文件开启时间详见“竞争性磋商公告”</w:t>
            </w:r>
          </w:p>
          <w:p w14:paraId="6AA694E9">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首次响应文件解密时间：</w:t>
            </w:r>
            <w:r>
              <w:rPr>
                <w:rFonts w:hint="eastAsia" w:hAnsi="宋体"/>
                <w:color w:val="auto"/>
                <w:highlight w:val="none"/>
                <w:u w:val="single"/>
              </w:rPr>
              <w:t>30</w:t>
            </w:r>
            <w:r>
              <w:rPr>
                <w:rFonts w:hint="eastAsia" w:hAnsi="宋体"/>
                <w:color w:val="auto"/>
                <w:highlight w:val="none"/>
              </w:rPr>
              <w:t>分钟</w:t>
            </w:r>
          </w:p>
        </w:tc>
      </w:tr>
      <w:tr w14:paraId="415328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92" w:type="dxa"/>
            <w:vAlign w:val="center"/>
          </w:tcPr>
          <w:p w14:paraId="3C512D27">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6.3</w:t>
            </w:r>
          </w:p>
        </w:tc>
        <w:tc>
          <w:tcPr>
            <w:tcW w:w="7912" w:type="dxa"/>
            <w:vAlign w:val="center"/>
          </w:tcPr>
          <w:p w14:paraId="113DF8CD">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商务要求评审中允许负偏离的条款数为</w:t>
            </w:r>
            <w:r>
              <w:rPr>
                <w:rFonts w:hint="eastAsia" w:ascii="宋体" w:hAnsi="宋体" w:cs="宋体"/>
                <w:color w:val="auto"/>
                <w:szCs w:val="21"/>
                <w:highlight w:val="none"/>
                <w:u w:val="single"/>
              </w:rPr>
              <w:t>0</w:t>
            </w:r>
            <w:r>
              <w:rPr>
                <w:rFonts w:hint="eastAsia" w:ascii="宋体" w:hAnsi="宋体" w:cs="宋体"/>
                <w:color w:val="auto"/>
                <w:szCs w:val="21"/>
                <w:highlight w:val="none"/>
              </w:rPr>
              <w:t>项。</w:t>
            </w:r>
          </w:p>
          <w:p w14:paraId="117E9CD4">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技术及其他要求评审中允许负偏离的条款数为</w:t>
            </w:r>
            <w:r>
              <w:rPr>
                <w:rFonts w:hint="eastAsia" w:ascii="宋体" w:hAnsi="宋体" w:cs="宋体"/>
                <w:color w:val="auto"/>
                <w:szCs w:val="21"/>
                <w:highlight w:val="none"/>
                <w:u w:val="single"/>
              </w:rPr>
              <w:t>0</w:t>
            </w:r>
            <w:r>
              <w:rPr>
                <w:rFonts w:hint="eastAsia" w:ascii="宋体" w:hAnsi="宋体" w:cs="宋体"/>
                <w:color w:val="auto"/>
                <w:szCs w:val="21"/>
                <w:highlight w:val="none"/>
              </w:rPr>
              <w:t>项。</w:t>
            </w:r>
          </w:p>
        </w:tc>
      </w:tr>
      <w:tr w14:paraId="3453DB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E32E15E">
            <w:pPr>
              <w:spacing w:line="360" w:lineRule="auto"/>
              <w:jc w:val="center"/>
              <w:rPr>
                <w:rFonts w:hint="eastAsia" w:ascii="宋体" w:hAnsi="宋体" w:cs="宋体"/>
                <w:color w:val="auto"/>
                <w:szCs w:val="21"/>
                <w:highlight w:val="none"/>
              </w:rPr>
            </w:pPr>
            <w:r>
              <w:rPr>
                <w:rFonts w:ascii="宋体" w:hAnsi="宋体" w:cs="宋体"/>
                <w:color w:val="auto"/>
                <w:szCs w:val="21"/>
                <w:highlight w:val="none"/>
              </w:rPr>
              <w:t>28.1</w:t>
            </w:r>
          </w:p>
        </w:tc>
        <w:tc>
          <w:tcPr>
            <w:tcW w:w="7912" w:type="dxa"/>
            <w:vAlign w:val="center"/>
          </w:tcPr>
          <w:p w14:paraId="70FCAAA9">
            <w:pPr>
              <w:autoSpaceDE w:val="0"/>
              <w:autoSpaceDN w:val="0"/>
              <w:spacing w:line="360" w:lineRule="exact"/>
              <w:textAlignment w:val="bottom"/>
              <w:rPr>
                <w:rFonts w:hint="eastAsia" w:hAnsi="宋体"/>
                <w:color w:val="auto"/>
                <w:szCs w:val="21"/>
                <w:highlight w:val="none"/>
              </w:rPr>
            </w:pPr>
            <w:r>
              <w:rPr>
                <w:rFonts w:hint="eastAsia" w:hAnsi="宋体"/>
                <w:color w:val="auto"/>
                <w:szCs w:val="21"/>
                <w:highlight w:val="none"/>
              </w:rPr>
              <w:t>履约保证金金额：</w:t>
            </w:r>
          </w:p>
          <w:p w14:paraId="282C1B98">
            <w:pPr>
              <w:autoSpaceDE w:val="0"/>
              <w:autoSpaceDN w:val="0"/>
              <w:spacing w:line="360" w:lineRule="exact"/>
              <w:textAlignment w:val="bottom"/>
              <w:rPr>
                <w:color w:val="auto"/>
                <w:szCs w:val="21"/>
                <w:highlight w:val="none"/>
              </w:rPr>
            </w:pPr>
            <w:r>
              <w:rPr>
                <w:rFonts w:hint="eastAsia"/>
                <w:color w:val="auto"/>
                <w:szCs w:val="21"/>
                <w:highlight w:val="none"/>
              </w:rPr>
              <w:t>履约保证金按成交金额的</w:t>
            </w:r>
            <w:r>
              <w:rPr>
                <w:color w:val="auto"/>
                <w:szCs w:val="21"/>
                <w:highlight w:val="none"/>
              </w:rPr>
              <w:t>2 %</w:t>
            </w:r>
            <w:r>
              <w:rPr>
                <w:rFonts w:hint="eastAsia"/>
                <w:color w:val="auto"/>
                <w:szCs w:val="21"/>
                <w:highlight w:val="none"/>
              </w:rPr>
              <w:t>。</w:t>
            </w:r>
          </w:p>
          <w:p w14:paraId="3F2B55FC">
            <w:pPr>
              <w:autoSpaceDE w:val="0"/>
              <w:autoSpaceDN w:val="0"/>
              <w:spacing w:line="360" w:lineRule="exact"/>
              <w:textAlignment w:val="bottom"/>
              <w:rPr>
                <w:color w:val="auto"/>
                <w:szCs w:val="21"/>
                <w:highlight w:val="none"/>
              </w:rPr>
            </w:pPr>
            <w:r>
              <w:rPr>
                <w:rFonts w:hint="eastAsia" w:hAnsi="宋体"/>
                <w:color w:val="auto"/>
                <w:szCs w:val="21"/>
                <w:highlight w:val="none"/>
              </w:rPr>
              <w:t>履约保证金递交方式：银行转账、支票、汇票、本票或者金融、担保机构出具的保函</w:t>
            </w:r>
            <w:r>
              <w:rPr>
                <w:rFonts w:hint="eastAsia" w:ascii="宋体" w:hAnsi="宋体" w:cs="宋体"/>
                <w:color w:val="auto"/>
                <w:kern w:val="0"/>
                <w:szCs w:val="21"/>
                <w:highlight w:val="none"/>
              </w:rPr>
              <w:t>（包含电子保函）</w:t>
            </w:r>
            <w:r>
              <w:rPr>
                <w:rFonts w:hint="eastAsia" w:hAnsi="宋体"/>
                <w:color w:val="auto"/>
                <w:szCs w:val="21"/>
                <w:highlight w:val="none"/>
              </w:rPr>
              <w:t>等非现金方式</w:t>
            </w:r>
          </w:p>
          <w:p w14:paraId="7C8E6E20">
            <w:pPr>
              <w:autoSpaceDE w:val="0"/>
              <w:autoSpaceDN w:val="0"/>
              <w:spacing w:line="360" w:lineRule="exact"/>
              <w:textAlignment w:val="bottom"/>
              <w:rPr>
                <w:color w:val="auto"/>
                <w:szCs w:val="21"/>
                <w:highlight w:val="none"/>
              </w:rPr>
            </w:pPr>
            <w:r>
              <w:rPr>
                <w:rFonts w:hint="eastAsia" w:hAnsi="宋体"/>
                <w:color w:val="auto"/>
                <w:szCs w:val="21"/>
                <w:highlight w:val="none"/>
              </w:rPr>
              <w:t>履约保证金退付方式、时间及条件：</w:t>
            </w:r>
          </w:p>
          <w:p w14:paraId="7F23A9B2">
            <w:pPr>
              <w:autoSpaceDE w:val="0"/>
              <w:autoSpaceDN w:val="0"/>
              <w:spacing w:line="360" w:lineRule="exact"/>
              <w:textAlignment w:val="bottom"/>
              <w:rPr>
                <w:color w:val="auto"/>
                <w:szCs w:val="21"/>
                <w:highlight w:val="none"/>
              </w:rPr>
            </w:pPr>
            <w:r>
              <w:rPr>
                <w:rFonts w:hint="eastAsia" w:hAnsi="宋体"/>
                <w:color w:val="auto"/>
                <w:szCs w:val="21"/>
                <w:highlight w:val="none"/>
              </w:rPr>
              <w:t>（</w:t>
            </w:r>
            <w:r>
              <w:rPr>
                <w:color w:val="auto"/>
                <w:szCs w:val="21"/>
                <w:highlight w:val="none"/>
              </w:rPr>
              <w:t>1</w:t>
            </w:r>
            <w:r>
              <w:rPr>
                <w:rFonts w:hint="eastAsia" w:hAnsi="宋体"/>
                <w:color w:val="auto"/>
                <w:szCs w:val="21"/>
                <w:highlight w:val="none"/>
              </w:rPr>
              <w:t>）</w:t>
            </w:r>
            <w:r>
              <w:rPr>
                <w:rFonts w:hint="eastAsia" w:ascii="宋体" w:hAnsi="宋体" w:cs="宋体"/>
                <w:color w:val="auto"/>
                <w:szCs w:val="21"/>
                <w:highlight w:val="none"/>
              </w:rPr>
              <w:t>履约保证金在采购人按合同约定验收合格后</w:t>
            </w:r>
            <w:r>
              <w:rPr>
                <w:rFonts w:hint="eastAsia" w:hAnsi="宋体"/>
                <w:color w:val="auto"/>
                <w:szCs w:val="21"/>
                <w:highlight w:val="none"/>
              </w:rPr>
              <w:t>，由成交供应商凭《广西壮族自治区政府采购项目合同验收书》（详见附表）向采购人申请办理履约保证金退还手续，采购人在收到合格材料后五个工作日内以银行转账方式如数退还（不计利息）。</w:t>
            </w:r>
          </w:p>
          <w:p w14:paraId="16321D69">
            <w:pPr>
              <w:autoSpaceDE w:val="0"/>
              <w:autoSpaceDN w:val="0"/>
              <w:spacing w:line="360" w:lineRule="exact"/>
              <w:textAlignment w:val="bottom"/>
              <w:rPr>
                <w:color w:val="auto"/>
                <w:szCs w:val="21"/>
                <w:highlight w:val="none"/>
              </w:rPr>
            </w:pPr>
            <w:r>
              <w:rPr>
                <w:rFonts w:hint="eastAsia" w:hAnsi="宋体"/>
                <w:color w:val="auto"/>
                <w:szCs w:val="21"/>
                <w:highlight w:val="none"/>
              </w:rPr>
              <w:t>（</w:t>
            </w:r>
            <w:r>
              <w:rPr>
                <w:color w:val="auto"/>
                <w:szCs w:val="21"/>
                <w:highlight w:val="none"/>
              </w:rPr>
              <w:t>2</w:t>
            </w:r>
            <w:r>
              <w:rPr>
                <w:rFonts w:hint="eastAsia" w:hAnsi="宋体"/>
                <w:color w:val="auto"/>
                <w:szCs w:val="21"/>
                <w:highlight w:val="none"/>
              </w:rPr>
              <w:t>）在履约保证金退还日期前，若成交供应商的开户名称、开户银行、账号有变动的，请以书面形式通知履约保证金收取单位，否则由此产生的后果由成交供应商自负。</w:t>
            </w:r>
          </w:p>
          <w:p w14:paraId="1B9EEF7B">
            <w:pPr>
              <w:autoSpaceDE w:val="0"/>
              <w:autoSpaceDN w:val="0"/>
              <w:spacing w:line="360" w:lineRule="exact"/>
              <w:textAlignment w:val="bottom"/>
              <w:rPr>
                <w:color w:val="auto"/>
                <w:szCs w:val="21"/>
                <w:highlight w:val="none"/>
              </w:rPr>
            </w:pPr>
            <w:r>
              <w:rPr>
                <w:rFonts w:hint="eastAsia" w:hAnsi="宋体"/>
                <w:color w:val="auto"/>
                <w:szCs w:val="21"/>
                <w:highlight w:val="none"/>
              </w:rPr>
              <w:t>（</w:t>
            </w:r>
            <w:r>
              <w:rPr>
                <w:color w:val="auto"/>
                <w:szCs w:val="21"/>
                <w:highlight w:val="none"/>
              </w:rPr>
              <w:t>3</w:t>
            </w:r>
            <w:r>
              <w:rPr>
                <w:rFonts w:hint="eastAsia" w:hAnsi="宋体"/>
                <w:color w:val="auto"/>
                <w:szCs w:val="21"/>
                <w:highlight w:val="none"/>
              </w:rPr>
              <w:t>）成交供应商在签订合同后存在违约情形的，履约保证金不予退还。履约保证金不足以赔偿损失的，按实际损失赔偿。</w:t>
            </w:r>
          </w:p>
          <w:p w14:paraId="3B560D36">
            <w:pPr>
              <w:autoSpaceDE w:val="0"/>
              <w:autoSpaceDN w:val="0"/>
              <w:spacing w:line="360" w:lineRule="exact"/>
              <w:textAlignment w:val="bottom"/>
              <w:rPr>
                <w:color w:val="auto"/>
                <w:szCs w:val="21"/>
                <w:highlight w:val="none"/>
              </w:rPr>
            </w:pPr>
            <w:r>
              <w:rPr>
                <w:rFonts w:hint="eastAsia" w:hAnsi="宋体"/>
                <w:color w:val="auto"/>
                <w:szCs w:val="21"/>
                <w:highlight w:val="none"/>
              </w:rPr>
              <w:t>履约保证金指定账户：</w:t>
            </w:r>
          </w:p>
          <w:p w14:paraId="6F45AE0D">
            <w:pPr>
              <w:autoSpaceDE w:val="0"/>
              <w:autoSpaceDN w:val="0"/>
              <w:spacing w:line="360" w:lineRule="exact"/>
              <w:textAlignment w:val="bottom"/>
              <w:rPr>
                <w:color w:val="auto"/>
                <w:szCs w:val="21"/>
                <w:highlight w:val="none"/>
              </w:rPr>
            </w:pPr>
            <w:r>
              <w:rPr>
                <w:rFonts w:hint="eastAsia"/>
                <w:color w:val="auto"/>
                <w:szCs w:val="21"/>
                <w:highlight w:val="none"/>
              </w:rPr>
              <w:t>开户名称：桂林航天工业学院；</w:t>
            </w:r>
          </w:p>
          <w:p w14:paraId="5F3315F7">
            <w:pPr>
              <w:autoSpaceDE w:val="0"/>
              <w:autoSpaceDN w:val="0"/>
              <w:spacing w:line="360" w:lineRule="exact"/>
              <w:textAlignment w:val="bottom"/>
              <w:rPr>
                <w:color w:val="auto"/>
                <w:szCs w:val="21"/>
                <w:highlight w:val="none"/>
              </w:rPr>
            </w:pPr>
            <w:r>
              <w:rPr>
                <w:rFonts w:hint="eastAsia"/>
                <w:color w:val="auto"/>
                <w:szCs w:val="21"/>
                <w:highlight w:val="none"/>
              </w:rPr>
              <w:t>开户银行：建设银行桂林分行高新支行；</w:t>
            </w:r>
          </w:p>
          <w:p w14:paraId="45DE9EA4">
            <w:pPr>
              <w:autoSpaceDE w:val="0"/>
              <w:autoSpaceDN w:val="0"/>
              <w:spacing w:line="360" w:lineRule="exact"/>
              <w:textAlignment w:val="bottom"/>
              <w:rPr>
                <w:color w:val="auto"/>
                <w:szCs w:val="21"/>
                <w:highlight w:val="none"/>
              </w:rPr>
            </w:pPr>
            <w:r>
              <w:rPr>
                <w:rFonts w:hint="eastAsia"/>
                <w:color w:val="auto"/>
                <w:szCs w:val="21"/>
                <w:highlight w:val="none"/>
              </w:rPr>
              <w:t>账号：</w:t>
            </w:r>
            <w:r>
              <w:rPr>
                <w:color w:val="auto"/>
                <w:szCs w:val="21"/>
                <w:highlight w:val="none"/>
              </w:rPr>
              <w:t>45001635207050507101</w:t>
            </w:r>
          </w:p>
          <w:p w14:paraId="0878C15D">
            <w:pPr>
              <w:adjustRightInd w:val="0"/>
              <w:spacing w:line="360" w:lineRule="exact"/>
              <w:jc w:val="left"/>
              <w:rPr>
                <w:rFonts w:hint="eastAsia" w:hAnsi="宋体"/>
                <w:color w:val="auto"/>
                <w:szCs w:val="21"/>
                <w:highlight w:val="none"/>
              </w:rPr>
            </w:pPr>
            <w:r>
              <w:rPr>
                <w:rFonts w:hint="eastAsia" w:hAnsi="宋体"/>
                <w:color w:val="auto"/>
                <w:szCs w:val="21"/>
                <w:highlight w:val="none"/>
              </w:rPr>
              <w:t>备</w:t>
            </w:r>
            <w:r>
              <w:rPr>
                <w:rFonts w:hAnsi="宋体"/>
                <w:color w:val="auto"/>
                <w:szCs w:val="21"/>
                <w:highlight w:val="none"/>
              </w:rPr>
              <w:t xml:space="preserve">    </w:t>
            </w:r>
            <w:r>
              <w:rPr>
                <w:rFonts w:hint="eastAsia" w:hAnsi="宋体"/>
                <w:color w:val="auto"/>
                <w:szCs w:val="21"/>
                <w:highlight w:val="none"/>
              </w:rPr>
              <w:t>注：</w:t>
            </w:r>
          </w:p>
          <w:p w14:paraId="1B9EC0B7">
            <w:pPr>
              <w:pStyle w:val="65"/>
              <w:rPr>
                <w:color w:val="auto"/>
                <w:highlight w:val="none"/>
              </w:rPr>
            </w:pPr>
            <w:r>
              <w:rPr>
                <w:rFonts w:hint="eastAsia" w:hAnsi="宋体"/>
                <w:b/>
                <w:color w:val="auto"/>
                <w:szCs w:val="21"/>
                <w:highlight w:val="none"/>
              </w:rPr>
              <w:t>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p>
        </w:tc>
      </w:tr>
      <w:tr w14:paraId="03D5BF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00E73D4">
            <w:pPr>
              <w:spacing w:line="360" w:lineRule="auto"/>
              <w:jc w:val="center"/>
              <w:rPr>
                <w:rFonts w:hint="eastAsia" w:ascii="宋体" w:hAnsi="宋体" w:cs="宋体"/>
                <w:color w:val="auto"/>
                <w:szCs w:val="21"/>
                <w:highlight w:val="none"/>
              </w:rPr>
            </w:pPr>
            <w:r>
              <w:rPr>
                <w:rFonts w:ascii="宋体" w:hAnsi="宋体" w:cs="宋体"/>
                <w:color w:val="auto"/>
                <w:szCs w:val="21"/>
                <w:highlight w:val="none"/>
              </w:rPr>
              <w:t>29.1</w:t>
            </w:r>
          </w:p>
        </w:tc>
        <w:tc>
          <w:tcPr>
            <w:tcW w:w="7912" w:type="dxa"/>
            <w:vAlign w:val="center"/>
          </w:tcPr>
          <w:p w14:paraId="157E3621">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 xml:space="preserve">签订合同携带的证明材料： </w:t>
            </w:r>
          </w:p>
          <w:p w14:paraId="25EF469D">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委托代理人负责签订合同的，须携带授权委托书及委托代理人身份证原件等其他资格证件。</w:t>
            </w:r>
          </w:p>
          <w:p w14:paraId="6774B878">
            <w:pPr>
              <w:snapToGrid w:val="0"/>
              <w:spacing w:line="360" w:lineRule="auto"/>
              <w:rPr>
                <w:rFonts w:hint="eastAsia" w:ascii="宋体" w:hAnsi="宋体" w:cs="宋体"/>
                <w:color w:val="auto"/>
                <w:szCs w:val="21"/>
                <w:highlight w:val="none"/>
              </w:rPr>
            </w:pPr>
            <w:r>
              <w:rPr>
                <w:rFonts w:hint="eastAsia" w:ascii="宋体" w:hAnsi="宋体"/>
                <w:color w:val="auto"/>
                <w:szCs w:val="21"/>
                <w:highlight w:val="none"/>
              </w:rPr>
              <w:t>法定代表人负责签订合同的，须携带法定代表人</w:t>
            </w:r>
            <w:r>
              <w:rPr>
                <w:rFonts w:ascii="宋体" w:hAnsi="宋体"/>
                <w:color w:val="auto"/>
                <w:szCs w:val="21"/>
                <w:highlight w:val="none"/>
              </w:rPr>
              <w:t>身份证明原件</w:t>
            </w:r>
            <w:r>
              <w:rPr>
                <w:rFonts w:hint="eastAsia" w:ascii="宋体" w:hAnsi="宋体"/>
                <w:color w:val="auto"/>
                <w:szCs w:val="21"/>
                <w:highlight w:val="none"/>
              </w:rPr>
              <w:t>及</w:t>
            </w:r>
            <w:r>
              <w:rPr>
                <w:rFonts w:ascii="宋体" w:hAnsi="宋体"/>
                <w:color w:val="auto"/>
                <w:szCs w:val="21"/>
                <w:highlight w:val="none"/>
              </w:rPr>
              <w:t>身份证原件</w:t>
            </w:r>
            <w:r>
              <w:rPr>
                <w:rFonts w:hint="eastAsia" w:ascii="宋体" w:hAnsi="宋体"/>
                <w:color w:val="auto"/>
                <w:szCs w:val="21"/>
                <w:highlight w:val="none"/>
              </w:rPr>
              <w:t>等其他证明材料。</w:t>
            </w:r>
          </w:p>
        </w:tc>
      </w:tr>
      <w:tr w14:paraId="6774CD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A28AD71">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1.2</w:t>
            </w:r>
          </w:p>
        </w:tc>
        <w:tc>
          <w:tcPr>
            <w:tcW w:w="7912" w:type="dxa"/>
            <w:vAlign w:val="center"/>
          </w:tcPr>
          <w:p w14:paraId="45929959">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接收质疑函方式：书面形式</w:t>
            </w:r>
          </w:p>
          <w:p w14:paraId="2411C83F">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质疑联系部门及联系方式：云之龙咨询集团有限公司，联系人：李贞，联系电话：</w:t>
            </w:r>
            <w:r>
              <w:rPr>
                <w:rFonts w:ascii="宋体" w:hAnsi="宋体" w:cs="宋体"/>
                <w:color w:val="auto"/>
                <w:szCs w:val="21"/>
                <w:highlight w:val="none"/>
              </w:rPr>
              <w:t xml:space="preserve">0773-2887388  2887399 </w:t>
            </w:r>
            <w:r>
              <w:rPr>
                <w:rFonts w:hint="eastAsia" w:ascii="宋体" w:hAnsi="宋体" w:cs="宋体"/>
                <w:color w:val="auto"/>
                <w:szCs w:val="21"/>
                <w:highlight w:val="none"/>
              </w:rPr>
              <w:t>。通讯地址：广西桂林市临桂区西城北路2号耀辉•美好家园2幢12层1号房。</w:t>
            </w:r>
          </w:p>
          <w:p w14:paraId="593BD55A">
            <w:pPr>
              <w:snapToGrid w:val="0"/>
              <w:spacing w:line="360" w:lineRule="auto"/>
              <w:rPr>
                <w:rFonts w:hint="eastAsia" w:ascii="宋体" w:hAnsi="宋体"/>
                <w:color w:val="auto"/>
                <w:szCs w:val="21"/>
                <w:highlight w:val="none"/>
              </w:rPr>
            </w:pPr>
            <w:r>
              <w:rPr>
                <w:rFonts w:hint="eastAsia" w:ascii="宋体" w:hAnsi="宋体" w:cs="宋体"/>
                <w:color w:val="auto"/>
                <w:szCs w:val="21"/>
                <w:highlight w:val="none"/>
              </w:rPr>
              <w:t>业务时间：工作日每天上午9时</w:t>
            </w:r>
            <w:r>
              <w:rPr>
                <w:rFonts w:ascii="宋体" w:hAnsi="宋体" w:cs="宋体"/>
                <w:color w:val="auto"/>
                <w:szCs w:val="21"/>
                <w:highlight w:val="none"/>
              </w:rPr>
              <w:t>00</w:t>
            </w:r>
            <w:r>
              <w:rPr>
                <w:rFonts w:hint="eastAsia" w:ascii="宋体" w:hAnsi="宋体" w:cs="宋体"/>
                <w:color w:val="auto"/>
                <w:szCs w:val="21"/>
                <w:highlight w:val="none"/>
              </w:rPr>
              <w:t>分到</w:t>
            </w:r>
            <w:r>
              <w:rPr>
                <w:rFonts w:ascii="宋体" w:hAnsi="宋体" w:cs="宋体"/>
                <w:color w:val="auto"/>
                <w:szCs w:val="21"/>
                <w:highlight w:val="none"/>
              </w:rPr>
              <w:t>12</w:t>
            </w:r>
            <w:r>
              <w:rPr>
                <w:rFonts w:hint="eastAsia" w:ascii="宋体" w:hAnsi="宋体" w:cs="宋体"/>
                <w:color w:val="auto"/>
                <w:szCs w:val="21"/>
                <w:highlight w:val="none"/>
              </w:rPr>
              <w:t>时</w:t>
            </w:r>
            <w:r>
              <w:rPr>
                <w:rFonts w:ascii="宋体" w:hAnsi="宋体" w:cs="宋体"/>
                <w:color w:val="auto"/>
                <w:szCs w:val="21"/>
                <w:highlight w:val="none"/>
              </w:rPr>
              <w:t>00</w:t>
            </w:r>
            <w:r>
              <w:rPr>
                <w:rFonts w:hint="eastAsia" w:ascii="宋体" w:hAnsi="宋体" w:cs="宋体"/>
                <w:color w:val="auto"/>
                <w:szCs w:val="21"/>
                <w:highlight w:val="none"/>
              </w:rPr>
              <w:t>分，下午</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时</w:t>
            </w:r>
            <w:r>
              <w:rPr>
                <w:rFonts w:ascii="宋体" w:hAnsi="宋体" w:cs="宋体"/>
                <w:color w:val="auto"/>
                <w:szCs w:val="21"/>
                <w:highlight w:val="none"/>
              </w:rPr>
              <w:t>00</w:t>
            </w:r>
            <w:r>
              <w:rPr>
                <w:rFonts w:hint="eastAsia" w:ascii="宋体" w:hAnsi="宋体" w:cs="宋体"/>
                <w:color w:val="auto"/>
                <w:szCs w:val="21"/>
                <w:highlight w:val="none"/>
              </w:rPr>
              <w:t>分到</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时</w:t>
            </w:r>
            <w:r>
              <w:rPr>
                <w:rFonts w:ascii="宋体" w:hAnsi="宋体" w:cs="宋体"/>
                <w:color w:val="auto"/>
                <w:szCs w:val="21"/>
                <w:highlight w:val="none"/>
              </w:rPr>
              <w:t>00</w:t>
            </w:r>
            <w:r>
              <w:rPr>
                <w:rFonts w:hint="eastAsia" w:ascii="宋体" w:hAnsi="宋体" w:cs="宋体"/>
                <w:color w:val="auto"/>
                <w:szCs w:val="21"/>
                <w:highlight w:val="none"/>
              </w:rPr>
              <w:t>分。</w:t>
            </w:r>
          </w:p>
        </w:tc>
      </w:tr>
      <w:tr w14:paraId="1268FD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70D4DC7">
            <w:pPr>
              <w:spacing w:line="360" w:lineRule="auto"/>
              <w:jc w:val="center"/>
              <w:rPr>
                <w:rFonts w:hint="eastAsia" w:ascii="宋体" w:hAnsi="宋体" w:cs="宋体"/>
                <w:color w:val="auto"/>
                <w:szCs w:val="21"/>
                <w:highlight w:val="none"/>
              </w:rPr>
            </w:pPr>
            <w:r>
              <w:rPr>
                <w:rFonts w:ascii="宋体" w:hAnsi="宋体" w:cs="宋体"/>
                <w:color w:val="auto"/>
                <w:szCs w:val="21"/>
                <w:highlight w:val="none"/>
              </w:rPr>
              <w:t>32.1</w:t>
            </w:r>
          </w:p>
        </w:tc>
        <w:tc>
          <w:tcPr>
            <w:tcW w:w="7912" w:type="dxa"/>
            <w:vAlign w:val="center"/>
          </w:tcPr>
          <w:p w14:paraId="246D79C0">
            <w:pPr>
              <w:pStyle w:val="27"/>
              <w:snapToGrid w:val="0"/>
              <w:spacing w:line="390" w:lineRule="exact"/>
              <w:rPr>
                <w:rFonts w:hint="eastAsia" w:hAnsi="宋体"/>
                <w:color w:val="auto"/>
                <w:sz w:val="21"/>
                <w:highlight w:val="none"/>
              </w:rPr>
            </w:pPr>
            <w:r>
              <w:rPr>
                <w:rFonts w:hint="eastAsia" w:hAnsi="宋体"/>
                <w:color w:val="auto"/>
                <w:sz w:val="21"/>
                <w:highlight w:val="none"/>
              </w:rPr>
              <w:t>1.采购代理费支付方式：</w:t>
            </w:r>
          </w:p>
          <w:p w14:paraId="16E485E8">
            <w:pPr>
              <w:pStyle w:val="27"/>
              <w:snapToGrid w:val="0"/>
              <w:spacing w:line="390" w:lineRule="exact"/>
              <w:rPr>
                <w:rFonts w:hint="eastAsia" w:hAnsi="宋体"/>
                <w:color w:val="auto"/>
                <w:sz w:val="21"/>
                <w:highlight w:val="none"/>
              </w:rPr>
            </w:pPr>
            <w:r>
              <w:rPr>
                <w:rFonts w:hAnsi="宋体"/>
                <w:color w:val="auto"/>
                <w:sz w:val="21"/>
                <w:highlight w:val="none"/>
              </w:rPr>
              <w:sym w:font="Wingdings" w:char="00FE"/>
            </w:r>
            <w:r>
              <w:rPr>
                <w:rFonts w:hint="eastAsia" w:hAnsi="宋体"/>
                <w:color w:val="auto"/>
                <w:sz w:val="21"/>
                <w:highlight w:val="none"/>
              </w:rPr>
              <w:t>本项目代理服务费由成交供应商一次性向采购代理机构支付。</w:t>
            </w:r>
          </w:p>
          <w:p w14:paraId="57F1CFE0">
            <w:pPr>
              <w:pStyle w:val="27"/>
              <w:snapToGrid w:val="0"/>
              <w:spacing w:line="390" w:lineRule="exact"/>
              <w:rPr>
                <w:rFonts w:hint="eastAsia" w:hAnsi="宋体"/>
                <w:color w:val="auto"/>
                <w:sz w:val="21"/>
                <w:highlight w:val="none"/>
              </w:rPr>
            </w:pPr>
            <w:r>
              <w:rPr>
                <w:rFonts w:hint="eastAsia" w:hAnsi="宋体"/>
                <w:color w:val="auto"/>
                <w:sz w:val="21"/>
                <w:highlight w:val="none"/>
              </w:rPr>
              <w:t>□采购人支付。</w:t>
            </w:r>
          </w:p>
          <w:p w14:paraId="72C09FDC">
            <w:pPr>
              <w:pStyle w:val="27"/>
              <w:snapToGrid w:val="0"/>
              <w:spacing w:line="390" w:lineRule="exact"/>
              <w:rPr>
                <w:rFonts w:hint="eastAsia" w:hAnsi="宋体"/>
                <w:color w:val="auto"/>
                <w:sz w:val="21"/>
                <w:highlight w:val="none"/>
              </w:rPr>
            </w:pPr>
            <w:r>
              <w:rPr>
                <w:rFonts w:hint="eastAsia" w:hAnsi="宋体"/>
                <w:color w:val="auto"/>
                <w:sz w:val="21"/>
                <w:highlight w:val="none"/>
              </w:rPr>
              <w:t>2.采购代理费收取标准：</w:t>
            </w:r>
          </w:p>
          <w:p w14:paraId="62C1B2CE">
            <w:pPr>
              <w:pStyle w:val="27"/>
              <w:snapToGrid w:val="0"/>
              <w:spacing w:line="390" w:lineRule="exact"/>
              <w:rPr>
                <w:rFonts w:hint="eastAsia" w:hAnsi="宋体"/>
                <w:color w:val="auto"/>
                <w:sz w:val="21"/>
                <w:highlight w:val="none"/>
              </w:rPr>
            </w:pPr>
            <w:r>
              <w:rPr>
                <w:rFonts w:hAnsi="宋体"/>
                <w:color w:val="auto"/>
                <w:sz w:val="21"/>
                <w:highlight w:val="none"/>
              </w:rPr>
              <w:sym w:font="Wingdings" w:char="00FE"/>
            </w:r>
            <w:r>
              <w:rPr>
                <w:rFonts w:hint="eastAsia" w:hAnsi="宋体"/>
                <w:color w:val="auto"/>
                <w:sz w:val="21"/>
                <w:highlight w:val="none"/>
              </w:rPr>
              <w:t>本项目代理服务费以成交金额为计费额，</w:t>
            </w:r>
            <w:r>
              <w:rPr>
                <w:rFonts w:hint="eastAsia" w:hAnsi="宋体"/>
                <w:color w:val="auto"/>
                <w:sz w:val="21"/>
                <w:highlight w:val="none"/>
                <w:lang w:eastAsia="zh-CN"/>
              </w:rPr>
              <w:t>在</w:t>
            </w:r>
            <w:r>
              <w:rPr>
                <w:rFonts w:hAnsi="宋体"/>
                <w:color w:val="auto"/>
                <w:sz w:val="21"/>
                <w:highlight w:val="none"/>
              </w:rPr>
              <w:t>《广西壮族自治区工程建设其他费用定额》（桂建标〔2018〕37号）标准费率</w:t>
            </w:r>
            <w:r>
              <w:rPr>
                <w:rFonts w:hint="eastAsia" w:hAnsi="宋体"/>
                <w:color w:val="auto"/>
                <w:sz w:val="21"/>
                <w:highlight w:val="none"/>
                <w:lang w:eastAsia="zh-CN"/>
              </w:rPr>
              <w:t>基础上</w:t>
            </w:r>
            <w:r>
              <w:rPr>
                <w:rFonts w:hint="eastAsia" w:hAnsi="宋体"/>
                <w:color w:val="auto"/>
                <w:sz w:val="21"/>
                <w:highlight w:val="none"/>
              </w:rPr>
              <w:t>，按照供应商须知正文第32.2条规定的工程类标准采用差额定率累进法计算出收费基准价格，采购代理收费以收费基准价格下浮30%收取。</w:t>
            </w:r>
          </w:p>
          <w:p w14:paraId="3BF57AA7">
            <w:pPr>
              <w:pStyle w:val="27"/>
              <w:snapToGrid w:val="0"/>
              <w:spacing w:line="390" w:lineRule="exact"/>
              <w:rPr>
                <w:rFonts w:hint="eastAsia" w:hAnsi="宋体"/>
                <w:color w:val="auto"/>
                <w:sz w:val="21"/>
                <w:highlight w:val="none"/>
              </w:rPr>
            </w:pPr>
            <w:r>
              <w:rPr>
                <w:rFonts w:hint="eastAsia" w:hAnsi="宋体"/>
                <w:color w:val="auto"/>
                <w:sz w:val="21"/>
                <w:highlight w:val="none"/>
              </w:rPr>
              <w:t>□固定采购代理收费</w:t>
            </w:r>
            <w:r>
              <w:rPr>
                <w:rFonts w:hint="eastAsia" w:hAnsi="宋体"/>
                <w:color w:val="auto"/>
                <w:sz w:val="21"/>
                <w:highlight w:val="none"/>
                <w:u w:val="single"/>
              </w:rPr>
              <w:t xml:space="preserve">              </w:t>
            </w:r>
            <w:r>
              <w:rPr>
                <w:rFonts w:hint="eastAsia" w:hAnsi="宋体"/>
                <w:color w:val="auto"/>
                <w:sz w:val="21"/>
                <w:highlight w:val="none"/>
              </w:rPr>
              <w:t>。</w:t>
            </w:r>
          </w:p>
          <w:p w14:paraId="536F2F22">
            <w:pPr>
              <w:pStyle w:val="27"/>
              <w:snapToGrid w:val="0"/>
              <w:spacing w:line="390" w:lineRule="exact"/>
              <w:rPr>
                <w:rFonts w:hint="eastAsia" w:hAnsi="宋体"/>
                <w:color w:val="auto"/>
                <w:sz w:val="21"/>
                <w:highlight w:val="none"/>
              </w:rPr>
            </w:pPr>
            <w:r>
              <w:rPr>
                <w:rFonts w:hint="eastAsia" w:hAnsi="宋体"/>
                <w:color w:val="auto"/>
                <w:sz w:val="21"/>
                <w:highlight w:val="none"/>
              </w:rPr>
              <w:t>3. 采购代理费收取银行账户</w:t>
            </w:r>
          </w:p>
          <w:p w14:paraId="6B701CB7">
            <w:pPr>
              <w:pStyle w:val="27"/>
              <w:snapToGrid w:val="0"/>
              <w:spacing w:line="390" w:lineRule="exact"/>
              <w:rPr>
                <w:rFonts w:hint="eastAsia" w:hAnsi="宋体"/>
                <w:color w:val="auto"/>
                <w:sz w:val="21"/>
                <w:highlight w:val="none"/>
              </w:rPr>
            </w:pPr>
            <w:r>
              <w:rPr>
                <w:rFonts w:hint="eastAsia" w:hAnsi="宋体"/>
                <w:color w:val="auto"/>
                <w:sz w:val="21"/>
                <w:highlight w:val="none"/>
              </w:rPr>
              <w:t>开户名称：云之龙咨询集团有限公司桂林分公司</w:t>
            </w:r>
          </w:p>
          <w:p w14:paraId="470A91DD">
            <w:pPr>
              <w:pStyle w:val="27"/>
              <w:snapToGrid w:val="0"/>
              <w:spacing w:line="390" w:lineRule="exact"/>
              <w:rPr>
                <w:rFonts w:hint="eastAsia" w:hAnsi="宋体"/>
                <w:color w:val="auto"/>
                <w:sz w:val="21"/>
                <w:highlight w:val="none"/>
              </w:rPr>
            </w:pPr>
            <w:r>
              <w:rPr>
                <w:rFonts w:hint="eastAsia" w:hAnsi="宋体"/>
                <w:color w:val="auto"/>
                <w:sz w:val="21"/>
                <w:highlight w:val="none"/>
              </w:rPr>
              <w:t>开户银行： 中信银行股份有限公司南宁东葛支行</w:t>
            </w:r>
          </w:p>
          <w:p w14:paraId="7B8AAF03">
            <w:pPr>
              <w:pStyle w:val="27"/>
              <w:snapToGrid w:val="0"/>
              <w:spacing w:line="390" w:lineRule="exact"/>
              <w:rPr>
                <w:rFonts w:hint="eastAsia" w:hAnsi="宋体"/>
                <w:color w:val="auto"/>
                <w:sz w:val="21"/>
                <w:highlight w:val="none"/>
              </w:rPr>
            </w:pPr>
            <w:r>
              <w:rPr>
                <w:rFonts w:hint="eastAsia" w:hAnsi="宋体"/>
                <w:color w:val="auto"/>
                <w:sz w:val="21"/>
                <w:highlight w:val="none"/>
              </w:rPr>
              <w:t>银行账号：8113001014300158041</w:t>
            </w:r>
          </w:p>
        </w:tc>
      </w:tr>
      <w:tr w14:paraId="4070DE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0C76CB7">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3.1</w:t>
            </w:r>
          </w:p>
        </w:tc>
        <w:tc>
          <w:tcPr>
            <w:tcW w:w="7912" w:type="dxa"/>
            <w:vAlign w:val="center"/>
          </w:tcPr>
          <w:p w14:paraId="5DA28FBB">
            <w:pPr>
              <w:pStyle w:val="27"/>
              <w:snapToGrid w:val="0"/>
              <w:spacing w:line="390" w:lineRule="exact"/>
              <w:rPr>
                <w:rFonts w:hint="eastAsia" w:hAnsi="宋体"/>
                <w:color w:val="auto"/>
                <w:kern w:val="2"/>
                <w:sz w:val="21"/>
                <w:highlight w:val="none"/>
              </w:rPr>
            </w:pPr>
            <w:r>
              <w:rPr>
                <w:rFonts w:hint="eastAsia" w:hAnsi="宋体"/>
                <w:color w:val="auto"/>
                <w:sz w:val="21"/>
                <w:highlight w:val="none"/>
              </w:rPr>
              <w:t>解释：</w:t>
            </w:r>
            <w:r>
              <w:rPr>
                <w:rFonts w:hAnsi="宋体"/>
                <w:color w:val="auto"/>
                <w:sz w:val="21"/>
                <w:highlight w:val="none"/>
              </w:rPr>
              <w:t>构成本</w:t>
            </w:r>
            <w:r>
              <w:rPr>
                <w:rFonts w:hint="eastAsia" w:hAnsi="宋体"/>
                <w:color w:val="auto"/>
                <w:sz w:val="21"/>
                <w:highlight w:val="none"/>
              </w:rPr>
              <w:t>磋商文件</w:t>
            </w:r>
            <w:r>
              <w:rPr>
                <w:rFonts w:hAnsi="宋体"/>
                <w:color w:val="auto"/>
                <w:sz w:val="21"/>
                <w:highlight w:val="none"/>
              </w:rPr>
              <w:t>的各个组成文件应互为解释，互为说明；除</w:t>
            </w:r>
            <w:r>
              <w:rPr>
                <w:rFonts w:hint="eastAsia" w:hAnsi="宋体"/>
                <w:color w:val="auto"/>
                <w:sz w:val="21"/>
                <w:highlight w:val="none"/>
              </w:rPr>
              <w:t>磋商文件</w:t>
            </w:r>
            <w:r>
              <w:rPr>
                <w:rFonts w:hAnsi="宋体"/>
                <w:color w:val="auto"/>
                <w:sz w:val="21"/>
                <w:highlight w:val="none"/>
              </w:rPr>
              <w:t>中有特别规定外，仅适用于</w:t>
            </w:r>
            <w:r>
              <w:rPr>
                <w:rFonts w:hint="eastAsia" w:hAnsi="宋体"/>
                <w:color w:val="auto"/>
                <w:sz w:val="21"/>
                <w:highlight w:val="none"/>
              </w:rPr>
              <w:t>竞标</w:t>
            </w:r>
            <w:r>
              <w:rPr>
                <w:rFonts w:hAnsi="宋体"/>
                <w:color w:val="auto"/>
                <w:sz w:val="21"/>
                <w:highlight w:val="none"/>
              </w:rPr>
              <w:t>阶段的规定，按</w:t>
            </w:r>
            <w:r>
              <w:rPr>
                <w:rFonts w:hint="eastAsia" w:hAnsi="宋体"/>
                <w:color w:val="auto"/>
                <w:sz w:val="21"/>
                <w:highlight w:val="none"/>
              </w:rPr>
              <w:t>更正公告（澄清公告）</w:t>
            </w:r>
            <w:r>
              <w:rPr>
                <w:rFonts w:hAnsi="宋体"/>
                <w:color w:val="auto"/>
                <w:sz w:val="21"/>
                <w:highlight w:val="none"/>
              </w:rPr>
              <w:t>、</w:t>
            </w:r>
            <w:r>
              <w:rPr>
                <w:rFonts w:hint="eastAsia" w:hAnsi="宋体"/>
                <w:color w:val="auto"/>
                <w:sz w:val="21"/>
                <w:highlight w:val="none"/>
              </w:rPr>
              <w:t>竞争性磋商</w:t>
            </w:r>
            <w:r>
              <w:rPr>
                <w:rFonts w:hAnsi="宋体"/>
                <w:color w:val="auto"/>
                <w:sz w:val="21"/>
                <w:highlight w:val="none"/>
              </w:rPr>
              <w:t>公告、</w:t>
            </w:r>
            <w:r>
              <w:rPr>
                <w:rFonts w:hint="eastAsia" w:hAnsi="宋体"/>
                <w:color w:val="auto"/>
                <w:sz w:val="21"/>
                <w:highlight w:val="none"/>
              </w:rPr>
              <w:t>供应商</w:t>
            </w:r>
            <w:r>
              <w:rPr>
                <w:rFonts w:hAnsi="宋体"/>
                <w:color w:val="auto"/>
                <w:sz w:val="21"/>
                <w:highlight w:val="none"/>
              </w:rPr>
              <w:t>须知</w:t>
            </w:r>
            <w:r>
              <w:rPr>
                <w:rFonts w:hint="eastAsia" w:hAnsi="宋体"/>
                <w:color w:val="auto"/>
                <w:sz w:val="21"/>
                <w:highlight w:val="none"/>
              </w:rPr>
              <w:t>、采购需求</w:t>
            </w:r>
            <w:r>
              <w:rPr>
                <w:rFonts w:hAnsi="宋体"/>
                <w:color w:val="auto"/>
                <w:sz w:val="21"/>
                <w:highlight w:val="none"/>
              </w:rPr>
              <w:t>、</w:t>
            </w:r>
            <w:r>
              <w:rPr>
                <w:rFonts w:hint="eastAsia"/>
                <w:color w:val="auto"/>
                <w:sz w:val="21"/>
                <w:highlight w:val="none"/>
              </w:rPr>
              <w:t>评审程序、评审方法和评审标准</w:t>
            </w:r>
            <w:r>
              <w:rPr>
                <w:rFonts w:hAnsi="宋体"/>
                <w:color w:val="auto"/>
                <w:sz w:val="21"/>
                <w:highlight w:val="none"/>
              </w:rPr>
              <w:t>、</w:t>
            </w:r>
            <w:r>
              <w:rPr>
                <w:rFonts w:hint="eastAsia" w:hAnsi="宋体"/>
                <w:color w:val="auto"/>
                <w:sz w:val="21"/>
                <w:highlight w:val="none"/>
              </w:rPr>
              <w:t>响应</w:t>
            </w:r>
            <w:r>
              <w:rPr>
                <w:rFonts w:hAnsi="宋体"/>
                <w:color w:val="auto"/>
                <w:sz w:val="21"/>
                <w:highlight w:val="none"/>
              </w:rPr>
              <w:t>文件格式</w:t>
            </w:r>
            <w:r>
              <w:rPr>
                <w:rFonts w:hint="eastAsia" w:hAnsi="宋体"/>
                <w:color w:val="auto"/>
                <w:sz w:val="21"/>
                <w:highlight w:val="none"/>
              </w:rPr>
              <w:t>、合同文本</w:t>
            </w:r>
            <w:r>
              <w:rPr>
                <w:rFonts w:hAnsi="宋体"/>
                <w:color w:val="auto"/>
                <w:sz w:val="21"/>
                <w:highlight w:val="none"/>
              </w:rPr>
              <w:t>的先后顺序解释；同一组成文件中就同一事项的规定或者约定不一致的，以编排顺序在后者为准；同一组成文件不同版本之间有不一致的，以形成时间在后者为准；</w:t>
            </w:r>
            <w:r>
              <w:rPr>
                <w:rFonts w:hint="eastAsia" w:hAnsi="宋体"/>
                <w:color w:val="auto"/>
                <w:sz w:val="21"/>
                <w:highlight w:val="none"/>
              </w:rPr>
              <w:t>更正公告（澄清公告）</w:t>
            </w:r>
            <w:r>
              <w:rPr>
                <w:rFonts w:hAnsi="宋体"/>
                <w:color w:val="auto"/>
                <w:sz w:val="21"/>
                <w:highlight w:val="none"/>
              </w:rPr>
              <w:t>与同步更新的</w:t>
            </w:r>
            <w:r>
              <w:rPr>
                <w:rFonts w:hint="eastAsia" w:hAnsi="宋体"/>
                <w:color w:val="auto"/>
                <w:sz w:val="21"/>
                <w:highlight w:val="none"/>
              </w:rPr>
              <w:t>磋商文件</w:t>
            </w:r>
            <w:r>
              <w:rPr>
                <w:rFonts w:hAnsi="宋体"/>
                <w:color w:val="auto"/>
                <w:sz w:val="21"/>
                <w:highlight w:val="none"/>
              </w:rPr>
              <w:t>不一致时以</w:t>
            </w:r>
            <w:r>
              <w:rPr>
                <w:rFonts w:hint="eastAsia" w:hAnsi="宋体"/>
                <w:color w:val="auto"/>
                <w:sz w:val="21"/>
                <w:highlight w:val="none"/>
              </w:rPr>
              <w:t>更正公告（澄清公告）</w:t>
            </w:r>
            <w:r>
              <w:rPr>
                <w:rFonts w:hAnsi="宋体"/>
                <w:color w:val="auto"/>
                <w:sz w:val="21"/>
                <w:highlight w:val="none"/>
              </w:rPr>
              <w:t>为准。按本款前述规定仍不能形成结论的，由</w:t>
            </w:r>
            <w:r>
              <w:rPr>
                <w:rFonts w:hint="eastAsia" w:hAnsi="宋体"/>
                <w:color w:val="auto"/>
                <w:sz w:val="21"/>
                <w:highlight w:val="none"/>
              </w:rPr>
              <w:t>采购</w:t>
            </w:r>
            <w:r>
              <w:rPr>
                <w:rFonts w:hAnsi="宋体"/>
                <w:color w:val="auto"/>
                <w:sz w:val="21"/>
                <w:highlight w:val="none"/>
              </w:rPr>
              <w:t>人</w:t>
            </w:r>
            <w:r>
              <w:rPr>
                <w:rFonts w:hint="eastAsia" w:hAnsi="宋体"/>
                <w:color w:val="auto"/>
                <w:sz w:val="21"/>
                <w:highlight w:val="none"/>
              </w:rPr>
              <w:t>或者采购代理机构</w:t>
            </w:r>
            <w:r>
              <w:rPr>
                <w:rFonts w:hAnsi="宋体"/>
                <w:color w:val="auto"/>
                <w:sz w:val="21"/>
                <w:highlight w:val="none"/>
              </w:rPr>
              <w:t>负责解释。</w:t>
            </w:r>
          </w:p>
        </w:tc>
      </w:tr>
      <w:tr w14:paraId="3A2648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50D73AF">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33.2</w:t>
            </w:r>
          </w:p>
        </w:tc>
        <w:tc>
          <w:tcPr>
            <w:tcW w:w="7912" w:type="dxa"/>
            <w:vAlign w:val="center"/>
          </w:tcPr>
          <w:p w14:paraId="301BEB80">
            <w:pPr>
              <w:pStyle w:val="27"/>
              <w:snapToGrid w:val="0"/>
              <w:spacing w:line="390" w:lineRule="exact"/>
              <w:rPr>
                <w:rFonts w:hint="eastAsia" w:hAnsi="宋体"/>
                <w:color w:val="auto"/>
                <w:sz w:val="21"/>
                <w:highlight w:val="none"/>
              </w:rPr>
            </w:pPr>
            <w:r>
              <w:rPr>
                <w:rFonts w:hint="eastAsia" w:hAnsi="宋体"/>
                <w:color w:val="auto"/>
                <w:sz w:val="21"/>
                <w:highlight w:val="none"/>
              </w:rPr>
              <w:t>农民工工资保证金：按照《保障农民工工资支付条例》及《广西壮族自治区人力资源和社会保障厅等8部门关于印发广西壮族自治区工程建设领域农民工工资专用账户管理暂行办法实施细则的通知》（桂人社规〔2022〕5号）有关规定执行。如开设了农民工工资专用账户的，应按规定比例足额将农民工工资保证金存入</w:t>
            </w:r>
            <w:r>
              <w:rPr>
                <w:rFonts w:hint="eastAsia" w:hAnsi="宋体"/>
                <w:color w:val="auto"/>
                <w:sz w:val="21"/>
                <w:highlight w:val="none"/>
                <w:lang w:eastAsia="zh-CN"/>
              </w:rPr>
              <w:t>账户</w:t>
            </w:r>
            <w:r>
              <w:rPr>
                <w:rFonts w:hint="eastAsia" w:hAnsi="宋体"/>
                <w:color w:val="auto"/>
                <w:sz w:val="21"/>
                <w:highlight w:val="none"/>
              </w:rPr>
              <w:t>，也可以使用银行保函。工程竣工验收结算经审定后，按照规定程序，将农民工工资保证金没有使用或剩余的金额退还给承包人。</w:t>
            </w:r>
          </w:p>
        </w:tc>
      </w:tr>
      <w:tr w14:paraId="1901F5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9BF9B2B">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3.</w:t>
            </w:r>
            <w:r>
              <w:rPr>
                <w:rFonts w:hint="eastAsia" w:ascii="宋体" w:hAnsi="宋体" w:cs="宋体"/>
                <w:color w:val="auto"/>
                <w:szCs w:val="21"/>
                <w:highlight w:val="none"/>
              </w:rPr>
              <w:t>3</w:t>
            </w:r>
          </w:p>
        </w:tc>
        <w:tc>
          <w:tcPr>
            <w:tcW w:w="7912" w:type="dxa"/>
            <w:vAlign w:val="center"/>
          </w:tcPr>
          <w:p w14:paraId="76B0BDE6">
            <w:pPr>
              <w:pStyle w:val="27"/>
              <w:snapToGrid w:val="0"/>
              <w:spacing w:line="390" w:lineRule="exact"/>
              <w:rPr>
                <w:rFonts w:hint="eastAsia" w:hAnsi="宋体"/>
                <w:color w:val="auto"/>
                <w:sz w:val="21"/>
                <w:highlight w:val="none"/>
              </w:rPr>
            </w:pPr>
            <w:r>
              <w:rPr>
                <w:rFonts w:hint="eastAsia" w:hAnsi="宋体"/>
                <w:color w:val="auto"/>
                <w:sz w:val="21"/>
                <w:highlight w:val="none"/>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7572155D">
            <w:pPr>
              <w:pStyle w:val="27"/>
              <w:snapToGrid w:val="0"/>
              <w:spacing w:line="390" w:lineRule="exact"/>
              <w:rPr>
                <w:rFonts w:hint="eastAsia" w:hAnsi="宋体"/>
                <w:color w:val="auto"/>
                <w:sz w:val="21"/>
                <w:highlight w:val="none"/>
              </w:rPr>
            </w:pPr>
            <w:r>
              <w:rPr>
                <w:rFonts w:hint="eastAsia" w:hAnsi="宋体"/>
                <w:color w:val="auto"/>
                <w:sz w:val="21"/>
                <w:highlight w:val="none"/>
              </w:rPr>
              <w:t>2.本磋商文件所称的“电子签章”、“电子签名”，是指经广西政府采购云平台认可的CA认证的电子签名数据为表现形式的印章，可用于签署电子响应文件，电子印章与实物印章具有同等法律效力，不因其采用电子化表现形式而否定其法律效力。</w:t>
            </w:r>
          </w:p>
          <w:p w14:paraId="34AA97E2">
            <w:pPr>
              <w:pStyle w:val="27"/>
              <w:snapToGrid w:val="0"/>
              <w:spacing w:line="390" w:lineRule="exact"/>
              <w:rPr>
                <w:rFonts w:hint="eastAsia" w:hAnsi="宋体"/>
                <w:color w:val="auto"/>
                <w:sz w:val="21"/>
                <w:highlight w:val="none"/>
              </w:rPr>
            </w:pPr>
            <w:r>
              <w:rPr>
                <w:rFonts w:hAnsi="宋体"/>
                <w:color w:val="auto"/>
                <w:sz w:val="21"/>
                <w:highlight w:val="none"/>
              </w:rPr>
              <w:t>3</w:t>
            </w:r>
            <w:r>
              <w:rPr>
                <w:rFonts w:hint="eastAsia" w:hAnsi="宋体"/>
                <w:color w:val="auto"/>
                <w:sz w:val="21"/>
                <w:highlight w:val="none"/>
              </w:rPr>
              <w:t>.供应商为其他组织时，本磋商文件规定的法定代表人指负责人。本磋商文件所称负责人是指参加竞标的其他组织营业执照或者执业许可证等证照上的负责人。</w:t>
            </w:r>
          </w:p>
          <w:p w14:paraId="0F917FC3">
            <w:pPr>
              <w:pStyle w:val="27"/>
              <w:snapToGrid w:val="0"/>
              <w:spacing w:line="390" w:lineRule="exact"/>
              <w:rPr>
                <w:rFonts w:hint="eastAsia" w:hAnsi="宋体"/>
                <w:color w:val="auto"/>
                <w:sz w:val="21"/>
                <w:highlight w:val="none"/>
              </w:rPr>
            </w:pPr>
            <w:r>
              <w:rPr>
                <w:rFonts w:hAnsi="宋体"/>
                <w:color w:val="auto"/>
                <w:sz w:val="21"/>
                <w:highlight w:val="none"/>
              </w:rPr>
              <w:t>4.</w:t>
            </w:r>
            <w:r>
              <w:rPr>
                <w:rFonts w:hint="eastAsia" w:hAnsi="宋体"/>
                <w:color w:val="auto"/>
                <w:sz w:val="21"/>
                <w:highlight w:val="none"/>
              </w:rPr>
              <w:t>本磋商文件中描述供应商的“签字”是指供应商的法定代表人或者委托代理人亲自在文件规定签署处亲笔写上个人的名字的行为，私章、签字章、印鉴、影印等其他形式均不能代替亲笔签字。</w:t>
            </w:r>
          </w:p>
          <w:p w14:paraId="5BDF1A54">
            <w:pPr>
              <w:pStyle w:val="27"/>
              <w:snapToGrid w:val="0"/>
              <w:spacing w:line="390" w:lineRule="exact"/>
              <w:rPr>
                <w:rFonts w:hint="eastAsia" w:hAnsi="宋体"/>
                <w:color w:val="auto"/>
                <w:sz w:val="21"/>
                <w:highlight w:val="none"/>
              </w:rPr>
            </w:pPr>
            <w:r>
              <w:rPr>
                <w:rFonts w:hint="eastAsia" w:hAnsi="宋体"/>
                <w:color w:val="auto"/>
                <w:sz w:val="21"/>
                <w:highlight w:val="none"/>
              </w:rPr>
              <w:t>5</w:t>
            </w:r>
            <w:r>
              <w:rPr>
                <w:rFonts w:hAnsi="宋体"/>
                <w:color w:val="auto"/>
                <w:sz w:val="21"/>
                <w:highlight w:val="none"/>
              </w:rPr>
              <w:t>.</w:t>
            </w:r>
            <w:r>
              <w:rPr>
                <w:rFonts w:hint="eastAsia" w:hAnsi="宋体"/>
                <w:color w:val="auto"/>
                <w:sz w:val="21"/>
                <w:highlight w:val="none"/>
              </w:rPr>
              <w:t>本磋商文件所称的“以上”“以下”“以内”“届满”，包括本数；所称的“不满”“超过”“以外”，不包括本数。</w:t>
            </w:r>
          </w:p>
        </w:tc>
      </w:tr>
    </w:tbl>
    <w:p w14:paraId="7B242E65">
      <w:pPr>
        <w:spacing w:line="400" w:lineRule="exact"/>
        <w:jc w:val="center"/>
        <w:rPr>
          <w:rFonts w:hint="eastAsia" w:ascii="宋体" w:hAnsi="宋体"/>
          <w:b/>
          <w:color w:val="auto"/>
          <w:sz w:val="32"/>
          <w:szCs w:val="32"/>
          <w:highlight w:val="none"/>
        </w:rPr>
      </w:pPr>
      <w:r>
        <w:rPr>
          <w:rFonts w:ascii="宋体" w:hAnsi="宋体"/>
          <w:b/>
          <w:color w:val="auto"/>
          <w:sz w:val="32"/>
          <w:szCs w:val="32"/>
          <w:highlight w:val="none"/>
        </w:rPr>
        <w:br w:type="page"/>
      </w:r>
      <w:r>
        <w:rPr>
          <w:rFonts w:hint="eastAsia" w:ascii="宋体" w:hAnsi="宋体"/>
          <w:b/>
          <w:color w:val="auto"/>
          <w:sz w:val="32"/>
          <w:szCs w:val="32"/>
          <w:highlight w:val="none"/>
        </w:rPr>
        <w:t>供应商须知正文</w:t>
      </w:r>
    </w:p>
    <w:p w14:paraId="3614DDFD">
      <w:pPr>
        <w:spacing w:line="400" w:lineRule="exact"/>
        <w:jc w:val="center"/>
        <w:rPr>
          <w:rFonts w:hint="eastAsia" w:ascii="宋体" w:hAnsi="宋体"/>
          <w:b/>
          <w:color w:val="auto"/>
          <w:sz w:val="32"/>
          <w:szCs w:val="32"/>
          <w:highlight w:val="none"/>
        </w:rPr>
      </w:pPr>
    </w:p>
    <w:p w14:paraId="59951225">
      <w:pPr>
        <w:spacing w:line="40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一、总则</w:t>
      </w:r>
    </w:p>
    <w:p w14:paraId="46E5EA1C">
      <w:pPr>
        <w:spacing w:line="400" w:lineRule="exact"/>
        <w:rPr>
          <w:rFonts w:hint="eastAsia" w:ascii="宋体" w:hAnsi="宋体"/>
          <w:color w:val="auto"/>
          <w:szCs w:val="21"/>
          <w:highlight w:val="none"/>
        </w:rPr>
      </w:pPr>
    </w:p>
    <w:p w14:paraId="7D5317C0">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1.适用范围</w:t>
      </w:r>
    </w:p>
    <w:p w14:paraId="77C309F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1.1本项目采购人、采购代理机构、供应商、磋商小组的相关行为均受《中华人民共和国政府采购法》《中华人民共和国政府采购法实施条例》</w:t>
      </w:r>
      <w:r>
        <w:rPr>
          <w:rFonts w:hint="eastAsia" w:ascii="宋体" w:hAnsi="宋体"/>
          <w:color w:val="auto"/>
          <w:szCs w:val="21"/>
          <w:highlight w:val="none"/>
        </w:rPr>
        <w:t>《政府采购竞争性磋商采购方式管理暂行办法》《财政部关于政府采购竞争性磋商采购方式管理暂行办法有关问题的补充通知》</w:t>
      </w:r>
      <w:r>
        <w:rPr>
          <w:rFonts w:hint="eastAsia" w:ascii="宋体" w:hAnsi="宋体" w:cs="宋体"/>
          <w:color w:val="auto"/>
          <w:szCs w:val="21"/>
          <w:highlight w:val="none"/>
        </w:rPr>
        <w:t>及本项目本级和上级财政部门政府采购有关规定的约束和保护。</w:t>
      </w:r>
    </w:p>
    <w:p w14:paraId="10618A0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1.2本竞争性磋商文件（以下简称磋商文件）适用于本项目的所有采购程序和环节（法律、法规另有规定的，从其规定）</w:t>
      </w:r>
      <w:r>
        <w:rPr>
          <w:rFonts w:hint="eastAsia" w:ascii="宋体" w:hAnsi="宋体" w:cs="宋体"/>
          <w:color w:val="auto"/>
          <w:spacing w:val="-6"/>
          <w:szCs w:val="21"/>
          <w:highlight w:val="none"/>
        </w:rPr>
        <w:t>。</w:t>
      </w:r>
    </w:p>
    <w:p w14:paraId="08F89419">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2.定义</w:t>
      </w:r>
    </w:p>
    <w:p w14:paraId="435631F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2.1“采购人”是指依法进行政府采购的国家机关、事业单位、团体组织。</w:t>
      </w:r>
    </w:p>
    <w:p w14:paraId="5CC88582">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2.2“采购代理机构”是指政府采购集中采购机构和集中采购机构以外的采购代理机构。</w:t>
      </w:r>
    </w:p>
    <w:p w14:paraId="13B6BAD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2.3“供应商”是指向采购人提供货物、工程或者服务的法人、其他组织或者自然人。</w:t>
      </w:r>
    </w:p>
    <w:p w14:paraId="6429E806">
      <w:pPr>
        <w:spacing w:line="360" w:lineRule="auto"/>
        <w:ind w:firstLine="420" w:firstLineChars="200"/>
        <w:rPr>
          <w:rFonts w:hint="eastAsia" w:ascii="宋体" w:hAnsi="宋体" w:cs="宋体"/>
          <w:color w:val="auto"/>
          <w:szCs w:val="21"/>
          <w:highlight w:val="none"/>
        </w:rPr>
      </w:pPr>
      <w:r>
        <w:rPr>
          <w:rFonts w:hint="eastAsia" w:ascii="宋体" w:hAnsi="宋体"/>
          <w:color w:val="auto"/>
          <w:szCs w:val="21"/>
          <w:highlight w:val="none"/>
        </w:rPr>
        <w:t>2.4“工程”是指建设工程，包括建筑物和构筑物的新建、改建、扩建、装修、拆除、修缮等。</w:t>
      </w:r>
    </w:p>
    <w:p w14:paraId="36B710F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5</w:t>
      </w:r>
      <w:r>
        <w:rPr>
          <w:rFonts w:hint="eastAsia" w:ascii="宋体" w:hAnsi="宋体" w:cs="宋体"/>
          <w:color w:val="auto"/>
          <w:szCs w:val="21"/>
          <w:highlight w:val="none"/>
        </w:rPr>
        <w:t>“竞标”是指供应商按照本项目竞争性磋商公告规定的方式获取磋商文件、提交响应文件并希望获得标的的行为。</w:t>
      </w:r>
    </w:p>
    <w:p w14:paraId="28118A1A">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2.6“书面形式”是指合同书、信件和数据电文（包括电报、电传、传真、电子数据交换和电子邮件）等可以有形地表现所载内容的形式。</w:t>
      </w:r>
    </w:p>
    <w:p w14:paraId="43EBC2CA">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2.7“响应文件”是指：供应商根据本磋商文件要求，编制包含资格证明、报价、商务技术等所有内容的文件</w:t>
      </w:r>
      <w:r>
        <w:rPr>
          <w:rFonts w:hint="eastAsia" w:ascii="宋体" w:hAnsi="宋体" w:cs="宋体"/>
          <w:color w:val="auto"/>
          <w:spacing w:val="-6"/>
          <w:szCs w:val="21"/>
          <w:highlight w:val="none"/>
        </w:rPr>
        <w:t>。</w:t>
      </w:r>
    </w:p>
    <w:p w14:paraId="469C93D4">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2.8“实质性要求”是指磋商文件中已经指明不满足则响应文件按无效处理的条款，或者不能负偏离的条款，或者采购需求中带“▲”的条款，若有任意一项负偏离，响应文件按无效处理。</w:t>
      </w:r>
    </w:p>
    <w:p w14:paraId="7FDFFAB0">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2.9“允许负偏离的条款”是指采购需求中的不属于“实质性要求”的条款。</w:t>
      </w:r>
    </w:p>
    <w:p w14:paraId="4EA12780">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1</w:t>
      </w:r>
      <w:r>
        <w:rPr>
          <w:rFonts w:hint="eastAsia" w:ascii="宋体" w:hAnsi="宋体" w:cs="宋体"/>
          <w:color w:val="auto"/>
          <w:szCs w:val="21"/>
          <w:highlight w:val="none"/>
        </w:rPr>
        <w:t>0“首次报价”是指供应商提交的首次响应文件中的报价。</w:t>
      </w:r>
    </w:p>
    <w:p w14:paraId="17753331">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3.供应商的资格条件</w:t>
      </w:r>
    </w:p>
    <w:p w14:paraId="0639A28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供应商的资格条件详见“供应商须知前附表”。</w:t>
      </w:r>
    </w:p>
    <w:p w14:paraId="6C1D4366">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4.竞标费用</w:t>
      </w:r>
    </w:p>
    <w:p w14:paraId="39AF93E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供应商应承担参与本次采购活动有关的所有费用，包括但不限于获取磋商文件、勘查现场、编制和提交响应文件、参加磋商与应答、签订合同等，不论竞标结果如何，均应自行承担。</w:t>
      </w:r>
    </w:p>
    <w:p w14:paraId="1FC98B24">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5.联合体竞标</w:t>
      </w:r>
    </w:p>
    <w:p w14:paraId="11EB9A7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5.1本项目是否接受联合体竞标，详见“供应商须知前附表”。</w:t>
      </w:r>
    </w:p>
    <w:p w14:paraId="16920F3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w:t>
      </w:r>
      <w:r>
        <w:rPr>
          <w:rFonts w:hint="eastAsia" w:ascii="宋体" w:hAnsi="宋体"/>
          <w:color w:val="auto"/>
          <w:highlight w:val="none"/>
        </w:rPr>
        <w:t>如接受联合体竞标，</w:t>
      </w:r>
      <w:r>
        <w:rPr>
          <w:rFonts w:hint="eastAsia" w:ascii="宋体" w:hAnsi="宋体" w:cs="宋体"/>
          <w:color w:val="auto"/>
          <w:szCs w:val="21"/>
          <w:highlight w:val="none"/>
        </w:rPr>
        <w:t>联合体竞标要求详见“供应商须知前附表”。</w:t>
      </w:r>
    </w:p>
    <w:p w14:paraId="7C5E831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5.3</w:t>
      </w:r>
      <w:bookmarkStart w:id="57" w:name="_Hlk66782192"/>
      <w:r>
        <w:rPr>
          <w:rFonts w:hint="eastAsia" w:ascii="宋体" w:hAnsi="宋体"/>
          <w:color w:val="auto"/>
          <w:szCs w:val="21"/>
          <w:highlight w:val="none"/>
        </w:rPr>
        <w:t>根据《政府采购促进中小企业发展管理办法》（财库〔2020〕46号）第九条第二款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1%-2%的扣除，用扣除后的价格参加评审。</w:t>
      </w:r>
      <w:bookmarkEnd w:id="57"/>
    </w:p>
    <w:p w14:paraId="50D85948">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 xml:space="preserve">6.转包与分包             </w:t>
      </w:r>
    </w:p>
    <w:p w14:paraId="16E5FB19">
      <w:pPr>
        <w:pStyle w:val="6"/>
        <w:keepNext w:val="0"/>
        <w:keepLines w:val="0"/>
        <w:spacing w:before="0" w:after="0" w:line="360" w:lineRule="auto"/>
        <w:ind w:left="420" w:leftChars="200"/>
        <w:rPr>
          <w:rFonts w:hint="eastAsia" w:ascii="宋体" w:hAnsi="宋体"/>
          <w:b w:val="0"/>
          <w:color w:val="auto"/>
          <w:sz w:val="21"/>
          <w:szCs w:val="21"/>
          <w:highlight w:val="none"/>
        </w:rPr>
      </w:pPr>
      <w:bookmarkStart w:id="58" w:name="_Toc254970673"/>
      <w:bookmarkStart w:id="59" w:name="_Toc254970532"/>
      <w:r>
        <w:rPr>
          <w:rFonts w:hint="eastAsia" w:ascii="宋体" w:hAnsi="宋体"/>
          <w:b w:val="0"/>
          <w:color w:val="auto"/>
          <w:sz w:val="21"/>
          <w:szCs w:val="21"/>
          <w:highlight w:val="none"/>
        </w:rPr>
        <w:t>6.1本项目不允许转包。</w:t>
      </w:r>
    </w:p>
    <w:p w14:paraId="0FDE9CB1">
      <w:pPr>
        <w:pStyle w:val="6"/>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6.2本项目是否允许分包详见“供应商须知前附表”，本项目不允许违法分包。允许分包的非主体、非关键性工作，根据法律法规规定承担该工作需要资质或者行政许可的，如该工作由供应商自行承担，供应商应具备相应的资质或者行政许可，如供应商不具备相应的资质或者行政许可必须采用分包的方式，但分包供应商应具备相应资质或者行政许可。</w:t>
      </w:r>
    </w:p>
    <w:p w14:paraId="6A2DE506">
      <w:pPr>
        <w:pStyle w:val="6"/>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6.3供应商根据磋商文件的规定和采购项目的实际情况，拟在成交后将成交项目的非主体、非关键性工作分包的，应当在响应文件中载明分包承担主体，分包承担主体应当具备相应资质条件且不得再次分包。</w:t>
      </w:r>
    </w:p>
    <w:p w14:paraId="7DB81641">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7.特别说明</w:t>
      </w:r>
      <w:bookmarkEnd w:id="58"/>
      <w:bookmarkEnd w:id="59"/>
    </w:p>
    <w:p w14:paraId="1A3ABE37">
      <w:pPr>
        <w:spacing w:line="360" w:lineRule="auto"/>
        <w:ind w:firstLine="420" w:firstLineChars="200"/>
        <w:rPr>
          <w:rFonts w:hint="eastAsia" w:ascii="宋体" w:hAnsi="宋体" w:cs="宋体"/>
          <w:color w:val="auto"/>
          <w:szCs w:val="21"/>
          <w:highlight w:val="none"/>
        </w:rPr>
      </w:pPr>
      <w:bookmarkStart w:id="60" w:name="_8.1提供相同品牌产品且通过资格审查、符合性审查的不同投标人参加同一合"/>
      <w:bookmarkEnd w:id="60"/>
      <w:r>
        <w:rPr>
          <w:rFonts w:hint="eastAsia" w:ascii="宋体" w:hAnsi="宋体" w:cs="宋体"/>
          <w:color w:val="auto"/>
          <w:szCs w:val="21"/>
          <w:highlight w:val="none"/>
        </w:rPr>
        <w:t>7.</w:t>
      </w:r>
      <w:r>
        <w:rPr>
          <w:rFonts w:ascii="宋体" w:hAnsi="宋体" w:cs="宋体"/>
          <w:color w:val="auto"/>
          <w:szCs w:val="21"/>
          <w:highlight w:val="none"/>
        </w:rPr>
        <w:t>1</w:t>
      </w:r>
      <w:bookmarkStart w:id="61" w:name="_Hlk65832145"/>
      <w:r>
        <w:rPr>
          <w:rFonts w:hint="eastAsia" w:ascii="宋体" w:hAnsi="宋体"/>
          <w:color w:val="auto"/>
          <w:szCs w:val="21"/>
          <w:highlight w:val="none"/>
        </w:rPr>
        <w:t xml:space="preserve">如果本磋商文件要求提供供应商或制造商的资格、信誉、荣誉、业绩与企业认证等材料的，资格、信誉、荣誉、业绩与企业认证等必须为供应商或者制造商所拥有或自身获得 </w:t>
      </w:r>
      <w:r>
        <w:rPr>
          <w:rFonts w:hint="eastAsia" w:ascii="宋体" w:hAnsi="宋体" w:cs="宋体"/>
          <w:color w:val="auto"/>
          <w:szCs w:val="21"/>
          <w:highlight w:val="none"/>
        </w:rPr>
        <w:t>。</w:t>
      </w:r>
    </w:p>
    <w:bookmarkEnd w:id="61"/>
    <w:p w14:paraId="5AA00E8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2</w:t>
      </w:r>
      <w:r>
        <w:rPr>
          <w:rFonts w:hint="eastAsia" w:ascii="宋体" w:hAnsi="宋体" w:cs="宋体"/>
          <w:color w:val="auto"/>
          <w:szCs w:val="21"/>
          <w:highlight w:val="none"/>
        </w:rPr>
        <w:t>供应商应仔细阅读磋商文件的所有内容，按照磋商文件的要求提交响应文件，并对所提供的全部资料的真实性承担法律责任。</w:t>
      </w:r>
    </w:p>
    <w:p w14:paraId="495A6D5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3</w:t>
      </w:r>
      <w:r>
        <w:rPr>
          <w:rFonts w:hint="eastAsia" w:ascii="宋体" w:hAnsi="宋体" w:cs="宋体"/>
          <w:color w:val="auto"/>
          <w:szCs w:val="21"/>
          <w:highlight w:val="none"/>
        </w:rPr>
        <w:t>供应商在竞标活动中提供任何虚假材料谋取成交的，将报财政部门查处；签订合同后发现的，成交供应商须依照《中华人民共和国消费者权益保护法》</w:t>
      </w:r>
      <w:r>
        <w:rPr>
          <w:rFonts w:hint="eastAsia" w:ascii="宋体" w:hAnsi="宋体" w:cs="宋体"/>
          <w:color w:val="auto"/>
          <w:szCs w:val="21"/>
          <w:highlight w:val="none"/>
          <w:lang w:eastAsia="zh-CN"/>
        </w:rPr>
        <w:t>的</w:t>
      </w:r>
      <w:r>
        <w:rPr>
          <w:rFonts w:hint="eastAsia" w:ascii="宋体" w:hAnsi="宋体" w:cs="宋体"/>
          <w:color w:val="auto"/>
          <w:szCs w:val="21"/>
          <w:highlight w:val="none"/>
        </w:rPr>
        <w:t>规定赔偿采购人，且民事赔偿并不免除违法供应商的行政与刑事责任。</w:t>
      </w:r>
    </w:p>
    <w:p w14:paraId="2D219F1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4</w:t>
      </w:r>
      <w:r>
        <w:rPr>
          <w:rFonts w:hint="eastAsia" w:ascii="宋体" w:hAnsi="宋体" w:cs="宋体"/>
          <w:color w:val="auto"/>
          <w:szCs w:val="21"/>
          <w:highlight w:val="none"/>
        </w:rPr>
        <w:t>在政府采购活动中，采购人员及相关人员与供应商有下列利害关系之一的，应当回避：</w:t>
      </w:r>
    </w:p>
    <w:p w14:paraId="7DDFF75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（1）参加采购活动前3年内与供应商存在劳动关系；</w:t>
      </w:r>
    </w:p>
    <w:p w14:paraId="142085D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（2）参加采购活动前3年内担任供应商的董事、监事；</w:t>
      </w:r>
    </w:p>
    <w:p w14:paraId="3EBC779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（3）参加采购活动前3年内是供应商的控股股东或者实际控制人；</w:t>
      </w:r>
    </w:p>
    <w:p w14:paraId="5F44521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（4）与供应商的法定代表人或者负责人有夫妻、直系血亲、三代以内旁系血亲或者近姻亲关系；</w:t>
      </w:r>
    </w:p>
    <w:p w14:paraId="5B0F0B3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（5）与供应商有其他可能影响政府采购活动公平、公正进行的关系。</w:t>
      </w:r>
    </w:p>
    <w:p w14:paraId="6B2DE6F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5B017A9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5</w:t>
      </w:r>
      <w:r>
        <w:rPr>
          <w:rFonts w:hint="eastAsia" w:ascii="宋体" w:hAnsi="宋体" w:cs="宋体"/>
          <w:color w:val="auto"/>
          <w:szCs w:val="21"/>
          <w:highlight w:val="none"/>
        </w:rPr>
        <w:t>有下列情形之一的视为供应商相互串通竞标，响应文件将被视为无效：</w:t>
      </w:r>
    </w:p>
    <w:p w14:paraId="62C931B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（1）不同供应商的响应文件由同一单位或者个人编制； </w:t>
      </w:r>
    </w:p>
    <w:p w14:paraId="5B846C0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（2）不同供应商委托同一单位或者个人办理竞标事宜；</w:t>
      </w:r>
    </w:p>
    <w:p w14:paraId="0230434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（3）不同的供应商的响应文件载明的项目管理员为同一个人；</w:t>
      </w:r>
    </w:p>
    <w:p w14:paraId="10909C6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（4）不同供应商的响应文件异常一致或者报价呈规律性差异；</w:t>
      </w:r>
    </w:p>
    <w:p w14:paraId="16CD176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（5）不同供应商的响应文件相互混装；</w:t>
      </w:r>
    </w:p>
    <w:p w14:paraId="550892AE">
      <w:pPr>
        <w:tabs>
          <w:tab w:val="left" w:pos="6931"/>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（6）不同供应商的磋商保证金从同一单位或者个人账户转出。</w:t>
      </w:r>
      <w:r>
        <w:rPr>
          <w:rFonts w:ascii="宋体" w:hAnsi="宋体" w:cs="宋体"/>
          <w:color w:val="auto"/>
          <w:szCs w:val="21"/>
          <w:highlight w:val="none"/>
        </w:rPr>
        <w:tab/>
      </w:r>
    </w:p>
    <w:p w14:paraId="44EFEE2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6</w:t>
      </w:r>
      <w:r>
        <w:rPr>
          <w:rFonts w:hint="eastAsia" w:ascii="宋体" w:hAnsi="宋体" w:cs="宋体"/>
          <w:color w:val="auto"/>
          <w:szCs w:val="21"/>
          <w:highlight w:val="none"/>
        </w:rPr>
        <w:t>供应商有下列情形之一的，属于恶意串通行为，将报同级监督管理部门：</w:t>
      </w:r>
    </w:p>
    <w:p w14:paraId="438F6EC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（1）供应商直接或者间接从采购人或者采购代理机构处获得其他供应商的相关信息并修改其响应文件；</w:t>
      </w:r>
    </w:p>
    <w:p w14:paraId="7099E61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（2）供应商按照采购人或者采购代理机构的授意撤换、修改响应文件；</w:t>
      </w:r>
    </w:p>
    <w:p w14:paraId="5B1CEEB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（3）供应商之间协商报价、技术方案等响应文件或者响应文件的实质性内容；</w:t>
      </w:r>
    </w:p>
    <w:p w14:paraId="7FFF1E7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14:paraId="7940FE0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4D5ED00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（6）供应商之间商定部分供应商放弃参加政府采购活动或者放弃成交；</w:t>
      </w:r>
    </w:p>
    <w:p w14:paraId="495F62E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（7）供应商与采购人或者采购代理机构之间、供应商相互之间，为谋求特定供应商成交或者排斥其他供应商的其他串通行为。</w:t>
      </w:r>
    </w:p>
    <w:p w14:paraId="6B6200E5">
      <w:pPr>
        <w:spacing w:line="360" w:lineRule="auto"/>
        <w:ind w:left="1" w:firstLine="417" w:firstLineChars="199"/>
        <w:jc w:val="center"/>
        <w:rPr>
          <w:rFonts w:hint="eastAsia" w:ascii="宋体" w:hAnsi="宋体"/>
          <w:color w:val="auto"/>
          <w:highlight w:val="none"/>
        </w:rPr>
      </w:pPr>
      <w:bookmarkStart w:id="62" w:name="_Toc254970534"/>
      <w:bookmarkStart w:id="63" w:name="_Toc254970675"/>
    </w:p>
    <w:p w14:paraId="29C94E40">
      <w:pPr>
        <w:spacing w:line="360" w:lineRule="auto"/>
        <w:jc w:val="center"/>
        <w:rPr>
          <w:rFonts w:hint="eastAsia" w:ascii="宋体" w:hAnsi="宋体"/>
          <w:b/>
          <w:bCs/>
          <w:color w:val="auto"/>
          <w:sz w:val="32"/>
          <w:szCs w:val="32"/>
          <w:highlight w:val="none"/>
        </w:rPr>
      </w:pPr>
      <w:r>
        <w:rPr>
          <w:rFonts w:hint="eastAsia" w:ascii="宋体" w:hAnsi="宋体"/>
          <w:b/>
          <w:bCs/>
          <w:color w:val="auto"/>
          <w:sz w:val="32"/>
          <w:szCs w:val="32"/>
          <w:highlight w:val="none"/>
        </w:rPr>
        <w:t>二、磋商文件</w:t>
      </w:r>
      <w:bookmarkEnd w:id="62"/>
      <w:bookmarkEnd w:id="63"/>
    </w:p>
    <w:p w14:paraId="2ACBA6DF">
      <w:pPr>
        <w:spacing w:line="360" w:lineRule="auto"/>
        <w:rPr>
          <w:rFonts w:hint="eastAsia" w:ascii="宋体" w:hAnsi="宋体"/>
          <w:color w:val="auto"/>
          <w:szCs w:val="21"/>
          <w:highlight w:val="none"/>
        </w:rPr>
      </w:pPr>
    </w:p>
    <w:p w14:paraId="61CD86A3">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8.磋商文件的构成</w:t>
      </w:r>
    </w:p>
    <w:p w14:paraId="24B2FBF3">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第一章  竞争性磋商公告；</w:t>
      </w:r>
    </w:p>
    <w:p w14:paraId="01785FDD">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 xml:space="preserve">第二章  供应商须知； </w:t>
      </w:r>
    </w:p>
    <w:p w14:paraId="020258D0">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第三章  采购需求；</w:t>
      </w:r>
    </w:p>
    <w:p w14:paraId="2F15C788">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第四章  评审程序、评审方法和评审标准；</w:t>
      </w:r>
    </w:p>
    <w:p w14:paraId="71947292">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第五章  工程量清单及图纸；</w:t>
      </w:r>
    </w:p>
    <w:p w14:paraId="66FC4B80">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第六章  响应文件格式；</w:t>
      </w:r>
    </w:p>
    <w:p w14:paraId="77E96ADA">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第七章  合同文本。</w:t>
      </w:r>
    </w:p>
    <w:p w14:paraId="50B528FA">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9.供应商的询问</w:t>
      </w:r>
    </w:p>
    <w:p w14:paraId="50F1DB5B">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供应商应认真阅读磋商文件的采购需求，如供应商对磋商文件有疑问的，如要求采购人作出澄清或者修改的，供应商尽可能在</w:t>
      </w:r>
      <w:r>
        <w:rPr>
          <w:rFonts w:ascii="宋体" w:hAnsi="宋体"/>
          <w:color w:val="auto"/>
          <w:szCs w:val="21"/>
          <w:highlight w:val="none"/>
        </w:rPr>
        <w:t>提交首次响应文件截止之日前</w:t>
      </w:r>
      <w:r>
        <w:rPr>
          <w:rFonts w:hint="eastAsia" w:ascii="宋体" w:hAnsi="宋体"/>
          <w:color w:val="auto"/>
          <w:szCs w:val="21"/>
          <w:highlight w:val="none"/>
        </w:rPr>
        <w:t>，以书面形式向</w:t>
      </w:r>
      <w:r>
        <w:rPr>
          <w:rFonts w:ascii="宋体" w:hAnsi="宋体"/>
          <w:color w:val="auto"/>
          <w:szCs w:val="21"/>
          <w:highlight w:val="none"/>
        </w:rPr>
        <w:t>采购人、采购代理机构</w:t>
      </w:r>
      <w:r>
        <w:rPr>
          <w:rFonts w:hint="eastAsia" w:ascii="宋体" w:hAnsi="宋体"/>
          <w:color w:val="auto"/>
          <w:szCs w:val="21"/>
          <w:highlight w:val="none"/>
        </w:rPr>
        <w:t>提出。</w:t>
      </w:r>
    </w:p>
    <w:p w14:paraId="69791869">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10.磋商文件的澄清和修改</w:t>
      </w:r>
    </w:p>
    <w:p w14:paraId="65AA52A1">
      <w:pPr>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提交首次响应文件截止之日前，采购人或者采购代理机构可以对已发出的磋商文件进行必要的澄清或者修改，澄清或者修改的内容作为磋商文件的组成部分。澄清或者修改的内容可能影响响应文件编制的，</w:t>
      </w:r>
      <w:r>
        <w:rPr>
          <w:rFonts w:hint="eastAsia" w:ascii="宋体" w:hAnsi="宋体"/>
          <w:color w:val="auto"/>
          <w:szCs w:val="21"/>
          <w:highlight w:val="none"/>
        </w:rPr>
        <w:t>采购人或者采购代理机构应当</w:t>
      </w:r>
      <w:r>
        <w:rPr>
          <w:rFonts w:ascii="宋体" w:hAnsi="宋体"/>
          <w:color w:val="auto"/>
          <w:szCs w:val="21"/>
          <w:highlight w:val="none"/>
        </w:rPr>
        <w:t>在提交首次响应文件截止之日3个工作日前，以书面形式通知所有</w:t>
      </w:r>
      <w:r>
        <w:rPr>
          <w:rFonts w:hint="eastAsia" w:ascii="宋体" w:hAnsi="宋体"/>
          <w:color w:val="auto"/>
          <w:szCs w:val="21"/>
          <w:highlight w:val="none"/>
        </w:rPr>
        <w:t>获取</w:t>
      </w:r>
      <w:r>
        <w:rPr>
          <w:rFonts w:ascii="宋体" w:hAnsi="宋体"/>
          <w:color w:val="auto"/>
          <w:szCs w:val="21"/>
          <w:highlight w:val="none"/>
        </w:rPr>
        <w:t>磋商文件的供应商，不足3个工作日的，应当顺延提交首次响应文件截止之日。</w:t>
      </w:r>
    </w:p>
    <w:p w14:paraId="5230C633">
      <w:pPr>
        <w:spacing w:line="360" w:lineRule="auto"/>
        <w:rPr>
          <w:rFonts w:hint="eastAsia" w:ascii="宋体" w:hAnsi="宋体"/>
          <w:color w:val="auto"/>
          <w:szCs w:val="21"/>
          <w:highlight w:val="none"/>
        </w:rPr>
      </w:pPr>
    </w:p>
    <w:p w14:paraId="343078F5">
      <w:pPr>
        <w:spacing w:line="360" w:lineRule="auto"/>
        <w:jc w:val="center"/>
        <w:rPr>
          <w:rFonts w:hint="eastAsia" w:ascii="宋体" w:hAnsi="宋体"/>
          <w:b/>
          <w:bCs/>
          <w:color w:val="auto"/>
          <w:szCs w:val="21"/>
          <w:highlight w:val="none"/>
        </w:rPr>
      </w:pPr>
      <w:r>
        <w:rPr>
          <w:rFonts w:hint="eastAsia" w:ascii="宋体" w:hAnsi="宋体"/>
          <w:b/>
          <w:bCs/>
          <w:color w:val="auto"/>
          <w:sz w:val="32"/>
          <w:szCs w:val="32"/>
          <w:highlight w:val="none"/>
        </w:rPr>
        <w:t>三、响应文件的编制</w:t>
      </w:r>
    </w:p>
    <w:p w14:paraId="429D0E18">
      <w:pPr>
        <w:spacing w:line="360" w:lineRule="auto"/>
        <w:rPr>
          <w:rFonts w:hint="eastAsia" w:ascii="宋体" w:hAnsi="宋体"/>
          <w:color w:val="auto"/>
          <w:szCs w:val="21"/>
          <w:highlight w:val="none"/>
        </w:rPr>
      </w:pPr>
    </w:p>
    <w:p w14:paraId="1E328650">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11.响应文件的编制原则</w:t>
      </w:r>
    </w:p>
    <w:p w14:paraId="13576B8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供应商必须按照磋商文件的要求编制响应文件，并对其提交的响应文件的真实性、合法性承担法律责任。响应文件必须对磋商文件作出实质性响应。</w:t>
      </w:r>
    </w:p>
    <w:p w14:paraId="1BC3EF6F">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12.响应文件的组成</w:t>
      </w:r>
    </w:p>
    <w:p w14:paraId="46C5384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12.1响应文件由资格证明文件、报价文件、商务技术文件三部分组成。</w:t>
      </w:r>
    </w:p>
    <w:p w14:paraId="170E1760">
      <w:pPr>
        <w:spacing w:line="360" w:lineRule="auto"/>
        <w:ind w:left="840" w:leftChars="200" w:hanging="420" w:hangingChars="200"/>
        <w:rPr>
          <w:rFonts w:hint="eastAsia" w:ascii="宋体" w:hAnsi="宋体" w:cs="宋体"/>
          <w:color w:val="auto"/>
          <w:szCs w:val="21"/>
          <w:highlight w:val="none"/>
        </w:rPr>
      </w:pPr>
      <w:r>
        <w:rPr>
          <w:rFonts w:hint="eastAsia" w:ascii="宋体" w:hAnsi="宋体" w:cs="宋体"/>
          <w:color w:val="auto"/>
          <w:szCs w:val="21"/>
          <w:highlight w:val="none"/>
        </w:rPr>
        <w:t>12.1.1资格证明文件：详见“供应商须知前附表”</w:t>
      </w:r>
    </w:p>
    <w:p w14:paraId="12A38E34">
      <w:pPr>
        <w:spacing w:line="360" w:lineRule="auto"/>
        <w:ind w:left="840" w:leftChars="200" w:hanging="420" w:hangingChars="200"/>
        <w:rPr>
          <w:rFonts w:hint="eastAsia" w:ascii="宋体" w:hAnsi="宋体" w:cs="宋体"/>
          <w:color w:val="auto"/>
          <w:szCs w:val="21"/>
          <w:highlight w:val="none"/>
        </w:rPr>
      </w:pPr>
      <w:r>
        <w:rPr>
          <w:rFonts w:hint="eastAsia" w:ascii="宋体" w:hAnsi="宋体" w:cs="宋体"/>
          <w:color w:val="auto"/>
          <w:szCs w:val="21"/>
          <w:highlight w:val="none"/>
        </w:rPr>
        <w:t>12.1.2报价文件：详见“供应商须知前附表”</w:t>
      </w:r>
    </w:p>
    <w:p w14:paraId="27930994">
      <w:pPr>
        <w:spacing w:line="360" w:lineRule="auto"/>
        <w:ind w:left="840" w:leftChars="200" w:hanging="420" w:hangingChars="200"/>
        <w:rPr>
          <w:rFonts w:hint="eastAsia" w:ascii="宋体" w:hAnsi="宋体" w:cs="宋体"/>
          <w:color w:val="auto"/>
          <w:szCs w:val="21"/>
          <w:highlight w:val="none"/>
        </w:rPr>
      </w:pPr>
      <w:r>
        <w:rPr>
          <w:rFonts w:hint="eastAsia" w:ascii="宋体" w:hAnsi="宋体" w:cs="宋体"/>
          <w:color w:val="auto"/>
          <w:szCs w:val="21"/>
          <w:highlight w:val="none"/>
        </w:rPr>
        <w:t>12.1.3商务技术文件：详见“供应商须知前附表”</w:t>
      </w:r>
    </w:p>
    <w:p w14:paraId="4EE33E71">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13.计量单位</w:t>
      </w:r>
    </w:p>
    <w:p w14:paraId="7EDF606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5A82F43D">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14.竞标的风险</w:t>
      </w:r>
    </w:p>
    <w:p w14:paraId="6CE09C4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7FD9357F">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15.竞标报价</w:t>
      </w:r>
    </w:p>
    <w:p w14:paraId="4AE64F55">
      <w:pPr>
        <w:tabs>
          <w:tab w:val="left" w:pos="2492"/>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15.1竞标报价应按磋商文件第五章“工程量清单及图纸”的要求及第六章“响应文件格式”填写相应表格。</w:t>
      </w:r>
    </w:p>
    <w:p w14:paraId="007E5603">
      <w:pPr>
        <w:tabs>
          <w:tab w:val="left" w:pos="2492"/>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15.2竞标报价的内容见“供应商须知前附表”。</w:t>
      </w:r>
    </w:p>
    <w:p w14:paraId="09B6544F">
      <w:pPr>
        <w:tabs>
          <w:tab w:val="left" w:pos="2492"/>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15.3本项目的增值税计税方法见“供应商须知前附表”。</w:t>
      </w:r>
    </w:p>
    <w:p w14:paraId="32CD1C6A">
      <w:pPr>
        <w:spacing w:line="360" w:lineRule="auto"/>
        <w:ind w:left="426" w:leftChars="203"/>
        <w:rPr>
          <w:rFonts w:hint="eastAsia" w:ascii="宋体" w:hAnsi="宋体" w:cs="宋体"/>
          <w:color w:val="auto"/>
          <w:szCs w:val="21"/>
          <w:highlight w:val="none"/>
        </w:rPr>
      </w:pPr>
      <w:r>
        <w:rPr>
          <w:rFonts w:hint="eastAsia" w:ascii="宋体" w:hAnsi="宋体" w:cs="宋体"/>
          <w:color w:val="auto"/>
          <w:szCs w:val="21"/>
          <w:highlight w:val="none"/>
        </w:rPr>
        <w:t>15.4竞标报价要求</w:t>
      </w:r>
    </w:p>
    <w:p w14:paraId="01C7D8F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5.</w:t>
      </w:r>
      <w:r>
        <w:rPr>
          <w:rFonts w:hint="eastAsia" w:ascii="宋体" w:hAnsi="宋体" w:cs="宋体"/>
          <w:color w:val="auto"/>
          <w:szCs w:val="21"/>
          <w:highlight w:val="none"/>
        </w:rPr>
        <w:t>4</w:t>
      </w:r>
      <w:r>
        <w:rPr>
          <w:rFonts w:ascii="宋体" w:hAnsi="宋体" w:cs="宋体"/>
          <w:color w:val="auto"/>
          <w:szCs w:val="21"/>
          <w:highlight w:val="none"/>
        </w:rPr>
        <w:t>.1</w:t>
      </w:r>
      <w:r>
        <w:rPr>
          <w:rFonts w:hint="eastAsia" w:ascii="宋体" w:hAnsi="宋体" w:cs="宋体"/>
          <w:color w:val="auto"/>
          <w:szCs w:val="21"/>
          <w:highlight w:val="none"/>
        </w:rPr>
        <w:t>供应商的竞标报价应符合以下要求，否则响应文件按无效处理：</w:t>
      </w:r>
    </w:p>
    <w:p w14:paraId="6ADABA94">
      <w:pPr>
        <w:tabs>
          <w:tab w:val="left" w:pos="2492"/>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（1）供应商必须就“采购需求”中所竞标的全部内容分别作完整唯一总价报价，不得存在漏项报价；</w:t>
      </w:r>
    </w:p>
    <w:p w14:paraId="6434AF3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）供应商必须就本项目的单项内容作唯一报价。</w:t>
      </w:r>
    </w:p>
    <w:p w14:paraId="543302C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15.4.</w:t>
      </w:r>
      <w:r>
        <w:rPr>
          <w:rFonts w:ascii="宋体" w:hAnsi="宋体" w:cs="宋体"/>
          <w:color w:val="auto"/>
          <w:szCs w:val="21"/>
          <w:highlight w:val="none"/>
        </w:rPr>
        <w:t>2</w:t>
      </w:r>
      <w:r>
        <w:rPr>
          <w:rFonts w:hint="eastAsia" w:ascii="宋体" w:hAnsi="宋体" w:cs="宋体"/>
          <w:color w:val="auto"/>
          <w:szCs w:val="21"/>
          <w:highlight w:val="none"/>
        </w:rPr>
        <w:t>竞标报价（包含首次报价、最后报价）超过本项目规定的采购预算金额或者最高限价的，其响应文件将按无效处理。</w:t>
      </w:r>
    </w:p>
    <w:p w14:paraId="43FEB42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15.4.</w:t>
      </w:r>
      <w:r>
        <w:rPr>
          <w:rFonts w:ascii="宋体" w:hAnsi="宋体" w:cs="宋体"/>
          <w:color w:val="auto"/>
          <w:szCs w:val="21"/>
          <w:highlight w:val="none"/>
        </w:rPr>
        <w:t>3</w:t>
      </w:r>
      <w:bookmarkStart w:id="64" w:name="_Hlk42592874"/>
      <w:r>
        <w:rPr>
          <w:rFonts w:hint="eastAsia" w:ascii="宋体" w:hAnsi="宋体" w:cs="宋体"/>
          <w:color w:val="auto"/>
          <w:szCs w:val="21"/>
          <w:highlight w:val="none"/>
        </w:rPr>
        <w:t>竞标报价（包含首次报价、最后报价）超过分项采购预算金额或者最高限价的（如有要求），其响应文件将按无效处理。</w:t>
      </w:r>
    </w:p>
    <w:p w14:paraId="1D51516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15.4.4供应商在提交响应文件截止时间前修改竞标函中的竞标报价，应同时修改响应文件“已标价工程量清单”中的相应报价。此修改须符合本须知正文第20条、第21条的有关要求。</w:t>
      </w:r>
    </w:p>
    <w:bookmarkEnd w:id="64"/>
    <w:p w14:paraId="53AC6FC0">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16.竞标有效期</w:t>
      </w:r>
    </w:p>
    <w:p w14:paraId="1947ED5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7769259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16.2 竞标有效期应由供应商按“供应商须知前附表”规定的期限作出响应。</w:t>
      </w:r>
    </w:p>
    <w:p w14:paraId="17D38C1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16.3供应商的响应文件在竞标有效期内均保持有效。</w:t>
      </w:r>
    </w:p>
    <w:p w14:paraId="29B2026F">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17.磋商保证金</w:t>
      </w:r>
    </w:p>
    <w:p w14:paraId="2D141905">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17.1供应商须按“供应商须知前附表”的规定提交磋商保证金。</w:t>
      </w:r>
    </w:p>
    <w:p w14:paraId="77108D3C">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17.2磋商保证金的退还</w:t>
      </w:r>
    </w:p>
    <w:p w14:paraId="51072E62">
      <w:pPr>
        <w:spacing w:line="360" w:lineRule="auto"/>
        <w:ind w:firstLine="420" w:firstLineChars="200"/>
        <w:rPr>
          <w:rFonts w:hint="eastAsia" w:ascii="宋体" w:hAnsi="宋体" w:cs="宋体"/>
          <w:color w:val="auto"/>
          <w:szCs w:val="21"/>
          <w:highlight w:val="none"/>
        </w:rPr>
      </w:pPr>
      <w:bookmarkStart w:id="65" w:name="_Hlk66782243"/>
      <w:r>
        <w:rPr>
          <w:rFonts w:hint="eastAsia" w:ascii="宋体" w:hAnsi="宋体" w:cs="宋体"/>
          <w:color w:val="auto"/>
          <w:szCs w:val="21"/>
          <w:highlight w:val="none"/>
        </w:rPr>
        <w:t>未成交供应商的磋商保证金自成交通知书发出之日起5个工作日内退还；成交供应商的磋商保证金自签订合同之日起5个工作日内退还或者转为成交供应商的履约保证金。</w:t>
      </w:r>
      <w:bookmarkEnd w:id="65"/>
      <w:r>
        <w:rPr>
          <w:rFonts w:hint="eastAsia" w:ascii="宋体" w:hAnsi="宋体" w:cs="宋体"/>
          <w:color w:val="auto"/>
          <w:szCs w:val="21"/>
          <w:highlight w:val="none"/>
        </w:rPr>
        <w:t xml:space="preserve"> </w:t>
      </w:r>
    </w:p>
    <w:p w14:paraId="1B8B3B8C">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17.3磋商保证金不计息。</w:t>
      </w:r>
    </w:p>
    <w:p w14:paraId="47782A73">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 xml:space="preserve">17.4供应商有下列情形之一的，磋商保证金将不予退还： </w:t>
      </w:r>
    </w:p>
    <w:p w14:paraId="68014748">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（1）供应商在提交响应文件截止时间后撤回响应文件的；</w:t>
      </w:r>
    </w:p>
    <w:p w14:paraId="14187644">
      <w:pPr>
        <w:spacing w:line="360" w:lineRule="auto"/>
        <w:ind w:left="420" w:leftChars="200"/>
        <w:rPr>
          <w:rFonts w:hint="eastAsia" w:ascii="宋体" w:hAnsi="宋体" w:cs="宋体"/>
          <w:color w:val="auto"/>
          <w:szCs w:val="21"/>
          <w:highlight w:val="none"/>
        </w:rPr>
      </w:pPr>
      <w:r>
        <w:rPr>
          <w:rFonts w:hint="eastAsia" w:ascii="宋体" w:hAnsi="宋体"/>
          <w:color w:val="auto"/>
          <w:szCs w:val="21"/>
          <w:highlight w:val="none"/>
        </w:rPr>
        <w:t>（2）未按规定提交履约保证金的；</w:t>
      </w:r>
    </w:p>
    <w:p w14:paraId="097DD1C5">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（3）供应商在响应文件中提供虚假材料的；</w:t>
      </w:r>
    </w:p>
    <w:p w14:paraId="3AE5157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（4）除因不可抗力或者磋商文件认可的情形以外，成交供应商不与采购人签订合同的；</w:t>
      </w:r>
    </w:p>
    <w:p w14:paraId="01760241">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（5）供应商与采购人、其他供应商或者采购代理机构恶意串通的；</w:t>
      </w:r>
    </w:p>
    <w:p w14:paraId="274120AD">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（6）法律法规规定的其他情形。</w:t>
      </w:r>
    </w:p>
    <w:p w14:paraId="088F5502">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18.响应文件编制的要求</w:t>
      </w:r>
    </w:p>
    <w:p w14:paraId="7DBCE9A1">
      <w:pP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18.1</w:t>
      </w:r>
      <w:r>
        <w:rPr>
          <w:rFonts w:hint="eastAsia" w:ascii="宋体" w:hAnsi="宋体"/>
          <w:color w:val="auto"/>
          <w:szCs w:val="21"/>
          <w:highlight w:val="none"/>
        </w:rPr>
        <w:t>供应商应按照本项目竞争性磋商文件规定的格式和顺序和广西政府采购云平台的要求编制并加密</w:t>
      </w:r>
      <w:r>
        <w:rPr>
          <w:rFonts w:hint="eastAsia" w:ascii="宋体" w:hAnsi="宋体" w:cs="宋体"/>
          <w:color w:val="auto"/>
          <w:szCs w:val="21"/>
          <w:highlight w:val="none"/>
        </w:rPr>
        <w:t>。响应文件内容不完整、编排混乱导致响应文件被误读、漏读或者查找不到相关内容的，由此引发的后果由供应商承担。</w:t>
      </w:r>
    </w:p>
    <w:p w14:paraId="535BBB0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18.2为确保网上操作合法、有效和安全，供应商应当在提交响应文件截止时间前完成在</w:t>
      </w:r>
      <w:r>
        <w:rPr>
          <w:rFonts w:hint="eastAsia" w:ascii="宋体" w:hAnsi="宋体"/>
          <w:color w:val="auto"/>
          <w:szCs w:val="21"/>
          <w:highlight w:val="none"/>
        </w:rPr>
        <w:t>广西政府采购云平台</w:t>
      </w:r>
      <w:r>
        <w:rPr>
          <w:rFonts w:hint="eastAsia" w:ascii="宋体" w:hAnsi="宋体" w:cs="宋体"/>
          <w:color w:val="auto"/>
          <w:szCs w:val="21"/>
          <w:highlight w:val="none"/>
        </w:rPr>
        <w:t>的身份认证，确保在电子竞标过程中能够对相关数据电文进行加密和使用电子签章。</w:t>
      </w:r>
    </w:p>
    <w:p w14:paraId="01224B8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18.3响应文件须由供应商在规定位置签字、盖章（具体以供应商须知前附表或响应文件格式规定为准），否则按无效响应处理。</w:t>
      </w:r>
    </w:p>
    <w:p w14:paraId="1BB7D03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18.4响应文件中标注的供应商名称应与主体资格证明（如营业执照或者事业单位法人证书或者执业许可证或者登记证书等）及公章一致，否则其响应文件按无效处理。</w:t>
      </w:r>
    </w:p>
    <w:p w14:paraId="75BC59F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18.5响应文件应尽量避免涂改、行间插字或者删除。如果出现上述情况，改动之处应由供应商的法定代表人或者其委托代理人签字（或者电子签名）或者加盖公章或者加盖电子签章。响应文件因涂改、行间插字或者删除导致字迹潦草或者表达不清所引起的后果由供应商承担。</w:t>
      </w:r>
    </w:p>
    <w:p w14:paraId="55D58CED">
      <w:pPr>
        <w:spacing w:line="360" w:lineRule="auto"/>
        <w:ind w:firstLine="482" w:firstLineChars="200"/>
        <w:rPr>
          <w:rFonts w:hint="eastAsia" w:ascii="黑体" w:hAnsi="黑体" w:eastAsia="黑体"/>
          <w:color w:val="auto"/>
          <w:sz w:val="24"/>
          <w:highlight w:val="none"/>
        </w:rPr>
      </w:pPr>
      <w:r>
        <w:rPr>
          <w:rFonts w:hint="eastAsia" w:ascii="黑体" w:hAnsi="黑体" w:eastAsia="黑体" w:cs="宋体"/>
          <w:b/>
          <w:bCs/>
          <w:color w:val="auto"/>
          <w:sz w:val="24"/>
          <w:highlight w:val="none"/>
        </w:rPr>
        <w:t>19.电子</w:t>
      </w:r>
      <w:r>
        <w:rPr>
          <w:rFonts w:hint="eastAsia" w:ascii="黑体" w:hAnsi="黑体" w:eastAsia="黑体"/>
          <w:b/>
          <w:color w:val="auto"/>
          <w:sz w:val="24"/>
          <w:highlight w:val="none"/>
        </w:rPr>
        <w:t>备份响应文件</w:t>
      </w:r>
    </w:p>
    <w:p w14:paraId="7C8C36F0">
      <w:pPr>
        <w:spacing w:line="360" w:lineRule="auto"/>
        <w:ind w:firstLine="420" w:firstLineChars="200"/>
        <w:rPr>
          <w:rFonts w:hint="eastAsia" w:ascii="宋体" w:hAnsi="宋体" w:cs="宋体"/>
          <w:color w:val="auto"/>
          <w:szCs w:val="21"/>
          <w:highlight w:val="none"/>
        </w:rPr>
      </w:pPr>
      <w:r>
        <w:rPr>
          <w:rFonts w:hint="eastAsia"/>
          <w:color w:val="auto"/>
          <w:highlight w:val="none"/>
        </w:rPr>
        <w:t>电子备份响应文件是指通过在线编制生成且后缀名为“</w:t>
      </w:r>
      <w:r>
        <w:rPr>
          <w:color w:val="auto"/>
          <w:highlight w:val="none"/>
        </w:rPr>
        <w:t>bfbs</w:t>
      </w:r>
      <w:r>
        <w:rPr>
          <w:rFonts w:hint="eastAsia"/>
          <w:color w:val="auto"/>
          <w:highlight w:val="none"/>
        </w:rPr>
        <w:t>”的文件，是否接受电子备份响应文件</w:t>
      </w:r>
      <w:r>
        <w:rPr>
          <w:rFonts w:hint="eastAsia" w:hAnsi="宋体"/>
          <w:bCs/>
          <w:color w:val="auto"/>
          <w:szCs w:val="21"/>
          <w:highlight w:val="none"/>
        </w:rPr>
        <w:t>详见在“供应商须知前附表”。</w:t>
      </w:r>
    </w:p>
    <w:p w14:paraId="2A248309">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20.响应文件的提交</w:t>
      </w:r>
    </w:p>
    <w:p w14:paraId="55C3AED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20.1供应商必须按“供应商须知前附表”规定的时间及地点提交响应文件。电子响应文件应在制作完成后，在提交响应文件截止时间前通过有效数字证书（CA认证锁）进行电子签章、加密，然后通过网络将加密的电子响应文件提交至广西政府采购云平台。  </w:t>
      </w:r>
    </w:p>
    <w:p w14:paraId="4F1714E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20.2未在规定时间内提交或者未按照磋商文件要求加密的电子响应文件，广西政府采购云平台将拒收。</w:t>
      </w:r>
    </w:p>
    <w:p w14:paraId="438A58A8">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21.首次响应文件的补充、修改与撤回</w:t>
      </w:r>
    </w:p>
    <w:p w14:paraId="2D780457">
      <w:pPr>
        <w:spacing w:line="360" w:lineRule="auto"/>
        <w:ind w:firstLine="420" w:firstLineChars="200"/>
        <w:rPr>
          <w:rFonts w:hint="eastAsia" w:ascii="宋体" w:hAnsi="宋体" w:cs="宋体"/>
          <w:color w:val="auto"/>
          <w:szCs w:val="21"/>
          <w:highlight w:val="none"/>
        </w:rPr>
      </w:pPr>
      <w:bookmarkStart w:id="66" w:name="_Toc254970543"/>
      <w:bookmarkStart w:id="67" w:name="_Toc254970684"/>
      <w:r>
        <w:rPr>
          <w:rFonts w:hint="eastAsia" w:ascii="宋体" w:hAnsi="宋体" w:cs="宋体"/>
          <w:color w:val="auto"/>
          <w:szCs w:val="21"/>
          <w:highlight w:val="none"/>
        </w:rPr>
        <w:t>21.1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注：补充、修改或者撤回方式可登录广西政府采购云平台，进入“服务中心”中查看 “电子投标文件制作与投送教程”）</w:t>
      </w:r>
    </w:p>
    <w:bookmarkEnd w:id="66"/>
    <w:bookmarkEnd w:id="67"/>
    <w:p w14:paraId="704B593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21.2在提交响应文件截止时间前，除供应商补充、修改或者撤回响应文件外，任何单位和个人不得解密或提取响应文件。</w:t>
      </w:r>
    </w:p>
    <w:p w14:paraId="15AB7EFC">
      <w:pPr>
        <w:spacing w:line="360" w:lineRule="auto"/>
        <w:ind w:firstLine="482" w:firstLineChars="200"/>
        <w:rPr>
          <w:rFonts w:hint="eastAsia" w:ascii="黑体" w:hAnsi="黑体" w:eastAsia="黑体" w:cs="宋体"/>
          <w:b/>
          <w:bCs/>
          <w:color w:val="auto"/>
          <w:sz w:val="24"/>
          <w:highlight w:val="none"/>
        </w:rPr>
      </w:pPr>
      <w:bookmarkStart w:id="68" w:name="_Hlk45702405"/>
      <w:r>
        <w:rPr>
          <w:rFonts w:hint="eastAsia" w:ascii="黑体" w:hAnsi="黑体" w:eastAsia="黑体" w:cs="宋体"/>
          <w:b/>
          <w:bCs/>
          <w:color w:val="auto"/>
          <w:sz w:val="24"/>
          <w:highlight w:val="none"/>
        </w:rPr>
        <w:t>22.响应文件的退回</w:t>
      </w:r>
    </w:p>
    <w:p w14:paraId="6F334CE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采购人和采购代理机构对已提交的响应文件概不退回。</w:t>
      </w:r>
    </w:p>
    <w:p w14:paraId="1E1A4570">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23.截止时间后的撤回</w:t>
      </w:r>
    </w:p>
    <w:p w14:paraId="70E6958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供应商在响应文件提交截止时间后向采购人、采购代理机构书面申请撤回响应文件的，将根据本须知正文第17.4条的规定不予退还其磋商保证金。</w:t>
      </w:r>
    </w:p>
    <w:bookmarkEnd w:id="68"/>
    <w:p w14:paraId="59044772">
      <w:pPr>
        <w:spacing w:line="360" w:lineRule="auto"/>
        <w:rPr>
          <w:rFonts w:hint="eastAsia" w:ascii="宋体" w:hAnsi="宋体"/>
          <w:color w:val="auto"/>
          <w:szCs w:val="21"/>
          <w:highlight w:val="none"/>
        </w:rPr>
      </w:pPr>
    </w:p>
    <w:p w14:paraId="1435B8C2">
      <w:pPr>
        <w:spacing w:line="360" w:lineRule="auto"/>
        <w:ind w:left="420" w:firstLine="420"/>
        <w:jc w:val="center"/>
        <w:rPr>
          <w:rFonts w:hint="eastAsia" w:ascii="宋体" w:hAnsi="宋体"/>
          <w:b/>
          <w:bCs/>
          <w:color w:val="auto"/>
          <w:sz w:val="32"/>
          <w:szCs w:val="32"/>
          <w:highlight w:val="none"/>
        </w:rPr>
      </w:pPr>
      <w:r>
        <w:rPr>
          <w:rFonts w:hint="eastAsia" w:ascii="宋体" w:hAnsi="宋体"/>
          <w:b/>
          <w:bCs/>
          <w:color w:val="auto"/>
          <w:sz w:val="32"/>
          <w:szCs w:val="32"/>
          <w:highlight w:val="none"/>
        </w:rPr>
        <w:t>四、评审及磋商</w:t>
      </w:r>
    </w:p>
    <w:p w14:paraId="6BFDA3DF">
      <w:pPr>
        <w:spacing w:line="360" w:lineRule="auto"/>
        <w:ind w:left="420" w:firstLine="420"/>
        <w:rPr>
          <w:rFonts w:hint="eastAsia" w:ascii="宋体" w:hAnsi="宋体"/>
          <w:color w:val="auto"/>
          <w:szCs w:val="21"/>
          <w:highlight w:val="none"/>
        </w:rPr>
      </w:pPr>
    </w:p>
    <w:p w14:paraId="7C848118">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24.磋商小组成立</w:t>
      </w:r>
    </w:p>
    <w:p w14:paraId="025962E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24.1磋商小组由采购人代表和评审专家共3人以上（含3人）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w:t>
      </w:r>
    </w:p>
    <w:p w14:paraId="3A33915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675B2ED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24.3</w:t>
      </w:r>
      <w:r>
        <w:rPr>
          <w:rFonts w:hint="eastAsia" w:hAnsi="宋体"/>
          <w:bCs/>
          <w:color w:val="auto"/>
          <w:szCs w:val="21"/>
          <w:highlight w:val="none"/>
        </w:rPr>
        <w:t>采购代理机构</w:t>
      </w:r>
      <w:r>
        <w:rPr>
          <w:rFonts w:hint="eastAsia" w:hAnsi="宋体"/>
          <w:bCs/>
          <w:color w:val="auto"/>
          <w:highlight w:val="none"/>
        </w:rPr>
        <w:t>应当</w:t>
      </w:r>
      <w:r>
        <w:rPr>
          <w:rFonts w:hint="eastAsia" w:hAnsi="宋体"/>
          <w:bCs/>
          <w:color w:val="auto"/>
          <w:szCs w:val="21"/>
          <w:highlight w:val="none"/>
        </w:rPr>
        <w:t>基于广西政府采购云平台</w:t>
      </w:r>
      <w:r>
        <w:rPr>
          <w:rFonts w:hint="eastAsia" w:hAnsi="宋体"/>
          <w:bCs/>
          <w:color w:val="auto"/>
          <w:highlight w:val="none"/>
        </w:rPr>
        <w:t>抽（选）取</w:t>
      </w:r>
      <w:r>
        <w:rPr>
          <w:rFonts w:hint="eastAsia" w:hAnsi="宋体"/>
          <w:bCs/>
          <w:color w:val="auto"/>
          <w:szCs w:val="21"/>
          <w:highlight w:val="none"/>
        </w:rPr>
        <w:t>评审专家。</w:t>
      </w:r>
    </w:p>
    <w:p w14:paraId="301FD69A">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25.</w:t>
      </w:r>
      <w:r>
        <w:rPr>
          <w:rFonts w:hint="eastAsia" w:ascii="黑体" w:hAnsi="黑体" w:eastAsia="黑体" w:cs="宋体"/>
          <w:b/>
          <w:bCs/>
          <w:color w:val="auto"/>
          <w:sz w:val="24"/>
          <w:highlight w:val="none"/>
        </w:rPr>
        <w:t>首次响应文件的开启和解密</w:t>
      </w:r>
    </w:p>
    <w:p w14:paraId="5078A125">
      <w:pPr>
        <w:spacing w:line="360" w:lineRule="auto"/>
        <w:ind w:firstLine="420" w:firstLineChars="200"/>
        <w:rPr>
          <w:rFonts w:hint="eastAsia" w:ascii="宋体" w:hAnsi="宋体" w:cs="宋体"/>
          <w:color w:val="auto"/>
          <w:szCs w:val="21"/>
          <w:highlight w:val="none"/>
        </w:rPr>
      </w:pPr>
      <w:r>
        <w:rPr>
          <w:rFonts w:hint="eastAsia" w:hAnsi="宋体"/>
          <w:bCs/>
          <w:color w:val="auto"/>
          <w:highlight w:val="none"/>
        </w:rPr>
        <w:t>采购代理机构将在“供应商须知前附表”规定的时</w:t>
      </w:r>
      <w:r>
        <w:rPr>
          <w:rFonts w:hint="eastAsia" w:hAnsi="宋体"/>
          <w:color w:val="auto"/>
          <w:highlight w:val="none"/>
        </w:rPr>
        <w:t>间通过电子交易平台组织响应文件开启，供应商的法定代表人或其委托代理人须携带加密时所用的CA锁，按平台提示和磋商文件的规定登录到广西政府采购云平台电子开标大厅签到，</w:t>
      </w:r>
      <w:r>
        <w:rPr>
          <w:rFonts w:hint="eastAsia"/>
          <w:color w:val="auto"/>
          <w:highlight w:val="none"/>
        </w:rPr>
        <w:t>采购代理机构依托广西政府采购云平台向各供应商发出电子加密响应文件【开始解密】通知，由供应商按</w:t>
      </w:r>
      <w:r>
        <w:rPr>
          <w:rFonts w:hint="eastAsia" w:hAnsi="宋体"/>
          <w:bCs/>
          <w:color w:val="auto"/>
          <w:szCs w:val="21"/>
          <w:highlight w:val="none"/>
        </w:rPr>
        <w:t>“供应商须知前附表”</w:t>
      </w:r>
      <w:r>
        <w:rPr>
          <w:rFonts w:hint="eastAsia"/>
          <w:color w:val="auto"/>
          <w:highlight w:val="none"/>
        </w:rPr>
        <w:t>规定的时间内自行进行响应文件解密</w:t>
      </w:r>
      <w:r>
        <w:rPr>
          <w:rFonts w:hint="eastAsia" w:hAnsi="宋体"/>
          <w:color w:val="auto"/>
          <w:highlight w:val="none"/>
        </w:rPr>
        <w:t>。</w:t>
      </w:r>
      <w:r>
        <w:rPr>
          <w:rFonts w:hint="eastAsia"/>
          <w:b/>
          <w:color w:val="auto"/>
          <w:highlight w:val="none"/>
        </w:rPr>
        <w:t>供应商未在</w:t>
      </w:r>
      <w:r>
        <w:rPr>
          <w:b/>
          <w:color w:val="auto"/>
          <w:highlight w:val="none"/>
        </w:rPr>
        <w:t>规定的时间内解密</w:t>
      </w:r>
      <w:r>
        <w:rPr>
          <w:rFonts w:hint="eastAsia"/>
          <w:b/>
          <w:color w:val="auto"/>
          <w:highlight w:val="none"/>
        </w:rPr>
        <w:t>响应文件</w:t>
      </w:r>
      <w:r>
        <w:rPr>
          <w:b/>
          <w:color w:val="auto"/>
          <w:highlight w:val="none"/>
        </w:rPr>
        <w:t>或</w:t>
      </w:r>
      <w:r>
        <w:rPr>
          <w:rFonts w:hint="eastAsia"/>
          <w:b/>
          <w:color w:val="auto"/>
          <w:highlight w:val="none"/>
        </w:rPr>
        <w:t>者</w:t>
      </w:r>
      <w:r>
        <w:rPr>
          <w:b/>
          <w:color w:val="auto"/>
          <w:highlight w:val="none"/>
        </w:rPr>
        <w:t>解密失败的</w:t>
      </w:r>
      <w:r>
        <w:rPr>
          <w:rFonts w:hint="eastAsia"/>
          <w:b/>
          <w:color w:val="auto"/>
          <w:highlight w:val="none"/>
        </w:rPr>
        <w:t>，供应商</w:t>
      </w:r>
      <w:r>
        <w:rPr>
          <w:rFonts w:hint="eastAsia" w:ascii="宋体" w:hAnsi="宋体"/>
          <w:b/>
          <w:color w:val="auto"/>
          <w:szCs w:val="21"/>
          <w:highlight w:val="none"/>
        </w:rPr>
        <w:t>的响应文件按无效处理</w:t>
      </w:r>
      <w:r>
        <w:rPr>
          <w:b/>
          <w:color w:val="auto"/>
          <w:highlight w:val="none"/>
        </w:rPr>
        <w:t>。</w:t>
      </w:r>
    </w:p>
    <w:p w14:paraId="3ECAE20E">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26</w:t>
      </w:r>
      <w:r>
        <w:rPr>
          <w:rFonts w:hint="eastAsia" w:ascii="黑体" w:hAnsi="黑体" w:eastAsia="黑体" w:cs="宋体"/>
          <w:b/>
          <w:bCs/>
          <w:color w:val="auto"/>
          <w:sz w:val="24"/>
          <w:highlight w:val="none"/>
        </w:rPr>
        <w:t>.评审程序、评审方法和评审标准</w:t>
      </w:r>
    </w:p>
    <w:p w14:paraId="084F163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6</w:t>
      </w:r>
      <w:r>
        <w:rPr>
          <w:rFonts w:hint="eastAsia" w:ascii="宋体" w:hAnsi="宋体" w:cs="宋体"/>
          <w:color w:val="auto"/>
          <w:szCs w:val="21"/>
          <w:highlight w:val="none"/>
        </w:rPr>
        <w:t>.1本项目的评审方法为综合评分法。</w:t>
      </w:r>
    </w:p>
    <w:p w14:paraId="5D1421BB">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26.2</w:t>
      </w:r>
      <w:r>
        <w:rPr>
          <w:rFonts w:hint="eastAsia" w:ascii="宋体" w:hAnsi="宋体" w:cs="宋体"/>
          <w:color w:val="auto"/>
          <w:szCs w:val="21"/>
          <w:highlight w:val="none"/>
        </w:rPr>
        <w:t>磋商小组</w:t>
      </w:r>
      <w:r>
        <w:rPr>
          <w:rFonts w:ascii="宋体" w:hAnsi="宋体" w:cs="宋体"/>
          <w:color w:val="auto"/>
          <w:szCs w:val="21"/>
          <w:highlight w:val="none"/>
        </w:rPr>
        <w:t>按照</w:t>
      </w:r>
      <w:r>
        <w:rPr>
          <w:rFonts w:hint="eastAsia" w:ascii="宋体" w:hAnsi="宋体" w:cs="宋体"/>
          <w:color w:val="auto"/>
          <w:szCs w:val="21"/>
          <w:highlight w:val="none"/>
        </w:rPr>
        <w:t>“第四章 评审程序、评审方法和评审标准”</w:t>
      </w:r>
      <w:r>
        <w:rPr>
          <w:rFonts w:ascii="宋体" w:hAnsi="宋体" w:cs="宋体"/>
          <w:color w:val="auto"/>
          <w:szCs w:val="21"/>
          <w:highlight w:val="none"/>
        </w:rPr>
        <w:t>规定的方法、评审因素、标准和程序对</w:t>
      </w:r>
      <w:r>
        <w:rPr>
          <w:rFonts w:hint="eastAsia" w:ascii="宋体" w:hAnsi="宋体" w:cs="宋体"/>
          <w:color w:val="auto"/>
          <w:szCs w:val="21"/>
          <w:highlight w:val="none"/>
        </w:rPr>
        <w:t>响应</w:t>
      </w:r>
      <w:r>
        <w:rPr>
          <w:rFonts w:ascii="宋体" w:hAnsi="宋体" w:cs="宋体"/>
          <w:color w:val="auto"/>
          <w:szCs w:val="21"/>
          <w:highlight w:val="none"/>
        </w:rPr>
        <w:t>文件进行评审</w:t>
      </w:r>
      <w:r>
        <w:rPr>
          <w:rFonts w:hint="eastAsia" w:ascii="宋体" w:hAnsi="宋体" w:cs="宋体"/>
          <w:color w:val="auto"/>
          <w:szCs w:val="21"/>
          <w:highlight w:val="none"/>
        </w:rPr>
        <w:t>并推荐成交候选供应商</w:t>
      </w:r>
      <w:r>
        <w:rPr>
          <w:rFonts w:ascii="宋体" w:hAnsi="宋体" w:cs="宋体"/>
          <w:color w:val="auto"/>
          <w:szCs w:val="21"/>
          <w:highlight w:val="none"/>
        </w:rPr>
        <w:t>。</w:t>
      </w:r>
    </w:p>
    <w:p w14:paraId="685EF665">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 xml:space="preserve">6.3 </w:t>
      </w:r>
      <w:r>
        <w:rPr>
          <w:rFonts w:hint="eastAsia" w:ascii="宋体" w:hAnsi="宋体"/>
          <w:color w:val="auto"/>
          <w:szCs w:val="21"/>
          <w:highlight w:val="none"/>
        </w:rPr>
        <w:t>商务/技术及其他要求允许负偏离的条款数详见“供应商须知前附表”。</w:t>
      </w:r>
    </w:p>
    <w:p w14:paraId="1E1F7D60">
      <w:pPr>
        <w:spacing w:line="360" w:lineRule="auto"/>
        <w:ind w:firstLine="420" w:firstLineChars="200"/>
        <w:rPr>
          <w:rFonts w:hint="eastAsia" w:ascii="宋体" w:hAnsi="宋体"/>
          <w:color w:val="auto"/>
          <w:szCs w:val="21"/>
          <w:highlight w:val="none"/>
        </w:rPr>
      </w:pPr>
      <w:r>
        <w:rPr>
          <w:rFonts w:hint="eastAsia" w:ascii="宋体" w:hAnsi="宋体" w:cs="宋体"/>
          <w:color w:val="auto"/>
          <w:highlight w:val="none"/>
        </w:rPr>
        <w:t>26.</w:t>
      </w:r>
      <w:r>
        <w:rPr>
          <w:rFonts w:ascii="宋体" w:hAnsi="宋体" w:cs="宋体"/>
          <w:color w:val="auto"/>
          <w:highlight w:val="none"/>
        </w:rPr>
        <w:t>4</w:t>
      </w:r>
      <w:r>
        <w:rPr>
          <w:rFonts w:hint="eastAsia" w:ascii="宋体" w:hAnsi="宋体" w:cs="宋体"/>
          <w:color w:val="auto"/>
          <w:highlight w:val="none"/>
        </w:rPr>
        <w:t>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391988F1">
      <w:pPr>
        <w:spacing w:line="360" w:lineRule="auto"/>
        <w:ind w:firstLine="420" w:firstLineChars="200"/>
        <w:rPr>
          <w:rFonts w:hint="eastAsia" w:hAnsi="宋体"/>
          <w:color w:val="auto"/>
          <w:highlight w:val="none"/>
        </w:rPr>
      </w:pPr>
      <w:r>
        <w:rPr>
          <w:rFonts w:hint="eastAsia" w:ascii="宋体" w:hAnsi="宋体" w:cs="宋体"/>
          <w:color w:val="auto"/>
          <w:highlight w:val="none"/>
        </w:rPr>
        <w:t>2</w:t>
      </w:r>
      <w:r>
        <w:rPr>
          <w:rFonts w:ascii="宋体" w:hAnsi="宋体" w:cs="宋体"/>
          <w:color w:val="auto"/>
          <w:highlight w:val="none"/>
        </w:rPr>
        <w:t>6.5</w:t>
      </w:r>
      <w:r>
        <w:rPr>
          <w:rFonts w:hint="eastAsia" w:hAnsi="宋体"/>
          <w:color w:val="auto"/>
          <w:highlight w:val="none"/>
        </w:rPr>
        <w:t>电子交易活动的中止。采购过程中出现以下情形，导致电子交易平台无法正常运行，或者无法保证电子交易的公平、公正和安全时，采购机构可中止电子交易活动：</w:t>
      </w:r>
    </w:p>
    <w:p w14:paraId="23A760D1">
      <w:pPr>
        <w:spacing w:line="360" w:lineRule="auto"/>
        <w:ind w:firstLine="420" w:firstLineChars="200"/>
        <w:rPr>
          <w:rFonts w:hint="eastAsia" w:hAnsi="宋体"/>
          <w:color w:val="auto"/>
          <w:highlight w:val="none"/>
        </w:rPr>
      </w:pPr>
      <w:r>
        <w:rPr>
          <w:rFonts w:hint="eastAsia" w:hAnsi="宋体"/>
          <w:color w:val="auto"/>
          <w:highlight w:val="none"/>
        </w:rPr>
        <w:t xml:space="preserve">（1）电子交易平台发生故障而无法登录访问的； </w:t>
      </w:r>
    </w:p>
    <w:p w14:paraId="6739EE8A">
      <w:pPr>
        <w:spacing w:line="360" w:lineRule="auto"/>
        <w:ind w:firstLine="420" w:firstLineChars="200"/>
        <w:rPr>
          <w:rFonts w:hint="eastAsia" w:hAnsi="宋体"/>
          <w:color w:val="auto"/>
          <w:highlight w:val="none"/>
        </w:rPr>
      </w:pPr>
      <w:r>
        <w:rPr>
          <w:rFonts w:hint="eastAsia" w:hAnsi="宋体"/>
          <w:color w:val="auto"/>
          <w:highlight w:val="none"/>
        </w:rPr>
        <w:t>（2）电子交易平台应用或数据库出现错误，不能进行正常操作的；</w:t>
      </w:r>
    </w:p>
    <w:p w14:paraId="34812250">
      <w:pPr>
        <w:spacing w:line="360" w:lineRule="auto"/>
        <w:ind w:firstLine="420" w:firstLineChars="200"/>
        <w:rPr>
          <w:rFonts w:hint="eastAsia" w:hAnsi="宋体"/>
          <w:color w:val="auto"/>
          <w:highlight w:val="none"/>
        </w:rPr>
      </w:pPr>
      <w:r>
        <w:rPr>
          <w:rFonts w:hint="eastAsia" w:hAnsi="宋体"/>
          <w:color w:val="auto"/>
          <w:highlight w:val="none"/>
        </w:rPr>
        <w:t>（3）电子交易平台发现严重安全漏洞，有潜在泄密危险的；</w:t>
      </w:r>
    </w:p>
    <w:p w14:paraId="590E2C68">
      <w:pPr>
        <w:spacing w:line="360" w:lineRule="auto"/>
        <w:ind w:firstLine="420" w:firstLineChars="200"/>
        <w:rPr>
          <w:rFonts w:hint="eastAsia" w:hAnsi="宋体"/>
          <w:color w:val="auto"/>
          <w:highlight w:val="none"/>
        </w:rPr>
      </w:pPr>
      <w:r>
        <w:rPr>
          <w:rFonts w:hint="eastAsia" w:hAnsi="宋体"/>
          <w:color w:val="auto"/>
          <w:highlight w:val="none"/>
        </w:rPr>
        <w:t xml:space="preserve">（4）病毒发作导致不能进行正常操作的； </w:t>
      </w:r>
    </w:p>
    <w:p w14:paraId="0FCA675A">
      <w:pPr>
        <w:spacing w:line="360" w:lineRule="auto"/>
        <w:ind w:firstLine="420" w:firstLineChars="200"/>
        <w:rPr>
          <w:rFonts w:hint="eastAsia" w:hAnsi="宋体"/>
          <w:color w:val="auto"/>
          <w:highlight w:val="none"/>
        </w:rPr>
      </w:pPr>
      <w:r>
        <w:rPr>
          <w:rFonts w:hint="eastAsia" w:hAnsi="宋体"/>
          <w:color w:val="auto"/>
          <w:highlight w:val="none"/>
        </w:rPr>
        <w:t>（5）其他无法保证电子交易的公平、公正和安全的情况。</w:t>
      </w:r>
    </w:p>
    <w:p w14:paraId="62EBABCE">
      <w:pPr>
        <w:spacing w:line="360" w:lineRule="auto"/>
        <w:ind w:firstLine="420" w:firstLineChars="200"/>
        <w:rPr>
          <w:rFonts w:hint="eastAsia" w:ascii="宋体" w:hAnsi="宋体" w:cs="宋体"/>
          <w:color w:val="auto"/>
          <w:szCs w:val="21"/>
          <w:highlight w:val="none"/>
        </w:rPr>
      </w:pPr>
      <w:r>
        <w:rPr>
          <w:rFonts w:hint="eastAsia" w:ascii="宋体" w:hAnsi="宋体"/>
          <w:color w:val="auto"/>
          <w:highlight w:val="none"/>
        </w:rPr>
        <w:t>26.</w:t>
      </w:r>
      <w:r>
        <w:rPr>
          <w:rFonts w:ascii="宋体" w:hAnsi="宋体"/>
          <w:color w:val="auto"/>
          <w:highlight w:val="none"/>
        </w:rPr>
        <w:t>6</w:t>
      </w:r>
      <w:r>
        <w:rPr>
          <w:rFonts w:hint="eastAsia" w:hAnsi="宋体"/>
          <w:color w:val="auto"/>
          <w:highlight w:val="none"/>
        </w:rPr>
        <w:t>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w:t>
      </w:r>
    </w:p>
    <w:p w14:paraId="062ADBF3">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27</w:t>
      </w:r>
      <w:r>
        <w:rPr>
          <w:rFonts w:hint="eastAsia" w:ascii="黑体" w:hAnsi="黑体" w:eastAsia="黑体" w:cs="宋体"/>
          <w:b/>
          <w:bCs/>
          <w:color w:val="auto"/>
          <w:sz w:val="24"/>
          <w:highlight w:val="none"/>
        </w:rPr>
        <w:t>.确定成交供应商及结果公告</w:t>
      </w:r>
    </w:p>
    <w:p w14:paraId="3544B226">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27</w:t>
      </w:r>
      <w:r>
        <w:rPr>
          <w:rFonts w:hint="eastAsia" w:ascii="宋体" w:hAnsi="宋体" w:cs="宋体"/>
          <w:color w:val="auto"/>
          <w:szCs w:val="21"/>
          <w:highlight w:val="none"/>
        </w:rPr>
        <w:t>.1</w:t>
      </w:r>
      <w:r>
        <w:rPr>
          <w:rFonts w:hint="eastAsia" w:ascii="宋体" w:hAnsi="宋体" w:cs="宋体"/>
          <w:color w:val="auto"/>
          <w:kern w:val="0"/>
          <w:szCs w:val="21"/>
          <w:highlight w:val="none"/>
        </w:rPr>
        <w:t xml:space="preserve"> </w:t>
      </w:r>
      <w:r>
        <w:rPr>
          <w:rFonts w:hint="eastAsia" w:ascii="宋体" w:hAnsi="宋体" w:cs="宋体"/>
          <w:color w:val="auto"/>
          <w:szCs w:val="21"/>
          <w:highlight w:val="none"/>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2773307A">
      <w:pPr>
        <w:spacing w:line="360" w:lineRule="auto"/>
        <w:ind w:firstLine="420" w:firstLineChars="200"/>
        <w:rPr>
          <w:rFonts w:hint="eastAsia" w:ascii="宋体" w:hAnsi="宋体" w:cs="Courier New"/>
          <w:color w:val="auto"/>
          <w:szCs w:val="21"/>
          <w:highlight w:val="none"/>
        </w:rPr>
      </w:pPr>
      <w:r>
        <w:rPr>
          <w:rFonts w:ascii="宋体" w:hAnsi="宋体" w:cs="宋体"/>
          <w:color w:val="auto"/>
          <w:szCs w:val="21"/>
          <w:highlight w:val="none"/>
        </w:rPr>
        <w:t>27</w:t>
      </w:r>
      <w:r>
        <w:rPr>
          <w:rFonts w:hint="eastAsia" w:ascii="宋体" w:hAnsi="宋体" w:cs="宋体"/>
          <w:color w:val="auto"/>
          <w:szCs w:val="21"/>
          <w:highlight w:val="none"/>
        </w:rPr>
        <w:t>.2采购代理机构应当在</w:t>
      </w:r>
      <w:r>
        <w:rPr>
          <w:rFonts w:hint="eastAsia" w:ascii="宋体" w:hAnsi="宋体" w:cs="宋体"/>
          <w:color w:val="auto"/>
          <w:kern w:val="0"/>
          <w:szCs w:val="21"/>
          <w:highlight w:val="none"/>
        </w:rPr>
        <w:t>成交</w:t>
      </w:r>
      <w:r>
        <w:rPr>
          <w:rFonts w:hint="eastAsia" w:ascii="宋体" w:hAnsi="宋体" w:cs="宋体"/>
          <w:color w:val="auto"/>
          <w:szCs w:val="21"/>
          <w:highlight w:val="none"/>
        </w:rPr>
        <w:t>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磋商文件一并保存。</w:t>
      </w:r>
      <w:bookmarkStart w:id="69" w:name="_Hlk66782294"/>
      <w:r>
        <w:rPr>
          <w:rFonts w:hint="eastAsia" w:ascii="宋体" w:hAnsi="宋体" w:cs="Courier New"/>
          <w:color w:val="auto"/>
          <w:szCs w:val="21"/>
          <w:highlight w:val="none"/>
        </w:rPr>
        <w:t>成交供应商享受</w:t>
      </w:r>
      <w:r>
        <w:rPr>
          <w:rFonts w:hint="eastAsia" w:ascii="宋体" w:hAnsi="宋体"/>
          <w:color w:val="auto"/>
          <w:szCs w:val="21"/>
          <w:highlight w:val="none"/>
        </w:rPr>
        <w:t>《政府采购促进中小企业发展管理办法》（财库〔2020〕46号）规定的中小企业扶持</w:t>
      </w:r>
      <w:r>
        <w:rPr>
          <w:rFonts w:hint="eastAsia" w:ascii="宋体" w:hAnsi="宋体" w:cs="Courier New"/>
          <w:color w:val="auto"/>
          <w:szCs w:val="21"/>
          <w:highlight w:val="none"/>
        </w:rPr>
        <w:t>政策的，采购人、采购代理机构应当随成交结果公开成交供应商的《中小企业声明函》。</w:t>
      </w:r>
      <w:bookmarkEnd w:id="69"/>
    </w:p>
    <w:p w14:paraId="0917758A">
      <w:pPr>
        <w:spacing w:line="360" w:lineRule="auto"/>
        <w:ind w:firstLine="420" w:firstLineChars="200"/>
        <w:rPr>
          <w:rFonts w:hint="eastAsia" w:ascii="宋体" w:hAnsi="宋体" w:cs="Courier New"/>
          <w:color w:val="auto"/>
          <w:szCs w:val="21"/>
          <w:highlight w:val="none"/>
        </w:rPr>
      </w:pPr>
      <w:r>
        <w:rPr>
          <w:rFonts w:hint="eastAsia" w:ascii="宋体" w:hAnsi="宋体" w:cs="Courier New"/>
          <w:color w:val="auto"/>
          <w:szCs w:val="21"/>
          <w:highlight w:val="none"/>
        </w:rPr>
        <w:t>27.3出现下列情形之一的，采购人或者采购代理机构应当终止竞争性磋商采购活动，发布项目终止公告并说明原因，重新开展采购活动：</w:t>
      </w:r>
    </w:p>
    <w:p w14:paraId="6404F1F8">
      <w:pPr>
        <w:spacing w:line="360" w:lineRule="auto"/>
        <w:ind w:firstLine="420" w:firstLineChars="200"/>
        <w:rPr>
          <w:rFonts w:hint="eastAsia" w:ascii="宋体" w:hAnsi="宋体" w:cs="Courier New"/>
          <w:color w:val="auto"/>
          <w:szCs w:val="21"/>
          <w:highlight w:val="none"/>
        </w:rPr>
      </w:pPr>
      <w:r>
        <w:rPr>
          <w:rFonts w:hint="eastAsia" w:ascii="宋体" w:hAnsi="宋体" w:cs="Courier New"/>
          <w:color w:val="auto"/>
          <w:szCs w:val="21"/>
          <w:highlight w:val="none"/>
        </w:rPr>
        <w:t>（1）因情况变化，不再符合规定的竞争性磋商采购方式适用情形的；</w:t>
      </w:r>
    </w:p>
    <w:p w14:paraId="2CC391D5">
      <w:pPr>
        <w:spacing w:line="360" w:lineRule="auto"/>
        <w:ind w:firstLine="420" w:firstLineChars="200"/>
        <w:rPr>
          <w:rFonts w:hint="eastAsia" w:ascii="宋体" w:hAnsi="宋体" w:cs="Courier New"/>
          <w:color w:val="auto"/>
          <w:szCs w:val="21"/>
          <w:highlight w:val="none"/>
        </w:rPr>
      </w:pPr>
      <w:r>
        <w:rPr>
          <w:rFonts w:hint="eastAsia" w:ascii="宋体" w:hAnsi="宋体" w:cs="Courier New"/>
          <w:color w:val="auto"/>
          <w:szCs w:val="21"/>
          <w:highlight w:val="none"/>
        </w:rPr>
        <w:t>（2）出现影响采购公正的违法、违规行为的；</w:t>
      </w:r>
    </w:p>
    <w:p w14:paraId="65BE70F1">
      <w:pPr>
        <w:spacing w:line="360" w:lineRule="auto"/>
        <w:ind w:firstLine="420" w:firstLineChars="200"/>
        <w:rPr>
          <w:rFonts w:hint="eastAsia" w:ascii="宋体" w:hAnsi="宋体" w:cs="Courier New"/>
          <w:color w:val="auto"/>
          <w:szCs w:val="21"/>
          <w:highlight w:val="none"/>
        </w:rPr>
      </w:pPr>
      <w:r>
        <w:rPr>
          <w:rFonts w:hint="eastAsia" w:ascii="宋体" w:hAnsi="宋体" w:cs="Courier New"/>
          <w:color w:val="auto"/>
          <w:szCs w:val="21"/>
          <w:highlight w:val="none"/>
        </w:rPr>
        <w:t>（3）除“第四章 评审程序、评审方法和评审标准”第4.3条规定的情形外，在采购过程中符合要求的供应商或者报价未超过采购预算的供应商不足3家的。</w:t>
      </w:r>
    </w:p>
    <w:p w14:paraId="55FFC237">
      <w:pPr>
        <w:spacing w:line="360" w:lineRule="auto"/>
        <w:ind w:firstLine="420" w:firstLineChars="200"/>
        <w:rPr>
          <w:rFonts w:hint="eastAsia" w:ascii="宋体" w:hAnsi="宋体" w:cs="宋体"/>
          <w:color w:val="auto"/>
          <w:szCs w:val="21"/>
          <w:highlight w:val="none"/>
        </w:rPr>
      </w:pPr>
      <w:r>
        <w:rPr>
          <w:rFonts w:hint="eastAsia" w:ascii="宋体" w:hAnsi="宋体" w:cs="Courier New"/>
          <w:color w:val="auto"/>
          <w:szCs w:val="21"/>
          <w:highlight w:val="none"/>
        </w:rPr>
        <w:t>27.4 在采购活动中因重大变故，采购任务取消的，采购人或者采购代理机构应当终止采购活动，通知所有参加采购活动的供应商，并将项目实施情况和采购任务取消原因报送本级财政部门。</w:t>
      </w:r>
    </w:p>
    <w:p w14:paraId="4FCA8AB3">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28</w:t>
      </w:r>
      <w:r>
        <w:rPr>
          <w:rFonts w:hint="eastAsia" w:ascii="黑体" w:hAnsi="黑体" w:eastAsia="黑体" w:cs="宋体"/>
          <w:b/>
          <w:bCs/>
          <w:color w:val="auto"/>
          <w:sz w:val="24"/>
          <w:highlight w:val="none"/>
        </w:rPr>
        <w:t>.履约保证金</w:t>
      </w:r>
    </w:p>
    <w:p w14:paraId="2837E340">
      <w:pPr>
        <w:spacing w:line="360" w:lineRule="auto"/>
        <w:ind w:firstLine="424" w:firstLineChars="202"/>
        <w:rPr>
          <w:rFonts w:hint="eastAsia" w:ascii="宋体" w:hAnsi="宋体" w:cs="宋体"/>
          <w:color w:val="auto"/>
          <w:szCs w:val="21"/>
          <w:highlight w:val="none"/>
        </w:rPr>
      </w:pPr>
      <w:r>
        <w:rPr>
          <w:rFonts w:ascii="宋体" w:hAnsi="宋体" w:cs="宋体"/>
          <w:color w:val="auto"/>
          <w:szCs w:val="21"/>
          <w:highlight w:val="none"/>
        </w:rPr>
        <w:t>28</w:t>
      </w:r>
      <w:r>
        <w:rPr>
          <w:rFonts w:hint="eastAsia" w:ascii="宋体" w:hAnsi="宋体" w:cs="宋体"/>
          <w:color w:val="auto"/>
          <w:szCs w:val="21"/>
          <w:highlight w:val="none"/>
        </w:rPr>
        <w:t>.1</w:t>
      </w:r>
      <w:r>
        <w:rPr>
          <w:rFonts w:ascii="宋体" w:hAnsi="宋体" w:cs="宋体"/>
          <w:color w:val="auto"/>
          <w:szCs w:val="21"/>
          <w:highlight w:val="none"/>
        </w:rPr>
        <w:t xml:space="preserve"> </w:t>
      </w:r>
      <w:r>
        <w:rPr>
          <w:rFonts w:hint="eastAsia" w:ascii="宋体" w:hAnsi="宋体" w:cs="宋体"/>
          <w:color w:val="auto"/>
          <w:szCs w:val="21"/>
          <w:highlight w:val="none"/>
        </w:rPr>
        <w:t>履约保证金的金额、提交方式、退付的时间和条件详见 “供应商须知前附表”。成交供应商未按规定提交履约保证金的，视为拒绝</w:t>
      </w:r>
      <w:r>
        <w:rPr>
          <w:rFonts w:ascii="宋体" w:hAnsi="宋体"/>
          <w:color w:val="auto"/>
          <w:highlight w:val="none"/>
        </w:rPr>
        <w:t>与采购人</w:t>
      </w:r>
      <w:r>
        <w:rPr>
          <w:rFonts w:hint="eastAsia" w:ascii="宋体" w:hAnsi="宋体" w:cs="宋体"/>
          <w:color w:val="auto"/>
          <w:szCs w:val="21"/>
          <w:highlight w:val="none"/>
        </w:rPr>
        <w:t>签订合同。</w:t>
      </w:r>
    </w:p>
    <w:p w14:paraId="0315C926">
      <w:pPr>
        <w:spacing w:line="360" w:lineRule="auto"/>
        <w:ind w:firstLine="424" w:firstLineChars="202"/>
        <w:rPr>
          <w:rFonts w:hint="eastAsia" w:ascii="宋体" w:hAnsi="宋体" w:cs="宋体"/>
          <w:color w:val="auto"/>
          <w:szCs w:val="21"/>
          <w:highlight w:val="none"/>
        </w:rPr>
      </w:pPr>
      <w:r>
        <w:rPr>
          <w:rFonts w:ascii="宋体" w:hAnsi="宋体" w:cs="宋体"/>
          <w:color w:val="auto"/>
          <w:szCs w:val="21"/>
          <w:highlight w:val="none"/>
        </w:rPr>
        <w:t>28</w:t>
      </w:r>
      <w:r>
        <w:rPr>
          <w:rFonts w:hint="eastAsia" w:ascii="宋体" w:hAnsi="宋体" w:cs="宋体"/>
          <w:color w:val="auto"/>
          <w:szCs w:val="21"/>
          <w:highlight w:val="none"/>
        </w:rPr>
        <w:t>.2在履约保证金退还日期前，若成交供应商的开户名称、开户银行、账号有变动的，请以书面形式通知履约保证金收取单位，否则由此产生的后果由成交供应商自行承担。</w:t>
      </w:r>
    </w:p>
    <w:p w14:paraId="75D26170">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29</w:t>
      </w:r>
      <w:r>
        <w:rPr>
          <w:rFonts w:hint="eastAsia" w:ascii="黑体" w:hAnsi="黑体" w:eastAsia="黑体" w:cs="宋体"/>
          <w:b/>
          <w:bCs/>
          <w:color w:val="auto"/>
          <w:sz w:val="24"/>
          <w:highlight w:val="none"/>
        </w:rPr>
        <w:t>.签订合同</w:t>
      </w:r>
    </w:p>
    <w:p w14:paraId="22F0ED18">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29.1签订电子采购合同：成交供应商领取电子成交通知书后，在</w:t>
      </w:r>
      <w:r>
        <w:rPr>
          <w:rFonts w:hint="eastAsia" w:ascii="宋体" w:hAnsi="宋体" w:cs="宋体"/>
          <w:color w:val="auto"/>
          <w:szCs w:val="21"/>
          <w:highlight w:val="none"/>
          <w:lang w:val="zh-CN"/>
        </w:rPr>
        <w:t>规定的日期、时间、地点，由法定代表人或其授权代表与采购人代表签订电子采购合同。</w:t>
      </w:r>
    </w:p>
    <w:p w14:paraId="0FC46F63">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线下签订纸质合同：供应商领取成交通知书后，按“供应商须知前附表”规定向采购人出示相关证明材料，经采购人核验合格后方可签订合同。</w:t>
      </w:r>
    </w:p>
    <w:p w14:paraId="7DF1EF3E">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29.2签订合同时间：按成交通知书规定的时间与采购人签订合同。</w:t>
      </w:r>
    </w:p>
    <w:p w14:paraId="45742C43">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w:t>
      </w:r>
      <w:r>
        <w:rPr>
          <w:rFonts w:ascii="宋体" w:hAnsi="宋体" w:cs="宋体"/>
          <w:color w:val="auto"/>
          <w:szCs w:val="21"/>
          <w:highlight w:val="none"/>
        </w:rPr>
        <w:t>3</w:t>
      </w:r>
      <w:r>
        <w:rPr>
          <w:rFonts w:hint="eastAsia" w:ascii="宋体" w:hAnsi="宋体" w:cs="宋体"/>
          <w:color w:val="auto"/>
          <w:szCs w:val="21"/>
          <w:highlight w:val="none"/>
        </w:rPr>
        <w:t>成交供应商拒绝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给成交供应商造成损失的，成交供应商可追究采购人承担相应的法律责任。</w:t>
      </w:r>
    </w:p>
    <w:p w14:paraId="14D2E13B">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29.4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79175492">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29.5采购人或成交供应商不得单方面向合同另一方提出任何磋商文件没有约定的条件或不合理的要求，作为签订合同的条件；也不得协商另行订立背离磋商文件和合同实质性内容的协议。</w:t>
      </w:r>
    </w:p>
    <w:p w14:paraId="0F145177">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29.6如签订合同并生效后，供应商无故拒绝或延期，除按照合同条款处理外，将承担相应的法律责任。</w:t>
      </w:r>
    </w:p>
    <w:p w14:paraId="1985EF6A">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29.7政府采购合同履行中，采购人需追加与合同标的相同的货物、工程或者服务的，在不改变合同其他条款的前提下，可以与供应商协商签订补充合同，但所有补充合同的采购金额不得超过原合同采购金额的10%。</w:t>
      </w:r>
    </w:p>
    <w:p w14:paraId="423E7D4A">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30</w:t>
      </w:r>
      <w:r>
        <w:rPr>
          <w:rFonts w:hint="eastAsia" w:ascii="黑体" w:hAnsi="黑体" w:eastAsia="黑体" w:cs="宋体"/>
          <w:b/>
          <w:bCs/>
          <w:color w:val="auto"/>
          <w:sz w:val="24"/>
          <w:highlight w:val="none"/>
        </w:rPr>
        <w:t>.政府采购合同公告</w:t>
      </w:r>
    </w:p>
    <w:p w14:paraId="72595A2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68E51F1A">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31</w:t>
      </w:r>
      <w:r>
        <w:rPr>
          <w:rFonts w:hint="eastAsia" w:ascii="黑体" w:hAnsi="黑体" w:eastAsia="黑体" w:cs="宋体"/>
          <w:b/>
          <w:bCs/>
          <w:color w:val="auto"/>
          <w:sz w:val="24"/>
          <w:highlight w:val="none"/>
        </w:rPr>
        <w:t>. 询问、质疑和投诉</w:t>
      </w:r>
    </w:p>
    <w:p w14:paraId="38E70F79">
      <w:pPr>
        <w:pStyle w:val="7"/>
        <w:spacing w:line="360" w:lineRule="auto"/>
        <w:rPr>
          <w:rFonts w:hint="eastAsia" w:ascii="宋体" w:hAnsi="宋体"/>
          <w:color w:val="auto"/>
          <w:szCs w:val="21"/>
          <w:highlight w:val="none"/>
        </w:rPr>
      </w:pPr>
      <w:r>
        <w:rPr>
          <w:rFonts w:hint="eastAsia" w:ascii="宋体" w:hAnsi="宋体" w:cs="宋体"/>
          <w:color w:val="auto"/>
          <w:highlight w:val="none"/>
        </w:rPr>
        <w:t>3</w:t>
      </w:r>
      <w:r>
        <w:rPr>
          <w:rFonts w:ascii="宋体" w:hAnsi="宋体" w:cs="宋体"/>
          <w:color w:val="auto"/>
          <w:highlight w:val="none"/>
        </w:rPr>
        <w:t>1</w:t>
      </w:r>
      <w:r>
        <w:rPr>
          <w:rFonts w:hint="eastAsia" w:ascii="宋体" w:hAnsi="宋体" w:cs="宋体"/>
          <w:color w:val="auto"/>
          <w:highlight w:val="none"/>
        </w:rPr>
        <w:t>.1供应商对政府采购活动事项有疑问的，可以向采购人、采购代理机构提出询问，采购人或者采购代理机构应当在3个工作日内对供应商依法提出的询问作出答复，</w:t>
      </w:r>
      <w:r>
        <w:rPr>
          <w:rFonts w:hint="eastAsia" w:ascii="宋体" w:hAnsi="宋体"/>
          <w:color w:val="auto"/>
          <w:szCs w:val="21"/>
          <w:highlight w:val="none"/>
        </w:rPr>
        <w:t>但答复的内容不得涉及商业秘密</w:t>
      </w:r>
      <w:r>
        <w:rPr>
          <w:rFonts w:hint="eastAsia" w:ascii="宋体" w:hAnsi="宋体" w:cs="宋体"/>
          <w:color w:val="auto"/>
          <w:highlight w:val="none"/>
        </w:rPr>
        <w:t>。</w:t>
      </w:r>
    </w:p>
    <w:p w14:paraId="1349656F">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w:t>
      </w:r>
      <w:r>
        <w:rPr>
          <w:rFonts w:hint="eastAsia" w:ascii="宋体" w:hAnsi="宋体" w:cs="宋体"/>
          <w:color w:val="auto"/>
          <w:highlight w:val="none"/>
        </w:rPr>
        <w:t>.2供应商认为磋商文件、采购过程或者成交结果使自己的合法权益受到损害的，应当在知道或者应知其权益受到损害之日起7个工作日内，以书面形式向采购人、采购代理机构提出质疑，</w:t>
      </w:r>
      <w:r>
        <w:rPr>
          <w:rFonts w:ascii="宋体" w:hAnsi="宋体" w:cs="Arial"/>
          <w:color w:val="auto"/>
          <w:highlight w:val="none"/>
          <w:shd w:val="clear" w:color="auto" w:fill="FFFFFF"/>
        </w:rPr>
        <w:t>接收质疑函的方式、联系部门、联系电话和通讯地址等信息</w:t>
      </w:r>
      <w:r>
        <w:rPr>
          <w:rFonts w:hint="eastAsia" w:ascii="宋体" w:hAnsi="宋体" w:cs="Arial"/>
          <w:color w:val="auto"/>
          <w:highlight w:val="none"/>
          <w:shd w:val="clear" w:color="auto" w:fill="FFFFFF"/>
        </w:rPr>
        <w:t>详见</w:t>
      </w:r>
      <w:r>
        <w:rPr>
          <w:rFonts w:hint="eastAsia" w:ascii="宋体" w:hAnsi="宋体" w:cs="宋体"/>
          <w:color w:val="auto"/>
          <w:szCs w:val="21"/>
          <w:highlight w:val="none"/>
        </w:rPr>
        <w:t>“供应商须知前附表”</w:t>
      </w:r>
      <w:r>
        <w:rPr>
          <w:rFonts w:hint="eastAsia" w:ascii="宋体" w:hAnsi="宋体" w:cs="宋体"/>
          <w:color w:val="auto"/>
          <w:highlight w:val="none"/>
        </w:rPr>
        <w:t>。具体质疑起算时间如下：</w:t>
      </w:r>
    </w:p>
    <w:p w14:paraId="01C509F3">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（1）对可以质疑的磋商文件提出质疑的，为获取磋商文件之日或者</w:t>
      </w:r>
      <w:r>
        <w:rPr>
          <w:rFonts w:hint="eastAsia" w:ascii="宋体" w:hAnsi="宋体"/>
          <w:color w:val="auto"/>
          <w:highlight w:val="none"/>
        </w:rPr>
        <w:t>竞争性磋商公告期限届满之日</w:t>
      </w:r>
      <w:r>
        <w:rPr>
          <w:rFonts w:hint="eastAsia" w:ascii="宋体" w:hAnsi="宋体" w:cs="宋体"/>
          <w:color w:val="auto"/>
          <w:highlight w:val="none"/>
        </w:rPr>
        <w:t>；</w:t>
      </w:r>
    </w:p>
    <w:p w14:paraId="7F1B72B6">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（2）对采购过程提出质疑的，为各采购程序环节结束之日；</w:t>
      </w:r>
    </w:p>
    <w:p w14:paraId="5B0C9C3D">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（3）对成交结果提出质疑的，为成交结果公告期限届满之日。</w:t>
      </w:r>
    </w:p>
    <w:p w14:paraId="0DD2C520">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w:t>
      </w:r>
      <w:r>
        <w:rPr>
          <w:rFonts w:hint="eastAsia" w:ascii="宋体" w:hAnsi="宋体" w:cs="宋体"/>
          <w:color w:val="auto"/>
          <w:highlight w:val="none"/>
        </w:rPr>
        <w:t>.3供应商提出的询问或者质疑超出采购人对采购代理机构委托授权范围的，采购代理机构应当告知供应商向采购人提出。政府采购评审专家应当配合采购人或者采购代理机构答复供应商的询问和质疑。</w:t>
      </w:r>
    </w:p>
    <w:p w14:paraId="69E124DB">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w:t>
      </w:r>
      <w:r>
        <w:rPr>
          <w:rFonts w:hint="eastAsia" w:ascii="宋体" w:hAnsi="宋体" w:cs="宋体"/>
          <w:color w:val="auto"/>
          <w:highlight w:val="none"/>
        </w:rPr>
        <w:t>.4 供应商提出质疑应当提交质疑函和必要的证明材料，针对同一采购程序环节的质疑必须在法定质疑期内一次性提出。质疑函应当包括下列内容</w:t>
      </w:r>
      <w:r>
        <w:rPr>
          <w:rFonts w:hint="eastAsia" w:hAnsi="宋体"/>
          <w:bCs/>
          <w:color w:val="auto"/>
          <w:highlight w:val="none"/>
        </w:rPr>
        <w:t>（质疑函格式后附）</w:t>
      </w:r>
      <w:r>
        <w:rPr>
          <w:rFonts w:hint="eastAsia" w:ascii="宋体" w:hAnsi="宋体" w:cs="宋体"/>
          <w:color w:val="auto"/>
          <w:highlight w:val="none"/>
        </w:rPr>
        <w:t>：</w:t>
      </w:r>
    </w:p>
    <w:p w14:paraId="7D4FC34A">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（1）供应商的姓名或者名称、地址、邮编、联系人及联系电话；</w:t>
      </w:r>
    </w:p>
    <w:p w14:paraId="7803F700">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（2）质疑项目的名称、编号；</w:t>
      </w:r>
    </w:p>
    <w:p w14:paraId="4B27A46C">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（3）具体、明确的质疑事项和与质疑事项相关的请求；</w:t>
      </w:r>
    </w:p>
    <w:p w14:paraId="4ADBB2F4">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（4）事实依据；</w:t>
      </w:r>
    </w:p>
    <w:p w14:paraId="696D0DCF">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（5）必要的法律依据；</w:t>
      </w:r>
    </w:p>
    <w:p w14:paraId="17B7AFDE">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（6）提出质疑的日期。</w:t>
      </w:r>
    </w:p>
    <w:p w14:paraId="7CE2A02D">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供应商为自然人的，应当由本人签字；供应商为法人或者其他组织的，应当由法定代表人、主要负责人，或者其委托代理人签字或者盖章，并加盖公章。</w:t>
      </w:r>
    </w:p>
    <w:p w14:paraId="1D27D7F5">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1.5</w:t>
      </w:r>
      <w:r>
        <w:rPr>
          <w:rFonts w:hint="eastAsia" w:ascii="宋体" w:hAnsi="宋体" w:cs="宋体"/>
          <w:color w:val="auto"/>
          <w:highlight w:val="none"/>
        </w:rPr>
        <w:t>采购人、采购代理机构认为供应商质疑不成立，或者成立但未对成交结果构成影响的，继续开展采购活动；认为供应商质疑成立且影响或者可能影响成交结果的，按照下列情况处理：</w:t>
      </w:r>
    </w:p>
    <w:p w14:paraId="1C94A45A">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0D71DC14">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64149466">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质疑答复导致成交结果改变的，采购人或者采购代理机构应当将有关情况书面报告本级财政部门。</w:t>
      </w:r>
    </w:p>
    <w:p w14:paraId="048E028C">
      <w:pPr>
        <w:spacing w:line="360" w:lineRule="auto"/>
        <w:ind w:firstLine="420" w:firstLineChars="200"/>
        <w:rPr>
          <w:rFonts w:hint="eastAsia" w:ascii="宋体" w:hAnsi="宋体" w:cs="宋体"/>
          <w:color w:val="auto"/>
          <w:szCs w:val="21"/>
          <w:highlight w:val="none"/>
        </w:rPr>
      </w:pPr>
      <w:r>
        <w:rPr>
          <w:rFonts w:ascii="宋体" w:hAnsi="宋体" w:cs="宋体"/>
          <w:color w:val="auto"/>
          <w:highlight w:val="none"/>
        </w:rPr>
        <w:t>31</w:t>
      </w:r>
      <w:r>
        <w:rPr>
          <w:rFonts w:hint="eastAsia" w:ascii="宋体" w:hAnsi="宋体" w:cs="宋体"/>
          <w:color w:val="auto"/>
          <w:highlight w:val="none"/>
        </w:rPr>
        <w:t>.</w:t>
      </w:r>
      <w:r>
        <w:rPr>
          <w:rFonts w:ascii="宋体" w:hAnsi="宋体" w:cs="宋体"/>
          <w:color w:val="auto"/>
          <w:highlight w:val="none"/>
        </w:rPr>
        <w:t>6</w:t>
      </w:r>
      <w:r>
        <w:rPr>
          <w:rFonts w:hint="eastAsia" w:ascii="宋体" w:hAnsi="宋体" w:cs="宋体"/>
          <w:color w:val="auto"/>
          <w:highlight w:val="none"/>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57046124">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32</w:t>
      </w:r>
      <w:r>
        <w:rPr>
          <w:rFonts w:hint="eastAsia" w:ascii="黑体" w:hAnsi="黑体" w:eastAsia="黑体" w:cs="宋体"/>
          <w:b/>
          <w:bCs/>
          <w:color w:val="auto"/>
          <w:sz w:val="24"/>
          <w:highlight w:val="none"/>
        </w:rPr>
        <w:t>.其他内容</w:t>
      </w:r>
    </w:p>
    <w:p w14:paraId="5E0F8954">
      <w:pPr>
        <w:tabs>
          <w:tab w:val="left" w:pos="2835"/>
        </w:tabs>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32</w:t>
      </w:r>
      <w:r>
        <w:rPr>
          <w:rFonts w:hint="eastAsia" w:ascii="宋体" w:hAnsi="宋体" w:cs="宋体"/>
          <w:color w:val="auto"/>
          <w:szCs w:val="21"/>
          <w:highlight w:val="none"/>
        </w:rPr>
        <w:t>.1代理服务收取标准及缴费账户详见“供应商须知前附表”。</w:t>
      </w:r>
    </w:p>
    <w:p w14:paraId="151440E6">
      <w:pPr>
        <w:tabs>
          <w:tab w:val="left" w:pos="2835"/>
        </w:tabs>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32.2</w:t>
      </w:r>
      <w:r>
        <w:rPr>
          <w:rFonts w:hint="eastAsia" w:ascii="宋体" w:hAnsi="宋体" w:cs="宋体"/>
          <w:color w:val="auto"/>
          <w:szCs w:val="21"/>
          <w:highlight w:val="none"/>
        </w:rPr>
        <w:t>代理服务费收费计算标准：</w:t>
      </w:r>
    </w:p>
    <w:tbl>
      <w:tblPr>
        <w:tblStyle w:val="4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546"/>
      </w:tblGrid>
      <w:tr w14:paraId="6CE8C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tcPr>
          <w:p w14:paraId="450A61D0">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费率</w:t>
            </w:r>
          </w:p>
          <w:p w14:paraId="3A57537C">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成交金额</w:t>
            </w:r>
          </w:p>
        </w:tc>
        <w:tc>
          <w:tcPr>
            <w:tcW w:w="1659" w:type="dxa"/>
            <w:vAlign w:val="center"/>
          </w:tcPr>
          <w:p w14:paraId="432A9D9B">
            <w:pPr>
              <w:spacing w:line="360" w:lineRule="auto"/>
              <w:ind w:firstLine="105" w:firstLineChars="50"/>
              <w:jc w:val="center"/>
              <w:rPr>
                <w:rFonts w:hint="eastAsia" w:ascii="宋体" w:hAnsi="宋体" w:cs="宋体"/>
                <w:color w:val="auto"/>
                <w:szCs w:val="21"/>
                <w:highlight w:val="none"/>
              </w:rPr>
            </w:pPr>
            <w:r>
              <w:rPr>
                <w:rFonts w:hint="eastAsia" w:ascii="宋体" w:hAnsi="宋体" w:cs="宋体"/>
                <w:color w:val="auto"/>
                <w:szCs w:val="21"/>
                <w:highlight w:val="none"/>
              </w:rPr>
              <w:t>货物类</w:t>
            </w:r>
          </w:p>
        </w:tc>
        <w:tc>
          <w:tcPr>
            <w:tcW w:w="1532" w:type="dxa"/>
            <w:vAlign w:val="center"/>
          </w:tcPr>
          <w:p w14:paraId="54ED09D1">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服务类</w:t>
            </w:r>
          </w:p>
        </w:tc>
        <w:tc>
          <w:tcPr>
            <w:tcW w:w="1546" w:type="dxa"/>
            <w:vAlign w:val="center"/>
          </w:tcPr>
          <w:p w14:paraId="249E6DD8">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工程类</w:t>
            </w:r>
          </w:p>
        </w:tc>
      </w:tr>
      <w:tr w14:paraId="07346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38FDA908">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100万元以下</w:t>
            </w:r>
          </w:p>
        </w:tc>
        <w:tc>
          <w:tcPr>
            <w:tcW w:w="1659" w:type="dxa"/>
          </w:tcPr>
          <w:p w14:paraId="764A57AB">
            <w:pPr>
              <w:spacing w:line="360" w:lineRule="auto"/>
              <w:rPr>
                <w:rFonts w:hint="eastAsia" w:ascii="宋体" w:hAnsi="宋体" w:cs="宋体"/>
                <w:color w:val="auto"/>
                <w:szCs w:val="21"/>
                <w:highlight w:val="none"/>
              </w:rPr>
            </w:pPr>
            <w:r>
              <w:rPr>
                <w:rFonts w:hint="eastAsia" w:ascii="宋体" w:hAnsi="宋体" w:cs="宋体"/>
                <w:color w:val="auto"/>
                <w:kern w:val="0"/>
                <w:szCs w:val="21"/>
                <w:highlight w:val="none"/>
              </w:rPr>
              <w:t xml:space="preserve">  1.5%                </w:t>
            </w:r>
          </w:p>
        </w:tc>
        <w:tc>
          <w:tcPr>
            <w:tcW w:w="1532" w:type="dxa"/>
          </w:tcPr>
          <w:p w14:paraId="1D122B11">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1.5%</w:t>
            </w:r>
          </w:p>
        </w:tc>
        <w:tc>
          <w:tcPr>
            <w:tcW w:w="1546" w:type="dxa"/>
          </w:tcPr>
          <w:p w14:paraId="5D0AED09">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 xml:space="preserve">1.0% </w:t>
            </w:r>
          </w:p>
        </w:tc>
      </w:tr>
      <w:tr w14:paraId="29485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00271402">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100～500万元</w:t>
            </w:r>
          </w:p>
        </w:tc>
        <w:tc>
          <w:tcPr>
            <w:tcW w:w="1659" w:type="dxa"/>
          </w:tcPr>
          <w:p w14:paraId="763733CA">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 xml:space="preserve">1.1%                 </w:t>
            </w:r>
          </w:p>
        </w:tc>
        <w:tc>
          <w:tcPr>
            <w:tcW w:w="1532" w:type="dxa"/>
          </w:tcPr>
          <w:p w14:paraId="3ECACCE3">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0.8%</w:t>
            </w:r>
          </w:p>
        </w:tc>
        <w:tc>
          <w:tcPr>
            <w:tcW w:w="1546" w:type="dxa"/>
          </w:tcPr>
          <w:p w14:paraId="0522F61D">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 xml:space="preserve">0.7% </w:t>
            </w:r>
          </w:p>
        </w:tc>
      </w:tr>
      <w:tr w14:paraId="5D98D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57E1803D">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500～1000万元</w:t>
            </w:r>
          </w:p>
        </w:tc>
        <w:tc>
          <w:tcPr>
            <w:tcW w:w="1659" w:type="dxa"/>
          </w:tcPr>
          <w:p w14:paraId="010183C6">
            <w:pPr>
              <w:spacing w:line="360" w:lineRule="auto"/>
              <w:rPr>
                <w:rFonts w:hint="eastAsia" w:ascii="宋体" w:hAnsi="宋体" w:cs="宋体"/>
                <w:color w:val="auto"/>
                <w:szCs w:val="21"/>
                <w:highlight w:val="none"/>
              </w:rPr>
            </w:pPr>
            <w:r>
              <w:rPr>
                <w:rFonts w:hint="eastAsia" w:ascii="宋体" w:hAnsi="宋体" w:cs="宋体"/>
                <w:color w:val="auto"/>
                <w:kern w:val="0"/>
                <w:szCs w:val="21"/>
                <w:highlight w:val="none"/>
              </w:rPr>
              <w:t xml:space="preserve">  0.8%                </w:t>
            </w:r>
          </w:p>
        </w:tc>
        <w:tc>
          <w:tcPr>
            <w:tcW w:w="1532" w:type="dxa"/>
          </w:tcPr>
          <w:p w14:paraId="3228EDB7">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0.45%</w:t>
            </w:r>
          </w:p>
        </w:tc>
        <w:tc>
          <w:tcPr>
            <w:tcW w:w="1546" w:type="dxa"/>
          </w:tcPr>
          <w:p w14:paraId="67345474">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0.55%</w:t>
            </w:r>
          </w:p>
        </w:tc>
      </w:tr>
      <w:tr w14:paraId="60E36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4C58304C">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1000～5000万元</w:t>
            </w:r>
          </w:p>
        </w:tc>
        <w:tc>
          <w:tcPr>
            <w:tcW w:w="1659" w:type="dxa"/>
          </w:tcPr>
          <w:p w14:paraId="6E41A8F3">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 xml:space="preserve">0.5%                </w:t>
            </w:r>
          </w:p>
        </w:tc>
        <w:tc>
          <w:tcPr>
            <w:tcW w:w="1532" w:type="dxa"/>
          </w:tcPr>
          <w:p w14:paraId="67FB6E35">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0.25%</w:t>
            </w:r>
          </w:p>
        </w:tc>
        <w:tc>
          <w:tcPr>
            <w:tcW w:w="1546" w:type="dxa"/>
          </w:tcPr>
          <w:p w14:paraId="33BFD1E1">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 xml:space="preserve">0.35% </w:t>
            </w:r>
          </w:p>
        </w:tc>
      </w:tr>
      <w:tr w14:paraId="2A108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0F76883B">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5000万元～1亿元</w:t>
            </w:r>
          </w:p>
        </w:tc>
        <w:tc>
          <w:tcPr>
            <w:tcW w:w="1659" w:type="dxa"/>
          </w:tcPr>
          <w:p w14:paraId="5154EE7D">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 xml:space="preserve">0.25%                 </w:t>
            </w:r>
          </w:p>
        </w:tc>
        <w:tc>
          <w:tcPr>
            <w:tcW w:w="1532" w:type="dxa"/>
          </w:tcPr>
          <w:p w14:paraId="424E0DF2">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0.1%</w:t>
            </w:r>
          </w:p>
        </w:tc>
        <w:tc>
          <w:tcPr>
            <w:tcW w:w="1546" w:type="dxa"/>
          </w:tcPr>
          <w:p w14:paraId="4779E344">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0.2%</w:t>
            </w:r>
          </w:p>
        </w:tc>
      </w:tr>
      <w:tr w14:paraId="4E042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56F8BB26">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1～5亿元</w:t>
            </w:r>
          </w:p>
        </w:tc>
        <w:tc>
          <w:tcPr>
            <w:tcW w:w="1659" w:type="dxa"/>
          </w:tcPr>
          <w:p w14:paraId="1F30873C">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0.05%</w:t>
            </w:r>
          </w:p>
        </w:tc>
        <w:tc>
          <w:tcPr>
            <w:tcW w:w="1532" w:type="dxa"/>
          </w:tcPr>
          <w:p w14:paraId="23C0C7E3">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0.05%</w:t>
            </w:r>
          </w:p>
        </w:tc>
        <w:tc>
          <w:tcPr>
            <w:tcW w:w="1546" w:type="dxa"/>
          </w:tcPr>
          <w:p w14:paraId="35C1270F">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0.05%</w:t>
            </w:r>
          </w:p>
        </w:tc>
      </w:tr>
      <w:tr w14:paraId="0E56E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10EE2866">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5～10亿元</w:t>
            </w:r>
          </w:p>
        </w:tc>
        <w:tc>
          <w:tcPr>
            <w:tcW w:w="1659" w:type="dxa"/>
          </w:tcPr>
          <w:p w14:paraId="1B90940B">
            <w:pPr>
              <w:spacing w:line="360" w:lineRule="auto"/>
              <w:ind w:firstLine="105" w:firstLineChars="50"/>
              <w:rPr>
                <w:rFonts w:hint="eastAsia" w:ascii="宋体" w:hAnsi="宋体" w:cs="宋体"/>
                <w:color w:val="auto"/>
                <w:szCs w:val="21"/>
                <w:highlight w:val="none"/>
              </w:rPr>
            </w:pPr>
            <w:r>
              <w:rPr>
                <w:rFonts w:hint="eastAsia" w:ascii="宋体" w:hAnsi="宋体" w:cs="宋体"/>
                <w:color w:val="auto"/>
                <w:szCs w:val="21"/>
                <w:highlight w:val="none"/>
              </w:rPr>
              <w:t>0.035%</w:t>
            </w:r>
          </w:p>
        </w:tc>
        <w:tc>
          <w:tcPr>
            <w:tcW w:w="1532" w:type="dxa"/>
          </w:tcPr>
          <w:p w14:paraId="148C2C50">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0.035%</w:t>
            </w:r>
          </w:p>
        </w:tc>
        <w:tc>
          <w:tcPr>
            <w:tcW w:w="1546" w:type="dxa"/>
          </w:tcPr>
          <w:p w14:paraId="608CA305">
            <w:pPr>
              <w:spacing w:line="360" w:lineRule="auto"/>
              <w:ind w:firstLine="105" w:firstLineChars="50"/>
              <w:rPr>
                <w:rFonts w:hint="eastAsia" w:ascii="宋体" w:hAnsi="宋体" w:cs="宋体"/>
                <w:color w:val="auto"/>
                <w:szCs w:val="21"/>
                <w:highlight w:val="none"/>
              </w:rPr>
            </w:pPr>
            <w:r>
              <w:rPr>
                <w:rFonts w:hint="eastAsia" w:ascii="宋体" w:hAnsi="宋体" w:cs="宋体"/>
                <w:color w:val="auto"/>
                <w:szCs w:val="21"/>
                <w:highlight w:val="none"/>
              </w:rPr>
              <w:t>0.035%</w:t>
            </w:r>
          </w:p>
        </w:tc>
      </w:tr>
      <w:tr w14:paraId="7226A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37B15F1D">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10～50亿元</w:t>
            </w:r>
          </w:p>
        </w:tc>
        <w:tc>
          <w:tcPr>
            <w:tcW w:w="1659" w:type="dxa"/>
          </w:tcPr>
          <w:p w14:paraId="2A9AA08C">
            <w:pPr>
              <w:spacing w:line="360" w:lineRule="auto"/>
              <w:ind w:firstLine="105" w:firstLineChars="50"/>
              <w:rPr>
                <w:rFonts w:hint="eastAsia" w:ascii="宋体" w:hAnsi="宋体" w:cs="宋体"/>
                <w:color w:val="auto"/>
                <w:szCs w:val="21"/>
                <w:highlight w:val="none"/>
              </w:rPr>
            </w:pPr>
            <w:r>
              <w:rPr>
                <w:rFonts w:hint="eastAsia" w:ascii="宋体" w:hAnsi="宋体" w:cs="宋体"/>
                <w:color w:val="auto"/>
                <w:szCs w:val="21"/>
                <w:highlight w:val="none"/>
              </w:rPr>
              <w:t>0.008%</w:t>
            </w:r>
          </w:p>
        </w:tc>
        <w:tc>
          <w:tcPr>
            <w:tcW w:w="1532" w:type="dxa"/>
          </w:tcPr>
          <w:p w14:paraId="090DD981">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0.008%</w:t>
            </w:r>
          </w:p>
        </w:tc>
        <w:tc>
          <w:tcPr>
            <w:tcW w:w="1546" w:type="dxa"/>
          </w:tcPr>
          <w:p w14:paraId="735DD7A4">
            <w:pPr>
              <w:spacing w:line="360" w:lineRule="auto"/>
              <w:ind w:firstLine="105" w:firstLineChars="50"/>
              <w:rPr>
                <w:rFonts w:hint="eastAsia" w:ascii="宋体" w:hAnsi="宋体" w:cs="宋体"/>
                <w:color w:val="auto"/>
                <w:szCs w:val="21"/>
                <w:highlight w:val="none"/>
              </w:rPr>
            </w:pPr>
            <w:r>
              <w:rPr>
                <w:rFonts w:hint="eastAsia" w:ascii="宋体" w:hAnsi="宋体" w:cs="宋体"/>
                <w:color w:val="auto"/>
                <w:szCs w:val="21"/>
                <w:highlight w:val="none"/>
              </w:rPr>
              <w:t>0.008%</w:t>
            </w:r>
          </w:p>
        </w:tc>
      </w:tr>
      <w:tr w14:paraId="0C720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50F221A4">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50～100亿元</w:t>
            </w:r>
          </w:p>
        </w:tc>
        <w:tc>
          <w:tcPr>
            <w:tcW w:w="1659" w:type="dxa"/>
          </w:tcPr>
          <w:p w14:paraId="740176B4">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0.006%</w:t>
            </w:r>
          </w:p>
        </w:tc>
        <w:tc>
          <w:tcPr>
            <w:tcW w:w="1532" w:type="dxa"/>
          </w:tcPr>
          <w:p w14:paraId="7733C755">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0.006%</w:t>
            </w:r>
          </w:p>
        </w:tc>
        <w:tc>
          <w:tcPr>
            <w:tcW w:w="1546" w:type="dxa"/>
          </w:tcPr>
          <w:p w14:paraId="1872F01B">
            <w:pPr>
              <w:spacing w:line="360" w:lineRule="auto"/>
              <w:ind w:firstLine="105" w:firstLineChars="50"/>
              <w:rPr>
                <w:rFonts w:hint="eastAsia" w:ascii="宋体" w:hAnsi="宋体" w:cs="宋体"/>
                <w:color w:val="auto"/>
                <w:szCs w:val="21"/>
                <w:highlight w:val="none"/>
              </w:rPr>
            </w:pPr>
            <w:r>
              <w:rPr>
                <w:rFonts w:hint="eastAsia" w:ascii="宋体" w:hAnsi="宋体" w:cs="宋体"/>
                <w:color w:val="auto"/>
                <w:szCs w:val="21"/>
                <w:highlight w:val="none"/>
              </w:rPr>
              <w:t>0.006%</w:t>
            </w:r>
          </w:p>
        </w:tc>
      </w:tr>
      <w:tr w14:paraId="62FEF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0DC6E939">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100亿以上</w:t>
            </w:r>
          </w:p>
        </w:tc>
        <w:tc>
          <w:tcPr>
            <w:tcW w:w="1659" w:type="dxa"/>
          </w:tcPr>
          <w:p w14:paraId="22EDF505">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0.004%</w:t>
            </w:r>
          </w:p>
        </w:tc>
        <w:tc>
          <w:tcPr>
            <w:tcW w:w="1532" w:type="dxa"/>
          </w:tcPr>
          <w:p w14:paraId="1DDD74F8">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0.004%</w:t>
            </w:r>
          </w:p>
        </w:tc>
        <w:tc>
          <w:tcPr>
            <w:tcW w:w="1546" w:type="dxa"/>
          </w:tcPr>
          <w:p w14:paraId="53DD11C1">
            <w:pPr>
              <w:spacing w:line="360" w:lineRule="auto"/>
              <w:ind w:firstLine="105" w:firstLineChars="50"/>
              <w:rPr>
                <w:rFonts w:hint="eastAsia" w:ascii="宋体" w:hAnsi="宋体" w:cs="宋体"/>
                <w:color w:val="auto"/>
                <w:szCs w:val="21"/>
                <w:highlight w:val="none"/>
              </w:rPr>
            </w:pPr>
            <w:r>
              <w:rPr>
                <w:rFonts w:hint="eastAsia" w:ascii="宋体" w:hAnsi="宋体" w:cs="宋体"/>
                <w:color w:val="auto"/>
                <w:szCs w:val="21"/>
                <w:highlight w:val="none"/>
              </w:rPr>
              <w:t>0.004%</w:t>
            </w:r>
          </w:p>
        </w:tc>
      </w:tr>
    </w:tbl>
    <w:p w14:paraId="69DAEAE3">
      <w:pPr>
        <w:spacing w:line="360" w:lineRule="auto"/>
        <w:ind w:firstLine="420" w:firstLineChars="200"/>
        <w:rPr>
          <w:rFonts w:hint="eastAsia" w:ascii="宋体" w:hAnsi="宋体" w:cs="宋体"/>
          <w:color w:val="auto"/>
          <w:highlight w:val="none"/>
        </w:rPr>
      </w:pPr>
      <w:r>
        <w:rPr>
          <w:rFonts w:ascii="宋体" w:hAnsi="宋体" w:cs="宋体"/>
          <w:color w:val="auto"/>
          <w:highlight w:val="none"/>
        </w:rPr>
        <w:t>注：</w:t>
      </w:r>
    </w:p>
    <w:p w14:paraId="0E71FF41">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w:t>
      </w:r>
      <w:r>
        <w:rPr>
          <w:rFonts w:ascii="宋体" w:hAnsi="宋体" w:cs="宋体"/>
          <w:color w:val="auto"/>
          <w:highlight w:val="none"/>
        </w:rPr>
        <w:t>按本表费率计算的收费为</w:t>
      </w:r>
      <w:r>
        <w:rPr>
          <w:rFonts w:hint="eastAsia" w:ascii="宋体" w:hAnsi="宋体" w:cs="宋体"/>
          <w:color w:val="auto"/>
          <w:highlight w:val="none"/>
        </w:rPr>
        <w:t>采购</w:t>
      </w:r>
      <w:r>
        <w:rPr>
          <w:rFonts w:ascii="宋体" w:hAnsi="宋体" w:cs="宋体"/>
          <w:color w:val="auto"/>
          <w:highlight w:val="none"/>
        </w:rPr>
        <w:t>代理的收费基准价格</w:t>
      </w:r>
      <w:r>
        <w:rPr>
          <w:rFonts w:hint="eastAsia" w:ascii="宋体" w:hAnsi="宋体" w:cs="宋体"/>
          <w:color w:val="auto"/>
          <w:highlight w:val="none"/>
        </w:rPr>
        <w:t>；</w:t>
      </w:r>
    </w:p>
    <w:p w14:paraId="465A0C99">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（2）采购</w:t>
      </w:r>
      <w:r>
        <w:rPr>
          <w:rFonts w:ascii="宋体" w:hAnsi="宋体" w:cs="宋体"/>
          <w:color w:val="auto"/>
          <w:highlight w:val="none"/>
        </w:rPr>
        <w:t>代理收费按差额定率累进法计算。</w:t>
      </w:r>
    </w:p>
    <w:p w14:paraId="07A214F7">
      <w:pPr>
        <w:spacing w:line="360" w:lineRule="auto"/>
        <w:ind w:firstLine="420" w:firstLineChars="200"/>
        <w:rPr>
          <w:rFonts w:hint="eastAsia" w:ascii="宋体" w:hAnsi="宋体" w:cs="宋体"/>
          <w:color w:val="auto"/>
          <w:highlight w:val="none"/>
        </w:rPr>
      </w:pPr>
      <w:r>
        <w:rPr>
          <w:rFonts w:ascii="宋体" w:hAnsi="宋体" w:cs="宋体"/>
          <w:color w:val="auto"/>
          <w:highlight w:val="none"/>
        </w:rPr>
        <w:t>例如：某</w:t>
      </w:r>
      <w:r>
        <w:rPr>
          <w:rFonts w:hint="eastAsia" w:ascii="宋体" w:hAnsi="宋体" w:cs="宋体"/>
          <w:color w:val="auto"/>
          <w:highlight w:val="none"/>
        </w:rPr>
        <w:t>工程项目采购</w:t>
      </w:r>
      <w:r>
        <w:rPr>
          <w:rFonts w:ascii="宋体" w:hAnsi="宋体" w:cs="宋体"/>
          <w:color w:val="auto"/>
          <w:highlight w:val="none"/>
        </w:rPr>
        <w:t>代理业务</w:t>
      </w:r>
      <w:r>
        <w:rPr>
          <w:rFonts w:hint="eastAsia" w:ascii="宋体" w:hAnsi="宋体" w:cs="宋体"/>
          <w:color w:val="auto"/>
          <w:highlight w:val="none"/>
        </w:rPr>
        <w:t>成交</w:t>
      </w:r>
      <w:r>
        <w:rPr>
          <w:rFonts w:ascii="宋体" w:hAnsi="宋体" w:cs="宋体"/>
          <w:color w:val="auto"/>
          <w:highlight w:val="none"/>
        </w:rPr>
        <w:t>金额为150万元，计算</w:t>
      </w:r>
      <w:r>
        <w:rPr>
          <w:rFonts w:hint="eastAsia" w:ascii="宋体" w:hAnsi="宋体" w:cs="宋体"/>
          <w:color w:val="auto"/>
          <w:highlight w:val="none"/>
        </w:rPr>
        <w:t>采购</w:t>
      </w:r>
      <w:r>
        <w:rPr>
          <w:rFonts w:ascii="宋体" w:hAnsi="宋体" w:cs="宋体"/>
          <w:color w:val="auto"/>
          <w:highlight w:val="none"/>
        </w:rPr>
        <w:t>代理收费额如下：</w:t>
      </w:r>
    </w:p>
    <w:p w14:paraId="700AF0DD">
      <w:pPr>
        <w:spacing w:line="360" w:lineRule="auto"/>
        <w:ind w:firstLine="420" w:firstLineChars="200"/>
        <w:rPr>
          <w:rFonts w:hint="eastAsia" w:ascii="宋体" w:hAnsi="宋体" w:cs="宋体"/>
          <w:color w:val="auto"/>
          <w:highlight w:val="none"/>
        </w:rPr>
      </w:pPr>
      <w:r>
        <w:rPr>
          <w:rFonts w:ascii="宋体" w:hAnsi="宋体" w:cs="宋体"/>
          <w:color w:val="auto"/>
          <w:highlight w:val="none"/>
        </w:rPr>
        <w:t>100 万元×l.</w:t>
      </w:r>
      <w:r>
        <w:rPr>
          <w:rFonts w:hint="eastAsia" w:ascii="宋体" w:hAnsi="宋体" w:cs="宋体"/>
          <w:color w:val="auto"/>
          <w:highlight w:val="none"/>
        </w:rPr>
        <w:t>0</w:t>
      </w:r>
      <w:r>
        <w:rPr>
          <w:rFonts w:ascii="宋体" w:hAnsi="宋体" w:cs="宋体"/>
          <w:color w:val="auto"/>
          <w:highlight w:val="none"/>
        </w:rPr>
        <w:t>%＝ 1.</w:t>
      </w:r>
      <w:r>
        <w:rPr>
          <w:rFonts w:hint="eastAsia" w:ascii="宋体" w:hAnsi="宋体" w:cs="宋体"/>
          <w:color w:val="auto"/>
          <w:highlight w:val="none"/>
        </w:rPr>
        <w:t>0</w:t>
      </w:r>
      <w:r>
        <w:rPr>
          <w:rFonts w:ascii="宋体" w:hAnsi="宋体" w:cs="宋体"/>
          <w:color w:val="auto"/>
          <w:highlight w:val="none"/>
        </w:rPr>
        <w:t>万元</w:t>
      </w:r>
    </w:p>
    <w:p w14:paraId="6EC743C5">
      <w:pPr>
        <w:spacing w:line="360" w:lineRule="auto"/>
        <w:ind w:firstLine="420" w:firstLineChars="200"/>
        <w:rPr>
          <w:rFonts w:hint="eastAsia" w:ascii="宋体" w:hAnsi="宋体" w:cs="宋体"/>
          <w:color w:val="auto"/>
          <w:highlight w:val="none"/>
        </w:rPr>
      </w:pPr>
      <w:r>
        <w:rPr>
          <w:rFonts w:ascii="宋体" w:hAnsi="宋体" w:cs="宋体"/>
          <w:color w:val="auto"/>
          <w:highlight w:val="none"/>
        </w:rPr>
        <w:t>（150</w:t>
      </w:r>
      <w:r>
        <w:rPr>
          <w:rFonts w:hint="eastAsia" w:ascii="宋体" w:hAnsi="宋体" w:cs="宋体"/>
          <w:color w:val="auto"/>
          <w:highlight w:val="none"/>
        </w:rPr>
        <w:t>-</w:t>
      </w:r>
      <w:r>
        <w:rPr>
          <w:rFonts w:ascii="宋体" w:hAnsi="宋体" w:cs="宋体"/>
          <w:color w:val="auto"/>
          <w:highlight w:val="none"/>
        </w:rPr>
        <w:t>100）万元×0.</w:t>
      </w:r>
      <w:r>
        <w:rPr>
          <w:rFonts w:hint="eastAsia" w:ascii="宋体" w:hAnsi="宋体" w:cs="宋体"/>
          <w:color w:val="auto"/>
          <w:highlight w:val="none"/>
        </w:rPr>
        <w:t>7</w:t>
      </w:r>
      <w:r>
        <w:rPr>
          <w:rFonts w:ascii="宋体" w:hAnsi="宋体" w:cs="宋体"/>
          <w:color w:val="auto"/>
          <w:highlight w:val="none"/>
        </w:rPr>
        <w:t>%＝ 0.</w:t>
      </w:r>
      <w:r>
        <w:rPr>
          <w:rFonts w:hint="eastAsia" w:ascii="宋体" w:hAnsi="宋体" w:cs="宋体"/>
          <w:color w:val="auto"/>
          <w:highlight w:val="none"/>
        </w:rPr>
        <w:t>35</w:t>
      </w:r>
      <w:r>
        <w:rPr>
          <w:rFonts w:ascii="宋体" w:hAnsi="宋体" w:cs="宋体"/>
          <w:color w:val="auto"/>
          <w:highlight w:val="none"/>
        </w:rPr>
        <w:t>万元</w:t>
      </w:r>
    </w:p>
    <w:p w14:paraId="6D7FD593">
      <w:pPr>
        <w:spacing w:line="360" w:lineRule="auto"/>
        <w:ind w:firstLine="420" w:firstLineChars="200"/>
        <w:rPr>
          <w:rFonts w:hint="eastAsia" w:ascii="宋体" w:hAnsi="宋体" w:cs="宋体"/>
          <w:color w:val="auto"/>
          <w:highlight w:val="none"/>
        </w:rPr>
      </w:pPr>
      <w:r>
        <w:rPr>
          <w:rFonts w:ascii="宋体" w:hAnsi="宋体" w:cs="宋体"/>
          <w:color w:val="auto"/>
          <w:highlight w:val="none"/>
        </w:rPr>
        <w:t>合计收费＝ 1.</w:t>
      </w:r>
      <w:r>
        <w:rPr>
          <w:rFonts w:hint="eastAsia" w:ascii="宋体" w:hAnsi="宋体" w:cs="宋体"/>
          <w:color w:val="auto"/>
          <w:highlight w:val="none"/>
        </w:rPr>
        <w:t>0+</w:t>
      </w:r>
      <w:r>
        <w:rPr>
          <w:rFonts w:ascii="宋体" w:hAnsi="宋体" w:cs="宋体"/>
          <w:color w:val="auto"/>
          <w:highlight w:val="none"/>
        </w:rPr>
        <w:t>0.</w:t>
      </w:r>
      <w:r>
        <w:rPr>
          <w:rFonts w:hint="eastAsia" w:ascii="宋体" w:hAnsi="宋体" w:cs="宋体"/>
          <w:color w:val="auto"/>
          <w:highlight w:val="none"/>
        </w:rPr>
        <w:t>35</w:t>
      </w:r>
      <w:r>
        <w:rPr>
          <w:rFonts w:ascii="宋体" w:hAnsi="宋体" w:cs="宋体"/>
          <w:color w:val="auto"/>
          <w:highlight w:val="none"/>
        </w:rPr>
        <w:t>＝ 1.</w:t>
      </w:r>
      <w:r>
        <w:rPr>
          <w:rFonts w:hint="eastAsia" w:ascii="宋体" w:hAnsi="宋体" w:cs="宋体"/>
          <w:color w:val="auto"/>
          <w:highlight w:val="none"/>
        </w:rPr>
        <w:t>35</w:t>
      </w:r>
      <w:r>
        <w:rPr>
          <w:rFonts w:ascii="宋体" w:hAnsi="宋体" w:cs="宋体"/>
          <w:color w:val="auto"/>
          <w:highlight w:val="none"/>
        </w:rPr>
        <w:t xml:space="preserve"> 万元</w:t>
      </w:r>
    </w:p>
    <w:p w14:paraId="5C314FBA">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3</w:t>
      </w:r>
      <w:r>
        <w:rPr>
          <w:rFonts w:ascii="黑体" w:hAnsi="黑体" w:eastAsia="黑体" w:cs="宋体"/>
          <w:b/>
          <w:bCs/>
          <w:color w:val="auto"/>
          <w:sz w:val="24"/>
          <w:highlight w:val="none"/>
        </w:rPr>
        <w:t>3.需要补充的其他内容</w:t>
      </w:r>
    </w:p>
    <w:p w14:paraId="6ACC7EFD">
      <w:pPr>
        <w:pStyle w:val="27"/>
        <w:spacing w:line="360" w:lineRule="auto"/>
        <w:ind w:firstLine="420" w:firstLineChars="200"/>
        <w:textAlignment w:val="center"/>
        <w:rPr>
          <w:rFonts w:hint="eastAsia" w:hAnsi="宋体" w:cs="宋体"/>
          <w:color w:val="auto"/>
          <w:kern w:val="2"/>
          <w:sz w:val="21"/>
          <w:highlight w:val="none"/>
        </w:rPr>
      </w:pPr>
      <w:r>
        <w:rPr>
          <w:rFonts w:hint="eastAsia" w:hAnsi="宋体" w:cs="宋体"/>
          <w:color w:val="auto"/>
          <w:kern w:val="2"/>
          <w:sz w:val="21"/>
          <w:highlight w:val="none"/>
        </w:rPr>
        <w:t>3</w:t>
      </w:r>
      <w:r>
        <w:rPr>
          <w:rFonts w:hAnsi="宋体" w:cs="宋体"/>
          <w:color w:val="auto"/>
          <w:kern w:val="2"/>
          <w:sz w:val="21"/>
          <w:highlight w:val="none"/>
        </w:rPr>
        <w:t>3.1</w:t>
      </w:r>
      <w:r>
        <w:rPr>
          <w:rFonts w:hint="eastAsia" w:hAnsi="宋体" w:cs="宋体"/>
          <w:color w:val="auto"/>
          <w:kern w:val="2"/>
          <w:sz w:val="21"/>
          <w:highlight w:val="none"/>
        </w:rPr>
        <w:t>本磋商文件解释规则详见“供应商须知前附表”。</w:t>
      </w:r>
    </w:p>
    <w:p w14:paraId="4230A9BE">
      <w:pPr>
        <w:pStyle w:val="27"/>
        <w:spacing w:line="360" w:lineRule="auto"/>
        <w:ind w:firstLine="420" w:firstLineChars="200"/>
        <w:textAlignment w:val="center"/>
        <w:rPr>
          <w:rFonts w:hint="eastAsia" w:hAnsi="宋体" w:cs="宋体"/>
          <w:color w:val="auto"/>
          <w:kern w:val="2"/>
          <w:sz w:val="21"/>
          <w:highlight w:val="none"/>
        </w:rPr>
      </w:pPr>
      <w:r>
        <w:rPr>
          <w:rFonts w:hint="eastAsia" w:hAnsi="宋体" w:cs="宋体"/>
          <w:color w:val="auto"/>
          <w:kern w:val="2"/>
          <w:sz w:val="21"/>
          <w:highlight w:val="none"/>
        </w:rPr>
        <w:t>33.2农民工工资保证金见“供应商须知前附表”。</w:t>
      </w:r>
    </w:p>
    <w:p w14:paraId="5FECC559">
      <w:pPr>
        <w:pStyle w:val="27"/>
        <w:spacing w:line="360" w:lineRule="auto"/>
        <w:ind w:firstLine="420" w:firstLineChars="200"/>
        <w:textAlignment w:val="center"/>
        <w:rPr>
          <w:rFonts w:hint="eastAsia" w:hAnsi="宋体" w:cs="宋体"/>
          <w:color w:val="auto"/>
          <w:kern w:val="2"/>
          <w:sz w:val="21"/>
          <w:highlight w:val="none"/>
        </w:rPr>
      </w:pPr>
      <w:r>
        <w:rPr>
          <w:rFonts w:hAnsi="宋体" w:cs="宋体"/>
          <w:color w:val="auto"/>
          <w:kern w:val="2"/>
          <w:sz w:val="21"/>
          <w:highlight w:val="none"/>
        </w:rPr>
        <w:t>33.</w:t>
      </w:r>
      <w:r>
        <w:rPr>
          <w:rFonts w:hint="eastAsia" w:hAnsi="宋体" w:cs="宋体"/>
          <w:color w:val="auto"/>
          <w:kern w:val="2"/>
          <w:sz w:val="21"/>
          <w:highlight w:val="none"/>
        </w:rPr>
        <w:t>3 其他事项详见“供应商须知前附表”。</w:t>
      </w:r>
    </w:p>
    <w:p w14:paraId="195BD3AE">
      <w:pPr>
        <w:pStyle w:val="27"/>
        <w:spacing w:line="360" w:lineRule="auto"/>
        <w:ind w:firstLine="420" w:firstLineChars="200"/>
        <w:textAlignment w:val="center"/>
        <w:rPr>
          <w:rFonts w:hint="eastAsia" w:hAnsi="宋体" w:cs="宋体"/>
          <w:color w:val="auto"/>
          <w:kern w:val="2"/>
          <w:sz w:val="21"/>
          <w:highlight w:val="none"/>
        </w:rPr>
      </w:pPr>
      <w:r>
        <w:rPr>
          <w:rFonts w:hint="eastAsia" w:hAnsi="宋体" w:cs="宋体"/>
          <w:color w:val="auto"/>
          <w:kern w:val="2"/>
          <w:sz w:val="21"/>
          <w:highlight w:val="none"/>
        </w:rPr>
        <w:t>3</w:t>
      </w:r>
      <w:r>
        <w:rPr>
          <w:rFonts w:hAnsi="宋体" w:cs="宋体"/>
          <w:color w:val="auto"/>
          <w:kern w:val="2"/>
          <w:sz w:val="21"/>
          <w:highlight w:val="none"/>
        </w:rPr>
        <w:t>3.</w:t>
      </w:r>
      <w:r>
        <w:rPr>
          <w:rFonts w:hint="eastAsia" w:hAnsi="宋体" w:cs="宋体"/>
          <w:color w:val="auto"/>
          <w:kern w:val="2"/>
          <w:sz w:val="21"/>
          <w:highlight w:val="none"/>
        </w:rPr>
        <w:t>4本磋商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14:paraId="72D486B6">
      <w:pPr>
        <w:pStyle w:val="27"/>
        <w:spacing w:line="360" w:lineRule="auto"/>
        <w:ind w:firstLine="420" w:firstLineChars="200"/>
        <w:contextualSpacing/>
        <w:rPr>
          <w:rFonts w:hint="eastAsia" w:hAnsi="宋体"/>
          <w:color w:val="auto"/>
          <w:sz w:val="21"/>
          <w:highlight w:val="none"/>
        </w:rPr>
      </w:pPr>
      <w:r>
        <w:rPr>
          <w:rFonts w:hint="eastAsia" w:hAnsi="宋体"/>
          <w:color w:val="auto"/>
          <w:sz w:val="21"/>
          <w:highlight w:val="none"/>
        </w:rPr>
        <w:t>（1）在货物采购项目中，货物由中小企业制造，即货物由中小企业生产且使用该中小企业商号或者注册商标，不对其中涉及的工程承建商和服务的承接商作出要求；</w:t>
      </w:r>
    </w:p>
    <w:p w14:paraId="5E40DF6A">
      <w:pPr>
        <w:pStyle w:val="27"/>
        <w:spacing w:line="360" w:lineRule="auto"/>
        <w:ind w:firstLine="420" w:firstLineChars="200"/>
        <w:contextualSpacing/>
        <w:rPr>
          <w:rFonts w:hint="eastAsia" w:hAnsi="宋体"/>
          <w:color w:val="auto"/>
          <w:sz w:val="21"/>
          <w:highlight w:val="none"/>
        </w:rPr>
      </w:pPr>
      <w:r>
        <w:rPr>
          <w:rFonts w:hint="eastAsia" w:hAnsi="宋体"/>
          <w:color w:val="auto"/>
          <w:sz w:val="21"/>
          <w:highlight w:val="none"/>
        </w:rPr>
        <w:t>（2）在工程采购项目中，工程由中小企业承建，即工程施工单位为中小企业，不对其中涉及的货物的制造商和服务的承接商作出要求；</w:t>
      </w:r>
    </w:p>
    <w:p w14:paraId="79C7C38A">
      <w:pPr>
        <w:pStyle w:val="27"/>
        <w:spacing w:line="360" w:lineRule="auto"/>
        <w:ind w:firstLine="420" w:firstLineChars="200"/>
        <w:contextualSpacing/>
        <w:rPr>
          <w:rFonts w:hint="eastAsia" w:hAnsi="宋体"/>
          <w:color w:val="auto"/>
          <w:sz w:val="21"/>
          <w:highlight w:val="none"/>
        </w:rPr>
      </w:pPr>
      <w:r>
        <w:rPr>
          <w:rFonts w:hint="eastAsia" w:hAnsi="宋体"/>
          <w:color w:val="auto"/>
          <w:sz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7FA583C2">
      <w:pPr>
        <w:pStyle w:val="27"/>
        <w:spacing w:line="360" w:lineRule="auto"/>
        <w:ind w:firstLine="420" w:firstLineChars="200"/>
        <w:contextualSpacing/>
        <w:rPr>
          <w:rFonts w:hint="eastAsia" w:hAnsi="宋体"/>
          <w:color w:val="auto"/>
          <w:sz w:val="21"/>
          <w:highlight w:val="none"/>
        </w:rPr>
      </w:pPr>
      <w:r>
        <w:rPr>
          <w:rFonts w:hint="eastAsia" w:hAnsi="宋体" w:cs="宋体"/>
          <w:color w:val="auto"/>
          <w:kern w:val="2"/>
          <w:sz w:val="21"/>
          <w:highlight w:val="none"/>
        </w:rPr>
        <w:t>在货物采购项目中，供应商提供的货物既有中小企业制造货物，也有大型企业制造货物的，不享受本磋商文件规定的中小企业扶持政策。</w:t>
      </w:r>
    </w:p>
    <w:p w14:paraId="0BBCA8C9">
      <w:pPr>
        <w:pStyle w:val="27"/>
        <w:spacing w:line="360" w:lineRule="auto"/>
        <w:ind w:firstLine="420" w:firstLineChars="200"/>
        <w:contextualSpacing/>
        <w:rPr>
          <w:rFonts w:hint="eastAsia" w:hAnsi="宋体"/>
          <w:color w:val="auto"/>
          <w:sz w:val="21"/>
          <w:highlight w:val="none"/>
        </w:rPr>
      </w:pPr>
      <w:r>
        <w:rPr>
          <w:rFonts w:hint="eastAsia" w:hAnsi="宋体"/>
          <w:color w:val="auto"/>
          <w:sz w:val="21"/>
          <w:highlight w:val="none"/>
        </w:rPr>
        <w:t>依据本磋商文件规定享受扶持政策获得政府采购合同的，小微企业不得将合同分包给大中型企业，中型企业不得将合同分包给大型企业。</w:t>
      </w:r>
    </w:p>
    <w:p w14:paraId="5FA3CB82">
      <w:pPr>
        <w:pStyle w:val="2"/>
        <w:spacing w:before="0" w:after="0" w:line="360" w:lineRule="auto"/>
        <w:jc w:val="center"/>
        <w:rPr>
          <w:color w:val="auto"/>
          <w:highlight w:val="none"/>
        </w:rPr>
      </w:pPr>
      <w:bookmarkStart w:id="70" w:name="_Toc74323458"/>
      <w:r>
        <w:rPr>
          <w:rFonts w:hint="eastAsia"/>
          <w:color w:val="auto"/>
          <w:highlight w:val="none"/>
        </w:rPr>
        <w:t>第三章 采购需求</w:t>
      </w:r>
      <w:bookmarkEnd w:id="70"/>
    </w:p>
    <w:p w14:paraId="29C325AD">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说明：</w:t>
      </w:r>
    </w:p>
    <w:p w14:paraId="3E892375">
      <w:pPr>
        <w:spacing w:line="400" w:lineRule="exact"/>
        <w:ind w:firstLine="420" w:firstLineChars="200"/>
        <w:jc w:val="left"/>
        <w:rPr>
          <w:rFonts w:hint="eastAsia" w:ascii="宋体" w:hAnsi="宋体" w:cs="宋体"/>
          <w:color w:val="auto"/>
          <w:szCs w:val="21"/>
          <w:highlight w:val="none"/>
        </w:rPr>
      </w:pPr>
      <w:r>
        <w:rPr>
          <w:rFonts w:hint="eastAsia" w:ascii="宋体" w:hAnsi="宋体"/>
          <w:color w:val="auto"/>
          <w:highlight w:val="none"/>
        </w:rPr>
        <w:t>1</w:t>
      </w:r>
      <w:r>
        <w:rPr>
          <w:rFonts w:hint="eastAsia"/>
          <w:color w:val="auto"/>
          <w:highlight w:val="none"/>
        </w:rPr>
        <w:t>. 为落实政府采购政策需满足的要求：</w:t>
      </w:r>
    </w:p>
    <w:p w14:paraId="2E220F87">
      <w:pPr>
        <w:spacing w:line="400" w:lineRule="exact"/>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（1）政府采购促进中小企业发展。</w:t>
      </w:r>
    </w:p>
    <w:p w14:paraId="6BBA8794">
      <w:pPr>
        <w:spacing w:line="400" w:lineRule="exact"/>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（2）政府采购支持采用本国产品的政策。</w:t>
      </w:r>
    </w:p>
    <w:p w14:paraId="6DF03B4A">
      <w:pPr>
        <w:spacing w:line="400" w:lineRule="exact"/>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（3）强制采购节能产品；优先采购节能产品、环境标志产品。</w:t>
      </w:r>
    </w:p>
    <w:p w14:paraId="341F6FE8">
      <w:pPr>
        <w:spacing w:line="400" w:lineRule="exact"/>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（4）政府采购促进残疾人就业政策。</w:t>
      </w:r>
    </w:p>
    <w:p w14:paraId="3514F205">
      <w:pPr>
        <w:spacing w:line="400" w:lineRule="exact"/>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（5）政府采购支持监狱企业发展。</w:t>
      </w:r>
    </w:p>
    <w:p w14:paraId="7F958261">
      <w:pPr>
        <w:spacing w:line="400" w:lineRule="exact"/>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2.“实质性要求”是指磋商文件中已经指明不满足则响应文件按无效处理的条款，或者不能负偏离的条款，或者采购需求中带“▲”的条款。</w:t>
      </w:r>
    </w:p>
    <w:p w14:paraId="25B7B7E7">
      <w:pPr>
        <w:spacing w:line="400" w:lineRule="exact"/>
        <w:ind w:firstLine="424" w:firstLineChars="202"/>
        <w:jc w:val="left"/>
        <w:rPr>
          <w:rFonts w:hint="eastAsia" w:ascii="宋体" w:hAnsi="宋体"/>
          <w:color w:val="auto"/>
          <w:szCs w:val="21"/>
          <w:highlight w:val="none"/>
        </w:rPr>
      </w:pPr>
      <w:r>
        <w:rPr>
          <w:rFonts w:hint="eastAsia" w:ascii="宋体" w:hAnsi="宋体" w:cs="宋体"/>
          <w:color w:val="auto"/>
          <w:szCs w:val="21"/>
          <w:highlight w:val="none"/>
        </w:rPr>
        <w:t>3.</w:t>
      </w:r>
      <w:r>
        <w:rPr>
          <w:rFonts w:hint="eastAsia"/>
          <w:color w:val="auto"/>
          <w:highlight w:val="none"/>
        </w:rPr>
        <w:t>供应商必须自行为其竞标产品侵犯他人的知识产权或者专利成果的行为承担相应法律责任</w:t>
      </w:r>
      <w:r>
        <w:rPr>
          <w:rFonts w:hint="eastAsia" w:ascii="宋体" w:hAnsi="宋体" w:cs="宋体"/>
          <w:color w:val="auto"/>
          <w:szCs w:val="21"/>
          <w:highlight w:val="none"/>
        </w:rPr>
        <w:t>，若有任意一项负偏离，响应文件按无效处理</w:t>
      </w:r>
      <w:r>
        <w:rPr>
          <w:rFonts w:hint="eastAsia"/>
          <w:color w:val="auto"/>
          <w:highlight w:val="none"/>
        </w:rPr>
        <w:t>。</w:t>
      </w:r>
    </w:p>
    <w:p w14:paraId="1416EBB7">
      <w:pPr>
        <w:spacing w:line="400" w:lineRule="exact"/>
        <w:ind w:firstLine="310" w:firstLineChars="147"/>
        <w:jc w:val="left"/>
        <w:rPr>
          <w:rFonts w:hint="eastAsia" w:ascii="宋体" w:hAnsi="宋体"/>
          <w:b/>
          <w:color w:val="auto"/>
          <w:szCs w:val="21"/>
          <w:highlight w:val="none"/>
        </w:rPr>
      </w:pPr>
      <w:r>
        <w:rPr>
          <w:rFonts w:hint="eastAsia" w:ascii="宋体" w:hAnsi="宋体"/>
          <w:b/>
          <w:color w:val="auto"/>
          <w:szCs w:val="21"/>
          <w:highlight w:val="none"/>
        </w:rPr>
        <w:t>采购预算：人民币壹佰捌拾玖万叁仟壹佰玖拾叁元柒角肆分（¥1893193.74）</w:t>
      </w:r>
    </w:p>
    <w:p w14:paraId="4E5D9A4E">
      <w:pPr>
        <w:spacing w:line="400" w:lineRule="exact"/>
        <w:ind w:firstLine="310" w:firstLineChars="147"/>
        <w:jc w:val="left"/>
        <w:rPr>
          <w:rFonts w:hint="eastAsia" w:ascii="宋体" w:hAnsi="宋体"/>
          <w:b/>
          <w:color w:val="auto"/>
          <w:szCs w:val="21"/>
          <w:highlight w:val="none"/>
        </w:rPr>
      </w:pPr>
      <w:r>
        <w:rPr>
          <w:rFonts w:hint="eastAsia" w:ascii="宋体" w:hAnsi="宋体"/>
          <w:b/>
          <w:color w:val="auto"/>
          <w:szCs w:val="21"/>
          <w:highlight w:val="none"/>
        </w:rPr>
        <w:t>所属行业：建筑业</w:t>
      </w:r>
    </w:p>
    <w:tbl>
      <w:tblPr>
        <w:tblStyle w:val="4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00"/>
        <w:gridCol w:w="549"/>
        <w:gridCol w:w="1955"/>
        <w:gridCol w:w="4201"/>
      </w:tblGrid>
      <w:tr w14:paraId="7D365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2649" w:type="dxa"/>
            <w:gridSpan w:val="2"/>
            <w:vAlign w:val="center"/>
          </w:tcPr>
          <w:p w14:paraId="77F57F78">
            <w:pPr>
              <w:tabs>
                <w:tab w:val="left" w:pos="180"/>
                <w:tab w:val="left" w:pos="1620"/>
              </w:tabs>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标的的名称</w:t>
            </w:r>
          </w:p>
        </w:tc>
        <w:tc>
          <w:tcPr>
            <w:tcW w:w="1955" w:type="dxa"/>
            <w:vAlign w:val="center"/>
          </w:tcPr>
          <w:p w14:paraId="20281655">
            <w:pPr>
              <w:tabs>
                <w:tab w:val="left" w:pos="180"/>
                <w:tab w:val="left" w:pos="1620"/>
              </w:tabs>
              <w:spacing w:line="400" w:lineRule="exact"/>
              <w:jc w:val="center"/>
              <w:rPr>
                <w:rFonts w:hint="eastAsia" w:ascii="宋体" w:hAnsi="宋体" w:cs="宋体"/>
                <w:color w:val="auto"/>
                <w:szCs w:val="21"/>
                <w:highlight w:val="none"/>
              </w:rPr>
            </w:pPr>
            <w:r>
              <w:rPr>
                <w:rFonts w:hint="eastAsia"/>
                <w:color w:val="auto"/>
                <w:highlight w:val="none"/>
              </w:rPr>
              <w:t>招标工程量清单</w:t>
            </w:r>
            <w:r>
              <w:rPr>
                <w:rFonts w:hint="eastAsia" w:ascii="宋体" w:hAnsi="宋体" w:cs="宋体"/>
                <w:color w:val="auto"/>
                <w:szCs w:val="21"/>
                <w:highlight w:val="none"/>
              </w:rPr>
              <w:t>及图纸</w:t>
            </w:r>
          </w:p>
        </w:tc>
        <w:tc>
          <w:tcPr>
            <w:tcW w:w="4201" w:type="dxa"/>
            <w:vAlign w:val="center"/>
          </w:tcPr>
          <w:p w14:paraId="3CED788C">
            <w:pPr>
              <w:tabs>
                <w:tab w:val="left" w:pos="180"/>
                <w:tab w:val="left" w:pos="1620"/>
              </w:tabs>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具体要求</w:t>
            </w:r>
          </w:p>
        </w:tc>
      </w:tr>
      <w:tr w14:paraId="7E9317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jc w:val="center"/>
        </w:trPr>
        <w:tc>
          <w:tcPr>
            <w:tcW w:w="8805" w:type="dxa"/>
            <w:gridSpan w:val="4"/>
            <w:vAlign w:val="center"/>
          </w:tcPr>
          <w:p w14:paraId="2906A274">
            <w:pPr>
              <w:tabs>
                <w:tab w:val="left" w:pos="180"/>
                <w:tab w:val="left" w:pos="1620"/>
              </w:tabs>
              <w:spacing w:line="400" w:lineRule="exact"/>
              <w:jc w:val="left"/>
              <w:rPr>
                <w:rFonts w:hint="eastAsia" w:ascii="宋体" w:hAnsi="宋体" w:cs="宋体"/>
                <w:b/>
                <w:color w:val="auto"/>
                <w:szCs w:val="21"/>
                <w:highlight w:val="none"/>
              </w:rPr>
            </w:pPr>
            <w:r>
              <w:rPr>
                <w:rFonts w:hint="eastAsia" w:ascii="宋体" w:hAnsi="宋体" w:cs="宋体"/>
                <w:b/>
                <w:color w:val="auto"/>
                <w:szCs w:val="21"/>
                <w:highlight w:val="none"/>
              </w:rPr>
              <w:t>▲一、</w:t>
            </w:r>
            <w:r>
              <w:rPr>
                <w:rFonts w:hint="eastAsia"/>
                <w:b/>
                <w:color w:val="auto"/>
                <w:highlight w:val="none"/>
              </w:rPr>
              <w:t>技术及其他要求</w:t>
            </w:r>
          </w:p>
        </w:tc>
      </w:tr>
      <w:tr w14:paraId="25DB53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jc w:val="center"/>
        </w:trPr>
        <w:tc>
          <w:tcPr>
            <w:tcW w:w="2649" w:type="dxa"/>
            <w:gridSpan w:val="2"/>
            <w:vAlign w:val="center"/>
          </w:tcPr>
          <w:p w14:paraId="6BE74E0B">
            <w:pPr>
              <w:tabs>
                <w:tab w:val="left" w:pos="180"/>
                <w:tab w:val="left" w:pos="1620"/>
              </w:tabs>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桂林航天工业学院多媒体教室安装空调供电改造工程</w:t>
            </w:r>
          </w:p>
        </w:tc>
        <w:tc>
          <w:tcPr>
            <w:tcW w:w="1955" w:type="dxa"/>
            <w:vAlign w:val="center"/>
          </w:tcPr>
          <w:p w14:paraId="23A9E86B">
            <w:pPr>
              <w:tabs>
                <w:tab w:val="left" w:pos="180"/>
                <w:tab w:val="left" w:pos="1620"/>
              </w:tabs>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另附</w:t>
            </w:r>
          </w:p>
        </w:tc>
        <w:tc>
          <w:tcPr>
            <w:tcW w:w="4201" w:type="dxa"/>
            <w:vAlign w:val="center"/>
          </w:tcPr>
          <w:p w14:paraId="4846246A">
            <w:pPr>
              <w:pStyle w:val="115"/>
              <w:keepNext w:val="0"/>
              <w:keepLines w:val="0"/>
              <w:pageBreakBefore w:val="0"/>
              <w:widowControl w:val="0"/>
              <w:kinsoku/>
              <w:wordWrap w:val="0"/>
              <w:overflowPunct/>
              <w:topLinePunct w:val="0"/>
              <w:autoSpaceDE/>
              <w:autoSpaceDN/>
              <w:bidi w:val="0"/>
              <w:adjustRightInd/>
              <w:snapToGrid/>
              <w:spacing w:line="360" w:lineRule="exact"/>
              <w:ind w:firstLine="0" w:firstLineChars="0"/>
              <w:textAlignment w:val="auto"/>
              <w:rPr>
                <w:rFonts w:hint="eastAsia" w:ascii="宋体" w:hAnsi="宋体"/>
                <w:color w:val="auto"/>
                <w:highlight w:val="none"/>
              </w:rPr>
            </w:pPr>
            <w:r>
              <w:rPr>
                <w:rFonts w:hint="eastAsia" w:ascii="宋体" w:hAnsi="宋体"/>
                <w:color w:val="auto"/>
                <w:highlight w:val="none"/>
              </w:rPr>
              <w:t>（一）工程概况：</w:t>
            </w:r>
          </w:p>
          <w:p w14:paraId="45EFE4A7">
            <w:pPr>
              <w:pStyle w:val="115"/>
              <w:keepNext w:val="0"/>
              <w:keepLines w:val="0"/>
              <w:pageBreakBefore w:val="0"/>
              <w:widowControl w:val="0"/>
              <w:kinsoku/>
              <w:wordWrap w:val="0"/>
              <w:overflowPunct/>
              <w:topLinePunct w:val="0"/>
              <w:autoSpaceDE/>
              <w:autoSpaceDN/>
              <w:bidi w:val="0"/>
              <w:adjustRightInd/>
              <w:snapToGrid/>
              <w:spacing w:line="360" w:lineRule="exact"/>
              <w:ind w:firstLine="0" w:firstLineChars="0"/>
              <w:textAlignment w:val="auto"/>
              <w:rPr>
                <w:rFonts w:hint="eastAsia" w:ascii="宋体" w:hAnsi="宋体"/>
                <w:color w:val="auto"/>
                <w:highlight w:val="none"/>
              </w:rPr>
            </w:pPr>
            <w:r>
              <w:rPr>
                <w:rFonts w:hint="eastAsia" w:ascii="宋体" w:hAnsi="宋体"/>
                <w:color w:val="auto"/>
                <w:szCs w:val="21"/>
                <w:highlight w:val="none"/>
              </w:rPr>
              <w:t>工程内容</w:t>
            </w:r>
            <w:r>
              <w:rPr>
                <w:rFonts w:hint="eastAsia" w:ascii="宋体" w:hAnsi="宋体"/>
                <w:color w:val="auto"/>
                <w:szCs w:val="21"/>
                <w:highlight w:val="none"/>
                <w:lang w:eastAsia="zh-CN"/>
              </w:rPr>
              <w:t>及规模</w:t>
            </w:r>
            <w:r>
              <w:rPr>
                <w:rFonts w:hint="eastAsia" w:ascii="宋体" w:hAnsi="宋体"/>
                <w:color w:val="auto"/>
                <w:szCs w:val="21"/>
                <w:highlight w:val="none"/>
              </w:rPr>
              <w:t>：</w:t>
            </w:r>
            <w:r>
              <w:rPr>
                <w:rFonts w:hint="eastAsia" w:ascii="宋体" w:hAnsi="宋体" w:eastAsia="宋体" w:cs="Times New Roman"/>
                <w:color w:val="auto"/>
                <w:szCs w:val="21"/>
                <w:highlight w:val="none"/>
              </w:rPr>
              <w:t>电压等级</w:t>
            </w:r>
            <w:r>
              <w:rPr>
                <w:rFonts w:hint="eastAsia" w:ascii="宋体" w:hAnsi="宋体" w:eastAsia="宋体" w:cs="Times New Roman"/>
                <w:color w:val="auto"/>
                <w:szCs w:val="21"/>
                <w:highlight w:val="none"/>
                <w:lang w:eastAsia="zh-CN"/>
              </w:rPr>
              <w:t>：0.4Kv，</w:t>
            </w:r>
            <w:r>
              <w:rPr>
                <w:rFonts w:hint="eastAsia" w:ascii="宋体" w:hAnsi="宋体"/>
                <w:color w:val="auto"/>
                <w:szCs w:val="21"/>
                <w:highlight w:val="none"/>
              </w:rPr>
              <w:t>空调配电工程新建低压分接箱2个、低压配电箱7个、室内开关盒98个及相配套的低压电缆线路、低压导线线路，</w:t>
            </w:r>
            <w:r>
              <w:rPr>
                <w:rFonts w:hint="eastAsia" w:ascii="宋体" w:hAnsi="宋体"/>
                <w:color w:val="auto"/>
                <w:highlight w:val="none"/>
                <w:lang w:eastAsia="zh-CN"/>
              </w:rPr>
              <w:t>包括供电主电缆、支线路、开关插座等安装，并含相关配套土建及线路接驳、附属电气类设备施工，</w:t>
            </w:r>
            <w:r>
              <w:rPr>
                <w:rFonts w:hint="eastAsia" w:ascii="宋体" w:hAnsi="宋体"/>
                <w:color w:val="auto"/>
                <w:szCs w:val="21"/>
                <w:highlight w:val="none"/>
              </w:rPr>
              <w:t>具体详见图纸及工程量清单</w:t>
            </w:r>
            <w:r>
              <w:rPr>
                <w:rFonts w:hint="eastAsia" w:ascii="宋体" w:hAnsi="宋体"/>
                <w:color w:val="auto"/>
                <w:highlight w:val="none"/>
              </w:rPr>
              <w:t>。</w:t>
            </w:r>
          </w:p>
          <w:p w14:paraId="4EC0DA89">
            <w:pPr>
              <w:pStyle w:val="115"/>
              <w:keepNext w:val="0"/>
              <w:keepLines w:val="0"/>
              <w:pageBreakBefore w:val="0"/>
              <w:widowControl w:val="0"/>
              <w:kinsoku/>
              <w:wordWrap w:val="0"/>
              <w:overflowPunct/>
              <w:topLinePunct w:val="0"/>
              <w:autoSpaceDE/>
              <w:autoSpaceDN/>
              <w:bidi w:val="0"/>
              <w:adjustRightInd/>
              <w:snapToGrid/>
              <w:spacing w:line="360" w:lineRule="exact"/>
              <w:ind w:firstLine="0" w:firstLineChars="0"/>
              <w:textAlignment w:val="auto"/>
              <w:rPr>
                <w:rFonts w:hint="eastAsia" w:ascii="宋体" w:hAnsi="宋体"/>
                <w:color w:val="auto"/>
                <w:highlight w:val="none"/>
              </w:rPr>
            </w:pPr>
            <w:r>
              <w:rPr>
                <w:rFonts w:hint="eastAsia" w:ascii="宋体" w:hAnsi="宋体"/>
                <w:color w:val="auto"/>
                <w:highlight w:val="none"/>
              </w:rPr>
              <w:t>（二）质量要求：达到现行国家施工验收规范合格标准</w:t>
            </w:r>
            <w:r>
              <w:rPr>
                <w:rFonts w:hint="eastAsia" w:ascii="宋体" w:hAnsi="宋体"/>
                <w:color w:val="auto"/>
                <w:highlight w:val="none"/>
                <w:lang w:eastAsia="zh-CN"/>
              </w:rPr>
              <w:t>。</w:t>
            </w:r>
          </w:p>
          <w:p w14:paraId="578C9DA6">
            <w:pPr>
              <w:pStyle w:val="115"/>
              <w:keepNext w:val="0"/>
              <w:keepLines w:val="0"/>
              <w:pageBreakBefore w:val="0"/>
              <w:widowControl w:val="0"/>
              <w:kinsoku/>
              <w:wordWrap w:val="0"/>
              <w:overflowPunct/>
              <w:topLinePunct w:val="0"/>
              <w:autoSpaceDE/>
              <w:autoSpaceDN/>
              <w:bidi w:val="0"/>
              <w:adjustRightInd/>
              <w:snapToGrid/>
              <w:spacing w:line="360" w:lineRule="exact"/>
              <w:ind w:firstLine="0" w:firstLineChars="0"/>
              <w:textAlignment w:val="auto"/>
              <w:rPr>
                <w:rFonts w:hint="eastAsia" w:ascii="宋体" w:hAnsi="宋体"/>
                <w:color w:val="auto"/>
                <w:highlight w:val="none"/>
              </w:rPr>
            </w:pPr>
            <w:r>
              <w:rPr>
                <w:rFonts w:hint="eastAsia" w:ascii="宋体" w:hAnsi="宋体"/>
                <w:color w:val="auto"/>
                <w:highlight w:val="none"/>
              </w:rPr>
              <w:t>（三）安全要求：符合国家及行业规定。</w:t>
            </w:r>
          </w:p>
          <w:p w14:paraId="4888C804">
            <w:pPr>
              <w:pStyle w:val="115"/>
              <w:keepNext w:val="0"/>
              <w:keepLines w:val="0"/>
              <w:pageBreakBefore w:val="0"/>
              <w:widowControl w:val="0"/>
              <w:kinsoku/>
              <w:wordWrap w:val="0"/>
              <w:overflowPunct/>
              <w:topLinePunct w:val="0"/>
              <w:autoSpaceDE/>
              <w:autoSpaceDN/>
              <w:bidi w:val="0"/>
              <w:adjustRightInd/>
              <w:snapToGrid/>
              <w:spacing w:line="360" w:lineRule="exact"/>
              <w:ind w:firstLine="0" w:firstLineChars="0"/>
              <w:textAlignment w:val="auto"/>
              <w:rPr>
                <w:rFonts w:hint="eastAsia" w:ascii="宋体" w:hAnsi="宋体"/>
                <w:color w:val="auto"/>
                <w:highlight w:val="none"/>
              </w:rPr>
            </w:pPr>
            <w:r>
              <w:rPr>
                <w:rFonts w:hint="eastAsia" w:ascii="宋体" w:hAnsi="宋体"/>
                <w:color w:val="auto"/>
                <w:highlight w:val="none"/>
              </w:rPr>
              <w:t>（四）技术要求：本项目技术规范采用现行国家相关标准、行业标准、地方标准或者其他标准、规范。</w:t>
            </w:r>
            <w:r>
              <w:rPr>
                <w:rFonts w:hint="default" w:ascii="宋体" w:hAnsi="宋体"/>
                <w:color w:val="auto"/>
                <w:highlight w:val="none"/>
                <w:lang w:eastAsia="zh-CN"/>
              </w:rPr>
              <w:t>“招标工程量清单”</w:t>
            </w:r>
            <w:r>
              <w:rPr>
                <w:rFonts w:hint="eastAsia" w:ascii="宋体" w:hAnsi="宋体"/>
                <w:color w:val="auto"/>
                <w:highlight w:val="none"/>
                <w:lang w:eastAsia="zh-CN"/>
              </w:rPr>
              <w:t>中低压分接箱、配电箱等箱内配置的智能电表“三相无线远传预付费电表”【3×220/380V  5（80）A】</w:t>
            </w:r>
            <w:r>
              <w:rPr>
                <w:rFonts w:hint="default" w:ascii="宋体" w:hAnsi="宋体"/>
                <w:color w:val="auto"/>
                <w:highlight w:val="none"/>
                <w:lang w:eastAsia="zh-CN"/>
              </w:rPr>
              <w:t>为采购人扩建增加内容，</w:t>
            </w:r>
            <w:r>
              <w:rPr>
                <w:rFonts w:hint="eastAsia" w:ascii="Times New Roman" w:hAnsi="Times New Roman" w:eastAsia="宋体" w:cs="Times New Roman"/>
                <w:color w:val="auto"/>
                <w:highlight w:val="none"/>
              </w:rPr>
              <w:t>为保障设备运行的稳定性与兼容性，本项目使用的</w:t>
            </w:r>
            <w:r>
              <w:rPr>
                <w:rFonts w:hint="eastAsia" w:cs="Times New Roman"/>
                <w:color w:val="auto"/>
                <w:highlight w:val="none"/>
                <w:lang w:eastAsia="zh-CN"/>
              </w:rPr>
              <w:t>所有</w:t>
            </w:r>
            <w:r>
              <w:rPr>
                <w:rFonts w:hint="eastAsia" w:ascii="Times New Roman" w:hAnsi="Times New Roman" w:eastAsia="宋体" w:cs="Times New Roman"/>
                <w:color w:val="auto"/>
                <w:highlight w:val="none"/>
              </w:rPr>
              <w:t>智能电表</w:t>
            </w:r>
            <w:r>
              <w:rPr>
                <w:rFonts w:hint="eastAsia" w:ascii="Times New Roman" w:hAnsi="Times New Roman" w:eastAsia="宋体" w:cs="Times New Roman"/>
                <w:color w:val="auto"/>
                <w:highlight w:val="none"/>
                <w:lang w:eastAsia="zh-CN"/>
              </w:rPr>
              <w:t>必须</w:t>
            </w:r>
            <w:r>
              <w:rPr>
                <w:rFonts w:hint="eastAsia" w:ascii="Times New Roman" w:hAnsi="Times New Roman" w:eastAsia="宋体" w:cs="Times New Roman"/>
                <w:color w:val="auto"/>
                <w:highlight w:val="none"/>
              </w:rPr>
              <w:t>接入</w:t>
            </w:r>
            <w:r>
              <w:rPr>
                <w:rFonts w:hint="eastAsia" w:ascii="Times New Roman" w:hAnsi="Times New Roman" w:eastAsia="宋体" w:cs="Times New Roman"/>
                <w:color w:val="auto"/>
                <w:highlight w:val="none"/>
                <w:lang w:eastAsia="zh-CN"/>
              </w:rPr>
              <w:t>采购人现有</w:t>
            </w:r>
            <w:r>
              <w:rPr>
                <w:rFonts w:hint="eastAsia" w:ascii="Times New Roman" w:hAnsi="Times New Roman" w:eastAsia="宋体" w:cs="Times New Roman"/>
                <w:color w:val="auto"/>
                <w:highlight w:val="none"/>
              </w:rPr>
              <w:t>电力电表系统</w:t>
            </w:r>
            <w:r>
              <w:rPr>
                <w:rFonts w:hint="eastAsia" w:cs="Times New Roman"/>
                <w:color w:val="auto"/>
                <w:highlight w:val="none"/>
                <w:lang w:eastAsia="zh-CN"/>
              </w:rPr>
              <w:t>，</w:t>
            </w:r>
            <w:r>
              <w:rPr>
                <w:rFonts w:hint="eastAsia" w:ascii="Times New Roman" w:hAnsi="Times New Roman" w:eastAsia="宋体" w:cs="Times New Roman"/>
                <w:color w:val="auto"/>
                <w:highlight w:val="none"/>
              </w:rPr>
              <w:t>实现互联互通、资源调度、统一操作管理等功能，使</w:t>
            </w:r>
            <w:r>
              <w:rPr>
                <w:rFonts w:hint="eastAsia" w:ascii="Times New Roman" w:hAnsi="Times New Roman" w:eastAsia="宋体" w:cs="Times New Roman"/>
                <w:color w:val="auto"/>
                <w:highlight w:val="none"/>
                <w:lang w:eastAsia="zh-CN"/>
              </w:rPr>
              <w:t>采购人</w:t>
            </w:r>
            <w:r>
              <w:rPr>
                <w:rFonts w:hint="eastAsia" w:ascii="Times New Roman" w:hAnsi="Times New Roman" w:eastAsia="宋体" w:cs="Times New Roman"/>
                <w:color w:val="auto"/>
                <w:highlight w:val="none"/>
              </w:rPr>
              <w:t>能调用、查看所采集到的数据信息，进行统一管控，安全稳定运行</w:t>
            </w:r>
            <w:r>
              <w:rPr>
                <w:rFonts w:hint="default" w:ascii="宋体" w:hAnsi="宋体"/>
                <w:color w:val="auto"/>
                <w:highlight w:val="none"/>
                <w:lang w:eastAsia="zh-CN"/>
              </w:rPr>
              <w:t>（采购人现有电力</w:t>
            </w:r>
            <w:r>
              <w:rPr>
                <w:rFonts w:hint="eastAsia" w:ascii="宋体" w:hAnsi="宋体"/>
                <w:color w:val="auto"/>
                <w:highlight w:val="none"/>
                <w:lang w:eastAsia="zh-CN"/>
              </w:rPr>
              <w:t>电表</w:t>
            </w:r>
            <w:r>
              <w:rPr>
                <w:rFonts w:hint="default" w:ascii="宋体" w:hAnsi="宋体"/>
                <w:color w:val="auto"/>
                <w:highlight w:val="none"/>
                <w:lang w:eastAsia="zh-CN"/>
              </w:rPr>
              <w:t>系统品牌：凡特，具体技术参数详见附件）</w:t>
            </w:r>
            <w:r>
              <w:rPr>
                <w:rFonts w:hint="eastAsia" w:ascii="宋体" w:hAnsi="宋体" w:cs="宋体"/>
                <w:color w:val="auto"/>
                <w:szCs w:val="21"/>
                <w:highlight w:val="none"/>
              </w:rPr>
              <w:t>。</w:t>
            </w:r>
          </w:p>
          <w:p w14:paraId="426E0BB5">
            <w:pPr>
              <w:pStyle w:val="115"/>
              <w:keepNext w:val="0"/>
              <w:keepLines w:val="0"/>
              <w:pageBreakBefore w:val="0"/>
              <w:widowControl w:val="0"/>
              <w:kinsoku/>
              <w:wordWrap w:val="0"/>
              <w:overflowPunct/>
              <w:topLinePunct w:val="0"/>
              <w:autoSpaceDE/>
              <w:autoSpaceDN/>
              <w:bidi w:val="0"/>
              <w:adjustRightInd/>
              <w:snapToGrid/>
              <w:spacing w:line="360" w:lineRule="exact"/>
              <w:ind w:firstLine="0" w:firstLineChars="0"/>
              <w:textAlignment w:val="auto"/>
              <w:rPr>
                <w:rFonts w:hint="eastAsia" w:ascii="宋体" w:hAnsi="宋体"/>
                <w:color w:val="auto"/>
                <w:highlight w:val="none"/>
              </w:rPr>
            </w:pPr>
            <w:r>
              <w:rPr>
                <w:rFonts w:hint="eastAsia" w:ascii="宋体" w:hAnsi="宋体"/>
                <w:color w:val="auto"/>
                <w:highlight w:val="none"/>
              </w:rPr>
              <w:t>（五）报价形式：工程量清单报价。</w:t>
            </w:r>
          </w:p>
          <w:p w14:paraId="12C3F8D2">
            <w:pPr>
              <w:keepNext w:val="0"/>
              <w:keepLines w:val="0"/>
              <w:pageBreakBefore w:val="0"/>
              <w:widowControl w:val="0"/>
              <w:tabs>
                <w:tab w:val="left" w:pos="180"/>
                <w:tab w:val="left" w:pos="1620"/>
              </w:tabs>
              <w:kinsoku/>
              <w:wordWrap w:val="0"/>
              <w:overflowPunct/>
              <w:topLinePunct w:val="0"/>
              <w:autoSpaceDE/>
              <w:autoSpaceDN/>
              <w:bidi w:val="0"/>
              <w:adjustRightInd/>
              <w:snapToGrid/>
              <w:spacing w:line="360" w:lineRule="exact"/>
              <w:textAlignment w:val="auto"/>
              <w:rPr>
                <w:rFonts w:hint="eastAsia" w:ascii="宋体" w:hAnsi="宋体" w:cs="宋体"/>
                <w:color w:val="auto"/>
                <w:szCs w:val="21"/>
                <w:highlight w:val="none"/>
              </w:rPr>
            </w:pPr>
            <w:bookmarkStart w:id="71" w:name="OLE_LINK13"/>
            <w:r>
              <w:rPr>
                <w:rFonts w:hint="eastAsia" w:ascii="宋体" w:hAnsi="宋体" w:cs="宋体"/>
                <w:color w:val="auto"/>
                <w:szCs w:val="21"/>
                <w:highlight w:val="none"/>
              </w:rPr>
              <w:t>（六）项目管理机构</w:t>
            </w:r>
            <w:bookmarkEnd w:id="71"/>
            <w:r>
              <w:rPr>
                <w:rFonts w:hint="eastAsia" w:ascii="宋体" w:hAnsi="宋体" w:cs="宋体"/>
                <w:color w:val="auto"/>
                <w:szCs w:val="21"/>
                <w:highlight w:val="none"/>
              </w:rPr>
              <w:t>人员</w:t>
            </w:r>
          </w:p>
          <w:p w14:paraId="032D5082">
            <w:pPr>
              <w:keepNext w:val="0"/>
              <w:keepLines w:val="0"/>
              <w:pageBreakBefore w:val="0"/>
              <w:widowControl w:val="0"/>
              <w:tabs>
                <w:tab w:val="left" w:pos="180"/>
                <w:tab w:val="left" w:pos="1620"/>
              </w:tabs>
              <w:kinsoku/>
              <w:wordWrap w:val="0"/>
              <w:overflowPunct/>
              <w:topLinePunct w:val="0"/>
              <w:autoSpaceDE/>
              <w:autoSpaceDN/>
              <w:bidi w:val="0"/>
              <w:adjustRightInd/>
              <w:snapToGrid/>
              <w:spacing w:line="36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1.配备要求：</w:t>
            </w:r>
          </w:p>
          <w:p w14:paraId="7C7631E3">
            <w:pPr>
              <w:keepNext w:val="0"/>
              <w:keepLines w:val="0"/>
              <w:pageBreakBefore w:val="0"/>
              <w:widowControl w:val="0"/>
              <w:tabs>
                <w:tab w:val="left" w:pos="180"/>
                <w:tab w:val="left" w:pos="1620"/>
              </w:tabs>
              <w:kinsoku/>
              <w:wordWrap w:val="0"/>
              <w:overflowPunct/>
              <w:topLinePunct w:val="0"/>
              <w:autoSpaceDE/>
              <w:autoSpaceDN/>
              <w:bidi w:val="0"/>
              <w:adjustRightInd/>
              <w:snapToGrid/>
              <w:spacing w:line="36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 1 \* GB3 \* MERGEFORMAT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①</w:t>
            </w:r>
            <w:r>
              <w:rPr>
                <w:rFonts w:hint="eastAsia" w:ascii="宋体" w:hAnsi="宋体" w:cs="宋体"/>
                <w:color w:val="auto"/>
                <w:szCs w:val="21"/>
                <w:highlight w:val="none"/>
              </w:rPr>
              <w:fldChar w:fldCharType="end"/>
            </w:r>
            <w:r>
              <w:rPr>
                <w:rFonts w:hint="eastAsia" w:ascii="宋体" w:hAnsi="宋体" w:cs="宋体"/>
                <w:color w:val="auto"/>
                <w:szCs w:val="21"/>
                <w:highlight w:val="none"/>
              </w:rPr>
              <w:t>项目经理（1人）：供应商拟派本工程的项目经理必须具有</w:t>
            </w:r>
            <w:r>
              <w:rPr>
                <w:rFonts w:hint="eastAsia" w:ascii="宋体" w:hAnsi="宋体" w:cs="宋体"/>
                <w:color w:val="auto"/>
                <w:szCs w:val="21"/>
                <w:highlight w:val="none"/>
                <w:lang w:val="en-US" w:eastAsia="zh-CN"/>
              </w:rPr>
              <w:t>建筑工程或</w:t>
            </w:r>
            <w:r>
              <w:rPr>
                <w:rFonts w:hint="eastAsia" w:ascii="宋体" w:hAnsi="宋体" w:cs="宋体"/>
                <w:color w:val="auto"/>
                <w:szCs w:val="21"/>
                <w:highlight w:val="none"/>
              </w:rPr>
              <w:t>机电工程专业二级以上（含二级）注册建造师执业资格并具有有效的安全生产考核合格证（B类），且未在其他在建、已中标（或成交）未开工或已列为其他项目中标（或成交）候选人第一名的建造师作为项目经理。</w:t>
            </w:r>
          </w:p>
          <w:p w14:paraId="5D64C72E">
            <w:pPr>
              <w:keepNext w:val="0"/>
              <w:keepLines w:val="0"/>
              <w:pageBreakBefore w:val="0"/>
              <w:widowControl w:val="0"/>
              <w:tabs>
                <w:tab w:val="left" w:pos="180"/>
                <w:tab w:val="left" w:pos="1620"/>
              </w:tabs>
              <w:kinsoku/>
              <w:wordWrap w:val="0"/>
              <w:overflowPunct/>
              <w:topLinePunct w:val="0"/>
              <w:autoSpaceDE/>
              <w:autoSpaceDN/>
              <w:bidi w:val="0"/>
              <w:adjustRightInd/>
              <w:snapToGrid/>
              <w:spacing w:line="360" w:lineRule="exact"/>
              <w:textAlignment w:val="auto"/>
              <w:rPr>
                <w:rFonts w:hint="eastAsia" w:ascii="宋体" w:hAnsi="宋体" w:eastAsia="宋体" w:cs="宋体"/>
                <w:color w:val="auto"/>
                <w:szCs w:val="21"/>
                <w:highlight w:val="none"/>
              </w:rPr>
            </w:pPr>
            <w:r>
              <w:rPr>
                <w:rFonts w:hint="eastAsia" w:ascii="宋体" w:hAnsi="宋体" w:cs="宋体"/>
                <w:color w:val="auto"/>
                <w:szCs w:val="21"/>
                <w:highlight w:val="none"/>
              </w:rPr>
              <w:t>②技术负责人（1人）：</w:t>
            </w:r>
            <w:r>
              <w:rPr>
                <w:rFonts w:hint="eastAsia" w:ascii="宋体" w:hAnsi="宋体" w:eastAsia="宋体" w:cs="宋体"/>
                <w:color w:val="auto"/>
                <w:szCs w:val="21"/>
                <w:highlight w:val="none"/>
              </w:rPr>
              <w:t>技术负责人具有与本项目相关的</w:t>
            </w:r>
            <w:r>
              <w:rPr>
                <w:rFonts w:hint="eastAsia"/>
                <w:color w:val="auto"/>
                <w:highlight w:val="none"/>
              </w:rPr>
              <w:t>电气</w:t>
            </w:r>
            <w:r>
              <w:rPr>
                <w:rFonts w:hint="eastAsia"/>
                <w:color w:val="auto"/>
                <w:highlight w:val="none"/>
                <w:lang w:val="en-US" w:eastAsia="zh-CN"/>
              </w:rPr>
              <w:t>类或</w:t>
            </w:r>
            <w:r>
              <w:rPr>
                <w:rFonts w:hint="eastAsia" w:ascii="宋体" w:hAnsi="宋体" w:eastAsia="宋体" w:cs="宋体"/>
                <w:color w:val="auto"/>
                <w:szCs w:val="21"/>
                <w:highlight w:val="none"/>
              </w:rPr>
              <w:t>电力工程专业中级及以上职称。</w:t>
            </w:r>
          </w:p>
          <w:p w14:paraId="7E3A07E6">
            <w:pPr>
              <w:keepNext w:val="0"/>
              <w:keepLines w:val="0"/>
              <w:pageBreakBefore w:val="0"/>
              <w:widowControl w:val="0"/>
              <w:tabs>
                <w:tab w:val="left" w:pos="180"/>
                <w:tab w:val="left" w:pos="1620"/>
              </w:tabs>
              <w:kinsoku/>
              <w:wordWrap w:val="0"/>
              <w:overflowPunct/>
              <w:topLinePunct w:val="0"/>
              <w:autoSpaceDE/>
              <w:autoSpaceDN/>
              <w:bidi w:val="0"/>
              <w:adjustRightInd/>
              <w:snapToGrid/>
              <w:spacing w:line="36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③专职安全生产管理人员（1人）：专职安全生产管理人员须具有安全生产考核合格证书（C类）；</w:t>
            </w:r>
          </w:p>
          <w:p w14:paraId="134DFABE">
            <w:pPr>
              <w:keepNext w:val="0"/>
              <w:keepLines w:val="0"/>
              <w:pageBreakBefore w:val="0"/>
              <w:widowControl w:val="0"/>
              <w:tabs>
                <w:tab w:val="left" w:pos="180"/>
                <w:tab w:val="left" w:pos="1620"/>
              </w:tabs>
              <w:kinsoku/>
              <w:wordWrap w:val="0"/>
              <w:overflowPunct/>
              <w:topLinePunct w:val="0"/>
              <w:autoSpaceDE/>
              <w:autoSpaceDN/>
              <w:bidi w:val="0"/>
              <w:adjustRightInd/>
              <w:snapToGrid/>
              <w:spacing w:line="36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④施工员、质量员、材料员（各配备1人）：施工员、质量员、材料员须具有施工现场专业人员职业培训合格证书。</w:t>
            </w:r>
          </w:p>
          <w:p w14:paraId="31990BFD">
            <w:pPr>
              <w:keepNext w:val="0"/>
              <w:keepLines w:val="0"/>
              <w:pageBreakBefore w:val="0"/>
              <w:widowControl w:val="0"/>
              <w:tabs>
                <w:tab w:val="left" w:pos="180"/>
                <w:tab w:val="left" w:pos="1620"/>
              </w:tabs>
              <w:kinsoku/>
              <w:wordWrap w:val="0"/>
              <w:overflowPunct/>
              <w:topLinePunct w:val="0"/>
              <w:autoSpaceDE/>
              <w:autoSpaceDN/>
              <w:bidi w:val="0"/>
              <w:adjustRightInd/>
              <w:snapToGrid/>
              <w:spacing w:line="36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2.供应商须按“第六章 响应文件格式”要求，于响应文件中必须提供“项目管理机构配备情况表”【含项目经理、技术负责人、专职安全生产管理人员、施工员、质量员、材料员的基本情况，并</w:t>
            </w:r>
            <w:r>
              <w:rPr>
                <w:rFonts w:hint="eastAsia" w:ascii="宋体" w:hAnsi="宋体" w:cs="宋体"/>
                <w:color w:val="auto"/>
                <w:szCs w:val="21"/>
                <w:highlight w:val="none"/>
                <w:lang w:eastAsia="zh-CN"/>
              </w:rPr>
              <w:t>提供</w:t>
            </w:r>
            <w:r>
              <w:rPr>
                <w:rFonts w:hint="eastAsia" w:ascii="宋体" w:hAnsi="宋体" w:cs="宋体"/>
                <w:color w:val="auto"/>
                <w:szCs w:val="21"/>
                <w:highlight w:val="none"/>
              </w:rPr>
              <w:t>以下证明材料：①</w:t>
            </w:r>
            <w:r>
              <w:rPr>
                <w:rFonts w:hint="eastAsia" w:ascii="宋体" w:hAnsi="宋体" w:cs="宋体"/>
                <w:color w:val="auto"/>
                <w:szCs w:val="21"/>
                <w:highlight w:val="none"/>
                <w:lang w:eastAsia="zh-CN"/>
              </w:rPr>
              <w:t>提供</w:t>
            </w:r>
            <w:r>
              <w:rPr>
                <w:rFonts w:hint="eastAsia" w:ascii="宋体" w:hAnsi="宋体" w:cs="宋体"/>
                <w:color w:val="auto"/>
                <w:szCs w:val="21"/>
                <w:highlight w:val="none"/>
              </w:rPr>
              <w:t>项目经理具有</w:t>
            </w:r>
            <w:r>
              <w:rPr>
                <w:rFonts w:hint="eastAsia" w:ascii="宋体" w:hAnsi="宋体" w:cs="宋体"/>
                <w:color w:val="auto"/>
                <w:szCs w:val="21"/>
                <w:highlight w:val="none"/>
                <w:lang w:val="en-US" w:eastAsia="zh-CN"/>
              </w:rPr>
              <w:t>建筑工程或</w:t>
            </w:r>
            <w:r>
              <w:rPr>
                <w:rFonts w:hint="eastAsia" w:ascii="宋体" w:hAnsi="宋体" w:cs="宋体"/>
                <w:color w:val="auto"/>
                <w:szCs w:val="21"/>
                <w:highlight w:val="none"/>
              </w:rPr>
              <w:t>机电工程专业二级以上（含二级）注册建造师执业资格证书复印件及有效的安全生产考核合格证书复印件（B类），加盖供应商电子签章；②</w:t>
            </w:r>
            <w:r>
              <w:rPr>
                <w:rFonts w:hint="eastAsia" w:ascii="宋体" w:hAnsi="宋体" w:cs="宋体"/>
                <w:color w:val="auto"/>
                <w:szCs w:val="21"/>
                <w:highlight w:val="none"/>
                <w:lang w:eastAsia="zh-CN"/>
              </w:rPr>
              <w:t>提供</w:t>
            </w:r>
            <w:r>
              <w:rPr>
                <w:rFonts w:hint="eastAsia" w:ascii="宋体" w:hAnsi="宋体" w:cs="宋体"/>
                <w:color w:val="auto"/>
                <w:szCs w:val="21"/>
                <w:highlight w:val="none"/>
              </w:rPr>
              <w:t>技术负责人的与本项目</w:t>
            </w:r>
            <w:r>
              <w:rPr>
                <w:rFonts w:hint="eastAsia" w:ascii="宋体" w:hAnsi="宋体" w:eastAsia="宋体" w:cs="宋体"/>
                <w:color w:val="auto"/>
                <w:szCs w:val="21"/>
                <w:highlight w:val="none"/>
              </w:rPr>
              <w:t>相关的</w:t>
            </w:r>
            <w:r>
              <w:rPr>
                <w:rFonts w:hint="eastAsia"/>
                <w:color w:val="auto"/>
                <w:highlight w:val="none"/>
              </w:rPr>
              <w:t>电气</w:t>
            </w:r>
            <w:r>
              <w:rPr>
                <w:rFonts w:hint="eastAsia"/>
                <w:color w:val="auto"/>
                <w:highlight w:val="none"/>
                <w:lang w:val="en-US" w:eastAsia="zh-CN"/>
              </w:rPr>
              <w:t>类或</w:t>
            </w:r>
            <w:r>
              <w:rPr>
                <w:rFonts w:hint="eastAsia" w:ascii="宋体" w:hAnsi="宋体" w:eastAsia="宋体" w:cs="宋体"/>
                <w:color w:val="auto"/>
                <w:szCs w:val="21"/>
                <w:highlight w:val="none"/>
              </w:rPr>
              <w:t>电力工程专业中级及以</w:t>
            </w:r>
            <w:r>
              <w:rPr>
                <w:rFonts w:hint="eastAsia" w:ascii="宋体" w:hAnsi="宋体" w:cs="宋体"/>
                <w:color w:val="auto"/>
                <w:szCs w:val="21"/>
                <w:highlight w:val="none"/>
              </w:rPr>
              <w:t>上职称证书复印件，加盖供应商电子签章；③</w:t>
            </w:r>
            <w:r>
              <w:rPr>
                <w:rFonts w:hint="eastAsia" w:ascii="宋体" w:hAnsi="宋体" w:cs="宋体"/>
                <w:color w:val="auto"/>
                <w:szCs w:val="21"/>
                <w:highlight w:val="none"/>
                <w:lang w:eastAsia="zh-CN"/>
              </w:rPr>
              <w:t>提供</w:t>
            </w:r>
            <w:r>
              <w:rPr>
                <w:rFonts w:hint="eastAsia" w:ascii="宋体" w:hAnsi="宋体" w:cs="宋体"/>
                <w:color w:val="auto"/>
                <w:szCs w:val="21"/>
                <w:highlight w:val="none"/>
              </w:rPr>
              <w:t>专职安全生产管理人员须具有安全生产考核合格证书复印件（C类），加盖供应商电子签章；④</w:t>
            </w:r>
            <w:r>
              <w:rPr>
                <w:rFonts w:hint="eastAsia" w:ascii="宋体" w:hAnsi="宋体" w:cs="宋体"/>
                <w:color w:val="auto"/>
                <w:szCs w:val="21"/>
                <w:highlight w:val="none"/>
                <w:lang w:eastAsia="zh-CN"/>
              </w:rPr>
              <w:t>提供</w:t>
            </w:r>
            <w:r>
              <w:rPr>
                <w:rFonts w:hint="eastAsia" w:ascii="宋体" w:hAnsi="宋体" w:cs="宋体"/>
                <w:color w:val="auto"/>
                <w:szCs w:val="21"/>
                <w:highlight w:val="none"/>
              </w:rPr>
              <w:t>施工员、质量员、材料员须具有施工现场专业人员职业培训合格证书复印件，加盖供应商电子签章；⑤</w:t>
            </w:r>
            <w:r>
              <w:rPr>
                <w:rFonts w:hint="eastAsia" w:ascii="宋体" w:hAnsi="宋体" w:cs="宋体"/>
                <w:color w:val="auto"/>
                <w:szCs w:val="21"/>
                <w:highlight w:val="none"/>
                <w:lang w:eastAsia="zh-CN"/>
              </w:rPr>
              <w:t>提供</w:t>
            </w:r>
            <w:r>
              <w:rPr>
                <w:rFonts w:hint="eastAsia" w:ascii="宋体" w:hAnsi="宋体" w:cs="宋体"/>
                <w:color w:val="auto"/>
                <w:szCs w:val="21"/>
                <w:highlight w:val="none"/>
              </w:rPr>
              <w:t>以上项目管理机构人员的身份证复印件及</w:t>
            </w:r>
            <w:r>
              <w:rPr>
                <w:rFonts w:hint="eastAsia" w:ascii="宋体" w:hAnsi="宋体" w:cs="宋体"/>
                <w:color w:val="auto"/>
                <w:szCs w:val="21"/>
                <w:highlight w:val="none"/>
                <w:lang w:eastAsia="zh-CN"/>
              </w:rPr>
              <w:t>以上人员为本单位在职员工的证明材料（可以是劳动合同复印件或</w:t>
            </w:r>
            <w:r>
              <w:rPr>
                <w:rFonts w:hint="eastAsia" w:ascii="宋体" w:hAnsi="宋体" w:cs="宋体"/>
                <w:color w:val="auto"/>
                <w:szCs w:val="21"/>
                <w:highlight w:val="none"/>
              </w:rPr>
              <w:t>202</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月以来任意一个月供应商为以上项目管理机构人员交纳的社保证明材料复印件</w:t>
            </w:r>
            <w:r>
              <w:rPr>
                <w:rFonts w:hint="eastAsia" w:ascii="宋体" w:hAnsi="宋体" w:cs="宋体"/>
                <w:color w:val="auto"/>
                <w:szCs w:val="21"/>
                <w:highlight w:val="none"/>
                <w:lang w:eastAsia="zh-CN"/>
              </w:rPr>
              <w:t>等</w:t>
            </w:r>
            <w:r>
              <w:rPr>
                <w:rFonts w:hint="eastAsia" w:ascii="宋体" w:hAnsi="宋体" w:cs="宋体"/>
                <w:color w:val="auto"/>
                <w:szCs w:val="21"/>
                <w:highlight w:val="none"/>
              </w:rPr>
              <w:t>），加盖供应商电子签章】。</w:t>
            </w:r>
          </w:p>
          <w:p w14:paraId="576DAEE4">
            <w:pPr>
              <w:pStyle w:val="65"/>
              <w:keepNext w:val="0"/>
              <w:keepLines w:val="0"/>
              <w:pageBreakBefore w:val="0"/>
              <w:widowControl w:val="0"/>
              <w:kinsoku/>
              <w:wordWrap w:val="0"/>
              <w:overflowPunct/>
              <w:topLinePunct w:val="0"/>
              <w:autoSpaceDE/>
              <w:autoSpaceDN/>
              <w:bidi w:val="0"/>
              <w:adjustRightInd/>
              <w:snapToGrid/>
              <w:spacing w:line="360" w:lineRule="exact"/>
              <w:textAlignment w:val="auto"/>
              <w:rPr>
                <w:rFonts w:hint="eastAsia" w:ascii="宋体" w:hAnsi="宋体"/>
                <w:color w:val="auto"/>
                <w:highlight w:val="none"/>
              </w:rPr>
            </w:pPr>
            <w:r>
              <w:rPr>
                <w:rFonts w:hint="eastAsia" w:ascii="宋体" w:hAnsi="宋体" w:cs="宋体"/>
                <w:color w:val="auto"/>
                <w:szCs w:val="21"/>
                <w:highlight w:val="none"/>
              </w:rPr>
              <w:t>3.供应商须按“第六章 响应文件格式”要求，于响应文件中提供“供应商关于拟派项目经理的承诺书”。</w:t>
            </w:r>
          </w:p>
        </w:tc>
      </w:tr>
      <w:tr w14:paraId="65B903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05" w:type="dxa"/>
            <w:gridSpan w:val="4"/>
            <w:tcBorders>
              <w:top w:val="single" w:color="auto" w:sz="4" w:space="0"/>
              <w:left w:val="single" w:color="auto" w:sz="4" w:space="0"/>
              <w:bottom w:val="single" w:color="auto" w:sz="4" w:space="0"/>
              <w:right w:val="single" w:color="auto" w:sz="4" w:space="0"/>
            </w:tcBorders>
          </w:tcPr>
          <w:p w14:paraId="6A269899">
            <w:pPr>
              <w:spacing w:line="400" w:lineRule="exact"/>
              <w:rPr>
                <w:rFonts w:hint="eastAsia" w:ascii="宋体" w:hAnsi="宋体"/>
                <w:color w:val="auto"/>
                <w:szCs w:val="21"/>
                <w:highlight w:val="none"/>
              </w:rPr>
            </w:pPr>
            <w:r>
              <w:rPr>
                <w:rFonts w:hint="eastAsia" w:ascii="宋体" w:hAnsi="宋体" w:cs="宋体"/>
                <w:color w:val="auto"/>
                <w:szCs w:val="21"/>
                <w:highlight w:val="none"/>
              </w:rPr>
              <w:t>▲</w:t>
            </w:r>
            <w:r>
              <w:rPr>
                <w:rFonts w:hint="eastAsia" w:ascii="宋体" w:hAnsi="宋体"/>
                <w:b/>
                <w:color w:val="auto"/>
                <w:szCs w:val="21"/>
                <w:highlight w:val="none"/>
              </w:rPr>
              <w:t>二、商务要求</w:t>
            </w:r>
          </w:p>
        </w:tc>
      </w:tr>
      <w:tr w14:paraId="42FA5E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tcBorders>
              <w:top w:val="single" w:color="auto" w:sz="4" w:space="0"/>
              <w:left w:val="single" w:color="auto" w:sz="4" w:space="0"/>
              <w:bottom w:val="single" w:color="auto" w:sz="4" w:space="0"/>
              <w:right w:val="single" w:color="auto" w:sz="4" w:space="0"/>
            </w:tcBorders>
            <w:vAlign w:val="center"/>
          </w:tcPr>
          <w:p w14:paraId="05CC9CAB">
            <w:pPr>
              <w:spacing w:line="400" w:lineRule="exact"/>
              <w:jc w:val="center"/>
              <w:rPr>
                <w:rFonts w:hint="eastAsia" w:ascii="宋体" w:hAnsi="宋体"/>
                <w:b/>
                <w:bCs/>
                <w:color w:val="auto"/>
                <w:szCs w:val="21"/>
                <w:highlight w:val="none"/>
              </w:rPr>
            </w:pPr>
            <w:r>
              <w:rPr>
                <w:rFonts w:hint="eastAsia" w:ascii="宋体" w:hAnsi="宋体" w:cs="宋体"/>
                <w:b/>
                <w:bCs/>
                <w:color w:val="auto"/>
                <w:szCs w:val="21"/>
                <w:highlight w:val="none"/>
              </w:rPr>
              <w:t>（一）计划工期</w:t>
            </w:r>
          </w:p>
        </w:tc>
        <w:tc>
          <w:tcPr>
            <w:tcW w:w="6705" w:type="dxa"/>
            <w:gridSpan w:val="3"/>
            <w:tcBorders>
              <w:top w:val="single" w:color="auto" w:sz="4" w:space="0"/>
              <w:left w:val="single" w:color="auto" w:sz="4" w:space="0"/>
              <w:bottom w:val="single" w:color="auto" w:sz="4" w:space="0"/>
              <w:right w:val="single" w:color="auto" w:sz="4" w:space="0"/>
            </w:tcBorders>
            <w:vAlign w:val="center"/>
          </w:tcPr>
          <w:p w14:paraId="15A2FE8D">
            <w:pPr>
              <w:spacing w:line="400" w:lineRule="exact"/>
              <w:rPr>
                <w:rFonts w:hint="eastAsia" w:ascii="宋体" w:hAnsi="宋体"/>
                <w:b/>
                <w:bCs/>
                <w:color w:val="auto"/>
                <w:szCs w:val="21"/>
                <w:highlight w:val="none"/>
              </w:rPr>
            </w:pPr>
            <w:r>
              <w:rPr>
                <w:rFonts w:hint="eastAsia" w:ascii="宋体" w:hAnsi="宋体"/>
                <w:b/>
                <w:bCs/>
                <w:color w:val="auto"/>
                <w:szCs w:val="21"/>
                <w:highlight w:val="none"/>
              </w:rPr>
              <w:t>计划工期：自接到采购人或采购人委托的监理单位发出开工令之日起</w:t>
            </w:r>
            <w:r>
              <w:rPr>
                <w:rFonts w:hint="eastAsia" w:ascii="宋体" w:hAnsi="宋体"/>
                <w:b/>
                <w:bCs/>
                <w:color w:val="auto"/>
                <w:szCs w:val="21"/>
                <w:highlight w:val="none"/>
                <w:lang w:val="en-US" w:eastAsia="zh-CN"/>
              </w:rPr>
              <w:t xml:space="preserve"> 30</w:t>
            </w:r>
            <w:r>
              <w:rPr>
                <w:rFonts w:hint="eastAsia" w:ascii="宋体" w:hAnsi="宋体"/>
                <w:b/>
                <w:bCs/>
                <w:color w:val="auto"/>
                <w:szCs w:val="21"/>
                <w:highlight w:val="none"/>
              </w:rPr>
              <w:t>天（日历天）内</w:t>
            </w:r>
          </w:p>
          <w:p w14:paraId="290C2411">
            <w:pPr>
              <w:spacing w:line="400" w:lineRule="exact"/>
              <w:rPr>
                <w:rFonts w:hint="eastAsia" w:ascii="宋体" w:hAnsi="宋体"/>
                <w:b/>
                <w:bCs/>
                <w:color w:val="auto"/>
                <w:szCs w:val="21"/>
                <w:highlight w:val="none"/>
              </w:rPr>
            </w:pPr>
            <w:r>
              <w:rPr>
                <w:rFonts w:ascii="宋体" w:hAnsi="宋体"/>
                <w:b/>
                <w:bCs/>
                <w:color w:val="auto"/>
                <w:szCs w:val="21"/>
                <w:highlight w:val="none"/>
              </w:rPr>
              <w:t>计划开工日期：</w:t>
            </w:r>
            <w:r>
              <w:rPr>
                <w:rFonts w:hint="eastAsia" w:ascii="宋体" w:hAnsi="宋体"/>
                <w:b/>
                <w:bCs/>
                <w:color w:val="auto"/>
                <w:szCs w:val="21"/>
                <w:highlight w:val="none"/>
              </w:rPr>
              <w:t>202</w:t>
            </w:r>
            <w:r>
              <w:rPr>
                <w:rFonts w:hint="eastAsia" w:ascii="宋体" w:hAnsi="宋体"/>
                <w:b/>
                <w:bCs/>
                <w:color w:val="auto"/>
                <w:szCs w:val="21"/>
                <w:highlight w:val="none"/>
                <w:lang w:val="en-US" w:eastAsia="zh-CN"/>
              </w:rPr>
              <w:t>5</w:t>
            </w:r>
            <w:r>
              <w:rPr>
                <w:rFonts w:hint="eastAsia" w:ascii="宋体" w:hAnsi="宋体"/>
                <w:b/>
                <w:bCs/>
                <w:color w:val="auto"/>
                <w:szCs w:val="21"/>
                <w:highlight w:val="none"/>
              </w:rPr>
              <w:t>年</w:t>
            </w:r>
            <w:r>
              <w:rPr>
                <w:rFonts w:hint="eastAsia" w:ascii="宋体" w:hAnsi="宋体"/>
                <w:b/>
                <w:bCs/>
                <w:color w:val="auto"/>
                <w:szCs w:val="21"/>
                <w:highlight w:val="none"/>
                <w:lang w:val="en-US" w:eastAsia="zh-CN"/>
              </w:rPr>
              <w:t>10</w:t>
            </w:r>
            <w:r>
              <w:rPr>
                <w:rFonts w:hint="eastAsia" w:ascii="宋体" w:hAnsi="宋体"/>
                <w:b/>
                <w:bCs/>
                <w:color w:val="auto"/>
                <w:szCs w:val="21"/>
                <w:highlight w:val="none"/>
              </w:rPr>
              <w:t>月</w:t>
            </w:r>
            <w:r>
              <w:rPr>
                <w:rFonts w:hint="eastAsia" w:ascii="宋体" w:hAnsi="宋体"/>
                <w:b/>
                <w:bCs/>
                <w:color w:val="auto"/>
                <w:szCs w:val="21"/>
                <w:highlight w:val="none"/>
                <w:lang w:val="en-US" w:eastAsia="zh-CN"/>
              </w:rPr>
              <w:t>20</w:t>
            </w:r>
            <w:r>
              <w:rPr>
                <w:rFonts w:hint="eastAsia" w:ascii="宋体" w:hAnsi="宋体"/>
                <w:b/>
                <w:bCs/>
                <w:color w:val="auto"/>
                <w:szCs w:val="21"/>
                <w:highlight w:val="none"/>
              </w:rPr>
              <w:t>日（实际以开工令为准）</w:t>
            </w:r>
          </w:p>
          <w:p w14:paraId="51D06688">
            <w:pPr>
              <w:spacing w:line="400" w:lineRule="exact"/>
              <w:rPr>
                <w:rFonts w:hint="eastAsia" w:ascii="宋体" w:hAnsi="宋体"/>
                <w:b/>
                <w:bCs/>
                <w:color w:val="auto"/>
                <w:szCs w:val="21"/>
                <w:highlight w:val="none"/>
              </w:rPr>
            </w:pPr>
            <w:r>
              <w:rPr>
                <w:rFonts w:ascii="宋体" w:hAnsi="宋体"/>
                <w:b/>
                <w:bCs/>
                <w:color w:val="auto"/>
                <w:szCs w:val="21"/>
                <w:highlight w:val="none"/>
              </w:rPr>
              <w:t>计划</w:t>
            </w:r>
            <w:r>
              <w:rPr>
                <w:rFonts w:hint="eastAsia" w:ascii="宋体" w:hAnsi="宋体"/>
                <w:b/>
                <w:bCs/>
                <w:color w:val="auto"/>
                <w:szCs w:val="21"/>
                <w:highlight w:val="none"/>
              </w:rPr>
              <w:t>竣</w:t>
            </w:r>
            <w:r>
              <w:rPr>
                <w:rFonts w:ascii="宋体" w:hAnsi="宋体"/>
                <w:b/>
                <w:bCs/>
                <w:color w:val="auto"/>
                <w:szCs w:val="21"/>
                <w:highlight w:val="none"/>
              </w:rPr>
              <w:t>工日期：</w:t>
            </w:r>
            <w:r>
              <w:rPr>
                <w:rFonts w:hint="eastAsia" w:ascii="宋体" w:hAnsi="宋体"/>
                <w:b/>
                <w:bCs/>
                <w:color w:val="auto"/>
                <w:szCs w:val="21"/>
                <w:highlight w:val="none"/>
              </w:rPr>
              <w:t>2025年</w:t>
            </w:r>
            <w:r>
              <w:rPr>
                <w:rFonts w:hint="eastAsia" w:ascii="宋体" w:hAnsi="宋体"/>
                <w:b/>
                <w:bCs/>
                <w:color w:val="auto"/>
                <w:szCs w:val="21"/>
                <w:highlight w:val="none"/>
                <w:lang w:val="en-US" w:eastAsia="zh-CN"/>
              </w:rPr>
              <w:t>11</w:t>
            </w:r>
            <w:r>
              <w:rPr>
                <w:rFonts w:hint="eastAsia" w:ascii="宋体" w:hAnsi="宋体"/>
                <w:b/>
                <w:bCs/>
                <w:color w:val="auto"/>
                <w:szCs w:val="21"/>
                <w:highlight w:val="none"/>
              </w:rPr>
              <w:t>月</w:t>
            </w:r>
            <w:r>
              <w:rPr>
                <w:rFonts w:hint="eastAsia" w:ascii="宋体" w:hAnsi="宋体"/>
                <w:b/>
                <w:bCs/>
                <w:color w:val="auto"/>
                <w:szCs w:val="21"/>
                <w:highlight w:val="none"/>
                <w:lang w:val="en-US" w:eastAsia="zh-CN"/>
              </w:rPr>
              <w:t>18</w:t>
            </w:r>
            <w:r>
              <w:rPr>
                <w:rFonts w:hint="eastAsia" w:ascii="宋体" w:hAnsi="宋体"/>
                <w:b/>
                <w:bCs/>
                <w:color w:val="auto"/>
                <w:szCs w:val="21"/>
                <w:highlight w:val="none"/>
              </w:rPr>
              <w:t>日</w:t>
            </w:r>
          </w:p>
        </w:tc>
      </w:tr>
      <w:tr w14:paraId="33C4CC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tcBorders>
              <w:top w:val="single" w:color="auto" w:sz="4" w:space="0"/>
              <w:left w:val="single" w:color="auto" w:sz="4" w:space="0"/>
              <w:bottom w:val="single" w:color="auto" w:sz="4" w:space="0"/>
              <w:right w:val="single" w:color="auto" w:sz="4" w:space="0"/>
            </w:tcBorders>
            <w:vAlign w:val="center"/>
          </w:tcPr>
          <w:p w14:paraId="1A11C272">
            <w:pPr>
              <w:spacing w:line="400" w:lineRule="exact"/>
              <w:jc w:val="center"/>
              <w:rPr>
                <w:rFonts w:hint="eastAsia" w:ascii="宋体" w:hAnsi="宋体"/>
                <w:b/>
                <w:bCs/>
                <w:color w:val="auto"/>
                <w:szCs w:val="21"/>
                <w:highlight w:val="none"/>
              </w:rPr>
            </w:pPr>
            <w:r>
              <w:rPr>
                <w:rFonts w:hint="eastAsia" w:ascii="宋体" w:hAnsi="宋体"/>
                <w:b/>
                <w:bCs/>
                <w:color w:val="auto"/>
                <w:szCs w:val="21"/>
                <w:highlight w:val="none"/>
              </w:rPr>
              <w:t>（二）建设地点</w:t>
            </w:r>
          </w:p>
        </w:tc>
        <w:tc>
          <w:tcPr>
            <w:tcW w:w="6705" w:type="dxa"/>
            <w:gridSpan w:val="3"/>
            <w:tcBorders>
              <w:top w:val="single" w:color="auto" w:sz="4" w:space="0"/>
              <w:left w:val="single" w:color="auto" w:sz="4" w:space="0"/>
              <w:bottom w:val="single" w:color="auto" w:sz="4" w:space="0"/>
              <w:right w:val="single" w:color="auto" w:sz="4" w:space="0"/>
            </w:tcBorders>
            <w:vAlign w:val="center"/>
          </w:tcPr>
          <w:p w14:paraId="365D48F6">
            <w:pPr>
              <w:spacing w:line="400" w:lineRule="exact"/>
              <w:rPr>
                <w:rFonts w:hint="eastAsia" w:ascii="宋体" w:hAnsi="宋体"/>
                <w:b/>
                <w:bCs/>
                <w:color w:val="auto"/>
                <w:szCs w:val="21"/>
                <w:highlight w:val="none"/>
              </w:rPr>
            </w:pPr>
            <w:r>
              <w:rPr>
                <w:rFonts w:hint="eastAsia" w:ascii="宋体" w:hAnsi="宋体"/>
                <w:b/>
                <w:bCs/>
                <w:color w:val="auto"/>
                <w:szCs w:val="21"/>
                <w:highlight w:val="none"/>
              </w:rPr>
              <w:t>广西桂林市七星区金鸡路2号</w:t>
            </w:r>
          </w:p>
        </w:tc>
      </w:tr>
      <w:tr w14:paraId="4FC5CB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tcBorders>
              <w:top w:val="single" w:color="auto" w:sz="4" w:space="0"/>
              <w:left w:val="single" w:color="auto" w:sz="4" w:space="0"/>
              <w:bottom w:val="single" w:color="auto" w:sz="4" w:space="0"/>
              <w:right w:val="single" w:color="auto" w:sz="4" w:space="0"/>
            </w:tcBorders>
            <w:vAlign w:val="center"/>
          </w:tcPr>
          <w:p w14:paraId="1FD3E709">
            <w:pPr>
              <w:spacing w:line="400" w:lineRule="exact"/>
              <w:jc w:val="center"/>
              <w:rPr>
                <w:rFonts w:hint="eastAsia" w:ascii="宋体" w:hAnsi="宋体"/>
                <w:b/>
                <w:bCs/>
                <w:color w:val="auto"/>
                <w:szCs w:val="21"/>
                <w:highlight w:val="none"/>
              </w:rPr>
            </w:pPr>
            <w:r>
              <w:rPr>
                <w:rFonts w:hint="eastAsia" w:ascii="宋体" w:hAnsi="宋体"/>
                <w:b/>
                <w:bCs/>
                <w:color w:val="auto"/>
                <w:szCs w:val="21"/>
                <w:highlight w:val="none"/>
              </w:rPr>
              <w:t>（三）合同签订时间</w:t>
            </w:r>
          </w:p>
        </w:tc>
        <w:tc>
          <w:tcPr>
            <w:tcW w:w="6705" w:type="dxa"/>
            <w:gridSpan w:val="3"/>
            <w:tcBorders>
              <w:top w:val="single" w:color="auto" w:sz="4" w:space="0"/>
              <w:left w:val="single" w:color="auto" w:sz="4" w:space="0"/>
              <w:bottom w:val="single" w:color="auto" w:sz="4" w:space="0"/>
              <w:right w:val="single" w:color="auto" w:sz="4" w:space="0"/>
            </w:tcBorders>
            <w:vAlign w:val="center"/>
          </w:tcPr>
          <w:p w14:paraId="1F530A7B">
            <w:pPr>
              <w:spacing w:line="400" w:lineRule="exact"/>
              <w:rPr>
                <w:rFonts w:hint="eastAsia" w:ascii="宋体" w:hAnsi="宋体"/>
                <w:b/>
                <w:bCs/>
                <w:color w:val="auto"/>
                <w:szCs w:val="21"/>
                <w:highlight w:val="none"/>
              </w:rPr>
            </w:pPr>
            <w:r>
              <w:rPr>
                <w:rFonts w:hint="eastAsia" w:ascii="宋体" w:hAnsi="宋体"/>
                <w:b/>
                <w:bCs/>
                <w:color w:val="auto"/>
                <w:szCs w:val="21"/>
                <w:highlight w:val="none"/>
              </w:rPr>
              <w:t>自成交通知书发出之日起</w:t>
            </w:r>
            <w:r>
              <w:rPr>
                <w:rFonts w:hint="eastAsia" w:ascii="宋体" w:hAnsi="宋体"/>
                <w:b/>
                <w:bCs/>
                <w:color w:val="auto"/>
                <w:szCs w:val="21"/>
                <w:highlight w:val="none"/>
                <w:u w:val="single"/>
              </w:rPr>
              <w:t>25</w:t>
            </w:r>
            <w:r>
              <w:rPr>
                <w:rFonts w:hint="eastAsia" w:ascii="宋体" w:hAnsi="宋体"/>
                <w:b/>
                <w:bCs/>
                <w:color w:val="auto"/>
                <w:szCs w:val="21"/>
                <w:highlight w:val="none"/>
              </w:rPr>
              <w:t>日内</w:t>
            </w:r>
          </w:p>
        </w:tc>
      </w:tr>
      <w:tr w14:paraId="4D30BD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tcBorders>
              <w:top w:val="single" w:color="auto" w:sz="4" w:space="0"/>
              <w:left w:val="single" w:color="auto" w:sz="4" w:space="0"/>
              <w:bottom w:val="single" w:color="auto" w:sz="4" w:space="0"/>
              <w:right w:val="single" w:color="auto" w:sz="4" w:space="0"/>
            </w:tcBorders>
            <w:vAlign w:val="center"/>
          </w:tcPr>
          <w:p w14:paraId="72257D80">
            <w:pPr>
              <w:spacing w:line="400" w:lineRule="exact"/>
              <w:jc w:val="center"/>
              <w:rPr>
                <w:rFonts w:hint="eastAsia" w:ascii="宋体" w:hAnsi="宋体"/>
                <w:b/>
                <w:bCs/>
                <w:color w:val="auto"/>
                <w:szCs w:val="21"/>
                <w:highlight w:val="none"/>
              </w:rPr>
            </w:pPr>
            <w:r>
              <w:rPr>
                <w:rFonts w:hint="eastAsia" w:ascii="宋体" w:hAnsi="宋体"/>
                <w:b/>
                <w:bCs/>
                <w:color w:val="auto"/>
                <w:szCs w:val="21"/>
                <w:highlight w:val="none"/>
              </w:rPr>
              <w:t>（四）付款条件（进度和方式）</w:t>
            </w:r>
          </w:p>
        </w:tc>
        <w:tc>
          <w:tcPr>
            <w:tcW w:w="6705" w:type="dxa"/>
            <w:gridSpan w:val="3"/>
            <w:tcBorders>
              <w:top w:val="single" w:color="auto" w:sz="4" w:space="0"/>
              <w:left w:val="single" w:color="auto" w:sz="4" w:space="0"/>
              <w:bottom w:val="single" w:color="auto" w:sz="4" w:space="0"/>
              <w:right w:val="single" w:color="auto" w:sz="4" w:space="0"/>
            </w:tcBorders>
            <w:vAlign w:val="center"/>
          </w:tcPr>
          <w:p w14:paraId="234C9D06">
            <w:pPr>
              <w:spacing w:line="400" w:lineRule="exact"/>
              <w:rPr>
                <w:rFonts w:hint="eastAsia" w:ascii="宋体" w:hAnsi="宋体"/>
                <w:b/>
                <w:bCs/>
                <w:color w:val="auto"/>
                <w:szCs w:val="21"/>
                <w:highlight w:val="none"/>
              </w:rPr>
            </w:pPr>
            <w:r>
              <w:rPr>
                <w:rFonts w:hint="eastAsia" w:ascii="宋体" w:hAnsi="宋体"/>
                <w:b/>
                <w:color w:val="auto"/>
                <w:szCs w:val="21"/>
                <w:highlight w:val="none"/>
              </w:rPr>
              <w:t>经审定后支付</w:t>
            </w:r>
            <w:r>
              <w:rPr>
                <w:rFonts w:hint="eastAsia" w:ascii="宋体" w:hAnsi="宋体"/>
                <w:b/>
                <w:color w:val="auto"/>
                <w:szCs w:val="21"/>
                <w:highlight w:val="none"/>
                <w:lang w:eastAsia="zh-CN"/>
              </w:rPr>
              <w:t>至</w:t>
            </w:r>
            <w:r>
              <w:rPr>
                <w:rFonts w:hint="eastAsia" w:ascii="宋体" w:hAnsi="宋体"/>
                <w:b/>
                <w:color w:val="auto"/>
                <w:szCs w:val="21"/>
                <w:highlight w:val="none"/>
              </w:rPr>
              <w:t>工程结算</w:t>
            </w:r>
            <w:r>
              <w:rPr>
                <w:rFonts w:hint="eastAsia" w:ascii="宋体" w:hAnsi="宋体"/>
                <w:b/>
                <w:bCs w:val="0"/>
                <w:color w:val="auto"/>
                <w:szCs w:val="21"/>
                <w:highlight w:val="none"/>
              </w:rPr>
              <w:t>总额的</w:t>
            </w:r>
            <w:r>
              <w:rPr>
                <w:rFonts w:hint="eastAsia" w:ascii="宋体" w:hAnsi="宋体"/>
                <w:b/>
                <w:bCs w:val="0"/>
                <w:color w:val="auto"/>
                <w:szCs w:val="21"/>
                <w:highlight w:val="none"/>
                <w:lang w:val="en-US" w:eastAsia="zh-CN"/>
              </w:rPr>
              <w:t>97</w:t>
            </w:r>
            <w:r>
              <w:rPr>
                <w:rFonts w:hint="eastAsia" w:ascii="宋体" w:hAnsi="宋体"/>
                <w:b/>
                <w:bCs w:val="0"/>
                <w:color w:val="auto"/>
                <w:szCs w:val="21"/>
                <w:highlight w:val="none"/>
              </w:rPr>
              <w:t>%</w:t>
            </w:r>
            <w:r>
              <w:rPr>
                <w:rFonts w:hint="eastAsia" w:ascii="宋体" w:hAnsi="宋体"/>
                <w:b/>
                <w:bCs w:val="0"/>
                <w:color w:val="auto"/>
                <w:szCs w:val="21"/>
                <w:highlight w:val="none"/>
                <w:lang w:eastAsia="zh-CN"/>
              </w:rPr>
              <w:t>（其中：</w:t>
            </w:r>
            <w:r>
              <w:rPr>
                <w:rFonts w:hint="eastAsia" w:ascii="宋体" w:hAnsi="宋体"/>
                <w:b/>
                <w:bCs w:val="0"/>
                <w:color w:val="auto"/>
                <w:szCs w:val="21"/>
                <w:highlight w:val="none"/>
              </w:rPr>
              <w:t>开工初期支付合同工程</w:t>
            </w:r>
            <w:r>
              <w:rPr>
                <w:rFonts w:hint="eastAsia" w:ascii="宋体" w:hAnsi="宋体"/>
                <w:b/>
                <w:bCs w:val="0"/>
                <w:color w:val="auto"/>
                <w:szCs w:val="21"/>
                <w:highlight w:val="none"/>
                <w:lang w:eastAsia="zh-CN"/>
              </w:rPr>
              <w:t>总</w:t>
            </w:r>
            <w:r>
              <w:rPr>
                <w:rFonts w:hint="eastAsia" w:ascii="宋体" w:hAnsi="宋体"/>
                <w:b/>
                <w:bCs w:val="0"/>
                <w:color w:val="auto"/>
                <w:szCs w:val="21"/>
                <w:highlight w:val="none"/>
              </w:rPr>
              <w:t>价30%的工程预付款</w:t>
            </w:r>
            <w:r>
              <w:rPr>
                <w:rFonts w:hint="eastAsia" w:ascii="宋体" w:hAnsi="宋体"/>
                <w:b/>
                <w:bCs w:val="0"/>
                <w:color w:val="auto"/>
                <w:szCs w:val="21"/>
                <w:highlight w:val="none"/>
                <w:lang w:eastAsia="zh-CN"/>
              </w:rPr>
              <w:t>；工程经校内竣工验收</w:t>
            </w:r>
            <w:r>
              <w:rPr>
                <w:rFonts w:hint="eastAsia" w:ascii="宋体" w:hAnsi="宋体"/>
                <w:b/>
                <w:bCs w:val="0"/>
                <w:color w:val="auto"/>
                <w:szCs w:val="21"/>
                <w:highlight w:val="none"/>
              </w:rPr>
              <w:t>合格</w:t>
            </w:r>
            <w:r>
              <w:rPr>
                <w:rFonts w:hint="eastAsia" w:ascii="宋体" w:hAnsi="宋体"/>
                <w:b/>
                <w:bCs w:val="0"/>
                <w:color w:val="auto"/>
                <w:szCs w:val="21"/>
                <w:highlight w:val="none"/>
                <w:lang w:eastAsia="zh-CN"/>
              </w:rPr>
              <w:t>，采购人</w:t>
            </w:r>
            <w:r>
              <w:rPr>
                <w:rFonts w:hint="eastAsia" w:ascii="宋体" w:hAnsi="宋体"/>
                <w:b/>
                <w:bCs w:val="0"/>
                <w:color w:val="auto"/>
                <w:szCs w:val="21"/>
                <w:highlight w:val="none"/>
              </w:rPr>
              <w:t>支付</w:t>
            </w:r>
            <w:r>
              <w:rPr>
                <w:rFonts w:hint="eastAsia" w:ascii="宋体" w:hAnsi="宋体"/>
                <w:b/>
                <w:bCs w:val="0"/>
                <w:color w:val="auto"/>
                <w:szCs w:val="21"/>
                <w:highlight w:val="none"/>
                <w:lang w:eastAsia="zh-CN"/>
              </w:rPr>
              <w:t>至</w:t>
            </w:r>
            <w:r>
              <w:rPr>
                <w:rFonts w:hint="eastAsia" w:ascii="宋体" w:hAnsi="宋体"/>
                <w:b/>
                <w:bCs w:val="0"/>
                <w:color w:val="auto"/>
                <w:szCs w:val="21"/>
                <w:highlight w:val="none"/>
              </w:rPr>
              <w:t>已完成工程量造价</w:t>
            </w:r>
            <w:r>
              <w:rPr>
                <w:rFonts w:hint="eastAsia"/>
                <w:b/>
                <w:bCs w:val="0"/>
                <w:color w:val="auto"/>
                <w:szCs w:val="21"/>
                <w:highlight w:val="none"/>
                <w:lang w:eastAsia="zh-CN"/>
              </w:rPr>
              <w:t>的</w:t>
            </w:r>
            <w:r>
              <w:rPr>
                <w:rFonts w:hint="eastAsia" w:ascii="宋体" w:hAnsi="宋体"/>
                <w:b/>
                <w:bCs w:val="0"/>
                <w:color w:val="auto"/>
                <w:szCs w:val="21"/>
                <w:highlight w:val="none"/>
              </w:rPr>
              <w:t>85%</w:t>
            </w:r>
            <w:r>
              <w:rPr>
                <w:rFonts w:hint="eastAsia" w:ascii="宋体" w:hAnsi="宋体"/>
                <w:b/>
                <w:bCs w:val="0"/>
                <w:color w:val="auto"/>
                <w:szCs w:val="21"/>
                <w:highlight w:val="none"/>
                <w:lang w:eastAsia="zh-CN"/>
              </w:rPr>
              <w:t>；</w:t>
            </w:r>
            <w:r>
              <w:rPr>
                <w:rFonts w:hint="eastAsia" w:ascii="宋体" w:hAnsi="宋体"/>
                <w:b/>
                <w:bCs w:val="0"/>
                <w:color w:val="auto"/>
                <w:szCs w:val="21"/>
                <w:highlight w:val="none"/>
              </w:rPr>
              <w:t>工程结算经审定后支付</w:t>
            </w:r>
            <w:r>
              <w:rPr>
                <w:rFonts w:hint="eastAsia"/>
                <w:b/>
                <w:bCs w:val="0"/>
                <w:color w:val="auto"/>
                <w:szCs w:val="21"/>
                <w:highlight w:val="none"/>
                <w:lang w:eastAsia="zh-CN"/>
              </w:rPr>
              <w:t>至结算金额的</w:t>
            </w:r>
            <w:r>
              <w:rPr>
                <w:rFonts w:hint="eastAsia"/>
                <w:b/>
                <w:bCs w:val="0"/>
                <w:color w:val="auto"/>
                <w:szCs w:val="21"/>
                <w:highlight w:val="none"/>
                <w:lang w:val="en-US" w:eastAsia="zh-CN"/>
              </w:rPr>
              <w:t>97%），</w:t>
            </w:r>
            <w:r>
              <w:rPr>
                <w:rFonts w:hint="eastAsia" w:asciiTheme="majorEastAsia" w:hAnsiTheme="majorEastAsia" w:eastAsiaTheme="majorEastAsia"/>
                <w:b/>
                <w:color w:val="auto"/>
                <w:szCs w:val="22"/>
                <w:highlight w:val="none"/>
              </w:rPr>
              <w:t>采购人按工程价款结算总额的3%预留工程</w:t>
            </w:r>
            <w:r>
              <w:rPr>
                <w:rFonts w:hint="eastAsia" w:asciiTheme="majorEastAsia" w:hAnsiTheme="majorEastAsia" w:eastAsiaTheme="majorEastAsia"/>
                <w:b/>
                <w:color w:val="auto"/>
                <w:szCs w:val="22"/>
                <w:highlight w:val="none"/>
                <w:lang w:eastAsia="zh-CN"/>
              </w:rPr>
              <w:t>质量保证金</w:t>
            </w:r>
            <w:r>
              <w:rPr>
                <w:rFonts w:hint="eastAsia" w:asciiTheme="majorEastAsia" w:hAnsiTheme="majorEastAsia" w:eastAsiaTheme="majorEastAsia"/>
                <w:b/>
                <w:color w:val="auto"/>
                <w:szCs w:val="22"/>
                <w:highlight w:val="none"/>
              </w:rPr>
              <w:t>，待工程</w:t>
            </w:r>
            <w:r>
              <w:rPr>
                <w:rFonts w:hint="eastAsia" w:asciiTheme="majorEastAsia" w:hAnsiTheme="majorEastAsia" w:eastAsiaTheme="majorEastAsia"/>
                <w:b/>
                <w:color w:val="auto"/>
                <w:szCs w:val="22"/>
                <w:highlight w:val="none"/>
                <w:lang w:eastAsia="zh-CN"/>
              </w:rPr>
              <w:t>缺陷</w:t>
            </w:r>
            <w:r>
              <w:rPr>
                <w:rFonts w:hint="eastAsia" w:asciiTheme="majorEastAsia" w:hAnsiTheme="majorEastAsia" w:eastAsiaTheme="majorEastAsia"/>
                <w:b/>
                <w:color w:val="auto"/>
                <w:szCs w:val="22"/>
                <w:highlight w:val="none"/>
              </w:rPr>
              <w:t>责任期满后退还</w:t>
            </w:r>
            <w:r>
              <w:rPr>
                <w:rFonts w:hint="eastAsia" w:ascii="宋体" w:hAnsi="宋体"/>
                <w:b/>
                <w:bCs w:val="0"/>
                <w:color w:val="auto"/>
                <w:szCs w:val="21"/>
                <w:highlight w:val="none"/>
                <w:lang w:eastAsia="zh-CN"/>
              </w:rPr>
              <w:t>。</w:t>
            </w:r>
            <w:r>
              <w:rPr>
                <w:rFonts w:hint="eastAsia" w:ascii="宋体" w:hAnsi="宋体"/>
                <w:b/>
                <w:bCs w:val="0"/>
                <w:color w:val="auto"/>
                <w:szCs w:val="21"/>
                <w:highlight w:val="none"/>
              </w:rPr>
              <w:t>采购人在支付每笔款项前，成交供应商须按采购人要求开具相应发票，采购人收到发票后5个工作日内办理相应支付手续（</w:t>
            </w:r>
            <w:r>
              <w:rPr>
                <w:rFonts w:hint="eastAsia" w:ascii="宋体" w:hAnsi="宋体"/>
                <w:b/>
                <w:bCs w:val="0"/>
                <w:color w:val="auto"/>
                <w:szCs w:val="21"/>
                <w:highlight w:val="none"/>
                <w:lang w:eastAsia="zh-CN"/>
              </w:rPr>
              <w:t>所有款项均</w:t>
            </w:r>
            <w:r>
              <w:rPr>
                <w:rFonts w:hint="eastAsia" w:ascii="宋体" w:hAnsi="宋体"/>
                <w:b/>
                <w:bCs w:val="0"/>
                <w:color w:val="auto"/>
                <w:szCs w:val="21"/>
                <w:highlight w:val="none"/>
              </w:rPr>
              <w:t>无息</w:t>
            </w:r>
            <w:r>
              <w:rPr>
                <w:rFonts w:hint="eastAsia" w:ascii="宋体" w:hAnsi="宋体"/>
                <w:b/>
                <w:bCs w:val="0"/>
                <w:color w:val="auto"/>
                <w:szCs w:val="21"/>
                <w:highlight w:val="none"/>
                <w:lang w:eastAsia="zh-CN"/>
              </w:rPr>
              <w:t>支付</w:t>
            </w:r>
            <w:r>
              <w:rPr>
                <w:rFonts w:hint="eastAsia" w:ascii="宋体" w:hAnsi="宋体"/>
                <w:b/>
                <w:bCs w:val="0"/>
                <w:color w:val="auto"/>
                <w:szCs w:val="21"/>
                <w:highlight w:val="none"/>
              </w:rPr>
              <w:t>）。</w:t>
            </w:r>
          </w:p>
        </w:tc>
      </w:tr>
      <w:tr w14:paraId="5099F0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tcBorders>
              <w:top w:val="single" w:color="auto" w:sz="4" w:space="0"/>
              <w:left w:val="single" w:color="auto" w:sz="4" w:space="0"/>
              <w:bottom w:val="single" w:color="auto" w:sz="4" w:space="0"/>
              <w:right w:val="single" w:color="auto" w:sz="4" w:space="0"/>
            </w:tcBorders>
            <w:vAlign w:val="center"/>
          </w:tcPr>
          <w:p w14:paraId="61D0AB2E">
            <w:pPr>
              <w:spacing w:line="400" w:lineRule="exact"/>
              <w:jc w:val="center"/>
              <w:rPr>
                <w:rFonts w:hint="eastAsia" w:ascii="宋体" w:hAnsi="宋体"/>
                <w:b/>
                <w:bCs/>
                <w:color w:val="auto"/>
                <w:szCs w:val="21"/>
                <w:highlight w:val="none"/>
              </w:rPr>
            </w:pPr>
            <w:r>
              <w:rPr>
                <w:rFonts w:hint="eastAsia" w:ascii="宋体" w:hAnsi="宋体"/>
                <w:b/>
                <w:bCs/>
                <w:color w:val="auto"/>
                <w:szCs w:val="21"/>
                <w:highlight w:val="none"/>
              </w:rPr>
              <w:t>（五）工程保修期</w:t>
            </w:r>
          </w:p>
        </w:tc>
        <w:tc>
          <w:tcPr>
            <w:tcW w:w="6705" w:type="dxa"/>
            <w:gridSpan w:val="3"/>
            <w:tcBorders>
              <w:top w:val="single" w:color="auto" w:sz="4" w:space="0"/>
              <w:left w:val="single" w:color="auto" w:sz="4" w:space="0"/>
              <w:bottom w:val="single" w:color="auto" w:sz="4" w:space="0"/>
              <w:right w:val="single" w:color="auto" w:sz="4" w:space="0"/>
            </w:tcBorders>
            <w:vAlign w:val="center"/>
          </w:tcPr>
          <w:p w14:paraId="1D43E44C">
            <w:pPr>
              <w:spacing w:line="400" w:lineRule="exact"/>
              <w:jc w:val="left"/>
              <w:rPr>
                <w:rFonts w:hint="eastAsia" w:asciiTheme="majorEastAsia" w:hAnsiTheme="majorEastAsia" w:eastAsiaTheme="majorEastAsia"/>
                <w:b/>
                <w:bCs/>
                <w:color w:val="auto"/>
                <w:szCs w:val="22"/>
                <w:highlight w:val="none"/>
              </w:rPr>
            </w:pPr>
            <w:r>
              <w:rPr>
                <w:rFonts w:hint="eastAsia" w:ascii="宋体" w:hAnsi="宋体" w:eastAsiaTheme="majorEastAsia"/>
                <w:b/>
                <w:bCs/>
                <w:color w:val="auto"/>
                <w:szCs w:val="21"/>
                <w:highlight w:val="none"/>
              </w:rPr>
              <w:t>2年。</w:t>
            </w:r>
          </w:p>
        </w:tc>
      </w:tr>
      <w:tr w14:paraId="6E22A0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tcBorders>
              <w:top w:val="single" w:color="auto" w:sz="4" w:space="0"/>
              <w:left w:val="single" w:color="auto" w:sz="4" w:space="0"/>
              <w:bottom w:val="single" w:color="auto" w:sz="4" w:space="0"/>
              <w:right w:val="single" w:color="auto" w:sz="4" w:space="0"/>
            </w:tcBorders>
            <w:vAlign w:val="center"/>
          </w:tcPr>
          <w:p w14:paraId="3134378E">
            <w:pPr>
              <w:spacing w:line="400" w:lineRule="exact"/>
              <w:jc w:val="center"/>
              <w:rPr>
                <w:rFonts w:hint="default" w:ascii="宋体" w:hAnsi="宋体" w:eastAsia="宋体"/>
                <w:b/>
                <w:bCs/>
                <w:color w:val="auto"/>
                <w:szCs w:val="21"/>
                <w:highlight w:val="none"/>
                <w:lang w:val="en-US" w:eastAsia="zh-CN"/>
              </w:rPr>
            </w:pPr>
            <w:r>
              <w:rPr>
                <w:rFonts w:hint="eastAsia" w:ascii="宋体" w:hAnsi="宋体"/>
                <w:b/>
                <w:bCs/>
                <w:color w:val="auto"/>
                <w:szCs w:val="21"/>
                <w:highlight w:val="none"/>
                <w:lang w:eastAsia="zh-CN"/>
              </w:rPr>
              <w:t>（</w:t>
            </w:r>
            <w:r>
              <w:rPr>
                <w:rFonts w:hint="eastAsia" w:ascii="宋体" w:hAnsi="宋体"/>
                <w:b/>
                <w:bCs/>
                <w:color w:val="auto"/>
                <w:szCs w:val="21"/>
                <w:highlight w:val="none"/>
                <w:lang w:val="en-US" w:eastAsia="zh-CN"/>
              </w:rPr>
              <w:t>六</w:t>
            </w:r>
            <w:r>
              <w:rPr>
                <w:rFonts w:hint="eastAsia" w:ascii="宋体" w:hAnsi="宋体"/>
                <w:b/>
                <w:bCs/>
                <w:color w:val="auto"/>
                <w:szCs w:val="21"/>
                <w:highlight w:val="none"/>
                <w:lang w:eastAsia="zh-CN"/>
              </w:rPr>
              <w:t>）</w:t>
            </w:r>
            <w:r>
              <w:rPr>
                <w:rFonts w:hint="eastAsia" w:ascii="宋体" w:hAnsi="宋体"/>
                <w:b/>
                <w:bCs/>
                <w:color w:val="auto"/>
                <w:szCs w:val="21"/>
                <w:highlight w:val="none"/>
                <w:lang w:val="en-US" w:eastAsia="zh-CN"/>
              </w:rPr>
              <w:t>质保期</w:t>
            </w:r>
          </w:p>
        </w:tc>
        <w:tc>
          <w:tcPr>
            <w:tcW w:w="6705" w:type="dxa"/>
            <w:gridSpan w:val="3"/>
            <w:tcBorders>
              <w:top w:val="single" w:color="auto" w:sz="4" w:space="0"/>
              <w:left w:val="single" w:color="auto" w:sz="4" w:space="0"/>
              <w:bottom w:val="single" w:color="auto" w:sz="4" w:space="0"/>
              <w:right w:val="single" w:color="auto" w:sz="4" w:space="0"/>
            </w:tcBorders>
            <w:vAlign w:val="center"/>
          </w:tcPr>
          <w:p w14:paraId="43A0712E">
            <w:pPr>
              <w:spacing w:line="400" w:lineRule="exact"/>
              <w:jc w:val="left"/>
              <w:rPr>
                <w:rFonts w:hint="default" w:ascii="宋体" w:hAnsi="宋体" w:eastAsiaTheme="majorEastAsia"/>
                <w:b/>
                <w:bCs/>
                <w:color w:val="auto"/>
                <w:szCs w:val="21"/>
                <w:highlight w:val="none"/>
                <w:lang w:val="en-US"/>
              </w:rPr>
            </w:pPr>
            <w:r>
              <w:rPr>
                <w:rFonts w:hint="eastAsia" w:ascii="宋体" w:hAnsi="宋体" w:eastAsia="宋体" w:cs="宋体"/>
                <w:b/>
                <w:bCs w:val="0"/>
                <w:color w:val="auto"/>
                <w:kern w:val="2"/>
                <w:sz w:val="21"/>
                <w:szCs w:val="21"/>
                <w:highlight w:val="none"/>
                <w:lang w:val="en-US" w:eastAsia="zh-CN"/>
              </w:rPr>
              <w:t>工程量清单“分部分项工程和单价措施项目费用表”中的第6、7、8、58、59、60、74~81、114、115项号所有设备器件的质保期不得少于2年。</w:t>
            </w:r>
          </w:p>
        </w:tc>
      </w:tr>
      <w:tr w14:paraId="578BA1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tcBorders>
              <w:top w:val="single" w:color="auto" w:sz="4" w:space="0"/>
              <w:left w:val="single" w:color="auto" w:sz="4" w:space="0"/>
              <w:bottom w:val="single" w:color="auto" w:sz="4" w:space="0"/>
              <w:right w:val="single" w:color="auto" w:sz="4" w:space="0"/>
            </w:tcBorders>
            <w:vAlign w:val="center"/>
          </w:tcPr>
          <w:p w14:paraId="3CA2D3BE">
            <w:pPr>
              <w:spacing w:line="400" w:lineRule="exact"/>
              <w:jc w:val="center"/>
              <w:rPr>
                <w:rFonts w:hint="eastAsia" w:ascii="宋体" w:hAnsi="宋体"/>
                <w:b/>
                <w:bCs/>
                <w:color w:val="auto"/>
                <w:szCs w:val="21"/>
                <w:highlight w:val="none"/>
              </w:rPr>
            </w:pPr>
            <w:r>
              <w:rPr>
                <w:rFonts w:hint="eastAsia" w:ascii="宋体" w:hAnsi="宋体"/>
                <w:b/>
                <w:bCs/>
                <w:color w:val="auto"/>
                <w:szCs w:val="21"/>
                <w:highlight w:val="none"/>
              </w:rPr>
              <w:t>（</w:t>
            </w:r>
            <w:r>
              <w:rPr>
                <w:rFonts w:hint="eastAsia" w:ascii="宋体" w:hAnsi="宋体"/>
                <w:b/>
                <w:bCs/>
                <w:color w:val="auto"/>
                <w:szCs w:val="21"/>
                <w:highlight w:val="none"/>
                <w:lang w:val="en-US" w:eastAsia="zh-CN"/>
              </w:rPr>
              <w:t>七</w:t>
            </w:r>
            <w:r>
              <w:rPr>
                <w:rFonts w:hint="eastAsia" w:ascii="宋体" w:hAnsi="宋体"/>
                <w:b/>
                <w:bCs/>
                <w:color w:val="auto"/>
                <w:szCs w:val="21"/>
                <w:highlight w:val="none"/>
              </w:rPr>
              <w:t>）工程隐蔽部位覆盖前的检查</w:t>
            </w:r>
          </w:p>
        </w:tc>
        <w:tc>
          <w:tcPr>
            <w:tcW w:w="6705" w:type="dxa"/>
            <w:gridSpan w:val="3"/>
            <w:tcBorders>
              <w:top w:val="single" w:color="auto" w:sz="4" w:space="0"/>
              <w:left w:val="single" w:color="auto" w:sz="4" w:space="0"/>
              <w:bottom w:val="single" w:color="auto" w:sz="4" w:space="0"/>
              <w:right w:val="single" w:color="auto" w:sz="4" w:space="0"/>
            </w:tcBorders>
            <w:vAlign w:val="center"/>
          </w:tcPr>
          <w:p w14:paraId="4DA1E99A">
            <w:pPr>
              <w:spacing w:line="400" w:lineRule="exact"/>
              <w:jc w:val="left"/>
              <w:rPr>
                <w:rFonts w:hint="eastAsia" w:ascii="宋体" w:hAnsi="宋体"/>
                <w:b/>
                <w:bCs/>
                <w:color w:val="auto"/>
                <w:szCs w:val="21"/>
                <w:highlight w:val="none"/>
              </w:rPr>
            </w:pPr>
            <w:r>
              <w:rPr>
                <w:rFonts w:hint="eastAsia" w:ascii="宋体" w:hAnsi="宋体"/>
                <w:b/>
                <w:bCs/>
                <w:color w:val="auto"/>
                <w:szCs w:val="21"/>
                <w:highlight w:val="none"/>
              </w:rPr>
              <w:t xml:space="preserve">任何部位的工程需要隐蔽覆盖或隐蔽前，均应提前24小时通知采购人进行中间验收并拍照，未经采购人批准，均不得隐蔽验收工作。  </w:t>
            </w:r>
          </w:p>
        </w:tc>
      </w:tr>
      <w:tr w14:paraId="4255DB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tcBorders>
              <w:top w:val="single" w:color="auto" w:sz="4" w:space="0"/>
              <w:left w:val="single" w:color="auto" w:sz="4" w:space="0"/>
              <w:bottom w:val="single" w:color="auto" w:sz="4" w:space="0"/>
              <w:right w:val="single" w:color="auto" w:sz="4" w:space="0"/>
            </w:tcBorders>
            <w:vAlign w:val="center"/>
          </w:tcPr>
          <w:p w14:paraId="22AD221F">
            <w:pPr>
              <w:spacing w:line="400" w:lineRule="exact"/>
              <w:jc w:val="center"/>
              <w:rPr>
                <w:rFonts w:hint="eastAsia" w:ascii="宋体" w:hAnsi="宋体"/>
                <w:b/>
                <w:bCs/>
                <w:color w:val="auto"/>
                <w:szCs w:val="21"/>
                <w:highlight w:val="none"/>
              </w:rPr>
            </w:pPr>
            <w:r>
              <w:rPr>
                <w:rFonts w:hint="eastAsia" w:ascii="宋体" w:hAnsi="宋体"/>
                <w:b/>
                <w:bCs/>
                <w:color w:val="auto"/>
                <w:szCs w:val="21"/>
                <w:highlight w:val="none"/>
              </w:rPr>
              <w:t>（</w:t>
            </w:r>
            <w:r>
              <w:rPr>
                <w:rFonts w:hint="eastAsia" w:ascii="宋体" w:hAnsi="宋体"/>
                <w:b/>
                <w:bCs/>
                <w:color w:val="auto"/>
                <w:szCs w:val="21"/>
                <w:highlight w:val="none"/>
                <w:lang w:val="en-US" w:eastAsia="zh-CN"/>
              </w:rPr>
              <w:t>八</w:t>
            </w:r>
            <w:r>
              <w:rPr>
                <w:rFonts w:hint="eastAsia" w:ascii="宋体" w:hAnsi="宋体"/>
                <w:b/>
                <w:bCs/>
                <w:color w:val="auto"/>
                <w:szCs w:val="21"/>
                <w:highlight w:val="none"/>
              </w:rPr>
              <w:t>）验收标准</w:t>
            </w:r>
          </w:p>
        </w:tc>
        <w:tc>
          <w:tcPr>
            <w:tcW w:w="6705" w:type="dxa"/>
            <w:gridSpan w:val="3"/>
            <w:tcBorders>
              <w:top w:val="single" w:color="auto" w:sz="4" w:space="0"/>
              <w:left w:val="single" w:color="auto" w:sz="4" w:space="0"/>
              <w:bottom w:val="single" w:color="auto" w:sz="4" w:space="0"/>
              <w:right w:val="single" w:color="auto" w:sz="4" w:space="0"/>
            </w:tcBorders>
            <w:vAlign w:val="center"/>
          </w:tcPr>
          <w:p w14:paraId="6702C8EA">
            <w:pPr>
              <w:spacing w:line="400" w:lineRule="exact"/>
              <w:jc w:val="left"/>
              <w:rPr>
                <w:rFonts w:hint="eastAsia" w:ascii="宋体" w:hAnsi="宋体"/>
                <w:b/>
                <w:bCs/>
                <w:color w:val="auto"/>
                <w:szCs w:val="21"/>
                <w:highlight w:val="none"/>
              </w:rPr>
            </w:pPr>
            <w:r>
              <w:rPr>
                <w:rFonts w:hint="eastAsia" w:ascii="宋体" w:hAnsi="宋体"/>
                <w:b/>
                <w:bCs/>
                <w:color w:val="auto"/>
                <w:szCs w:val="21"/>
                <w:highlight w:val="none"/>
              </w:rPr>
              <w:t>1</w:t>
            </w:r>
            <w:r>
              <w:rPr>
                <w:rFonts w:ascii="宋体" w:hAnsi="宋体"/>
                <w:b/>
                <w:bCs/>
                <w:color w:val="auto"/>
                <w:szCs w:val="21"/>
                <w:highlight w:val="none"/>
              </w:rPr>
              <w:t>.</w:t>
            </w:r>
            <w:r>
              <w:rPr>
                <w:rFonts w:hint="eastAsia" w:ascii="宋体" w:hAnsi="宋体"/>
                <w:b/>
                <w:bCs/>
                <w:color w:val="auto"/>
                <w:szCs w:val="21"/>
                <w:highlight w:val="none"/>
              </w:rPr>
              <w:t>按照竞争性磋商文件要求及响应文件承诺进行验收，施工达到现行国家施工验收规范合格标准。</w:t>
            </w:r>
          </w:p>
          <w:p w14:paraId="70E2A80D">
            <w:pPr>
              <w:spacing w:line="400" w:lineRule="exact"/>
              <w:jc w:val="left"/>
              <w:rPr>
                <w:rFonts w:hint="eastAsia" w:ascii="宋体" w:hAnsi="宋体"/>
                <w:b/>
                <w:bCs/>
                <w:color w:val="auto"/>
                <w:szCs w:val="21"/>
                <w:highlight w:val="none"/>
              </w:rPr>
            </w:pPr>
            <w:r>
              <w:rPr>
                <w:rFonts w:hint="eastAsia" w:ascii="宋体" w:hAnsi="宋体"/>
                <w:b/>
                <w:bCs/>
                <w:color w:val="auto"/>
                <w:szCs w:val="21"/>
                <w:highlight w:val="none"/>
              </w:rPr>
              <w:t>2</w:t>
            </w:r>
            <w:r>
              <w:rPr>
                <w:rFonts w:ascii="宋体" w:hAnsi="宋体"/>
                <w:b/>
                <w:bCs/>
                <w:color w:val="auto"/>
                <w:szCs w:val="21"/>
                <w:highlight w:val="none"/>
              </w:rPr>
              <w:t>.</w:t>
            </w:r>
            <w:r>
              <w:rPr>
                <w:rFonts w:hint="eastAsia" w:ascii="宋体" w:hAnsi="宋体"/>
                <w:b/>
                <w:bCs/>
                <w:color w:val="auto"/>
                <w:szCs w:val="21"/>
                <w:highlight w:val="none"/>
              </w:rPr>
              <w:t>本项目如有国家相关标准、行业标准、地方标准或者其他标准、规范的，应执行相应的标准、规范。如具体采购需求与标准、规范不一致的，高于标准、规范的按具体采购需求执行，低于标准、规范的按标准、规范执行。</w:t>
            </w:r>
          </w:p>
        </w:tc>
      </w:tr>
      <w:tr w14:paraId="1691F2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tcBorders>
              <w:top w:val="single" w:color="auto" w:sz="4" w:space="0"/>
              <w:left w:val="single" w:color="auto" w:sz="4" w:space="0"/>
              <w:bottom w:val="single" w:color="auto" w:sz="4" w:space="0"/>
              <w:right w:val="single" w:color="auto" w:sz="4" w:space="0"/>
            </w:tcBorders>
            <w:vAlign w:val="center"/>
          </w:tcPr>
          <w:p w14:paraId="72E21D62">
            <w:pPr>
              <w:spacing w:line="400" w:lineRule="exact"/>
              <w:jc w:val="center"/>
              <w:rPr>
                <w:rFonts w:hint="eastAsia" w:ascii="宋体" w:hAnsi="宋体"/>
                <w:b/>
                <w:bCs/>
                <w:color w:val="auto"/>
                <w:szCs w:val="21"/>
                <w:highlight w:val="none"/>
              </w:rPr>
            </w:pPr>
            <w:r>
              <w:rPr>
                <w:rFonts w:hint="eastAsia" w:ascii="宋体" w:hAnsi="宋体"/>
                <w:b/>
                <w:bCs/>
                <w:color w:val="auto"/>
                <w:szCs w:val="21"/>
                <w:highlight w:val="none"/>
              </w:rPr>
              <w:t>（</w:t>
            </w:r>
            <w:r>
              <w:rPr>
                <w:rFonts w:hint="eastAsia" w:ascii="宋体" w:hAnsi="宋体"/>
                <w:b/>
                <w:bCs/>
                <w:color w:val="auto"/>
                <w:szCs w:val="21"/>
                <w:highlight w:val="none"/>
                <w:lang w:val="en-US" w:eastAsia="zh-CN"/>
              </w:rPr>
              <w:t>九</w:t>
            </w:r>
            <w:r>
              <w:rPr>
                <w:rFonts w:hint="eastAsia" w:ascii="宋体" w:hAnsi="宋体"/>
                <w:b/>
                <w:bCs/>
                <w:color w:val="auto"/>
                <w:szCs w:val="21"/>
                <w:highlight w:val="none"/>
              </w:rPr>
              <w:t>）其他商务要求</w:t>
            </w:r>
          </w:p>
        </w:tc>
        <w:tc>
          <w:tcPr>
            <w:tcW w:w="6705" w:type="dxa"/>
            <w:gridSpan w:val="3"/>
            <w:tcBorders>
              <w:top w:val="single" w:color="auto" w:sz="4" w:space="0"/>
              <w:left w:val="single" w:color="auto" w:sz="4" w:space="0"/>
              <w:bottom w:val="single" w:color="auto" w:sz="4" w:space="0"/>
              <w:right w:val="single" w:color="auto" w:sz="4" w:space="0"/>
            </w:tcBorders>
            <w:vAlign w:val="center"/>
          </w:tcPr>
          <w:p w14:paraId="7938EC4F">
            <w:pPr>
              <w:spacing w:line="400" w:lineRule="exact"/>
              <w:jc w:val="left"/>
              <w:rPr>
                <w:rFonts w:hint="eastAsia" w:ascii="宋体" w:hAnsi="宋体" w:eastAsia="宋体"/>
                <w:b/>
                <w:bCs/>
                <w:color w:val="auto"/>
                <w:szCs w:val="21"/>
                <w:highlight w:val="none"/>
                <w:lang w:eastAsia="zh-CN"/>
              </w:rPr>
            </w:pPr>
            <w:r>
              <w:rPr>
                <w:rFonts w:hint="eastAsia" w:ascii="宋体" w:hAnsi="宋体"/>
                <w:b/>
                <w:bCs/>
                <w:color w:val="auto"/>
                <w:szCs w:val="21"/>
                <w:highlight w:val="none"/>
              </w:rPr>
              <w:t>1.供应商须注明所竞本项目“招标工程量清单”</w:t>
            </w:r>
            <w:r>
              <w:rPr>
                <w:rFonts w:hint="eastAsia" w:ascii="宋体" w:hAnsi="宋体"/>
                <w:b/>
                <w:bCs/>
                <w:color w:val="auto"/>
                <w:szCs w:val="21"/>
                <w:highlight w:val="none"/>
                <w:lang w:eastAsia="zh-CN"/>
              </w:rPr>
              <w:t>“分部分项工程和单价措施项目费用表（表-08）”序号第</w:t>
            </w:r>
            <w:r>
              <w:rPr>
                <w:rFonts w:hint="eastAsia" w:ascii="宋体" w:hAnsi="宋体"/>
                <w:b/>
                <w:bCs/>
                <w:color w:val="auto"/>
                <w:szCs w:val="21"/>
                <w:highlight w:val="none"/>
                <w:lang w:val="en-US" w:eastAsia="zh-CN"/>
              </w:rPr>
              <w:t xml:space="preserve"> 6、7、8、14~18、58、59、60、64~68、74~81、108~110、114、115号所涉及的电缆、电线、线槽、桥架、断路器</w:t>
            </w:r>
            <w:r>
              <w:rPr>
                <w:rFonts w:hint="eastAsia" w:ascii="宋体" w:hAnsi="宋体"/>
                <w:b/>
                <w:bCs/>
                <w:color w:val="auto"/>
                <w:szCs w:val="21"/>
                <w:highlight w:val="none"/>
              </w:rPr>
              <w:t>设备相应的品牌及型号</w:t>
            </w:r>
            <w:r>
              <w:rPr>
                <w:rFonts w:hint="eastAsia" w:ascii="宋体" w:hAnsi="宋体"/>
                <w:b/>
                <w:bCs/>
                <w:color w:val="auto"/>
                <w:szCs w:val="21"/>
                <w:highlight w:val="none"/>
                <w:lang w:eastAsia="zh-CN"/>
              </w:rPr>
              <w:t>（格式见</w:t>
            </w:r>
            <w:r>
              <w:rPr>
                <w:rFonts w:hint="eastAsia" w:ascii="宋体" w:hAnsi="宋体"/>
                <w:b/>
                <w:bCs/>
                <w:color w:val="auto"/>
                <w:szCs w:val="21"/>
                <w:highlight w:val="none"/>
              </w:rPr>
              <w:t>第六章</w:t>
            </w:r>
            <w:r>
              <w:rPr>
                <w:rFonts w:hint="eastAsia" w:ascii="宋体" w:hAnsi="宋体"/>
                <w:b/>
                <w:bCs/>
                <w:color w:val="auto"/>
                <w:szCs w:val="21"/>
                <w:highlight w:val="none"/>
                <w:lang w:eastAsia="zh-CN"/>
              </w:rPr>
              <w:t>“</w:t>
            </w:r>
            <w:r>
              <w:rPr>
                <w:rFonts w:hint="eastAsia" w:ascii="宋体" w:hAnsi="宋体"/>
                <w:b/>
                <w:bCs/>
                <w:color w:val="auto"/>
                <w:szCs w:val="21"/>
                <w:highlight w:val="none"/>
              </w:rPr>
              <w:t>响应文件格式</w:t>
            </w:r>
            <w:r>
              <w:rPr>
                <w:rFonts w:hint="eastAsia" w:ascii="宋体" w:hAnsi="宋体"/>
                <w:b/>
                <w:bCs/>
                <w:color w:val="auto"/>
                <w:szCs w:val="21"/>
                <w:highlight w:val="none"/>
                <w:lang w:eastAsia="zh-CN"/>
              </w:rPr>
              <w:t>”“设备品牌型号表”）</w:t>
            </w:r>
            <w:r>
              <w:rPr>
                <w:rFonts w:hint="eastAsia" w:ascii="宋体" w:hAnsi="宋体"/>
                <w:b/>
                <w:bCs/>
                <w:color w:val="auto"/>
                <w:szCs w:val="21"/>
                <w:highlight w:val="none"/>
              </w:rPr>
              <w:t>，否则响应文件按无效处理</w:t>
            </w:r>
            <w:r>
              <w:rPr>
                <w:rFonts w:hint="eastAsia" w:ascii="宋体" w:hAnsi="宋体"/>
                <w:b/>
                <w:bCs/>
                <w:color w:val="auto"/>
                <w:szCs w:val="21"/>
                <w:highlight w:val="none"/>
                <w:lang w:eastAsia="zh-CN"/>
              </w:rPr>
              <w:t>。</w:t>
            </w:r>
          </w:p>
          <w:p w14:paraId="46C6A1DB">
            <w:pPr>
              <w:spacing w:line="400" w:lineRule="exact"/>
              <w:jc w:val="left"/>
              <w:rPr>
                <w:rFonts w:hint="eastAsia" w:ascii="宋体" w:hAnsi="宋体"/>
                <w:b/>
                <w:bCs/>
                <w:color w:val="auto"/>
                <w:szCs w:val="21"/>
                <w:highlight w:val="none"/>
                <w:lang w:val="en-US" w:eastAsia="zh-CN"/>
              </w:rPr>
            </w:pPr>
            <w:r>
              <w:rPr>
                <w:rFonts w:hint="eastAsia" w:ascii="宋体" w:hAnsi="宋体"/>
                <w:b/>
                <w:bCs/>
                <w:color w:val="auto"/>
                <w:szCs w:val="21"/>
                <w:highlight w:val="none"/>
                <w:lang w:val="en-US" w:eastAsia="zh-CN"/>
              </w:rPr>
              <w:t>2.除采购人原因及不可抗力原因外，成交供应商不得停工或延长工期。每停工1天或工期每延长1天的，成交供应商须向采购人支付合同金额的0.2%的违约金，最多不超过合同金额的1%。施工工期延长累计达7天以上（含7天）的，视为恶意拖延工期，采购人有权终止合同，所造成的一切损失由成交供应商承担。</w:t>
            </w:r>
          </w:p>
          <w:p w14:paraId="5C588118">
            <w:pPr>
              <w:spacing w:line="400" w:lineRule="exact"/>
              <w:jc w:val="left"/>
              <w:rPr>
                <w:color w:val="auto"/>
                <w:highlight w:val="none"/>
              </w:rPr>
            </w:pPr>
            <w:r>
              <w:rPr>
                <w:rFonts w:hint="eastAsia" w:ascii="宋体" w:hAnsi="宋体" w:cs="宋体"/>
                <w:b/>
                <w:bCs/>
                <w:color w:val="auto"/>
                <w:szCs w:val="21"/>
                <w:highlight w:val="none"/>
                <w:lang w:val="en-US" w:eastAsia="zh-CN"/>
              </w:rPr>
              <w:t>3.清场程序：若成交供应商因施工工期延长导致合同终止的，成交供应商应于合同终止之日起10个工作日内进行清场，并将工程施工现场恢复至原未施工的状态，否则，成交供应商须退回采购人已支付的所有工程款项，并向采购人支付合同金额10%违约金。</w:t>
            </w:r>
          </w:p>
        </w:tc>
      </w:tr>
      <w:tr w14:paraId="56A7FF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05" w:type="dxa"/>
            <w:gridSpan w:val="4"/>
            <w:tcBorders>
              <w:top w:val="single" w:color="auto" w:sz="4" w:space="0"/>
              <w:left w:val="single" w:color="auto" w:sz="4" w:space="0"/>
              <w:bottom w:val="single" w:color="auto" w:sz="4" w:space="0"/>
              <w:right w:val="single" w:color="auto" w:sz="4" w:space="0"/>
            </w:tcBorders>
            <w:vAlign w:val="center"/>
          </w:tcPr>
          <w:p w14:paraId="78119C59">
            <w:pPr>
              <w:spacing w:line="360" w:lineRule="auto"/>
              <w:rPr>
                <w:rFonts w:hint="eastAsia" w:ascii="宋体" w:hAnsi="宋体"/>
                <w:color w:val="auto"/>
                <w:szCs w:val="21"/>
                <w:highlight w:val="none"/>
              </w:rPr>
            </w:pPr>
            <w:r>
              <w:rPr>
                <w:rFonts w:hint="eastAsia" w:ascii="宋体" w:hAnsi="宋体"/>
                <w:b/>
                <w:bCs/>
                <w:color w:val="auto"/>
                <w:szCs w:val="21"/>
                <w:highlight w:val="none"/>
              </w:rPr>
              <w:t>三、与实现项目目标相关的其他要求</w:t>
            </w:r>
          </w:p>
        </w:tc>
      </w:tr>
      <w:tr w14:paraId="742D68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05" w:type="dxa"/>
            <w:gridSpan w:val="4"/>
            <w:tcBorders>
              <w:top w:val="single" w:color="auto" w:sz="4" w:space="0"/>
              <w:left w:val="single" w:color="auto" w:sz="4" w:space="0"/>
              <w:bottom w:val="single" w:color="auto" w:sz="4" w:space="0"/>
              <w:right w:val="single" w:color="auto" w:sz="4" w:space="0"/>
            </w:tcBorders>
            <w:vAlign w:val="center"/>
          </w:tcPr>
          <w:p w14:paraId="78F0AB3E">
            <w:pPr>
              <w:tabs>
                <w:tab w:val="left" w:pos="180"/>
                <w:tab w:val="left" w:pos="1620"/>
              </w:tabs>
              <w:spacing w:line="360" w:lineRule="exact"/>
              <w:rPr>
                <w:rFonts w:hint="eastAsia" w:cs="宋体" w:asciiTheme="majorEastAsia" w:hAnsiTheme="majorEastAsia" w:eastAsiaTheme="majorEastAsia"/>
                <w:color w:val="auto"/>
                <w:szCs w:val="21"/>
                <w:highlight w:val="none"/>
              </w:rPr>
            </w:pPr>
            <w:r>
              <w:rPr>
                <w:rFonts w:hint="eastAsia" w:cs="宋体" w:asciiTheme="majorEastAsia" w:hAnsiTheme="majorEastAsia" w:eastAsiaTheme="majorEastAsia"/>
                <w:color w:val="auto"/>
                <w:szCs w:val="21"/>
                <w:highlight w:val="none"/>
              </w:rPr>
              <w:t>（</w:t>
            </w:r>
            <w:r>
              <w:rPr>
                <w:rFonts w:hint="eastAsia" w:cs="宋体" w:asciiTheme="majorEastAsia" w:hAnsiTheme="majorEastAsia" w:eastAsiaTheme="majorEastAsia"/>
                <w:color w:val="auto"/>
                <w:szCs w:val="21"/>
                <w:highlight w:val="none"/>
                <w:lang w:eastAsia="zh-CN"/>
              </w:rPr>
              <w:t>一</w:t>
            </w:r>
            <w:r>
              <w:rPr>
                <w:rFonts w:hint="eastAsia" w:cs="宋体" w:asciiTheme="majorEastAsia" w:hAnsiTheme="majorEastAsia" w:eastAsiaTheme="majorEastAsia"/>
                <w:color w:val="auto"/>
                <w:szCs w:val="21"/>
                <w:highlight w:val="none"/>
              </w:rPr>
              <w:t>）施工组织设计要求</w:t>
            </w:r>
          </w:p>
          <w:p w14:paraId="43E672DE">
            <w:pPr>
              <w:tabs>
                <w:tab w:val="left" w:pos="180"/>
                <w:tab w:val="left" w:pos="1620"/>
              </w:tabs>
              <w:spacing w:line="360" w:lineRule="exact"/>
              <w:rPr>
                <w:rFonts w:hint="eastAsia" w:cs="宋体" w:asciiTheme="majorEastAsia" w:hAnsiTheme="majorEastAsia" w:eastAsiaTheme="majorEastAsia"/>
                <w:color w:val="auto"/>
                <w:szCs w:val="21"/>
                <w:highlight w:val="none"/>
              </w:rPr>
            </w:pPr>
            <w:r>
              <w:rPr>
                <w:rFonts w:hint="eastAsia" w:cs="宋体" w:asciiTheme="majorEastAsia" w:hAnsiTheme="majorEastAsia" w:eastAsiaTheme="majorEastAsia"/>
                <w:color w:val="auto"/>
                <w:szCs w:val="21"/>
                <w:highlight w:val="none"/>
              </w:rPr>
              <w:t xml:space="preserve">   供应商根据图纸、工程量清单，于响应文件中提供施工组织设计（包含但不限于以下内容：</w:t>
            </w:r>
            <w:r>
              <w:rPr>
                <w:rFonts w:hint="eastAsia" w:ascii="宋体" w:hAnsi="宋体" w:cs="宋体"/>
                <w:color w:val="auto"/>
                <w:szCs w:val="21"/>
                <w:highlight w:val="none"/>
              </w:rPr>
              <w:t>①</w:t>
            </w:r>
            <w:r>
              <w:rPr>
                <w:rFonts w:hint="eastAsia" w:cs="宋体" w:asciiTheme="majorEastAsia" w:hAnsiTheme="majorEastAsia" w:eastAsiaTheme="majorEastAsia"/>
                <w:color w:val="auto"/>
                <w:spacing w:val="-2"/>
                <w:highlight w:val="none"/>
              </w:rPr>
              <w:t>主要</w:t>
            </w:r>
            <w:r>
              <w:rPr>
                <w:rFonts w:hint="eastAsia" w:cs="宋体" w:asciiTheme="majorEastAsia" w:hAnsiTheme="majorEastAsia" w:eastAsiaTheme="majorEastAsia"/>
                <w:color w:val="auto"/>
                <w:spacing w:val="-1"/>
                <w:highlight w:val="none"/>
              </w:rPr>
              <w:t>施工方</w:t>
            </w:r>
            <w:r>
              <w:rPr>
                <w:rFonts w:hint="eastAsia" w:cs="宋体" w:asciiTheme="majorEastAsia" w:hAnsiTheme="majorEastAsia" w:eastAsiaTheme="majorEastAsia"/>
                <w:color w:val="auto"/>
                <w:spacing w:val="7"/>
                <w:highlight w:val="none"/>
              </w:rPr>
              <w:t>法</w:t>
            </w:r>
            <w:r>
              <w:rPr>
                <w:rFonts w:hint="eastAsia" w:ascii="宋体" w:hAnsi="宋体" w:cs="宋体"/>
                <w:color w:val="auto"/>
                <w:szCs w:val="21"/>
                <w:highlight w:val="none"/>
              </w:rPr>
              <w:t>；②</w:t>
            </w:r>
            <w:r>
              <w:rPr>
                <w:rFonts w:hint="eastAsia" w:asciiTheme="majorEastAsia" w:hAnsiTheme="majorEastAsia" w:eastAsiaTheme="majorEastAsia"/>
                <w:bCs/>
                <w:color w:val="auto"/>
                <w:kern w:val="0"/>
                <w:highlight w:val="none"/>
              </w:rPr>
              <w:t>拟投入的主要物资计划</w:t>
            </w:r>
            <w:r>
              <w:rPr>
                <w:rFonts w:hint="eastAsia" w:ascii="宋体" w:hAnsi="宋体" w:cs="宋体"/>
                <w:color w:val="auto"/>
                <w:szCs w:val="21"/>
                <w:highlight w:val="none"/>
              </w:rPr>
              <w:t>；③</w:t>
            </w:r>
            <w:r>
              <w:rPr>
                <w:rFonts w:hint="eastAsia" w:cs="宋体" w:asciiTheme="majorEastAsia" w:hAnsiTheme="majorEastAsia" w:eastAsiaTheme="majorEastAsia"/>
                <w:color w:val="auto"/>
                <w:spacing w:val="-2"/>
                <w:highlight w:val="none"/>
              </w:rPr>
              <w:t>劳动力安排</w:t>
            </w:r>
            <w:r>
              <w:rPr>
                <w:rFonts w:hint="eastAsia" w:cs="宋体" w:asciiTheme="majorEastAsia" w:hAnsiTheme="majorEastAsia" w:eastAsiaTheme="majorEastAsia"/>
                <w:color w:val="auto"/>
                <w:spacing w:val="5"/>
                <w:highlight w:val="none"/>
              </w:rPr>
              <w:t>计划</w:t>
            </w:r>
            <w:r>
              <w:rPr>
                <w:rFonts w:hint="eastAsia" w:ascii="宋体" w:hAnsi="宋体" w:cs="宋体"/>
                <w:color w:val="auto"/>
                <w:szCs w:val="21"/>
                <w:highlight w:val="none"/>
              </w:rPr>
              <w:t>；④</w:t>
            </w:r>
            <w:r>
              <w:rPr>
                <w:rFonts w:hint="eastAsia" w:cs="宋体" w:asciiTheme="majorEastAsia" w:hAnsiTheme="majorEastAsia" w:eastAsiaTheme="majorEastAsia"/>
                <w:color w:val="auto"/>
                <w:spacing w:val="-1"/>
                <w:highlight w:val="none"/>
              </w:rPr>
              <w:t>确保工程质量的技术组</w:t>
            </w:r>
            <w:r>
              <w:rPr>
                <w:rFonts w:hint="eastAsia" w:cs="宋体" w:asciiTheme="majorEastAsia" w:hAnsiTheme="majorEastAsia" w:eastAsiaTheme="majorEastAsia"/>
                <w:color w:val="auto"/>
                <w:spacing w:val="15"/>
                <w:highlight w:val="none"/>
              </w:rPr>
              <w:t>织</w:t>
            </w:r>
            <w:r>
              <w:rPr>
                <w:rFonts w:hint="eastAsia" w:cs="宋体" w:asciiTheme="majorEastAsia" w:hAnsiTheme="majorEastAsia" w:eastAsiaTheme="majorEastAsia"/>
                <w:color w:val="auto"/>
                <w:spacing w:val="14"/>
                <w:highlight w:val="none"/>
              </w:rPr>
              <w:t>措施</w:t>
            </w:r>
            <w:r>
              <w:rPr>
                <w:rFonts w:hint="eastAsia" w:ascii="宋体" w:hAnsi="宋体" w:cs="宋体"/>
                <w:color w:val="auto"/>
                <w:szCs w:val="21"/>
                <w:highlight w:val="none"/>
              </w:rPr>
              <w:t>；⑤</w:t>
            </w:r>
            <w:r>
              <w:rPr>
                <w:rFonts w:hint="eastAsia" w:cs="宋体" w:asciiTheme="majorEastAsia" w:hAnsiTheme="majorEastAsia" w:eastAsiaTheme="majorEastAsia"/>
                <w:color w:val="auto"/>
                <w:spacing w:val="-1"/>
                <w:highlight w:val="none"/>
              </w:rPr>
              <w:t>确保安全生产的技术组</w:t>
            </w:r>
            <w:r>
              <w:rPr>
                <w:rFonts w:hint="eastAsia" w:cs="宋体" w:asciiTheme="majorEastAsia" w:hAnsiTheme="majorEastAsia" w:eastAsiaTheme="majorEastAsia"/>
                <w:color w:val="auto"/>
                <w:spacing w:val="15"/>
                <w:highlight w:val="none"/>
              </w:rPr>
              <w:t>织</w:t>
            </w:r>
            <w:r>
              <w:rPr>
                <w:rFonts w:hint="eastAsia" w:cs="宋体" w:asciiTheme="majorEastAsia" w:hAnsiTheme="majorEastAsia" w:eastAsiaTheme="majorEastAsia"/>
                <w:color w:val="auto"/>
                <w:spacing w:val="14"/>
                <w:highlight w:val="none"/>
              </w:rPr>
              <w:t>措施</w:t>
            </w:r>
            <w:r>
              <w:rPr>
                <w:rFonts w:hint="eastAsia" w:ascii="宋体" w:hAnsi="宋体" w:cs="宋体"/>
                <w:color w:val="auto"/>
                <w:szCs w:val="21"/>
                <w:highlight w:val="none"/>
              </w:rPr>
              <w:t>；⑥</w:t>
            </w:r>
            <w:r>
              <w:rPr>
                <w:rFonts w:hint="eastAsia" w:cs="宋体" w:asciiTheme="majorEastAsia" w:hAnsiTheme="majorEastAsia" w:eastAsiaTheme="majorEastAsia"/>
                <w:color w:val="auto"/>
                <w:spacing w:val="-1"/>
                <w:highlight w:val="none"/>
              </w:rPr>
              <w:t>确保工期的技术组织</w:t>
            </w:r>
            <w:r>
              <w:rPr>
                <w:rFonts w:hint="eastAsia" w:cs="宋体" w:asciiTheme="majorEastAsia" w:hAnsiTheme="majorEastAsia" w:eastAsiaTheme="majorEastAsia"/>
                <w:color w:val="auto"/>
                <w:highlight w:val="none"/>
              </w:rPr>
              <w:t>措</w:t>
            </w:r>
            <w:r>
              <w:rPr>
                <w:rFonts w:hint="eastAsia" w:cs="宋体" w:asciiTheme="majorEastAsia" w:hAnsiTheme="majorEastAsia" w:eastAsiaTheme="majorEastAsia"/>
                <w:color w:val="auto"/>
                <w:spacing w:val="7"/>
                <w:highlight w:val="none"/>
              </w:rPr>
              <w:t>施</w:t>
            </w:r>
            <w:r>
              <w:rPr>
                <w:rFonts w:hint="eastAsia" w:ascii="宋体" w:hAnsi="宋体" w:cs="宋体"/>
                <w:color w:val="auto"/>
                <w:szCs w:val="21"/>
                <w:highlight w:val="none"/>
              </w:rPr>
              <w:t>；⑦</w:t>
            </w:r>
            <w:r>
              <w:rPr>
                <w:rFonts w:hint="eastAsia" w:cs="宋体" w:asciiTheme="minorEastAsia" w:hAnsiTheme="minorEastAsia" w:eastAsiaTheme="minorEastAsia"/>
                <w:bCs/>
                <w:color w:val="auto"/>
                <w:szCs w:val="21"/>
                <w:highlight w:val="none"/>
              </w:rPr>
              <w:t>关键施工技术、工艺及工程实施的重点、难点和解决方案</w:t>
            </w:r>
            <w:r>
              <w:rPr>
                <w:rFonts w:hint="eastAsia" w:ascii="宋体" w:hAnsi="宋体" w:cs="宋体"/>
                <w:color w:val="auto"/>
                <w:szCs w:val="21"/>
                <w:highlight w:val="none"/>
              </w:rPr>
              <w:t>；⑧</w:t>
            </w:r>
            <w:r>
              <w:rPr>
                <w:rFonts w:hint="eastAsia" w:cs="宋体" w:asciiTheme="minorEastAsia" w:hAnsiTheme="minorEastAsia" w:eastAsiaTheme="minorEastAsia"/>
                <w:bCs/>
                <w:color w:val="auto"/>
                <w:szCs w:val="21"/>
                <w:highlight w:val="none"/>
              </w:rPr>
              <w:t>施工平面布置和临时设施布置</w:t>
            </w:r>
            <w:r>
              <w:rPr>
                <w:rFonts w:hint="eastAsia" w:ascii="宋体" w:hAnsi="宋体" w:cs="宋体"/>
                <w:color w:val="auto"/>
                <w:highlight w:val="none"/>
              </w:rPr>
              <w:t>；⑨</w:t>
            </w:r>
            <w:r>
              <w:rPr>
                <w:rFonts w:hint="eastAsia" w:cs="宋体" w:asciiTheme="minorEastAsia" w:hAnsiTheme="minorEastAsia" w:eastAsiaTheme="minorEastAsia"/>
                <w:bCs/>
                <w:color w:val="auto"/>
                <w:szCs w:val="21"/>
                <w:highlight w:val="none"/>
              </w:rPr>
              <w:t>主要设备</w:t>
            </w:r>
            <w:r>
              <w:rPr>
                <w:rFonts w:hint="eastAsia" w:cs="宋体" w:asciiTheme="minorEastAsia" w:hAnsiTheme="minorEastAsia" w:eastAsiaTheme="minorEastAsia"/>
                <w:bCs/>
                <w:color w:val="auto"/>
                <w:szCs w:val="21"/>
                <w:highlight w:val="none"/>
                <w:lang w:val="en-US" w:eastAsia="zh-CN"/>
              </w:rPr>
              <w:t>质保期</w:t>
            </w:r>
            <w:r>
              <w:rPr>
                <w:rFonts w:hint="eastAsia" w:cs="宋体" w:asciiTheme="minorEastAsia" w:hAnsiTheme="minorEastAsia" w:eastAsiaTheme="minorEastAsia"/>
                <w:bCs/>
                <w:color w:val="auto"/>
                <w:szCs w:val="21"/>
                <w:highlight w:val="none"/>
              </w:rPr>
              <w:t>延长</w:t>
            </w:r>
            <w:r>
              <w:rPr>
                <w:rFonts w:hint="eastAsia" w:cs="宋体" w:asciiTheme="majorEastAsia" w:hAnsiTheme="majorEastAsia" w:eastAsiaTheme="majorEastAsia"/>
                <w:color w:val="auto"/>
                <w:szCs w:val="21"/>
                <w:highlight w:val="none"/>
              </w:rPr>
              <w:t>）。</w:t>
            </w:r>
          </w:p>
          <w:p w14:paraId="7AD18689">
            <w:pPr>
              <w:tabs>
                <w:tab w:val="left" w:pos="180"/>
                <w:tab w:val="left" w:pos="1620"/>
              </w:tabs>
              <w:spacing w:line="360" w:lineRule="exact"/>
              <w:rPr>
                <w:rFonts w:hint="eastAsia" w:cs="宋体" w:asciiTheme="majorEastAsia" w:hAnsiTheme="majorEastAsia" w:eastAsiaTheme="majorEastAsia"/>
                <w:color w:val="auto"/>
                <w:szCs w:val="21"/>
                <w:highlight w:val="none"/>
              </w:rPr>
            </w:pPr>
            <w:r>
              <w:rPr>
                <w:rFonts w:hint="eastAsia" w:cs="宋体" w:asciiTheme="majorEastAsia" w:hAnsiTheme="majorEastAsia" w:eastAsiaTheme="majorEastAsia"/>
                <w:color w:val="auto"/>
                <w:szCs w:val="21"/>
                <w:highlight w:val="none"/>
              </w:rPr>
              <w:t>（</w:t>
            </w:r>
            <w:r>
              <w:rPr>
                <w:rFonts w:hint="eastAsia" w:cs="宋体" w:asciiTheme="majorEastAsia" w:hAnsiTheme="majorEastAsia" w:eastAsiaTheme="majorEastAsia"/>
                <w:color w:val="auto"/>
                <w:szCs w:val="21"/>
                <w:highlight w:val="none"/>
                <w:lang w:eastAsia="zh-CN"/>
              </w:rPr>
              <w:t>二</w:t>
            </w:r>
            <w:r>
              <w:rPr>
                <w:rFonts w:hint="eastAsia" w:cs="宋体" w:asciiTheme="majorEastAsia" w:hAnsiTheme="majorEastAsia" w:eastAsiaTheme="majorEastAsia"/>
                <w:color w:val="auto"/>
                <w:szCs w:val="21"/>
                <w:highlight w:val="none"/>
              </w:rPr>
              <w:t>）履约要求</w:t>
            </w:r>
          </w:p>
          <w:p w14:paraId="53233872">
            <w:pPr>
              <w:tabs>
                <w:tab w:val="left" w:pos="180"/>
                <w:tab w:val="left" w:pos="1620"/>
              </w:tabs>
              <w:spacing w:line="360" w:lineRule="exact"/>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kern w:val="0"/>
                <w:szCs w:val="21"/>
                <w:highlight w:val="none"/>
              </w:rPr>
              <w:t>供应商根据自身情况，于响应文件中提供以下证明材料：项目经理具有</w:t>
            </w:r>
            <w:r>
              <w:rPr>
                <w:rFonts w:hint="eastAsia" w:cs="宋体" w:asciiTheme="minorEastAsia" w:hAnsiTheme="minorEastAsia" w:eastAsiaTheme="minorEastAsia"/>
                <w:color w:val="auto"/>
                <w:szCs w:val="21"/>
                <w:highlight w:val="none"/>
              </w:rPr>
              <w:t>与本项目相关的</w:t>
            </w:r>
            <w:r>
              <w:rPr>
                <w:rFonts w:hint="eastAsia"/>
                <w:color w:val="auto"/>
                <w:highlight w:val="none"/>
              </w:rPr>
              <w:t>电气</w:t>
            </w:r>
            <w:r>
              <w:rPr>
                <w:rFonts w:hint="eastAsia"/>
                <w:color w:val="auto"/>
                <w:highlight w:val="none"/>
                <w:lang w:val="en-US" w:eastAsia="zh-CN"/>
              </w:rPr>
              <w:t>类或</w:t>
            </w:r>
            <w:r>
              <w:rPr>
                <w:rFonts w:hint="eastAsia" w:cs="宋体" w:asciiTheme="minorEastAsia" w:hAnsiTheme="minorEastAsia" w:eastAsiaTheme="minorEastAsia"/>
                <w:color w:val="auto"/>
                <w:szCs w:val="21"/>
                <w:highlight w:val="none"/>
              </w:rPr>
              <w:t>电力工程专业职称证；造价工程师具有</w:t>
            </w:r>
            <w:r>
              <w:rPr>
                <w:rFonts w:hint="eastAsia" w:cs="宋体" w:asciiTheme="minorEastAsia" w:hAnsiTheme="minorEastAsia" w:eastAsiaTheme="minorEastAsia"/>
                <w:color w:val="auto"/>
                <w:szCs w:val="21"/>
                <w:highlight w:val="none"/>
                <w:lang w:val="en-US" w:eastAsia="zh-CN"/>
              </w:rPr>
              <w:t>一</w:t>
            </w:r>
            <w:r>
              <w:rPr>
                <w:rFonts w:hint="eastAsia" w:cs="宋体" w:asciiTheme="minorEastAsia" w:hAnsiTheme="minorEastAsia" w:eastAsiaTheme="minorEastAsia"/>
                <w:color w:val="auto"/>
                <w:szCs w:val="21"/>
                <w:highlight w:val="none"/>
              </w:rPr>
              <w:t>级造价工程师执业资格证书</w:t>
            </w:r>
            <w:r>
              <w:rPr>
                <w:rFonts w:hint="eastAsia" w:cs="宋体" w:asciiTheme="minorEastAsia" w:hAnsiTheme="minorEastAsia" w:eastAsiaTheme="minorEastAsia"/>
                <w:color w:val="auto"/>
                <w:szCs w:val="21"/>
                <w:highlight w:val="none"/>
                <w:lang w:eastAsia="zh-CN"/>
              </w:rPr>
              <w:t>、</w:t>
            </w:r>
            <w:r>
              <w:rPr>
                <w:rFonts w:hint="eastAsia" w:cs="宋体" w:asciiTheme="minorEastAsia" w:hAnsiTheme="minorEastAsia" w:eastAsiaTheme="minorEastAsia"/>
                <w:color w:val="auto"/>
                <w:szCs w:val="21"/>
                <w:highlight w:val="none"/>
                <w:lang w:val="en-US" w:eastAsia="zh-CN"/>
              </w:rPr>
              <w:t>职称证书</w:t>
            </w:r>
            <w:r>
              <w:rPr>
                <w:rFonts w:hint="eastAsia" w:cs="宋体" w:asciiTheme="minorEastAsia" w:hAnsiTheme="minorEastAsia" w:eastAsiaTheme="minorEastAsia"/>
                <w:color w:val="auto"/>
                <w:szCs w:val="21"/>
                <w:highlight w:val="none"/>
              </w:rPr>
              <w:t>复印件；供应商20</w:t>
            </w:r>
            <w:r>
              <w:rPr>
                <w:rFonts w:hint="eastAsia" w:cs="宋体" w:asciiTheme="minorEastAsia" w:hAnsiTheme="minorEastAsia" w:eastAsiaTheme="minorEastAsia"/>
                <w:color w:val="auto"/>
                <w:szCs w:val="21"/>
                <w:highlight w:val="none"/>
                <w:lang w:val="en-US" w:eastAsia="zh-CN"/>
              </w:rPr>
              <w:t>22</w:t>
            </w:r>
            <w:r>
              <w:rPr>
                <w:rFonts w:hint="eastAsia" w:asciiTheme="majorEastAsia" w:hAnsiTheme="majorEastAsia" w:eastAsiaTheme="majorEastAsia"/>
                <w:color w:val="auto"/>
                <w:szCs w:val="21"/>
                <w:highlight w:val="none"/>
              </w:rPr>
              <w:t>年以来（以获奖时间为准）承接过的电力工程项目获得</w:t>
            </w:r>
            <w:r>
              <w:rPr>
                <w:rFonts w:hint="eastAsia" w:asciiTheme="majorEastAsia" w:hAnsiTheme="majorEastAsia" w:eastAsiaTheme="majorEastAsia"/>
                <w:color w:val="auto"/>
                <w:szCs w:val="21"/>
                <w:highlight w:val="none"/>
                <w:lang w:val="en-US" w:eastAsia="zh-CN"/>
              </w:rPr>
              <w:t>设</w:t>
            </w:r>
            <w:r>
              <w:rPr>
                <w:rFonts w:hint="eastAsia" w:asciiTheme="majorEastAsia" w:hAnsiTheme="majorEastAsia" w:eastAsiaTheme="majorEastAsia"/>
                <w:color w:val="auto"/>
                <w:szCs w:val="21"/>
                <w:highlight w:val="none"/>
              </w:rPr>
              <w:t>有关部门颁发的与工程质量相关奖项相关证明材料；</w:t>
            </w:r>
            <w:r>
              <w:rPr>
                <w:rFonts w:hint="eastAsia" w:cs="宋体" w:asciiTheme="minorEastAsia" w:hAnsiTheme="minorEastAsia" w:eastAsiaTheme="minorEastAsia"/>
                <w:color w:val="auto"/>
                <w:szCs w:val="21"/>
                <w:highlight w:val="none"/>
              </w:rPr>
              <w:t>供应商通过</w:t>
            </w:r>
            <w:r>
              <w:rPr>
                <w:rFonts w:hint="eastAsia" w:cs="宋体" w:asciiTheme="minorEastAsia" w:hAnsiTheme="minorEastAsia" w:eastAsiaTheme="minorEastAsia"/>
                <w:color w:val="auto"/>
                <w:szCs w:val="21"/>
                <w:highlight w:val="none"/>
                <w:lang w:val="en-US" w:eastAsia="zh-CN"/>
              </w:rPr>
              <w:t>ISO9001</w:t>
            </w:r>
            <w:r>
              <w:rPr>
                <w:rFonts w:hint="eastAsia" w:cs="宋体" w:asciiTheme="minorEastAsia" w:hAnsiTheme="minorEastAsia" w:eastAsiaTheme="minorEastAsia"/>
                <w:color w:val="auto"/>
                <w:szCs w:val="21"/>
                <w:highlight w:val="none"/>
              </w:rPr>
              <w:t>质量管理体系认证、ISO14001环境管理体系认证、ISO45001职业健康安全管理体系认证且有效复印件；</w:t>
            </w:r>
            <w:r>
              <w:rPr>
                <w:rFonts w:hint="eastAsia" w:cs="宋体" w:asciiTheme="minorEastAsia" w:hAnsiTheme="minorEastAsia" w:eastAsiaTheme="minorEastAsia"/>
                <w:color w:val="auto"/>
                <w:szCs w:val="21"/>
                <w:highlight w:val="none"/>
                <w:lang w:val="en-US" w:eastAsia="zh-CN"/>
              </w:rPr>
              <w:t>2022</w:t>
            </w:r>
            <w:r>
              <w:rPr>
                <w:rFonts w:hint="eastAsia" w:cs="宋体" w:asciiTheme="minorEastAsia" w:hAnsiTheme="minorEastAsia" w:eastAsiaTheme="minorEastAsia"/>
                <w:color w:val="auto"/>
                <w:szCs w:val="21"/>
                <w:highlight w:val="none"/>
              </w:rPr>
              <w:t>年以来承接过同类项目业绩（同类</w:t>
            </w:r>
            <w:r>
              <w:rPr>
                <w:rFonts w:cs="宋体" w:asciiTheme="minorEastAsia" w:hAnsiTheme="minorEastAsia" w:eastAsiaTheme="minorEastAsia"/>
                <w:color w:val="auto"/>
                <w:szCs w:val="21"/>
                <w:highlight w:val="none"/>
              </w:rPr>
              <w:t>项目指</w:t>
            </w:r>
            <w:r>
              <w:rPr>
                <w:rFonts w:hint="eastAsia" w:cs="宋体" w:asciiTheme="minorEastAsia" w:hAnsiTheme="minorEastAsia" w:eastAsiaTheme="minorEastAsia"/>
                <w:color w:val="auto"/>
                <w:szCs w:val="21"/>
                <w:highlight w:val="none"/>
              </w:rPr>
              <w:t>电力修缮或电力提升工程或电力新建工程</w:t>
            </w:r>
            <w:r>
              <w:rPr>
                <w:rFonts w:hint="eastAsia" w:cs="宋体" w:asciiTheme="minorEastAsia" w:hAnsiTheme="minorEastAsia" w:eastAsiaTheme="minorEastAsia"/>
                <w:color w:val="auto"/>
                <w:szCs w:val="21"/>
                <w:highlight w:val="none"/>
                <w:lang w:eastAsia="zh-CN"/>
              </w:rPr>
              <w:t>或电力改造等电力工程项目</w:t>
            </w:r>
            <w:r>
              <w:rPr>
                <w:rFonts w:hint="eastAsia" w:cs="宋体" w:asciiTheme="minorEastAsia" w:hAnsiTheme="minorEastAsia" w:eastAsiaTheme="minorEastAsia"/>
                <w:color w:val="auto"/>
                <w:szCs w:val="21"/>
                <w:highlight w:val="none"/>
              </w:rPr>
              <w:t>）证明材料复印件等。</w:t>
            </w:r>
          </w:p>
          <w:p w14:paraId="09393EDD">
            <w:pPr>
              <w:pStyle w:val="7"/>
              <w:rPr>
                <w:color w:val="auto"/>
                <w:highlight w:val="none"/>
              </w:rPr>
            </w:pPr>
          </w:p>
        </w:tc>
      </w:tr>
    </w:tbl>
    <w:p w14:paraId="7E7A6B9E">
      <w:pPr>
        <w:spacing w:line="360" w:lineRule="auto"/>
        <w:rPr>
          <w:rFonts w:hint="eastAsia" w:ascii="宋体" w:hAnsi="宋体" w:cs="宋体"/>
          <w:b/>
          <w:bCs/>
          <w:color w:val="auto"/>
          <w:sz w:val="28"/>
          <w:szCs w:val="28"/>
          <w:highlight w:val="none"/>
        </w:rPr>
      </w:pPr>
      <w:bookmarkStart w:id="72" w:name="_Toc74323459"/>
    </w:p>
    <w:p w14:paraId="0A8ACEF6">
      <w:pPr>
        <w:spacing w:line="360" w:lineRule="auto"/>
        <w:rPr>
          <w:rFonts w:hint="eastAsia" w:ascii="宋体" w:hAnsi="宋体" w:cs="宋体"/>
          <w:b/>
          <w:bCs/>
          <w:color w:val="auto"/>
          <w:sz w:val="28"/>
          <w:szCs w:val="28"/>
          <w:highlight w:val="none"/>
        </w:rPr>
      </w:pPr>
    </w:p>
    <w:p w14:paraId="1926513D">
      <w:pPr>
        <w:spacing w:line="360" w:lineRule="auto"/>
        <w:rPr>
          <w:rFonts w:hint="eastAsia" w:ascii="宋体" w:hAnsi="宋体" w:cs="宋体"/>
          <w:b/>
          <w:bCs/>
          <w:color w:val="auto"/>
          <w:sz w:val="36"/>
          <w:szCs w:val="36"/>
          <w:highlight w:val="none"/>
        </w:rPr>
      </w:pPr>
      <w:r>
        <w:rPr>
          <w:rFonts w:hint="eastAsia" w:ascii="宋体" w:hAnsi="宋体" w:cs="宋体"/>
          <w:b/>
          <w:bCs/>
          <w:color w:val="auto"/>
          <w:sz w:val="28"/>
          <w:szCs w:val="28"/>
          <w:highlight w:val="none"/>
        </w:rPr>
        <w:t>附件</w:t>
      </w:r>
    </w:p>
    <w:p w14:paraId="6E07484E">
      <w:pPr>
        <w:spacing w:line="400" w:lineRule="exact"/>
        <w:jc w:val="center"/>
        <w:rPr>
          <w:rFonts w:hint="eastAsia" w:cs="宋体" w:asciiTheme="minorEastAsia" w:hAnsiTheme="minorEastAsia" w:eastAsiaTheme="minorEastAsia"/>
          <w:b/>
          <w:bCs/>
          <w:color w:val="auto"/>
          <w:sz w:val="36"/>
          <w:szCs w:val="36"/>
          <w:highlight w:val="none"/>
        </w:rPr>
      </w:pPr>
      <w:r>
        <w:rPr>
          <w:rFonts w:hint="eastAsia" w:cs="宋体" w:asciiTheme="minorEastAsia" w:hAnsiTheme="minorEastAsia" w:eastAsiaTheme="minorEastAsia"/>
          <w:b/>
          <w:bCs/>
          <w:color w:val="auto"/>
          <w:sz w:val="36"/>
          <w:szCs w:val="36"/>
          <w:highlight w:val="none"/>
        </w:rPr>
        <w:t>采购人现有电力电表系统技术参数</w:t>
      </w:r>
    </w:p>
    <w:p w14:paraId="1290C7A5">
      <w:pPr>
        <w:pStyle w:val="65"/>
        <w:rPr>
          <w:rFonts w:hint="eastAsia"/>
          <w:color w:val="auto"/>
          <w:highlight w:val="none"/>
          <w:lang w:eastAsia="zh-CN"/>
        </w:rPr>
      </w:pPr>
    </w:p>
    <w:p w14:paraId="6B45454F">
      <w:pPr>
        <w:pStyle w:val="65"/>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200"/>
        <w:textAlignment w:val="auto"/>
        <w:rPr>
          <w:rFonts w:hint="eastAsia" w:ascii="Times New Roman" w:hAnsi="Times New Roman" w:eastAsia="宋体" w:cs="Times New Roman"/>
          <w:color w:val="auto"/>
          <w:highlight w:val="none"/>
          <w:lang w:val="en-US" w:eastAsia="zh-CN"/>
        </w:rPr>
      </w:pPr>
      <w:r>
        <w:rPr>
          <w:rFonts w:hint="eastAsia"/>
          <w:color w:val="auto"/>
          <w:highlight w:val="none"/>
          <w:lang w:eastAsia="zh-CN"/>
        </w:rPr>
        <w:t>品牌及型</w:t>
      </w:r>
      <w:r>
        <w:rPr>
          <w:rFonts w:hint="eastAsia" w:ascii="Times New Roman" w:hAnsi="Times New Roman" w:eastAsia="宋体" w:cs="Times New Roman"/>
          <w:color w:val="auto"/>
          <w:highlight w:val="none"/>
          <w:lang w:eastAsia="zh-CN"/>
        </w:rPr>
        <w:t>号：凡特</w:t>
      </w:r>
      <w:r>
        <w:rPr>
          <w:rFonts w:hint="eastAsia" w:ascii="Times New Roman" w:hAnsi="Times New Roman" w:eastAsia="宋体" w:cs="Times New Roman"/>
          <w:color w:val="auto"/>
          <w:highlight w:val="none"/>
          <w:lang w:val="en-US" w:eastAsia="zh-CN"/>
        </w:rPr>
        <w:t>DTSY1009</w:t>
      </w:r>
    </w:p>
    <w:p w14:paraId="07B510DE">
      <w:pPr>
        <w:pStyle w:val="65"/>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200"/>
        <w:textAlignment w:val="auto"/>
        <w:rPr>
          <w:rFonts w:hint="eastAsia"/>
          <w:color w:val="auto"/>
          <w:highlight w:val="none"/>
        </w:rPr>
      </w:pPr>
      <w:r>
        <w:rPr>
          <w:rFonts w:hint="eastAsia"/>
          <w:color w:val="auto"/>
          <w:highlight w:val="none"/>
        </w:rPr>
        <w:t>一、技术参数：</w:t>
      </w:r>
    </w:p>
    <w:p w14:paraId="5A3E5E1A">
      <w:pPr>
        <w:pStyle w:val="65"/>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200"/>
        <w:textAlignment w:val="auto"/>
        <w:rPr>
          <w:rFonts w:hint="eastAsia" w:eastAsia="宋体"/>
          <w:color w:val="auto"/>
          <w:highlight w:val="none"/>
          <w:lang w:eastAsia="zh-CN"/>
        </w:rPr>
      </w:pPr>
      <w:r>
        <w:rPr>
          <w:rFonts w:hint="eastAsia"/>
          <w:color w:val="auto"/>
          <w:highlight w:val="none"/>
        </w:rPr>
        <w:t>1</w:t>
      </w:r>
      <w:r>
        <w:rPr>
          <w:rFonts w:hint="eastAsia"/>
          <w:color w:val="auto"/>
          <w:highlight w:val="none"/>
          <w:lang w:val="en-US" w:eastAsia="zh-CN"/>
        </w:rPr>
        <w:t>.</w:t>
      </w:r>
      <w:r>
        <w:rPr>
          <w:rFonts w:hint="eastAsia"/>
          <w:color w:val="auto"/>
          <w:highlight w:val="none"/>
        </w:rPr>
        <w:t>额定电压：380V</w:t>
      </w:r>
      <w:r>
        <w:rPr>
          <w:rFonts w:hint="eastAsia"/>
          <w:color w:val="auto"/>
          <w:highlight w:val="none"/>
          <w:lang w:val="en-US" w:eastAsia="zh-CN"/>
        </w:rPr>
        <w:t>。</w:t>
      </w:r>
    </w:p>
    <w:p w14:paraId="69A8DF65">
      <w:pPr>
        <w:pStyle w:val="65"/>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200"/>
        <w:textAlignment w:val="auto"/>
        <w:rPr>
          <w:rFonts w:hint="eastAsia" w:eastAsia="宋体"/>
          <w:color w:val="auto"/>
          <w:highlight w:val="none"/>
          <w:lang w:eastAsia="zh-CN"/>
        </w:rPr>
      </w:pPr>
      <w:r>
        <w:rPr>
          <w:rFonts w:hint="eastAsia"/>
          <w:color w:val="auto"/>
          <w:highlight w:val="none"/>
        </w:rPr>
        <w:t>2</w:t>
      </w:r>
      <w:r>
        <w:rPr>
          <w:rFonts w:hint="eastAsia"/>
          <w:color w:val="auto"/>
          <w:highlight w:val="none"/>
          <w:lang w:val="en-US" w:eastAsia="zh-CN"/>
        </w:rPr>
        <w:t>.</w:t>
      </w:r>
      <w:r>
        <w:rPr>
          <w:rFonts w:hint="eastAsia"/>
          <w:color w:val="auto"/>
          <w:highlight w:val="none"/>
        </w:rPr>
        <w:t>电表类型：国网型，高28</w:t>
      </w:r>
      <w:r>
        <w:rPr>
          <w:rFonts w:hint="eastAsia"/>
          <w:color w:val="auto"/>
          <w:highlight w:val="none"/>
          <w:lang w:val="en-US" w:eastAsia="zh-CN"/>
        </w:rPr>
        <w:t>×</w:t>
      </w:r>
      <w:r>
        <w:rPr>
          <w:rFonts w:hint="eastAsia"/>
          <w:color w:val="auto"/>
          <w:highlight w:val="none"/>
        </w:rPr>
        <w:t>宽17</w:t>
      </w:r>
      <w:r>
        <w:rPr>
          <w:rFonts w:hint="eastAsia"/>
          <w:color w:val="auto"/>
          <w:highlight w:val="none"/>
          <w:lang w:val="en-US" w:eastAsia="zh-CN"/>
        </w:rPr>
        <w:t>×</w:t>
      </w:r>
      <w:r>
        <w:rPr>
          <w:rFonts w:hint="eastAsia"/>
          <w:color w:val="auto"/>
          <w:highlight w:val="none"/>
        </w:rPr>
        <w:t>厚8.5</w:t>
      </w:r>
      <w:r>
        <w:rPr>
          <w:rFonts w:hint="eastAsia"/>
          <w:color w:val="auto"/>
          <w:highlight w:val="none"/>
          <w:lang w:val="en-US" w:eastAsia="zh-CN"/>
        </w:rPr>
        <w:t>cm</w:t>
      </w:r>
      <w:r>
        <w:rPr>
          <w:rFonts w:hint="eastAsia"/>
          <w:color w:val="auto"/>
          <w:highlight w:val="none"/>
        </w:rPr>
        <w:t>（高度±2</w:t>
      </w:r>
      <w:r>
        <w:rPr>
          <w:rFonts w:hint="eastAsia"/>
          <w:color w:val="auto"/>
          <w:highlight w:val="none"/>
          <w:lang w:val="en-US" w:eastAsia="zh-CN"/>
        </w:rPr>
        <w:t>cm）</w:t>
      </w:r>
      <w:r>
        <w:rPr>
          <w:rFonts w:hint="eastAsia"/>
          <w:color w:val="auto"/>
          <w:highlight w:val="none"/>
          <w:lang w:eastAsia="zh-CN"/>
        </w:rPr>
        <w:t>。</w:t>
      </w:r>
    </w:p>
    <w:p w14:paraId="32DC1F35">
      <w:pPr>
        <w:pStyle w:val="65"/>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200"/>
        <w:textAlignment w:val="auto"/>
        <w:rPr>
          <w:rFonts w:hint="eastAsia" w:eastAsia="宋体"/>
          <w:color w:val="auto"/>
          <w:highlight w:val="none"/>
          <w:lang w:eastAsia="zh-CN"/>
        </w:rPr>
      </w:pPr>
      <w:r>
        <w:rPr>
          <w:rFonts w:hint="eastAsia"/>
          <w:color w:val="auto"/>
          <w:highlight w:val="none"/>
        </w:rPr>
        <w:t>3</w:t>
      </w:r>
      <w:r>
        <w:rPr>
          <w:rFonts w:hint="eastAsia"/>
          <w:color w:val="auto"/>
          <w:highlight w:val="none"/>
          <w:lang w:val="en-US" w:eastAsia="zh-CN"/>
        </w:rPr>
        <w:t>.</w:t>
      </w:r>
      <w:r>
        <w:rPr>
          <w:rFonts w:hint="eastAsia"/>
          <w:color w:val="auto"/>
          <w:highlight w:val="none"/>
        </w:rPr>
        <w:t>工作频率：50Hz±10%</w:t>
      </w:r>
      <w:r>
        <w:rPr>
          <w:rFonts w:hint="eastAsia"/>
          <w:color w:val="auto"/>
          <w:highlight w:val="none"/>
          <w:lang w:eastAsia="zh-CN"/>
        </w:rPr>
        <w:t>。</w:t>
      </w:r>
    </w:p>
    <w:p w14:paraId="2953E516">
      <w:pPr>
        <w:pStyle w:val="65"/>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200"/>
        <w:textAlignment w:val="auto"/>
        <w:rPr>
          <w:rFonts w:hint="eastAsia" w:eastAsia="宋体"/>
          <w:color w:val="auto"/>
          <w:highlight w:val="none"/>
          <w:lang w:eastAsia="zh-CN"/>
        </w:rPr>
      </w:pPr>
      <w:r>
        <w:rPr>
          <w:rFonts w:hint="eastAsia"/>
          <w:color w:val="auto"/>
          <w:highlight w:val="none"/>
        </w:rPr>
        <w:t>4. 功率消耗：有功功耗≤0.25W ，视在功耗≤1VA</w:t>
      </w:r>
      <w:r>
        <w:rPr>
          <w:rFonts w:hint="eastAsia"/>
          <w:color w:val="auto"/>
          <w:highlight w:val="none"/>
          <w:lang w:eastAsia="zh-CN"/>
        </w:rPr>
        <w:t>。</w:t>
      </w:r>
    </w:p>
    <w:p w14:paraId="50F801F1">
      <w:pPr>
        <w:pStyle w:val="65"/>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200"/>
        <w:textAlignment w:val="auto"/>
        <w:rPr>
          <w:rFonts w:hint="eastAsia" w:eastAsia="宋体"/>
          <w:color w:val="auto"/>
          <w:highlight w:val="none"/>
          <w:lang w:eastAsia="zh-CN"/>
        </w:rPr>
      </w:pPr>
      <w:r>
        <w:rPr>
          <w:rFonts w:hint="eastAsia"/>
          <w:color w:val="auto"/>
          <w:highlight w:val="none"/>
        </w:rPr>
        <w:t>5. 时钟准确度</w:t>
      </w:r>
      <w:r>
        <w:rPr>
          <w:rFonts w:hint="eastAsia"/>
          <w:color w:val="auto"/>
          <w:highlight w:val="none"/>
          <w:lang w:eastAsia="zh-CN"/>
        </w:rPr>
        <w:t>：</w:t>
      </w:r>
      <w:r>
        <w:rPr>
          <w:rFonts w:hint="eastAsia"/>
          <w:color w:val="auto"/>
          <w:highlight w:val="none"/>
        </w:rPr>
        <w:t xml:space="preserve"> 在参比温度下，时钟准确度应优于±0.5S/24h。在额定温度范围内，时钟准确度应优于±1S/24h</w:t>
      </w:r>
      <w:r>
        <w:rPr>
          <w:rFonts w:hint="eastAsia"/>
          <w:color w:val="auto"/>
          <w:highlight w:val="none"/>
          <w:lang w:eastAsia="zh-CN"/>
        </w:rPr>
        <w:t>。</w:t>
      </w:r>
    </w:p>
    <w:p w14:paraId="21BAA003">
      <w:pPr>
        <w:pStyle w:val="65"/>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200"/>
        <w:textAlignment w:val="auto"/>
        <w:rPr>
          <w:rFonts w:hint="eastAsia" w:eastAsia="宋体"/>
          <w:color w:val="auto"/>
          <w:highlight w:val="none"/>
          <w:lang w:eastAsia="zh-CN"/>
        </w:rPr>
      </w:pPr>
      <w:r>
        <w:rPr>
          <w:rFonts w:hint="eastAsia"/>
          <w:color w:val="auto"/>
          <w:highlight w:val="none"/>
        </w:rPr>
        <w:t>6. 精度等级</w:t>
      </w:r>
      <w:r>
        <w:rPr>
          <w:rFonts w:hint="eastAsia"/>
          <w:color w:val="auto"/>
          <w:highlight w:val="none"/>
          <w:lang w:eastAsia="zh-CN"/>
        </w:rPr>
        <w:t>：</w:t>
      </w:r>
      <w:r>
        <w:rPr>
          <w:rFonts w:hint="eastAsia"/>
          <w:color w:val="auto"/>
          <w:highlight w:val="none"/>
        </w:rPr>
        <w:t xml:space="preserve"> 有功B级</w:t>
      </w:r>
      <w:r>
        <w:rPr>
          <w:rFonts w:hint="eastAsia"/>
          <w:color w:val="auto"/>
          <w:highlight w:val="none"/>
          <w:lang w:eastAsia="zh-CN"/>
        </w:rPr>
        <w:t>。</w:t>
      </w:r>
    </w:p>
    <w:p w14:paraId="20A272D7">
      <w:pPr>
        <w:pStyle w:val="65"/>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200"/>
        <w:textAlignment w:val="auto"/>
        <w:rPr>
          <w:rFonts w:hint="eastAsia" w:eastAsia="宋体"/>
          <w:color w:val="auto"/>
          <w:highlight w:val="none"/>
          <w:lang w:eastAsia="zh-CN"/>
        </w:rPr>
      </w:pPr>
      <w:r>
        <w:rPr>
          <w:rFonts w:hint="eastAsia"/>
          <w:color w:val="auto"/>
          <w:highlight w:val="none"/>
        </w:rPr>
        <w:t>7. 通信：4G（包含6年通讯流量费用）</w:t>
      </w:r>
      <w:r>
        <w:rPr>
          <w:rFonts w:hint="eastAsia"/>
          <w:color w:val="auto"/>
          <w:highlight w:val="none"/>
          <w:lang w:eastAsia="zh-CN"/>
        </w:rPr>
        <w:t>。</w:t>
      </w:r>
    </w:p>
    <w:p w14:paraId="1980B428">
      <w:pPr>
        <w:pStyle w:val="65"/>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200"/>
        <w:textAlignment w:val="auto"/>
        <w:rPr>
          <w:rFonts w:hint="eastAsia" w:eastAsia="宋体"/>
          <w:color w:val="auto"/>
          <w:highlight w:val="none"/>
          <w:lang w:eastAsia="zh-CN"/>
        </w:rPr>
      </w:pPr>
      <w:r>
        <w:rPr>
          <w:rFonts w:hint="eastAsia"/>
          <w:color w:val="auto"/>
          <w:highlight w:val="none"/>
        </w:rPr>
        <w:t>8. 超设定功率自动断电</w:t>
      </w:r>
      <w:r>
        <w:rPr>
          <w:rFonts w:hint="eastAsia"/>
          <w:color w:val="auto"/>
          <w:highlight w:val="none"/>
          <w:lang w:eastAsia="zh-CN"/>
        </w:rPr>
        <w:t>：</w:t>
      </w:r>
      <w:r>
        <w:rPr>
          <w:rFonts w:hint="eastAsia"/>
          <w:color w:val="auto"/>
          <w:highlight w:val="none"/>
        </w:rPr>
        <w:t xml:space="preserve"> 接入超负荷功率电器自动断电</w:t>
      </w:r>
      <w:r>
        <w:rPr>
          <w:rFonts w:hint="eastAsia"/>
          <w:color w:val="auto"/>
          <w:highlight w:val="none"/>
          <w:lang w:eastAsia="zh-CN"/>
        </w:rPr>
        <w:t>。</w:t>
      </w:r>
    </w:p>
    <w:p w14:paraId="1895B065">
      <w:pPr>
        <w:pStyle w:val="65"/>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200"/>
        <w:textAlignment w:val="auto"/>
        <w:rPr>
          <w:rFonts w:hint="eastAsia"/>
          <w:color w:val="auto"/>
          <w:highlight w:val="none"/>
        </w:rPr>
      </w:pPr>
      <w:r>
        <w:rPr>
          <w:rFonts w:hint="eastAsia"/>
          <w:color w:val="auto"/>
          <w:highlight w:val="none"/>
        </w:rPr>
        <w:t>9.安装方式：壁挂式安装。</w:t>
      </w:r>
    </w:p>
    <w:p w14:paraId="50F1EA34">
      <w:pPr>
        <w:pStyle w:val="65"/>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200"/>
        <w:textAlignment w:val="auto"/>
        <w:rPr>
          <w:rFonts w:hint="eastAsia"/>
          <w:color w:val="auto"/>
          <w:highlight w:val="none"/>
        </w:rPr>
      </w:pPr>
      <w:r>
        <w:rPr>
          <w:rFonts w:hint="eastAsia"/>
          <w:color w:val="auto"/>
          <w:highlight w:val="none"/>
        </w:rPr>
        <w:t>二、电表功能：</w:t>
      </w:r>
    </w:p>
    <w:p w14:paraId="7446F404">
      <w:pPr>
        <w:pStyle w:val="65"/>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200"/>
        <w:textAlignment w:val="auto"/>
        <w:rPr>
          <w:rFonts w:hint="eastAsia" w:eastAsia="宋体"/>
          <w:color w:val="auto"/>
          <w:highlight w:val="none"/>
          <w:lang w:eastAsia="zh-CN"/>
        </w:rPr>
      </w:pPr>
      <w:r>
        <w:rPr>
          <w:rFonts w:hint="eastAsia"/>
          <w:color w:val="auto"/>
          <w:highlight w:val="none"/>
        </w:rPr>
        <w:t>1</w:t>
      </w:r>
      <w:r>
        <w:rPr>
          <w:rFonts w:hint="eastAsia"/>
          <w:color w:val="auto"/>
          <w:highlight w:val="none"/>
          <w:lang w:val="en-US" w:eastAsia="zh-CN"/>
        </w:rPr>
        <w:t>.</w:t>
      </w:r>
      <w:r>
        <w:rPr>
          <w:rFonts w:hint="eastAsia"/>
          <w:color w:val="auto"/>
          <w:highlight w:val="none"/>
        </w:rPr>
        <w:t>计量功能：实时测量A\B\C各相的电压、电流、相角、视在功率、有功功率、无功功率、功率因数等。可存储当前及上12个月结算日的电量数据</w:t>
      </w:r>
      <w:r>
        <w:rPr>
          <w:rFonts w:hint="eastAsia"/>
          <w:color w:val="auto"/>
          <w:highlight w:val="none"/>
          <w:lang w:eastAsia="zh-CN"/>
        </w:rPr>
        <w:t>。</w:t>
      </w:r>
    </w:p>
    <w:p w14:paraId="3AB0FC8A">
      <w:pPr>
        <w:pStyle w:val="65"/>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200"/>
        <w:textAlignment w:val="auto"/>
        <w:rPr>
          <w:rFonts w:hint="eastAsia" w:eastAsia="宋体"/>
          <w:color w:val="auto"/>
          <w:highlight w:val="none"/>
          <w:lang w:eastAsia="zh-CN"/>
        </w:rPr>
      </w:pPr>
      <w:r>
        <w:rPr>
          <w:rFonts w:hint="eastAsia"/>
          <w:color w:val="auto"/>
          <w:highlight w:val="none"/>
        </w:rPr>
        <w:t>2</w:t>
      </w:r>
      <w:r>
        <w:rPr>
          <w:rFonts w:hint="eastAsia"/>
          <w:color w:val="auto"/>
          <w:highlight w:val="none"/>
          <w:lang w:val="en-US" w:eastAsia="zh-CN"/>
        </w:rPr>
        <w:t>.</w:t>
      </w:r>
      <w:r>
        <w:rPr>
          <w:rFonts w:hint="eastAsia"/>
          <w:color w:val="auto"/>
          <w:highlight w:val="none"/>
        </w:rPr>
        <w:t>数据冻结功能：可对电能数据进行冻结并计量冻结数据和冻结时间，冻结功能相关参数可以设置</w:t>
      </w:r>
      <w:r>
        <w:rPr>
          <w:rFonts w:hint="eastAsia"/>
          <w:color w:val="auto"/>
          <w:highlight w:val="none"/>
          <w:lang w:eastAsia="zh-CN"/>
        </w:rPr>
        <w:t>。</w:t>
      </w:r>
    </w:p>
    <w:p w14:paraId="52F0ADB8">
      <w:pPr>
        <w:pStyle w:val="65"/>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200"/>
        <w:textAlignment w:val="auto"/>
        <w:rPr>
          <w:rFonts w:hint="eastAsia" w:eastAsia="宋体"/>
          <w:color w:val="auto"/>
          <w:highlight w:val="none"/>
          <w:lang w:eastAsia="zh-CN"/>
        </w:rPr>
      </w:pPr>
      <w:r>
        <w:rPr>
          <w:rFonts w:hint="eastAsia"/>
          <w:color w:val="auto"/>
          <w:highlight w:val="none"/>
        </w:rPr>
        <w:t>3</w:t>
      </w:r>
      <w:r>
        <w:rPr>
          <w:rFonts w:hint="eastAsia"/>
          <w:color w:val="auto"/>
          <w:highlight w:val="none"/>
          <w:lang w:val="en-US" w:eastAsia="zh-CN"/>
        </w:rPr>
        <w:t>.</w:t>
      </w:r>
      <w:r>
        <w:rPr>
          <w:rFonts w:hint="eastAsia"/>
          <w:color w:val="auto"/>
          <w:highlight w:val="none"/>
        </w:rPr>
        <w:t>数据存储功能：具有月数据存储功能，可存储12个月的月用电数据</w:t>
      </w:r>
      <w:r>
        <w:rPr>
          <w:rFonts w:hint="eastAsia"/>
          <w:color w:val="auto"/>
          <w:highlight w:val="none"/>
          <w:lang w:eastAsia="zh-CN"/>
        </w:rPr>
        <w:t>。</w:t>
      </w:r>
    </w:p>
    <w:p w14:paraId="5E5F2DCA">
      <w:pPr>
        <w:pStyle w:val="65"/>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200"/>
        <w:textAlignment w:val="auto"/>
        <w:rPr>
          <w:rFonts w:hint="eastAsia" w:eastAsia="宋体"/>
          <w:color w:val="auto"/>
          <w:highlight w:val="none"/>
          <w:lang w:eastAsia="zh-CN"/>
        </w:rPr>
      </w:pPr>
      <w:r>
        <w:rPr>
          <w:rFonts w:hint="eastAsia"/>
          <w:color w:val="auto"/>
          <w:highlight w:val="none"/>
        </w:rPr>
        <w:t>4</w:t>
      </w:r>
      <w:r>
        <w:rPr>
          <w:rFonts w:hint="eastAsia"/>
          <w:color w:val="auto"/>
          <w:highlight w:val="none"/>
          <w:lang w:val="en-US" w:eastAsia="zh-CN"/>
        </w:rPr>
        <w:t>.</w:t>
      </w:r>
      <w:r>
        <w:rPr>
          <w:rFonts w:hint="eastAsia"/>
          <w:color w:val="auto"/>
          <w:highlight w:val="none"/>
        </w:rPr>
        <w:t>欠费断电：可通过软件系统设置欠电费断电</w:t>
      </w:r>
      <w:r>
        <w:rPr>
          <w:rFonts w:hint="eastAsia"/>
          <w:color w:val="auto"/>
          <w:highlight w:val="none"/>
          <w:lang w:eastAsia="zh-CN"/>
        </w:rPr>
        <w:t>。</w:t>
      </w:r>
    </w:p>
    <w:p w14:paraId="11516BD4">
      <w:pPr>
        <w:pStyle w:val="65"/>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200"/>
        <w:textAlignment w:val="auto"/>
        <w:rPr>
          <w:rFonts w:hint="eastAsia" w:eastAsia="宋体"/>
          <w:color w:val="auto"/>
          <w:highlight w:val="none"/>
          <w:lang w:eastAsia="zh-CN"/>
        </w:rPr>
      </w:pPr>
      <w:r>
        <w:rPr>
          <w:rFonts w:hint="eastAsia"/>
          <w:color w:val="auto"/>
          <w:highlight w:val="none"/>
        </w:rPr>
        <w:t>5</w:t>
      </w:r>
      <w:r>
        <w:rPr>
          <w:rFonts w:hint="eastAsia"/>
          <w:color w:val="auto"/>
          <w:highlight w:val="none"/>
          <w:lang w:val="en-US" w:eastAsia="zh-CN"/>
        </w:rPr>
        <w:t>.</w:t>
      </w:r>
      <w:r>
        <w:rPr>
          <w:rFonts w:hint="eastAsia"/>
          <w:color w:val="auto"/>
          <w:highlight w:val="none"/>
        </w:rPr>
        <w:t>强开强断：可通过软件系统和电表配合人为实现无条件强开启和强断电控制</w:t>
      </w:r>
      <w:r>
        <w:rPr>
          <w:rFonts w:hint="eastAsia"/>
          <w:color w:val="auto"/>
          <w:highlight w:val="none"/>
          <w:lang w:eastAsia="zh-CN"/>
        </w:rPr>
        <w:t>。</w:t>
      </w:r>
    </w:p>
    <w:p w14:paraId="77B04C70">
      <w:pPr>
        <w:pStyle w:val="65"/>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200"/>
        <w:textAlignment w:val="auto"/>
        <w:rPr>
          <w:rFonts w:hint="eastAsia" w:eastAsia="宋体"/>
          <w:color w:val="auto"/>
          <w:highlight w:val="none"/>
          <w:lang w:eastAsia="zh-CN"/>
        </w:rPr>
      </w:pPr>
      <w:r>
        <w:rPr>
          <w:rFonts w:hint="eastAsia"/>
          <w:color w:val="auto"/>
          <w:highlight w:val="none"/>
        </w:rPr>
        <w:t>6</w:t>
      </w:r>
      <w:r>
        <w:rPr>
          <w:rFonts w:hint="eastAsia"/>
          <w:color w:val="auto"/>
          <w:highlight w:val="none"/>
          <w:lang w:val="en-US" w:eastAsia="zh-CN"/>
        </w:rPr>
        <w:t>.</w:t>
      </w:r>
      <w:r>
        <w:rPr>
          <w:rFonts w:hint="eastAsia"/>
          <w:color w:val="auto"/>
          <w:highlight w:val="none"/>
        </w:rPr>
        <w:t>断电原因显示：断电后，软件上显示断电原因。包括欠费停电、手动开电、手动关电等</w:t>
      </w:r>
      <w:r>
        <w:rPr>
          <w:rFonts w:hint="eastAsia"/>
          <w:color w:val="auto"/>
          <w:highlight w:val="none"/>
          <w:lang w:eastAsia="zh-CN"/>
        </w:rPr>
        <w:t>。</w:t>
      </w:r>
    </w:p>
    <w:p w14:paraId="18EBD64B">
      <w:pPr>
        <w:pStyle w:val="65"/>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200"/>
        <w:textAlignment w:val="auto"/>
        <w:rPr>
          <w:rFonts w:hint="eastAsia" w:eastAsia="宋体"/>
          <w:color w:val="auto"/>
          <w:highlight w:val="none"/>
          <w:lang w:eastAsia="zh-CN"/>
        </w:rPr>
      </w:pPr>
      <w:r>
        <w:rPr>
          <w:rFonts w:hint="eastAsia"/>
          <w:color w:val="auto"/>
          <w:highlight w:val="none"/>
        </w:rPr>
        <w:t>7</w:t>
      </w:r>
      <w:r>
        <w:rPr>
          <w:rFonts w:hint="eastAsia"/>
          <w:color w:val="auto"/>
          <w:highlight w:val="none"/>
          <w:lang w:val="en-US" w:eastAsia="zh-CN"/>
        </w:rPr>
        <w:t>.</w:t>
      </w:r>
      <w:r>
        <w:rPr>
          <w:rFonts w:hint="eastAsia"/>
          <w:color w:val="auto"/>
          <w:highlight w:val="none"/>
        </w:rPr>
        <w:t>保电功能：电表具有保电功能，当保电功能启用后，电表任何情况下都不会跳闸断电</w:t>
      </w:r>
      <w:r>
        <w:rPr>
          <w:rFonts w:hint="eastAsia"/>
          <w:color w:val="auto"/>
          <w:highlight w:val="none"/>
          <w:lang w:eastAsia="zh-CN"/>
        </w:rPr>
        <w:t>。</w:t>
      </w:r>
    </w:p>
    <w:p w14:paraId="215F359D">
      <w:pPr>
        <w:pStyle w:val="65"/>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200"/>
        <w:textAlignment w:val="auto"/>
        <w:rPr>
          <w:rFonts w:hint="eastAsia" w:eastAsia="宋体"/>
          <w:color w:val="auto"/>
          <w:highlight w:val="none"/>
          <w:lang w:eastAsia="zh-CN"/>
        </w:rPr>
      </w:pPr>
      <w:r>
        <w:rPr>
          <w:rFonts w:hint="eastAsia"/>
          <w:color w:val="auto"/>
          <w:highlight w:val="none"/>
        </w:rPr>
        <w:t>8</w:t>
      </w:r>
      <w:r>
        <w:rPr>
          <w:rFonts w:hint="eastAsia"/>
          <w:color w:val="auto"/>
          <w:highlight w:val="none"/>
          <w:lang w:val="en-US" w:eastAsia="zh-CN"/>
        </w:rPr>
        <w:t>.</w:t>
      </w:r>
      <w:r>
        <w:rPr>
          <w:rFonts w:hint="eastAsia"/>
          <w:color w:val="auto"/>
          <w:highlight w:val="none"/>
        </w:rPr>
        <w:t>电价管理：可通过远程方式下发电价方案</w:t>
      </w:r>
      <w:r>
        <w:rPr>
          <w:rFonts w:hint="eastAsia"/>
          <w:color w:val="auto"/>
          <w:highlight w:val="none"/>
          <w:lang w:eastAsia="zh-CN"/>
        </w:rPr>
        <w:t>。</w:t>
      </w:r>
    </w:p>
    <w:p w14:paraId="3FD3CAEC">
      <w:pPr>
        <w:pStyle w:val="65"/>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200"/>
        <w:textAlignment w:val="auto"/>
        <w:rPr>
          <w:rFonts w:hint="eastAsia" w:eastAsia="宋体"/>
          <w:color w:val="auto"/>
          <w:highlight w:val="none"/>
          <w:lang w:eastAsia="zh-CN"/>
        </w:rPr>
      </w:pPr>
      <w:r>
        <w:rPr>
          <w:rFonts w:hint="eastAsia"/>
          <w:color w:val="auto"/>
          <w:highlight w:val="none"/>
        </w:rPr>
        <w:t>9</w:t>
      </w:r>
      <w:r>
        <w:rPr>
          <w:rFonts w:hint="eastAsia"/>
          <w:color w:val="auto"/>
          <w:highlight w:val="none"/>
          <w:lang w:val="en-US" w:eastAsia="zh-CN"/>
        </w:rPr>
        <w:t>.</w:t>
      </w:r>
      <w:r>
        <w:rPr>
          <w:rFonts w:hint="eastAsia"/>
          <w:color w:val="auto"/>
          <w:highlight w:val="none"/>
        </w:rPr>
        <w:t>掉电存储：具有掉电存储功能，上位机发送控制参数给电表成功后，断开电表电源，重新上电后用上位机读取，发送的控制参数无丢失，并能实现相应策略控制</w:t>
      </w:r>
      <w:r>
        <w:rPr>
          <w:rFonts w:hint="eastAsia"/>
          <w:color w:val="auto"/>
          <w:highlight w:val="none"/>
          <w:lang w:eastAsia="zh-CN"/>
        </w:rPr>
        <w:t>。</w:t>
      </w:r>
    </w:p>
    <w:p w14:paraId="74B4C1F7">
      <w:pPr>
        <w:pStyle w:val="65"/>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200"/>
        <w:textAlignment w:val="auto"/>
        <w:rPr>
          <w:rFonts w:hint="eastAsia"/>
          <w:color w:val="auto"/>
          <w:highlight w:val="none"/>
        </w:rPr>
      </w:pPr>
      <w:r>
        <w:rPr>
          <w:rFonts w:hint="eastAsia"/>
          <w:color w:val="auto"/>
          <w:highlight w:val="none"/>
        </w:rPr>
        <w:t>10</w:t>
      </w:r>
      <w:r>
        <w:rPr>
          <w:rFonts w:hint="eastAsia"/>
          <w:color w:val="auto"/>
          <w:highlight w:val="none"/>
          <w:lang w:val="en-US" w:eastAsia="zh-CN"/>
        </w:rPr>
        <w:t>.</w:t>
      </w:r>
      <w:r>
        <w:rPr>
          <w:rFonts w:hint="eastAsia"/>
          <w:color w:val="auto"/>
          <w:highlight w:val="none"/>
        </w:rPr>
        <w:t>红外：通过红外掌机可实现对电表继电器的拉闸和合闸，实现电表脱网时的强制关电和开电；可抄读电量并上传至后台。</w:t>
      </w:r>
    </w:p>
    <w:p w14:paraId="1FF67336">
      <w:pPr>
        <w:pStyle w:val="65"/>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200"/>
        <w:textAlignment w:val="auto"/>
        <w:rPr>
          <w:color w:val="auto"/>
          <w:kern w:val="44"/>
          <w:sz w:val="44"/>
          <w:szCs w:val="44"/>
          <w:highlight w:val="none"/>
        </w:rPr>
      </w:pPr>
      <w:r>
        <w:rPr>
          <w:color w:val="auto"/>
          <w:highlight w:val="none"/>
        </w:rPr>
        <w:br w:type="page"/>
      </w:r>
    </w:p>
    <w:p w14:paraId="4CAEA340">
      <w:pPr>
        <w:pStyle w:val="2"/>
        <w:spacing w:before="0" w:after="0" w:line="360" w:lineRule="auto"/>
        <w:jc w:val="center"/>
        <w:rPr>
          <w:color w:val="auto"/>
          <w:highlight w:val="none"/>
        </w:rPr>
      </w:pPr>
      <w:r>
        <w:rPr>
          <w:rFonts w:hint="eastAsia"/>
          <w:color w:val="auto"/>
          <w:highlight w:val="none"/>
        </w:rPr>
        <w:t>第四章  评审程序、评审方法和评审标准</w:t>
      </w:r>
      <w:bookmarkEnd w:id="72"/>
    </w:p>
    <w:p w14:paraId="62B9B6C6">
      <w:pPr>
        <w:spacing w:line="360" w:lineRule="auto"/>
        <w:jc w:val="center"/>
        <w:rPr>
          <w:rFonts w:hint="eastAsia" w:ascii="宋体" w:hAnsi="宋体"/>
          <w:b/>
          <w:color w:val="auto"/>
          <w:sz w:val="32"/>
          <w:szCs w:val="32"/>
          <w:highlight w:val="none"/>
        </w:rPr>
      </w:pPr>
      <w:r>
        <w:rPr>
          <w:rFonts w:hint="eastAsia" w:ascii="宋体" w:hAnsi="宋体"/>
          <w:b/>
          <w:color w:val="auto"/>
          <w:sz w:val="32"/>
          <w:szCs w:val="32"/>
          <w:highlight w:val="none"/>
        </w:rPr>
        <w:t>一、评审程序和评审方法</w:t>
      </w:r>
    </w:p>
    <w:p w14:paraId="09A5B2AF">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1</w:t>
      </w:r>
      <w:r>
        <w:rPr>
          <w:rFonts w:hint="eastAsia" w:ascii="黑体" w:hAnsi="黑体" w:eastAsia="黑体" w:cs="宋体"/>
          <w:b/>
          <w:bCs/>
          <w:color w:val="auto"/>
          <w:sz w:val="24"/>
          <w:highlight w:val="none"/>
        </w:rPr>
        <w:t>.资格审查</w:t>
      </w:r>
    </w:p>
    <w:p w14:paraId="34C49481">
      <w:pPr>
        <w:snapToGrid w:val="0"/>
        <w:spacing w:line="360" w:lineRule="auto"/>
        <w:ind w:firstLine="420" w:firstLineChars="200"/>
        <w:rPr>
          <w:rFonts w:hint="eastAsia" w:ascii="宋体" w:hAnsi="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.1</w:t>
      </w:r>
      <w:r>
        <w:rPr>
          <w:rFonts w:hint="eastAsia" w:ascii="宋体" w:hAnsi="宋体"/>
          <w:color w:val="auto"/>
          <w:szCs w:val="21"/>
          <w:highlight w:val="none"/>
        </w:rPr>
        <w:t>响应文件开启后，磋商小组依法对供应商的资格证明文件进行审查。</w:t>
      </w:r>
    </w:p>
    <w:p w14:paraId="7481E3CA">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注：</w:t>
      </w:r>
      <w:r>
        <w:rPr>
          <w:rFonts w:hint="eastAsia"/>
          <w:color w:val="auto"/>
          <w:highlight w:val="none"/>
        </w:rPr>
        <w:t>磋商小组</w:t>
      </w:r>
      <w:r>
        <w:rPr>
          <w:rFonts w:hint="eastAsia" w:ascii="宋体" w:hAnsi="宋体" w:cs="宋体"/>
          <w:color w:val="auto"/>
          <w:szCs w:val="21"/>
          <w:highlight w:val="none"/>
        </w:rPr>
        <w:t>在资格审查结束前，对供应商进行信用查询。</w:t>
      </w:r>
    </w:p>
    <w:p w14:paraId="360CAECD">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（1）查询渠道：广西政府采购云平台“信用中国”网站（www.creditchina.gov.cn）、中国政府采购网（www.ccgp.gov.cn）链接入口。</w:t>
      </w:r>
    </w:p>
    <w:p w14:paraId="1F9AB00A">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（2）信用查询截止时点：资格审查结束前。</w:t>
      </w:r>
    </w:p>
    <w:p w14:paraId="0C6020A4">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（3）查询记录和证据留存方式：在查询网站中直接查询，截图另存为电子文档作为评审资料保存。</w:t>
      </w:r>
    </w:p>
    <w:p w14:paraId="5ED0DF1C">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w:t>
      </w:r>
    </w:p>
    <w:p w14:paraId="0E0C2378">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.2资格审查标准为本磋商文件中载明对供应商资格要求的条件。资格审查采用合格制，凡符合磋商文件规定的供应商资格要求的响应文件均通过资格审查。</w:t>
      </w:r>
    </w:p>
    <w:p w14:paraId="02B97476">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.3供应商有下列情形之一的，资格审查不通过，其响应文件按无效处理：</w:t>
      </w:r>
    </w:p>
    <w:p w14:paraId="1FB5796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）不具备磋商文件中规定的资格要求的；</w:t>
      </w:r>
    </w:p>
    <w:p w14:paraId="0FFE660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（2）未按磋商文件规定的方式获取本磋商文件的供应商的；</w:t>
      </w:r>
    </w:p>
    <w:p w14:paraId="2D9C87E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）响应文件的资格证明文件缺少任一项“供应商须知前附表”资格证明文件规定的“必须提供”的文件资料的；</w:t>
      </w:r>
    </w:p>
    <w:p w14:paraId="6915E08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）响应文件中的资格证明文件出现任一项不符合“供应商须知前附表”资格证明文件规定的“必须提供”的文件资料要求或者无效的；</w:t>
      </w:r>
    </w:p>
    <w:p w14:paraId="0753D62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）同一合同项下的不同供应商，单位负责人为同一人或者存在直接控股、管理关系的；为本项目提供过整体设计、规范编制或者项目管理、监理、检测等服务的供应商，再参加该采购项目的其他采购活动的。</w:t>
      </w:r>
    </w:p>
    <w:p w14:paraId="364AEBE9">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.4通过资格审查的合格供应商不足3家的，不得进入符合性审查环节，</w:t>
      </w:r>
      <w:r>
        <w:rPr>
          <w:rFonts w:hint="eastAsia" w:ascii="宋体" w:hAnsi="宋体"/>
          <w:color w:val="auto"/>
          <w:szCs w:val="21"/>
          <w:highlight w:val="none"/>
        </w:rPr>
        <w:t>应当重新开展采购活动。</w:t>
      </w:r>
    </w:p>
    <w:p w14:paraId="73491266">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2</w:t>
      </w:r>
      <w:r>
        <w:rPr>
          <w:rFonts w:hint="eastAsia" w:ascii="黑体" w:hAnsi="黑体" w:eastAsia="黑体" w:cs="宋体"/>
          <w:b/>
          <w:bCs/>
          <w:color w:val="auto"/>
          <w:sz w:val="24"/>
          <w:highlight w:val="none"/>
        </w:rPr>
        <w:t>.符合性审查</w:t>
      </w:r>
    </w:p>
    <w:p w14:paraId="5553BB34">
      <w:pPr>
        <w:spacing w:line="360" w:lineRule="auto"/>
        <w:ind w:firstLine="420" w:firstLineChars="200"/>
        <w:rPr>
          <w:rFonts w:hint="eastAsia" w:ascii="宋体" w:hAnsi="宋体" w:cs="宋体"/>
          <w:color w:val="auto"/>
          <w:szCs w:val="21"/>
          <w:highlight w:val="none"/>
        </w:rPr>
      </w:pPr>
      <w:bookmarkStart w:id="73" w:name="_Hlk42528882"/>
      <w:r>
        <w:rPr>
          <w:rFonts w:ascii="宋体" w:hAnsi="宋体" w:cs="宋体"/>
          <w:color w:val="auto"/>
          <w:szCs w:val="21"/>
          <w:highlight w:val="none"/>
        </w:rPr>
        <w:t>2.1</w:t>
      </w:r>
      <w:r>
        <w:rPr>
          <w:rFonts w:hint="eastAsia" w:ascii="宋体" w:hAnsi="宋体" w:cs="宋体"/>
          <w:color w:val="auto"/>
          <w:szCs w:val="21"/>
          <w:highlight w:val="none"/>
        </w:rPr>
        <w:t>磋商小组对</w:t>
      </w:r>
      <w:r>
        <w:rPr>
          <w:rFonts w:hint="eastAsia" w:ascii="宋体" w:hAnsi="宋体"/>
          <w:color w:val="auto"/>
          <w:szCs w:val="21"/>
          <w:highlight w:val="none"/>
        </w:rPr>
        <w:t>通过资格审查的合格供应商</w:t>
      </w:r>
      <w:r>
        <w:rPr>
          <w:rFonts w:hint="eastAsia" w:ascii="宋体" w:hAnsi="宋体" w:cs="宋体"/>
          <w:color w:val="auto"/>
          <w:szCs w:val="21"/>
          <w:highlight w:val="none"/>
        </w:rPr>
        <w:t>的响应文件的竞标报价、商务、技术等实质性要求进行符合性审查，以确定其是否满足磋商文件的实质性要求。</w:t>
      </w:r>
    </w:p>
    <w:bookmarkEnd w:id="73"/>
    <w:p w14:paraId="0841A651">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2.2</w:t>
      </w:r>
      <w:r>
        <w:rPr>
          <w:rFonts w:hint="eastAsia" w:ascii="宋体" w:hAnsi="宋体" w:cs="宋体"/>
          <w:color w:val="auto"/>
          <w:szCs w:val="21"/>
          <w:highlight w:val="none"/>
        </w:rPr>
        <w:t>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9961E88">
      <w:pPr>
        <w:spacing w:line="360" w:lineRule="auto"/>
        <w:ind w:firstLine="420" w:firstLineChars="200"/>
        <w:rPr>
          <w:rFonts w:hint="eastAsia" w:ascii="宋体" w:hAnsi="宋体" w:cs="宋体"/>
          <w:color w:val="auto"/>
          <w:spacing w:val="-6"/>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磋商小组要求供应商澄清、说明或者更正响应文件应当以电子澄清函形式作出。供应商的澄清、说明或者更正应当</w:t>
      </w:r>
      <w:r>
        <w:rPr>
          <w:rFonts w:hint="eastAsia" w:ascii="宋体" w:hAnsi="宋体" w:cs="宋体"/>
          <w:color w:val="auto"/>
          <w:szCs w:val="21"/>
          <w:highlight w:val="none"/>
          <w:lang w:eastAsia="zh-CN"/>
        </w:rPr>
        <w:t>以</w:t>
      </w:r>
      <w:r>
        <w:rPr>
          <w:rFonts w:hint="eastAsia" w:ascii="宋体" w:hAnsi="宋体" w:cs="宋体"/>
          <w:color w:val="auto"/>
          <w:szCs w:val="21"/>
          <w:highlight w:val="none"/>
        </w:rPr>
        <w:t>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w:t>
      </w:r>
      <w:r>
        <w:rPr>
          <w:rFonts w:hint="eastAsia" w:hAnsi="宋体"/>
          <w:color w:val="auto"/>
          <w:highlight w:val="none"/>
        </w:rPr>
        <w:t>签章</w:t>
      </w:r>
      <w:r>
        <w:rPr>
          <w:rFonts w:hint="eastAsia" w:ascii="宋体" w:hAnsi="宋体" w:cs="宋体"/>
          <w:color w:val="auto"/>
          <w:spacing w:val="-6"/>
          <w:szCs w:val="21"/>
          <w:highlight w:val="none"/>
        </w:rPr>
        <w:t>。</w:t>
      </w:r>
    </w:p>
    <w:p w14:paraId="6F1E2E94">
      <w:pPr>
        <w:spacing w:line="360" w:lineRule="auto"/>
        <w:ind w:firstLine="420" w:firstLineChars="200"/>
        <w:rPr>
          <w:rFonts w:hint="eastAsia" w:ascii="宋体" w:hAnsi="宋体" w:cs="宋体"/>
          <w:color w:val="auto"/>
          <w:spacing w:val="-6"/>
          <w:szCs w:val="21"/>
          <w:highlight w:val="none"/>
        </w:rPr>
      </w:pPr>
      <w:r>
        <w:rPr>
          <w:rFonts w:hint="eastAsia" w:ascii="宋体" w:hAnsi="宋体" w:cs="Courier New"/>
          <w:color w:val="auto"/>
          <w:szCs w:val="21"/>
          <w:highlight w:val="none"/>
        </w:rPr>
        <w:t>异常情况处理：如遇无法正常使用线上发送澄清函的情况，将启动书面形式办理。启动书面形式办理的情况下，磋商小组以书面形式要求供应商在规定时间内作出必要的澄清、说明或者补正。供应商的澄清、说明或者补正必须采用书面形式，并加盖公章，或者由法定代表人或者其授权的代表签字。</w:t>
      </w:r>
    </w:p>
    <w:p w14:paraId="73EDE889">
      <w:pPr>
        <w:spacing w:line="360" w:lineRule="auto"/>
        <w:ind w:firstLine="396" w:firstLineChars="200"/>
        <w:rPr>
          <w:rFonts w:hint="eastAsia" w:ascii="宋体" w:hAnsi="宋体" w:cs="宋体"/>
          <w:color w:val="auto"/>
          <w:szCs w:val="21"/>
          <w:highlight w:val="none"/>
        </w:rPr>
      </w:pPr>
      <w:r>
        <w:rPr>
          <w:rFonts w:ascii="宋体" w:hAnsi="宋体" w:cs="宋体"/>
          <w:color w:val="auto"/>
          <w:spacing w:val="-6"/>
          <w:szCs w:val="21"/>
          <w:highlight w:val="none"/>
        </w:rPr>
        <w:t>2.4</w:t>
      </w:r>
      <w:r>
        <w:rPr>
          <w:rFonts w:hint="eastAsia" w:ascii="宋体" w:hAnsi="宋体" w:cs="宋体"/>
          <w:color w:val="auto"/>
          <w:szCs w:val="21"/>
          <w:highlight w:val="none"/>
        </w:rPr>
        <w:t xml:space="preserve">首次响应文件报价出现前后不一致的，按照下列规定修正： </w:t>
      </w:r>
    </w:p>
    <w:p w14:paraId="08FECAE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（1）响应文件中报价表内容与响应文件中相应内容不一致的，以报价表为准；</w:t>
      </w:r>
    </w:p>
    <w:p w14:paraId="31B9DE0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（2）大写金额和小写金额不一致的，以大写金额为准；</w:t>
      </w:r>
    </w:p>
    <w:p w14:paraId="42866BA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（3）单价金额小数点或者百分比有明显错位的，以报价表的总价为准，并修改单价；</w:t>
      </w:r>
    </w:p>
    <w:p w14:paraId="39DDEF9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（4）总价金额与按单价汇总金额不一致的，以单价金额计算结果为准。</w:t>
      </w:r>
    </w:p>
    <w:p w14:paraId="123C631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同时出现两种以上不一致的，按照以上（1）</w:t>
      </w:r>
      <w:r>
        <w:rPr>
          <w:rFonts w:hint="eastAsia" w:ascii="宋体" w:hAnsi="宋体" w:cs="宋体"/>
          <w:color w:val="auto"/>
          <w:szCs w:val="21"/>
          <w:highlight w:val="none"/>
          <w:lang w:eastAsia="zh-CN"/>
        </w:rPr>
        <w:t>－</w:t>
      </w:r>
      <w:r>
        <w:rPr>
          <w:rFonts w:hint="eastAsia" w:ascii="宋体" w:hAnsi="宋体" w:cs="宋体"/>
          <w:color w:val="auto"/>
          <w:szCs w:val="21"/>
          <w:highlight w:val="none"/>
        </w:rPr>
        <w:t>（4）规定的顺序逐条进行修正。修正后的报价经供应商确认后产生约束力，供应商不确认的，其响应文件按无效处理。</w:t>
      </w:r>
    </w:p>
    <w:p w14:paraId="31B26C42">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商务技术报价评审</w:t>
      </w:r>
    </w:p>
    <w:p w14:paraId="24EFDFF8">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在评审时，如发现下列情形之一的，将被视为响应文件无效处理：</w:t>
      </w:r>
    </w:p>
    <w:p w14:paraId="216FE538">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（1）商务技术评审</w:t>
      </w:r>
    </w:p>
    <w:p w14:paraId="5CB94AB1">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1）响应文件未按磋商文件要求签署、盖章的；</w:t>
      </w:r>
    </w:p>
    <w:p w14:paraId="4B734EBA">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 xml:space="preserve">2）委托代理人未能出具有效身份证或者出具的身份证与授权委托书中的信息不符的； </w:t>
      </w:r>
    </w:p>
    <w:p w14:paraId="21A01B07">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3）提交的磋商保证金无效的或者未按照磋商文件的规定提交磋商保证金的；</w:t>
      </w:r>
    </w:p>
    <w:p w14:paraId="16398CC6">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4）响应文件未提供任一项“供应商须知前附表”商务技术文件中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“必须提供”或者“委托时必须提供”文件资料要求的规定或者提供的商务技术文件无效的。</w:t>
      </w:r>
    </w:p>
    <w:p w14:paraId="38DA485E">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5）商务要求允许负偏离的条款数超过“供应商须知前附表”规定项数的；</w:t>
      </w:r>
    </w:p>
    <w:p w14:paraId="7736889D">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lang w:val="en-US" w:eastAsia="zh-CN"/>
        </w:rPr>
        <w:t>6</w:t>
      </w:r>
      <w:r>
        <w:rPr>
          <w:rFonts w:hint="eastAsia" w:ascii="宋体" w:hAnsi="宋体" w:cs="宋体"/>
          <w:b/>
          <w:color w:val="auto"/>
          <w:szCs w:val="21"/>
          <w:highlight w:val="none"/>
        </w:rPr>
        <w:t>）响应文件的实质性内容未使用中文表述、使用计量单位不符合磋商文件要求的；</w:t>
      </w:r>
    </w:p>
    <w:p w14:paraId="0223D7B7">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lang w:val="en-US" w:eastAsia="zh-CN"/>
        </w:rPr>
        <w:t>7</w:t>
      </w:r>
      <w:r>
        <w:rPr>
          <w:rFonts w:hint="eastAsia" w:ascii="宋体" w:hAnsi="宋体" w:cs="宋体"/>
          <w:b/>
          <w:color w:val="auto"/>
          <w:szCs w:val="21"/>
          <w:highlight w:val="none"/>
        </w:rPr>
        <w:t>）响应文件中的文件资料因填写不齐全或者内容虚假或者出现其他情形而导致被磋商小组认定无效的；</w:t>
      </w:r>
    </w:p>
    <w:p w14:paraId="34173184">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lang w:val="en-US" w:eastAsia="zh-CN"/>
        </w:rPr>
        <w:t>8</w:t>
      </w:r>
      <w:r>
        <w:rPr>
          <w:rFonts w:hint="eastAsia" w:ascii="宋体" w:hAnsi="宋体" w:cs="宋体"/>
          <w:b/>
          <w:color w:val="auto"/>
          <w:szCs w:val="21"/>
          <w:highlight w:val="none"/>
        </w:rPr>
        <w:t>）响应文件含有采购人不能接受的附加条件的；</w:t>
      </w:r>
    </w:p>
    <w:p w14:paraId="78D36AF8">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lang w:val="en-US" w:eastAsia="zh-CN"/>
        </w:rPr>
        <w:t>9</w:t>
      </w:r>
      <w:r>
        <w:rPr>
          <w:rFonts w:hint="eastAsia" w:ascii="宋体" w:hAnsi="宋体" w:cs="宋体"/>
          <w:b/>
          <w:color w:val="auto"/>
          <w:szCs w:val="21"/>
          <w:highlight w:val="none"/>
        </w:rPr>
        <w:t>）属于“供应商须知正文”第7.</w:t>
      </w:r>
      <w:r>
        <w:rPr>
          <w:rFonts w:ascii="宋体" w:hAnsi="宋体" w:cs="宋体"/>
          <w:b/>
          <w:color w:val="auto"/>
          <w:szCs w:val="21"/>
          <w:highlight w:val="none"/>
        </w:rPr>
        <w:t>5</w:t>
      </w:r>
      <w:r>
        <w:rPr>
          <w:rFonts w:hint="eastAsia" w:ascii="宋体" w:hAnsi="宋体" w:cs="宋体"/>
          <w:b/>
          <w:color w:val="auto"/>
          <w:szCs w:val="21"/>
          <w:highlight w:val="none"/>
        </w:rPr>
        <w:t>条供应商相互串通竞标情形的；</w:t>
      </w:r>
    </w:p>
    <w:p w14:paraId="61BBB104">
      <w:pPr>
        <w:spacing w:line="360" w:lineRule="auto"/>
        <w:ind w:firstLine="422" w:firstLineChars="200"/>
        <w:rPr>
          <w:rFonts w:hint="eastAsia" w:ascii="宋体" w:hAnsi="宋体" w:cs="宋体"/>
          <w:b/>
          <w:color w:val="auto"/>
          <w:szCs w:val="21"/>
          <w:highlight w:val="none"/>
        </w:rPr>
      </w:pPr>
      <w:r>
        <w:rPr>
          <w:rFonts w:ascii="宋体" w:hAnsi="宋体" w:cs="宋体"/>
          <w:b/>
          <w:color w:val="auto"/>
          <w:szCs w:val="21"/>
          <w:highlight w:val="none"/>
        </w:rPr>
        <w:t>1</w:t>
      </w:r>
      <w:r>
        <w:rPr>
          <w:rFonts w:hint="eastAsia" w:ascii="宋体" w:hAnsi="宋体" w:cs="宋体"/>
          <w:b/>
          <w:color w:val="auto"/>
          <w:szCs w:val="21"/>
          <w:highlight w:val="none"/>
          <w:lang w:val="en-US" w:eastAsia="zh-CN"/>
        </w:rPr>
        <w:t>0</w:t>
      </w:r>
      <w:r>
        <w:rPr>
          <w:rFonts w:hint="eastAsia" w:ascii="宋体" w:hAnsi="宋体" w:cs="宋体"/>
          <w:b/>
          <w:color w:val="auto"/>
          <w:szCs w:val="21"/>
          <w:highlight w:val="none"/>
        </w:rPr>
        <w:t>）</w:t>
      </w:r>
      <w:r>
        <w:rPr>
          <w:rFonts w:hint="eastAsia"/>
          <w:b/>
          <w:color w:val="auto"/>
          <w:highlight w:val="none"/>
        </w:rPr>
        <w:t>技术及其他要求</w:t>
      </w:r>
      <w:r>
        <w:rPr>
          <w:rFonts w:hint="eastAsia" w:ascii="宋体" w:hAnsi="宋体" w:cs="宋体"/>
          <w:b/>
          <w:color w:val="auto"/>
          <w:szCs w:val="21"/>
          <w:highlight w:val="none"/>
        </w:rPr>
        <w:t>允许负偏离的条款数超过“供应商须知前附表”规定项数的；</w:t>
      </w:r>
    </w:p>
    <w:p w14:paraId="7882C948">
      <w:pPr>
        <w:spacing w:line="360" w:lineRule="auto"/>
        <w:ind w:firstLine="422" w:firstLineChars="200"/>
        <w:rPr>
          <w:rFonts w:hint="eastAsia" w:ascii="宋体" w:hAnsi="宋体" w:cs="宋体"/>
          <w:b/>
          <w:color w:val="auto"/>
          <w:szCs w:val="21"/>
          <w:highlight w:val="none"/>
        </w:rPr>
      </w:pPr>
      <w:r>
        <w:rPr>
          <w:rFonts w:ascii="宋体" w:hAnsi="宋体" w:cs="宋体"/>
          <w:b/>
          <w:color w:val="auto"/>
          <w:szCs w:val="21"/>
          <w:highlight w:val="none"/>
        </w:rPr>
        <w:t>1</w:t>
      </w:r>
      <w:r>
        <w:rPr>
          <w:rFonts w:hint="eastAsia" w:ascii="宋体" w:hAnsi="宋体" w:cs="宋体"/>
          <w:b/>
          <w:color w:val="auto"/>
          <w:szCs w:val="21"/>
          <w:highlight w:val="none"/>
          <w:lang w:val="en-US" w:eastAsia="zh-CN"/>
        </w:rPr>
        <w:t>1</w:t>
      </w:r>
      <w:r>
        <w:rPr>
          <w:rFonts w:hint="eastAsia" w:ascii="宋体" w:hAnsi="宋体" w:cs="宋体"/>
          <w:b/>
          <w:color w:val="auto"/>
          <w:szCs w:val="21"/>
          <w:highlight w:val="none"/>
        </w:rPr>
        <w:t>）虚假竞标，或者出现其他情形而导致被磋商小组认定无效的；</w:t>
      </w:r>
    </w:p>
    <w:p w14:paraId="4C70BF66">
      <w:pPr>
        <w:spacing w:line="360" w:lineRule="auto"/>
        <w:ind w:firstLine="422" w:firstLineChars="200"/>
        <w:rPr>
          <w:rFonts w:hint="eastAsia" w:ascii="宋体" w:hAnsi="宋体" w:cs="宋体"/>
          <w:b/>
          <w:color w:val="auto"/>
          <w:szCs w:val="21"/>
          <w:highlight w:val="none"/>
        </w:rPr>
      </w:pPr>
      <w:r>
        <w:rPr>
          <w:rFonts w:ascii="宋体" w:hAnsi="宋体" w:cs="宋体"/>
          <w:b/>
          <w:color w:val="auto"/>
          <w:szCs w:val="21"/>
          <w:highlight w:val="none"/>
        </w:rPr>
        <w:t>1</w:t>
      </w:r>
      <w:r>
        <w:rPr>
          <w:rFonts w:hint="eastAsia" w:ascii="宋体" w:hAnsi="宋体" w:cs="宋体"/>
          <w:b/>
          <w:color w:val="auto"/>
          <w:szCs w:val="21"/>
          <w:highlight w:val="none"/>
          <w:lang w:val="en-US" w:eastAsia="zh-CN"/>
        </w:rPr>
        <w:t>2</w:t>
      </w:r>
      <w:r>
        <w:rPr>
          <w:rFonts w:hint="eastAsia" w:ascii="宋体" w:hAnsi="宋体" w:cs="宋体"/>
          <w:b/>
          <w:color w:val="auto"/>
          <w:szCs w:val="21"/>
          <w:highlight w:val="none"/>
        </w:rPr>
        <w:t>）</w:t>
      </w:r>
      <w:bookmarkStart w:id="74" w:name="_Hlk71704147"/>
      <w:r>
        <w:rPr>
          <w:rFonts w:hint="eastAsia" w:ascii="宋体" w:hAnsi="宋体" w:cs="宋体"/>
          <w:b/>
          <w:color w:val="auto"/>
          <w:szCs w:val="21"/>
          <w:highlight w:val="none"/>
        </w:rPr>
        <w:t>磋商文件未载明允许提供备选（替代）竞标方案或明确不允许提供备选（替代）竞标方案时，供应商提供了备选（替代）竞标方案的；</w:t>
      </w:r>
      <w:bookmarkEnd w:id="74"/>
    </w:p>
    <w:p w14:paraId="1C6B89CB">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1</w:t>
      </w:r>
      <w:r>
        <w:rPr>
          <w:rFonts w:hint="eastAsia" w:ascii="宋体" w:hAnsi="宋体" w:cs="宋体"/>
          <w:b/>
          <w:color w:val="auto"/>
          <w:szCs w:val="21"/>
          <w:highlight w:val="none"/>
          <w:lang w:val="en-US" w:eastAsia="zh-CN"/>
        </w:rPr>
        <w:t>3</w:t>
      </w:r>
      <w:r>
        <w:rPr>
          <w:rFonts w:hint="eastAsia" w:ascii="宋体" w:hAnsi="宋体" w:cs="宋体"/>
          <w:b/>
          <w:color w:val="auto"/>
          <w:szCs w:val="21"/>
          <w:highlight w:val="none"/>
        </w:rPr>
        <w:t>）</w:t>
      </w:r>
      <w:r>
        <w:rPr>
          <w:rFonts w:hint="eastAsia" w:ascii="宋体" w:hAnsi="宋体"/>
          <w:b/>
          <w:color w:val="auto"/>
          <w:szCs w:val="21"/>
          <w:highlight w:val="none"/>
        </w:rPr>
        <w:t>竞争性磋商文件明确不允许分包，响应文件拟分包的；</w:t>
      </w:r>
    </w:p>
    <w:p w14:paraId="6491ED23">
      <w:pPr>
        <w:spacing w:line="360" w:lineRule="auto"/>
        <w:ind w:firstLine="422" w:firstLineChars="200"/>
        <w:rPr>
          <w:rFonts w:hint="eastAsia" w:ascii="宋体" w:hAnsi="宋体" w:cs="宋体"/>
          <w:b/>
          <w:color w:val="auto"/>
          <w:szCs w:val="21"/>
          <w:highlight w:val="none"/>
        </w:rPr>
      </w:pPr>
      <w:r>
        <w:rPr>
          <w:rFonts w:ascii="宋体" w:hAnsi="宋体" w:cs="宋体"/>
          <w:b/>
          <w:color w:val="auto"/>
          <w:szCs w:val="21"/>
          <w:highlight w:val="none"/>
        </w:rPr>
        <w:t>1</w:t>
      </w:r>
      <w:r>
        <w:rPr>
          <w:rFonts w:hint="eastAsia" w:ascii="宋体" w:hAnsi="宋体" w:cs="宋体"/>
          <w:b/>
          <w:color w:val="auto"/>
          <w:szCs w:val="21"/>
          <w:highlight w:val="none"/>
          <w:lang w:val="en-US" w:eastAsia="zh-CN"/>
        </w:rPr>
        <w:t>4</w:t>
      </w:r>
      <w:r>
        <w:rPr>
          <w:rFonts w:hint="eastAsia" w:ascii="宋体" w:hAnsi="宋体" w:cs="宋体"/>
          <w:b/>
          <w:color w:val="auto"/>
          <w:szCs w:val="21"/>
          <w:highlight w:val="none"/>
        </w:rPr>
        <w:t>）未响应磋商文件实质性要求的；</w:t>
      </w:r>
    </w:p>
    <w:p w14:paraId="4D4340FD">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1</w:t>
      </w:r>
      <w:r>
        <w:rPr>
          <w:rFonts w:hint="eastAsia" w:ascii="宋体" w:hAnsi="宋体" w:cs="宋体"/>
          <w:b/>
          <w:color w:val="auto"/>
          <w:szCs w:val="21"/>
          <w:highlight w:val="none"/>
          <w:lang w:val="en-US" w:eastAsia="zh-CN"/>
        </w:rPr>
        <w:t>5</w:t>
      </w:r>
      <w:r>
        <w:rPr>
          <w:rFonts w:hint="eastAsia" w:ascii="宋体" w:hAnsi="宋体" w:cs="宋体"/>
          <w:b/>
          <w:color w:val="auto"/>
          <w:szCs w:val="21"/>
          <w:highlight w:val="none"/>
        </w:rPr>
        <w:t>）法律、法规和磋商文件规定的其他无效情形。</w:t>
      </w:r>
    </w:p>
    <w:p w14:paraId="28210B9E">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w:t>
      </w:r>
      <w:r>
        <w:rPr>
          <w:rFonts w:ascii="宋体" w:hAnsi="宋体" w:cs="宋体"/>
          <w:b/>
          <w:color w:val="auto"/>
          <w:szCs w:val="21"/>
          <w:highlight w:val="none"/>
        </w:rPr>
        <w:t>2</w:t>
      </w:r>
      <w:r>
        <w:rPr>
          <w:rFonts w:hint="eastAsia" w:ascii="宋体" w:hAnsi="宋体" w:cs="宋体"/>
          <w:b/>
          <w:color w:val="auto"/>
          <w:szCs w:val="21"/>
          <w:highlight w:val="none"/>
        </w:rPr>
        <w:t>）报价评审</w:t>
      </w:r>
    </w:p>
    <w:p w14:paraId="16C780D8">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1）未采用人民币报价或者未按照磋商文件标明的币种报价的；</w:t>
      </w:r>
    </w:p>
    <w:p w14:paraId="7EA6AD24">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2）供应商未就本工程进行报价或者存在漏项报价；供应商未就本工程的单项内容作唯一报价；供应商未就本工程的全部内容作完整唯一总价报价；供应商响应文件中存在有选择、有条件报价的（磋商文件允许有备选方案或者其他约定的除外）；</w:t>
      </w:r>
    </w:p>
    <w:p w14:paraId="5B4D33A4">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3）竞标报价（包含首次报价、最后报价）超过本项目规定的采购预算金额或者最高限价的（如本项目公布了最高限价）；</w:t>
      </w:r>
      <w:bookmarkStart w:id="75" w:name="_Hlk42596405"/>
      <w:r>
        <w:rPr>
          <w:rFonts w:hint="eastAsia" w:ascii="宋体" w:hAnsi="宋体" w:cs="宋体"/>
          <w:b/>
          <w:color w:val="auto"/>
          <w:szCs w:val="21"/>
          <w:highlight w:val="none"/>
        </w:rPr>
        <w:t>竞标报价（包含首次报价、最后报价）</w:t>
      </w:r>
      <w:bookmarkEnd w:id="75"/>
      <w:bookmarkStart w:id="76" w:name="_Hlk42596276"/>
      <w:r>
        <w:rPr>
          <w:rFonts w:hint="eastAsia" w:ascii="宋体" w:hAnsi="宋体" w:cs="宋体"/>
          <w:b/>
          <w:color w:val="auto"/>
          <w:szCs w:val="21"/>
          <w:highlight w:val="none"/>
        </w:rPr>
        <w:t>超过磋商文件分项采购预算金额或者最高限价的</w:t>
      </w:r>
      <w:bookmarkEnd w:id="76"/>
      <w:r>
        <w:rPr>
          <w:rFonts w:hint="eastAsia" w:ascii="宋体" w:hAnsi="宋体" w:cs="宋体"/>
          <w:b/>
          <w:color w:val="auto"/>
          <w:szCs w:val="21"/>
          <w:highlight w:val="none"/>
        </w:rPr>
        <w:t>（如本项目有要求并公布了分项采购预算金额或者最高限价）；</w:t>
      </w:r>
    </w:p>
    <w:p w14:paraId="3BC2F445">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4）修正后的报价，供应商不确认的；或者经供应商确认修正后的竞标报价（包含首次报价、最后报价）超过本项目规定的采购预算金额或者最高限价（如本项目公布了最高限价）；或者经供应商确认修正后</w:t>
      </w:r>
      <w:r>
        <w:rPr>
          <w:rFonts w:hint="eastAsia" w:ascii="宋体" w:hAnsi="宋体" w:cs="宋体"/>
          <w:b/>
          <w:color w:val="auto"/>
          <w:szCs w:val="21"/>
          <w:highlight w:val="none"/>
          <w:lang w:eastAsia="zh-CN"/>
        </w:rPr>
        <w:t>的</w:t>
      </w:r>
      <w:r>
        <w:rPr>
          <w:rFonts w:hint="eastAsia" w:ascii="宋体" w:hAnsi="宋体" w:cs="宋体"/>
          <w:b/>
          <w:color w:val="auto"/>
          <w:szCs w:val="21"/>
          <w:highlight w:val="none"/>
        </w:rPr>
        <w:t>竞标报价（包含首次报价、最后报价）超过磋商文件分项采购预算金额或者最高限价的（如本项目有要求并公布了分项采购预算金额或者最高限价）。</w:t>
      </w:r>
    </w:p>
    <w:p w14:paraId="4121BECD">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5）在单价合同工程中供应商采用总价优惠或以总价百分比优惠的方式进行竞标报价的；</w:t>
      </w:r>
    </w:p>
    <w:p w14:paraId="46A1A01B">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6）竞标报价与已标价工程量清单汇总表不一致的；</w:t>
      </w:r>
    </w:p>
    <w:p w14:paraId="4187F949">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7）安全文明施工费和规费、增值税不按广西区费用定额及造价管理相关文件规定报价的（园林绿化及仿古建筑工程除外）；</w:t>
      </w:r>
    </w:p>
    <w:p w14:paraId="18733851">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8）供应商已标价工程量清单的项目编码（12位）、计量单位、工程量任何一处与工程量清单不一致的；</w:t>
      </w:r>
    </w:p>
    <w:p w14:paraId="17444A41">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9）供应商已标价工程量清单的项目名称或项目特征与工程量清单不一致，评标委员会要求澄清、说明或补正，但供应商拒绝澄清、说明或补正的；</w:t>
      </w:r>
    </w:p>
    <w:p w14:paraId="31E15663">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10）设有暂估价（如：材料设备暂估价、专业工程暂估价、安全生产责任保险费暂估价）、暂列金额的，竞标时未按工程量清单给出的暂估价总价、暂列金额总价计入竞标报价中的；</w:t>
      </w:r>
    </w:p>
    <w:p w14:paraId="2CBBE557">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11）供应商对工程量清单内容进行增减或对竞标范围进行调整的；</w:t>
      </w:r>
    </w:p>
    <w:p w14:paraId="3F59F81F">
      <w:pPr>
        <w:spacing w:line="360" w:lineRule="auto"/>
        <w:ind w:firstLine="422" w:firstLineChars="200"/>
        <w:rPr>
          <w:rFonts w:hint="eastAsia" w:ascii="宋体" w:hAnsi="宋体"/>
          <w:b/>
          <w:color w:val="auto"/>
          <w:szCs w:val="21"/>
          <w:highlight w:val="none"/>
        </w:rPr>
      </w:pPr>
      <w:r>
        <w:rPr>
          <w:rFonts w:hint="eastAsia" w:ascii="宋体" w:hAnsi="宋体" w:cs="宋体"/>
          <w:b/>
          <w:color w:val="auto"/>
          <w:szCs w:val="21"/>
          <w:highlight w:val="none"/>
        </w:rPr>
        <w:t>12）</w:t>
      </w:r>
      <w:r>
        <w:rPr>
          <w:rFonts w:hint="eastAsia" w:ascii="宋体" w:hAnsi="宋体"/>
          <w:b/>
          <w:color w:val="auto"/>
          <w:szCs w:val="21"/>
          <w:highlight w:val="none"/>
        </w:rPr>
        <w:t>响应文件响应的标的数量及单位与竞争性磋商采购文件要求实质性不一致的；</w:t>
      </w:r>
    </w:p>
    <w:p w14:paraId="0ED00E13">
      <w:pPr>
        <w:spacing w:line="360" w:lineRule="auto"/>
        <w:ind w:firstLine="422" w:firstLineChars="200"/>
        <w:rPr>
          <w:rFonts w:hint="eastAsia" w:ascii="宋体" w:hAnsi="宋体"/>
          <w:b/>
          <w:color w:val="auto"/>
          <w:szCs w:val="21"/>
          <w:highlight w:val="none"/>
        </w:rPr>
      </w:pPr>
      <w:r>
        <w:rPr>
          <w:rFonts w:hint="eastAsia" w:ascii="宋体" w:hAnsi="宋体" w:cs="宋体"/>
          <w:b/>
          <w:color w:val="auto"/>
          <w:szCs w:val="21"/>
          <w:highlight w:val="none"/>
          <w:lang w:val="en-US" w:eastAsia="zh-CN"/>
        </w:rPr>
        <w:t>13</w:t>
      </w:r>
      <w:r>
        <w:rPr>
          <w:rFonts w:hint="eastAsia" w:ascii="宋体" w:hAnsi="宋体" w:cs="宋体"/>
          <w:b/>
          <w:color w:val="auto"/>
          <w:szCs w:val="21"/>
          <w:highlight w:val="none"/>
        </w:rPr>
        <w:t>）未对竞标有效期作出响应或者响应文件承诺的竞标有效期不满足磋商文件要求的；</w:t>
      </w:r>
    </w:p>
    <w:p w14:paraId="79909BF8">
      <w:pPr>
        <w:spacing w:line="360" w:lineRule="auto"/>
        <w:ind w:firstLine="422" w:firstLineChars="200"/>
        <w:rPr>
          <w:rFonts w:hint="eastAsia" w:ascii="宋体" w:hAnsi="宋体" w:cs="宋体"/>
          <w:b/>
          <w:color w:val="auto"/>
          <w:szCs w:val="21"/>
          <w:highlight w:val="none"/>
        </w:rPr>
      </w:pPr>
      <w:r>
        <w:rPr>
          <w:rFonts w:ascii="宋体" w:hAnsi="宋体" w:cs="宋体"/>
          <w:b/>
          <w:color w:val="auto"/>
          <w:szCs w:val="21"/>
          <w:highlight w:val="none"/>
        </w:rPr>
        <w:t>1</w:t>
      </w:r>
      <w:r>
        <w:rPr>
          <w:rFonts w:hint="eastAsia" w:ascii="宋体" w:hAnsi="宋体" w:cs="宋体"/>
          <w:b/>
          <w:color w:val="auto"/>
          <w:szCs w:val="21"/>
          <w:highlight w:val="none"/>
          <w:lang w:val="en-US" w:eastAsia="zh-CN"/>
        </w:rPr>
        <w:t>4</w:t>
      </w:r>
      <w:r>
        <w:rPr>
          <w:rFonts w:hint="eastAsia" w:ascii="宋体" w:hAnsi="宋体" w:cs="宋体"/>
          <w:b/>
          <w:color w:val="auto"/>
          <w:szCs w:val="21"/>
          <w:highlight w:val="none"/>
        </w:rPr>
        <w:t>）未响应磋商文件实质性要求的。</w:t>
      </w:r>
    </w:p>
    <w:p w14:paraId="3BBC69B6">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2.6</w:t>
      </w:r>
      <w:r>
        <w:rPr>
          <w:rFonts w:hint="eastAsia" w:ascii="宋体" w:hAnsi="宋体" w:cs="宋体"/>
          <w:color w:val="auto"/>
          <w:szCs w:val="21"/>
          <w:highlight w:val="none"/>
        </w:rPr>
        <w:t>磋商小组对响应文件进行评审，未实质性响应磋商文件的响应文件按无效处理，磋商小组应当将资格和符合性不通过的情况告知有关供应商。</w:t>
      </w:r>
    </w:p>
    <w:p w14:paraId="46304542">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2.7</w:t>
      </w:r>
      <w:r>
        <w:rPr>
          <w:rFonts w:hint="eastAsia" w:ascii="宋体" w:hAnsi="宋体"/>
          <w:color w:val="auto"/>
          <w:szCs w:val="21"/>
          <w:highlight w:val="none"/>
        </w:rPr>
        <w:t>通过符合性审查的合格供应商不足3家的，不得进入磋商环节，应当重新开展采购活动。</w:t>
      </w:r>
    </w:p>
    <w:p w14:paraId="44DDBC29">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3</w:t>
      </w:r>
      <w:r>
        <w:rPr>
          <w:rFonts w:hint="eastAsia" w:ascii="黑体" w:hAnsi="黑体" w:eastAsia="黑体" w:cs="宋体"/>
          <w:b/>
          <w:bCs/>
          <w:color w:val="auto"/>
          <w:sz w:val="24"/>
          <w:highlight w:val="none"/>
        </w:rPr>
        <w:t>.磋商程序</w:t>
      </w:r>
    </w:p>
    <w:p w14:paraId="098839CE">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w:t>
      </w:r>
      <w:r>
        <w:rPr>
          <w:rFonts w:ascii="宋体" w:hAnsi="宋体" w:cs="宋体"/>
          <w:color w:val="auto"/>
          <w:kern w:val="0"/>
          <w:szCs w:val="21"/>
          <w:highlight w:val="none"/>
        </w:rPr>
        <w:t>.1</w:t>
      </w:r>
      <w:r>
        <w:rPr>
          <w:rFonts w:hint="eastAsia" w:ascii="宋体" w:hAnsi="宋体" w:cs="宋体"/>
          <w:color w:val="auto"/>
          <w:kern w:val="0"/>
          <w:szCs w:val="21"/>
          <w:highlight w:val="none"/>
        </w:rPr>
        <w:t>磋商小组</w:t>
      </w:r>
      <w:r>
        <w:rPr>
          <w:rFonts w:hint="eastAsia" w:ascii="宋体" w:hAnsi="宋体" w:cs="宋体"/>
          <w:color w:val="auto"/>
          <w:szCs w:val="21"/>
          <w:highlight w:val="none"/>
        </w:rPr>
        <w:t>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处理。</w:t>
      </w:r>
    </w:p>
    <w:p w14:paraId="4A1E3D32">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3.2</w:t>
      </w:r>
      <w:r>
        <w:rPr>
          <w:rFonts w:hint="eastAsia" w:ascii="宋体" w:hAnsi="宋体" w:cs="宋体"/>
          <w:color w:val="auto"/>
          <w:szCs w:val="21"/>
          <w:highlight w:val="none"/>
        </w:rPr>
        <w:t>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051E8B32">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3.3</w:t>
      </w:r>
      <w:r>
        <w:rPr>
          <w:rFonts w:hint="eastAsia" w:ascii="宋体" w:hAnsi="宋体" w:cs="宋体"/>
          <w:color w:val="auto"/>
          <w:szCs w:val="21"/>
          <w:highlight w:val="none"/>
        </w:rPr>
        <w:t>对磋商文件作出的实质性变动是磋商文件的有效组成部分，由磋商小组及时以电子澄清函形式同时通知所有参加磋商的供应商。</w:t>
      </w:r>
    </w:p>
    <w:p w14:paraId="7FCEC371">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3.4</w:t>
      </w:r>
      <w:r>
        <w:rPr>
          <w:rFonts w:hint="eastAsia" w:ascii="宋体" w:hAnsi="宋体" w:cs="宋体"/>
          <w:color w:val="auto"/>
          <w:szCs w:val="21"/>
          <w:highlight w:val="none"/>
        </w:rPr>
        <w:t>供应商必须按照磋商文件的变动情况和磋商小组的要求以回函的形式重新提交响应文件，并加盖电子签章。参加磋商的供应商未在规定时间内重新提交响应文件的，视同退出磋商，其响应文件按无效处理。</w:t>
      </w:r>
    </w:p>
    <w:p w14:paraId="3A2CD4CA">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3.5</w:t>
      </w:r>
      <w:r>
        <w:rPr>
          <w:rFonts w:hint="eastAsia" w:ascii="宋体" w:hAnsi="宋体" w:cs="宋体"/>
          <w:color w:val="auto"/>
          <w:szCs w:val="21"/>
          <w:highlight w:val="none"/>
        </w:rPr>
        <w:t>磋商中，磋商的任何一方不得透露与磋商有关的其他供应商的技术资料、价格和其他信息</w:t>
      </w:r>
      <w:r>
        <w:rPr>
          <w:rFonts w:hint="eastAsia" w:ascii="宋体" w:hAnsi="宋体" w:cs="宋体"/>
          <w:color w:val="auto"/>
          <w:spacing w:val="-6"/>
          <w:szCs w:val="21"/>
          <w:highlight w:val="none"/>
        </w:rPr>
        <w:t>。</w:t>
      </w:r>
    </w:p>
    <w:p w14:paraId="64EC2445">
      <w:pPr>
        <w:widowControl/>
        <w:tabs>
          <w:tab w:val="left" w:pos="540"/>
        </w:tabs>
        <w:spacing w:line="360" w:lineRule="auto"/>
        <w:ind w:firstLine="420" w:firstLineChars="200"/>
        <w:jc w:val="left"/>
        <w:rPr>
          <w:rFonts w:hint="eastAsia" w:ascii="宋体" w:hAnsi="宋体" w:cs="宋体"/>
          <w:color w:val="auto"/>
          <w:szCs w:val="21"/>
          <w:highlight w:val="none"/>
        </w:rPr>
      </w:pPr>
      <w:r>
        <w:rPr>
          <w:rFonts w:ascii="宋体" w:hAnsi="宋体" w:cs="宋体"/>
          <w:color w:val="auto"/>
          <w:szCs w:val="21"/>
          <w:highlight w:val="none"/>
        </w:rPr>
        <w:t>3.6</w:t>
      </w:r>
      <w:r>
        <w:rPr>
          <w:rFonts w:hint="eastAsia" w:ascii="宋体" w:hAnsi="宋体" w:cs="宋体"/>
          <w:color w:val="auto"/>
          <w:szCs w:val="21"/>
          <w:highlight w:val="none"/>
        </w:rPr>
        <w:t>采购代理机构对磋商过程和磋商内容进行记录。</w:t>
      </w:r>
    </w:p>
    <w:p w14:paraId="52385191">
      <w:pPr>
        <w:widowControl/>
        <w:tabs>
          <w:tab w:val="left" w:pos="540"/>
        </w:tabs>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.7</w:t>
      </w:r>
      <w:r>
        <w:rPr>
          <w:color w:val="auto"/>
          <w:highlight w:val="none"/>
        </w:rPr>
        <w:t>根据《</w:t>
      </w:r>
      <w:r>
        <w:rPr>
          <w:rFonts w:ascii="宋体" w:hAnsi="宋体"/>
          <w:color w:val="auto"/>
          <w:highlight w:val="none"/>
        </w:rPr>
        <w:t>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559E1419">
      <w:pPr>
        <w:tabs>
          <w:tab w:val="left" w:pos="2835"/>
        </w:tabs>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3.8除</w:t>
      </w:r>
      <w:r>
        <w:rPr>
          <w:rFonts w:ascii="宋体" w:hAnsi="宋体"/>
          <w:color w:val="auto"/>
          <w:highlight w:val="none"/>
        </w:rPr>
        <w:t>本章第3.7条</w:t>
      </w:r>
      <w:r>
        <w:rPr>
          <w:rFonts w:hint="eastAsia" w:ascii="宋体" w:hAnsi="宋体"/>
          <w:color w:val="auto"/>
          <w:highlight w:val="none"/>
        </w:rPr>
        <w:t>规定的</w:t>
      </w:r>
      <w:r>
        <w:rPr>
          <w:rFonts w:ascii="宋体" w:hAnsi="宋体"/>
          <w:color w:val="auto"/>
          <w:highlight w:val="none"/>
        </w:rPr>
        <w:t>情形</w:t>
      </w:r>
      <w:r>
        <w:rPr>
          <w:rFonts w:hint="eastAsia" w:ascii="宋体" w:hAnsi="宋体"/>
          <w:color w:val="auto"/>
          <w:highlight w:val="none"/>
        </w:rPr>
        <w:t>外，</w:t>
      </w:r>
      <w:r>
        <w:rPr>
          <w:rFonts w:hint="eastAsia" w:ascii="宋体" w:hAnsi="宋体"/>
          <w:color w:val="auto"/>
          <w:szCs w:val="21"/>
          <w:highlight w:val="none"/>
        </w:rPr>
        <w:t>对磋商过程提交的响应文件进行有效性、完整性和响应程度审查，通过审查的合格供应商不足3家的，应当重新开展采购活动。</w:t>
      </w:r>
    </w:p>
    <w:p w14:paraId="2C75D68E">
      <w:pPr>
        <w:spacing w:line="360" w:lineRule="auto"/>
        <w:ind w:firstLine="482" w:firstLineChars="200"/>
        <w:rPr>
          <w:rFonts w:hint="eastAsia" w:ascii="宋体" w:hAnsi="宋体" w:cs="宋体"/>
          <w:color w:val="auto"/>
          <w:szCs w:val="21"/>
          <w:highlight w:val="none"/>
        </w:rPr>
      </w:pPr>
      <w:r>
        <w:rPr>
          <w:rFonts w:ascii="黑体" w:hAnsi="黑体" w:eastAsia="黑体" w:cs="宋体"/>
          <w:b/>
          <w:bCs/>
          <w:color w:val="auto"/>
          <w:sz w:val="24"/>
          <w:highlight w:val="none"/>
        </w:rPr>
        <w:t>4.</w:t>
      </w:r>
      <w:r>
        <w:rPr>
          <w:rFonts w:hint="eastAsia" w:ascii="黑体" w:hAnsi="黑体" w:eastAsia="黑体" w:cs="宋体"/>
          <w:b/>
          <w:bCs/>
          <w:color w:val="auto"/>
          <w:sz w:val="24"/>
          <w:highlight w:val="none"/>
        </w:rPr>
        <w:t xml:space="preserve"> 最后报价</w:t>
      </w:r>
    </w:p>
    <w:p w14:paraId="3FB4C66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.1</w:t>
      </w:r>
      <w:r>
        <w:rPr>
          <w:rFonts w:hint="eastAsia" w:ascii="宋体" w:hAnsi="宋体" w:cs="宋体"/>
          <w:color w:val="auto"/>
          <w:szCs w:val="21"/>
          <w:highlight w:val="none"/>
        </w:rPr>
        <w:t>磋商文件能够详细列明采购标的的技术、服务要求的，磋商结束后，磋商小组应当要求所有继续参加磋商的供应商在规定时间内在广西政府采购云平台开标大厅提交加盖供应商电子签章的最后报价，除本章第</w:t>
      </w:r>
      <w:r>
        <w:rPr>
          <w:rFonts w:ascii="宋体" w:hAnsi="宋体" w:cs="宋体"/>
          <w:color w:val="auto"/>
          <w:szCs w:val="21"/>
          <w:highlight w:val="none"/>
        </w:rPr>
        <w:t>4.3</w:t>
      </w:r>
      <w:r>
        <w:rPr>
          <w:rFonts w:hint="eastAsia" w:ascii="宋体" w:hAnsi="宋体" w:cs="宋体"/>
          <w:color w:val="auto"/>
          <w:szCs w:val="21"/>
          <w:highlight w:val="none"/>
        </w:rPr>
        <w:t>条规定的情形外，提交最后报价的供应商不得少于3家，否则应当重新</w:t>
      </w:r>
      <w:r>
        <w:rPr>
          <w:rFonts w:hint="eastAsia" w:ascii="宋体" w:hAnsi="宋体"/>
          <w:color w:val="auto"/>
          <w:szCs w:val="21"/>
          <w:highlight w:val="none"/>
        </w:rPr>
        <w:t>开展采购活动</w:t>
      </w:r>
      <w:r>
        <w:rPr>
          <w:rFonts w:hint="eastAsia" w:ascii="宋体" w:hAnsi="宋体" w:cs="宋体"/>
          <w:color w:val="auto"/>
          <w:szCs w:val="21"/>
          <w:highlight w:val="none"/>
        </w:rPr>
        <w:t>。</w:t>
      </w:r>
    </w:p>
    <w:p w14:paraId="152C157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.2</w:t>
      </w:r>
      <w:r>
        <w:rPr>
          <w:rFonts w:hint="eastAsia" w:ascii="宋体" w:hAnsi="宋体" w:cs="宋体"/>
          <w:color w:val="auto"/>
          <w:szCs w:val="21"/>
          <w:highlight w:val="none"/>
        </w:rPr>
        <w:t>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在广西政府采购云平台开标大厅提交最后报价。</w:t>
      </w:r>
      <w:r>
        <w:rPr>
          <w:rFonts w:hint="eastAsia" w:ascii="宋体" w:hAnsi="宋体" w:cs="宋体"/>
          <w:b/>
          <w:color w:val="auto"/>
          <w:szCs w:val="21"/>
          <w:highlight w:val="none"/>
        </w:rPr>
        <w:t>如果供应商的最后报价与首次报价不一致的，不能只报竞标报价，必须同时提供“已标价工程量清单”，否则做无效响应处理。</w:t>
      </w:r>
    </w:p>
    <w:p w14:paraId="57404AF9">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4.3</w:t>
      </w:r>
      <w:r>
        <w:rPr>
          <w:rFonts w:hint="eastAsia" w:ascii="宋体" w:hAnsi="宋体" w:cs="宋体"/>
          <w:color w:val="auto"/>
          <w:szCs w:val="21"/>
          <w:highlight w:val="none"/>
        </w:rPr>
        <w:t xml:space="preserve"> 最后报价是供应商响应文件的有效组成部分。</w:t>
      </w:r>
    </w:p>
    <w:p w14:paraId="58891D0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符合《政府采购竞争性磋商采购方式管理暂行办法》（财库〔2014〕214号）第三条第四项“市场竞争不充分的科研项目，以及需要扶持的科技成果转化项目”和</w:t>
      </w:r>
      <w:r>
        <w:rPr>
          <w:color w:val="auto"/>
          <w:highlight w:val="none"/>
        </w:rPr>
        <w:t>本章</w:t>
      </w:r>
      <w:r>
        <w:rPr>
          <w:rFonts w:ascii="宋体" w:hAnsi="宋体"/>
          <w:color w:val="auto"/>
          <w:highlight w:val="none"/>
        </w:rPr>
        <w:t>第3.7条</w:t>
      </w:r>
      <w:r>
        <w:rPr>
          <w:rFonts w:hint="eastAsia" w:ascii="宋体" w:hAnsi="宋体" w:cs="宋体"/>
          <w:color w:val="auto"/>
          <w:szCs w:val="21"/>
          <w:highlight w:val="none"/>
        </w:rPr>
        <w:t>规定</w:t>
      </w:r>
      <w:r>
        <w:rPr>
          <w:color w:val="auto"/>
          <w:highlight w:val="none"/>
        </w:rPr>
        <w:t>情形的，</w:t>
      </w:r>
      <w:r>
        <w:rPr>
          <w:rFonts w:hint="eastAsia" w:ascii="宋体" w:hAnsi="宋体" w:cs="宋体"/>
          <w:color w:val="auto"/>
          <w:szCs w:val="21"/>
          <w:highlight w:val="none"/>
        </w:rPr>
        <w:t>提交最后报价的供应商可以为2家。</w:t>
      </w:r>
    </w:p>
    <w:p w14:paraId="1F2A9472">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4.4</w:t>
      </w:r>
      <w:r>
        <w:rPr>
          <w:rFonts w:hint="eastAsia" w:ascii="宋体" w:hAnsi="宋体" w:cs="宋体"/>
          <w:color w:val="auto"/>
          <w:szCs w:val="21"/>
          <w:highlight w:val="none"/>
        </w:rPr>
        <w:t>已经提交响应文件的供应商，在提交最后报价之前，可以根据磋商情况退出磋商，退出磋商的供应商的响应文件按无效处理。采购人、采购代理机构将退还退出磋商的供应商的保证金。</w:t>
      </w:r>
    </w:p>
    <w:p w14:paraId="3F8D8E2A">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4.5</w:t>
      </w:r>
      <w:r>
        <w:rPr>
          <w:rFonts w:hint="eastAsia" w:ascii="宋体" w:hAnsi="宋体" w:cs="宋体"/>
          <w:color w:val="auto"/>
          <w:szCs w:val="21"/>
          <w:highlight w:val="none"/>
        </w:rPr>
        <w:t>供应商未在规定时间内提交最后报价的，视同退出磋商，其响应文件按无效处理。</w:t>
      </w:r>
    </w:p>
    <w:p w14:paraId="3493B64D">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4.6</w:t>
      </w:r>
      <w:r>
        <w:rPr>
          <w:rFonts w:hint="eastAsia" w:ascii="宋体" w:hAnsi="宋体" w:cs="宋体"/>
          <w:color w:val="auto"/>
          <w:szCs w:val="21"/>
          <w:highlight w:val="none"/>
        </w:rPr>
        <w:t>最后报价统一开启后，磋商小组对最后报价进行有效性、完整性和响应程度的审查。</w:t>
      </w:r>
    </w:p>
    <w:p w14:paraId="21C58808">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4.7</w:t>
      </w:r>
      <w:r>
        <w:rPr>
          <w:rFonts w:hint="eastAsia" w:ascii="宋体" w:hAnsi="宋体" w:cs="宋体"/>
          <w:color w:val="auto"/>
          <w:szCs w:val="21"/>
          <w:highlight w:val="none"/>
        </w:rPr>
        <w:t>最后报价出现前后不一致的，按照本章第</w:t>
      </w:r>
      <w:r>
        <w:rPr>
          <w:rFonts w:ascii="宋体" w:hAnsi="宋体" w:cs="宋体"/>
          <w:color w:val="auto"/>
          <w:szCs w:val="21"/>
          <w:highlight w:val="none"/>
        </w:rPr>
        <w:t>2.4</w:t>
      </w:r>
      <w:r>
        <w:rPr>
          <w:rFonts w:hint="eastAsia" w:ascii="宋体" w:hAnsi="宋体" w:cs="宋体"/>
          <w:color w:val="auto"/>
          <w:szCs w:val="21"/>
          <w:highlight w:val="none"/>
        </w:rPr>
        <w:t xml:space="preserve">条的规定修正。 </w:t>
      </w:r>
    </w:p>
    <w:p w14:paraId="32006F80">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4.8</w:t>
      </w:r>
      <w:r>
        <w:rPr>
          <w:rFonts w:hint="eastAsia" w:ascii="宋体" w:hAnsi="宋体" w:cs="宋体"/>
          <w:color w:val="auto"/>
          <w:szCs w:val="21"/>
          <w:highlight w:val="none"/>
        </w:rPr>
        <w:t>修正后的报价出现下列情形的，按无效响应处理：</w:t>
      </w:r>
    </w:p>
    <w:p w14:paraId="55C25E1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（1）供应商不确认的（全流程电子化评标采取在线确认）；</w:t>
      </w:r>
    </w:p>
    <w:p w14:paraId="1CA1457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（2）经供应商确认修正后的竞标报价（包含首次报价、最后报价）超过本项目规定的采购预算金额或者最高限价的（如本项目公布了最高限价）；</w:t>
      </w:r>
    </w:p>
    <w:p w14:paraId="71F3CD2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（3）经供应商确认修正后的竞标报价（包含首次报价、最后报价）超过分项采购预算金额或者最高限价的（如本项目公布了最高限价）。</w:t>
      </w:r>
    </w:p>
    <w:p w14:paraId="311193CE">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4.9</w:t>
      </w:r>
      <w:r>
        <w:rPr>
          <w:rFonts w:hint="eastAsia" w:ascii="宋体" w:hAnsi="宋体" w:cs="宋体"/>
          <w:color w:val="auto"/>
          <w:szCs w:val="21"/>
          <w:highlight w:val="none"/>
        </w:rPr>
        <w:t>经供应商确认修正后的最后报价作为评审及签订合同的依据。</w:t>
      </w:r>
    </w:p>
    <w:p w14:paraId="0A60027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4.10供应商出现最后报价按无效响应处理或者响应文件按无效处理时</w:t>
      </w:r>
      <w:r>
        <w:rPr>
          <w:rFonts w:hint="eastAsia" w:ascii="宋体" w:hAnsi="宋体"/>
          <w:color w:val="auto"/>
          <w:sz w:val="22"/>
          <w:szCs w:val="22"/>
          <w:highlight w:val="none"/>
        </w:rPr>
        <w:t>，磋商小组应当告知有关供应商</w:t>
      </w:r>
      <w:r>
        <w:rPr>
          <w:rFonts w:hint="eastAsia" w:ascii="宋体" w:hAnsi="宋体" w:cs="宋体"/>
          <w:color w:val="auto"/>
          <w:szCs w:val="21"/>
          <w:highlight w:val="none"/>
        </w:rPr>
        <w:t>。</w:t>
      </w:r>
    </w:p>
    <w:p w14:paraId="204AF3F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.1</w:t>
      </w:r>
      <w:r>
        <w:rPr>
          <w:rFonts w:hint="eastAsia" w:ascii="宋体" w:hAnsi="宋体" w:cs="宋体"/>
          <w:color w:val="auto"/>
          <w:szCs w:val="21"/>
          <w:highlight w:val="none"/>
        </w:rPr>
        <w:t>1最后报价结束后，磋商小组不得再与供应商进行任何形式的商谈。</w:t>
      </w:r>
    </w:p>
    <w:p w14:paraId="767DD358">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5</w:t>
      </w:r>
      <w:r>
        <w:rPr>
          <w:rFonts w:ascii="黑体" w:hAnsi="黑体" w:eastAsia="黑体" w:cs="宋体"/>
          <w:b/>
          <w:bCs/>
          <w:color w:val="auto"/>
          <w:sz w:val="24"/>
          <w:highlight w:val="none"/>
        </w:rPr>
        <w:t>.</w:t>
      </w:r>
      <w:r>
        <w:rPr>
          <w:rFonts w:hint="eastAsia" w:ascii="黑体" w:hAnsi="黑体" w:eastAsia="黑体" w:cs="宋体"/>
          <w:b/>
          <w:bCs/>
          <w:color w:val="auto"/>
          <w:sz w:val="24"/>
          <w:highlight w:val="none"/>
        </w:rPr>
        <w:t>比较与评价</w:t>
      </w:r>
    </w:p>
    <w:p w14:paraId="5421D2E6">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5.1</w:t>
      </w:r>
      <w:r>
        <w:rPr>
          <w:rFonts w:hint="eastAsia" w:ascii="宋体" w:hAnsi="宋体" w:cs="宋体"/>
          <w:color w:val="auto"/>
          <w:szCs w:val="21"/>
          <w:highlight w:val="none"/>
        </w:rPr>
        <w:t>评审方法：综合评分法。</w:t>
      </w:r>
    </w:p>
    <w:p w14:paraId="30A4AC2E">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5.2</w:t>
      </w:r>
      <w:r>
        <w:rPr>
          <w:rFonts w:hint="eastAsia" w:ascii="宋体" w:hAnsi="宋体" w:cs="宋体"/>
          <w:color w:val="auto"/>
          <w:szCs w:val="21"/>
          <w:highlight w:val="none"/>
        </w:rPr>
        <w:t>经磋商确定最终采购需求和提交最后报价的供应商后，由磋商小组采用综合评分法对提交最后报价的供应商的响应文件和最后报价进行综合评分。</w:t>
      </w:r>
    </w:p>
    <w:p w14:paraId="386E2665">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5.3</w:t>
      </w:r>
      <w:r>
        <w:rPr>
          <w:rFonts w:hint="eastAsia" w:ascii="宋体" w:hAnsi="宋体" w:cs="宋体"/>
          <w:color w:val="auto"/>
          <w:szCs w:val="21"/>
          <w:highlight w:val="none"/>
        </w:rPr>
        <w:t>评审时，磋商小组各成员应当独立对每个有效响应的文件进行评价、打分，然后汇总每个供应商每项评分因素的得分。</w:t>
      </w:r>
    </w:p>
    <w:p w14:paraId="74C3C7A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（1）磋商小组按照磋商文件中规定的评审标准计算各供应商的报价得分。项目评审过程中，不得去掉最后报价中的最高报价和最低报价。</w:t>
      </w:r>
    </w:p>
    <w:p w14:paraId="15D059F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（2）各供应商的得分为磋商小组所有成员的有效评分的算术平均数。</w:t>
      </w:r>
    </w:p>
    <w:p w14:paraId="751941CF">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5.4</w:t>
      </w:r>
      <w:r>
        <w:rPr>
          <w:rFonts w:hint="eastAsia" w:ascii="宋体" w:hAnsi="宋体" w:cs="宋体"/>
          <w:color w:val="auto"/>
          <w:szCs w:val="21"/>
          <w:highlight w:val="none"/>
        </w:rPr>
        <w:t>最终成交供应商的成交金额等于最后报价（如有修正，以确认修正后的最后报价为准）。</w:t>
      </w:r>
    </w:p>
    <w:p w14:paraId="64FE888D">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6. 成交供应商</w:t>
      </w:r>
      <w:r>
        <w:rPr>
          <w:rFonts w:hint="eastAsia" w:ascii="黑体" w:hAnsi="黑体" w:eastAsia="黑体" w:cs="宋体"/>
          <w:b/>
          <w:bCs/>
          <w:color w:val="auto"/>
          <w:sz w:val="24"/>
          <w:highlight w:val="none"/>
          <w:lang w:eastAsia="zh-CN"/>
        </w:rPr>
        <w:t>推</w:t>
      </w:r>
      <w:r>
        <w:rPr>
          <w:rFonts w:hint="eastAsia" w:ascii="黑体" w:hAnsi="黑体" w:eastAsia="黑体" w:cs="宋体"/>
          <w:b/>
          <w:bCs/>
          <w:color w:val="auto"/>
          <w:sz w:val="24"/>
          <w:highlight w:val="none"/>
        </w:rPr>
        <w:t>荐原则</w:t>
      </w:r>
    </w:p>
    <w:p w14:paraId="13C967DC">
      <w:pPr>
        <w:spacing w:line="360" w:lineRule="auto"/>
        <w:ind w:firstLine="420" w:firstLineChars="200"/>
        <w:rPr>
          <w:rFonts w:hint="eastAsia" w:ascii="宋体" w:hAnsi="宋体"/>
          <w:color w:val="auto"/>
          <w:kern w:val="0"/>
          <w:szCs w:val="21"/>
          <w:highlight w:val="none"/>
        </w:rPr>
      </w:pPr>
      <w:r>
        <w:rPr>
          <w:rFonts w:hint="eastAsia" w:ascii="宋体" w:hAnsi="宋体" w:cs="宋体"/>
          <w:color w:val="auto"/>
          <w:szCs w:val="21"/>
          <w:highlight w:val="none"/>
        </w:rPr>
        <w:t>6</w:t>
      </w:r>
      <w:r>
        <w:rPr>
          <w:rFonts w:ascii="宋体" w:hAnsi="宋体" w:cs="宋体"/>
          <w:color w:val="auto"/>
          <w:szCs w:val="21"/>
          <w:highlight w:val="none"/>
        </w:rPr>
        <w:t>.</w:t>
      </w:r>
      <w:r>
        <w:rPr>
          <w:rFonts w:hint="eastAsia" w:ascii="宋体" w:hAnsi="宋体" w:cs="宋体"/>
          <w:color w:val="auto"/>
          <w:szCs w:val="21"/>
          <w:highlight w:val="none"/>
        </w:rPr>
        <w:t>1</w:t>
      </w:r>
      <w:r>
        <w:rPr>
          <w:rFonts w:hint="eastAsia" w:ascii="宋体" w:hAnsi="宋体"/>
          <w:bCs/>
          <w:color w:val="auto"/>
          <w:szCs w:val="21"/>
          <w:highlight w:val="none"/>
        </w:rPr>
        <w:t>由磋商小组根据综合评分情况，按照评审得分由高到低顺序推荐3名以上成交候选供应商，并编写评审报告，</w:t>
      </w:r>
      <w:r>
        <w:rPr>
          <w:rFonts w:hint="eastAsia" w:ascii="宋体" w:hAnsi="宋体" w:cs="宋体"/>
          <w:color w:val="auto"/>
          <w:highlight w:val="none"/>
        </w:rPr>
        <w:t>评审报告</w:t>
      </w:r>
      <w:r>
        <w:rPr>
          <w:rFonts w:hint="eastAsia" w:hAnsi="宋体"/>
          <w:color w:val="auto"/>
          <w:highlight w:val="none"/>
        </w:rPr>
        <w:t>通过电子交易平台向采购人、采购代理机构提交。</w:t>
      </w:r>
      <w:r>
        <w:rPr>
          <w:rFonts w:hint="eastAsia" w:ascii="宋体" w:hAnsi="宋体"/>
          <w:bCs/>
          <w:color w:val="auto"/>
          <w:szCs w:val="21"/>
          <w:highlight w:val="none"/>
        </w:rPr>
        <w:t>符合本章第</w:t>
      </w:r>
      <w:r>
        <w:rPr>
          <w:rFonts w:ascii="宋体" w:hAnsi="宋体"/>
          <w:bCs/>
          <w:color w:val="auto"/>
          <w:szCs w:val="21"/>
          <w:highlight w:val="none"/>
        </w:rPr>
        <w:t>4.3</w:t>
      </w:r>
      <w:r>
        <w:rPr>
          <w:rFonts w:hint="eastAsia" w:ascii="宋体" w:hAnsi="宋体"/>
          <w:bCs/>
          <w:color w:val="auto"/>
          <w:szCs w:val="21"/>
          <w:highlight w:val="none"/>
        </w:rPr>
        <w:t>条情形的，可以推荐2家成交候选供应商。评审得分相同的，按照最后报价（不计算价格折扣）由低到高的顺序推荐。评审得分且最后报价（不计算价格折扣）相同的，按照技术指标优劣顺序推荐（按技术分由高到低排序，技术分相同的按照商务分由高到低排序）。评审得分、最后报价（不计算价格折扣）、技术分、技术及其他要求偏离分均相同的，由磋商小组随机抽取推荐</w:t>
      </w:r>
      <w:r>
        <w:rPr>
          <w:rFonts w:hint="eastAsia" w:ascii="宋体" w:hAnsi="宋体"/>
          <w:color w:val="auto"/>
          <w:kern w:val="0"/>
          <w:szCs w:val="21"/>
          <w:highlight w:val="none"/>
        </w:rPr>
        <w:t>。</w:t>
      </w:r>
    </w:p>
    <w:p w14:paraId="30A22635">
      <w:pPr>
        <w:spacing w:line="360" w:lineRule="auto"/>
        <w:ind w:firstLine="420" w:firstLineChars="200"/>
        <w:rPr>
          <w:rFonts w:hint="eastAsia" w:ascii="宋体" w:hAnsi="宋体" w:cs="宋体"/>
          <w:color w:val="auto"/>
          <w:szCs w:val="21"/>
          <w:highlight w:val="none"/>
        </w:rPr>
      </w:pPr>
      <w:r>
        <w:rPr>
          <w:rFonts w:hint="eastAsia" w:ascii="宋体" w:hAnsi="宋体"/>
          <w:color w:val="auto"/>
          <w:kern w:val="0"/>
          <w:szCs w:val="21"/>
          <w:highlight w:val="none"/>
        </w:rPr>
        <w:t>6</w:t>
      </w:r>
      <w:r>
        <w:rPr>
          <w:rFonts w:ascii="宋体" w:hAnsi="宋体"/>
          <w:color w:val="auto"/>
          <w:kern w:val="0"/>
          <w:szCs w:val="21"/>
          <w:highlight w:val="none"/>
        </w:rPr>
        <w:t>.</w:t>
      </w:r>
      <w:r>
        <w:rPr>
          <w:rFonts w:hint="eastAsia" w:ascii="宋体" w:hAnsi="宋体"/>
          <w:color w:val="auto"/>
          <w:kern w:val="0"/>
          <w:szCs w:val="21"/>
          <w:highlight w:val="none"/>
        </w:rPr>
        <w:t>2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57A09D70">
      <w:pPr>
        <w:spacing w:line="360" w:lineRule="auto"/>
        <w:jc w:val="center"/>
        <w:rPr>
          <w:rFonts w:hint="eastAsia" w:ascii="宋体" w:hAnsi="宋体"/>
          <w:b/>
          <w:color w:val="auto"/>
          <w:sz w:val="32"/>
          <w:szCs w:val="32"/>
          <w:highlight w:val="none"/>
        </w:rPr>
      </w:pPr>
      <w:r>
        <w:rPr>
          <w:rFonts w:ascii="宋体" w:hAnsi="宋体"/>
          <w:b/>
          <w:color w:val="auto"/>
          <w:sz w:val="32"/>
          <w:szCs w:val="32"/>
          <w:highlight w:val="none"/>
        </w:rPr>
        <w:br w:type="textWrapping"/>
      </w:r>
      <w:r>
        <w:rPr>
          <w:rFonts w:hint="eastAsia" w:ascii="宋体" w:hAnsi="宋体"/>
          <w:b/>
          <w:color w:val="auto"/>
          <w:sz w:val="32"/>
          <w:szCs w:val="32"/>
          <w:highlight w:val="none"/>
        </w:rPr>
        <w:t>二、评审标准</w:t>
      </w:r>
    </w:p>
    <w:p w14:paraId="47C4B7E4">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7</w:t>
      </w:r>
      <w:r>
        <w:rPr>
          <w:rFonts w:ascii="宋体" w:hAnsi="宋体"/>
          <w:bCs/>
          <w:color w:val="auto"/>
          <w:szCs w:val="21"/>
          <w:highlight w:val="none"/>
        </w:rPr>
        <w:t>.</w:t>
      </w:r>
      <w:r>
        <w:rPr>
          <w:rFonts w:hint="eastAsia" w:ascii="宋体" w:hAnsi="宋体"/>
          <w:bCs/>
          <w:color w:val="auto"/>
          <w:szCs w:val="21"/>
          <w:highlight w:val="none"/>
        </w:rPr>
        <w:t>评审依据：磋商小组以磋商文件为评审依据，对供应商的报价、技术、商务等方面内容按百分制打分。（计分方法按四舍五入取至百分位）</w:t>
      </w:r>
    </w:p>
    <w:tbl>
      <w:tblPr>
        <w:tblStyle w:val="47"/>
        <w:tblW w:w="88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01"/>
        <w:gridCol w:w="6396"/>
      </w:tblGrid>
      <w:tr w14:paraId="7980B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33CB0C28">
            <w:pPr>
              <w:widowControl/>
              <w:spacing w:line="360" w:lineRule="auto"/>
              <w:jc w:val="center"/>
              <w:rPr>
                <w:rFonts w:hint="eastAsia" w:cs="Tahoma" w:asciiTheme="majorEastAsia" w:hAnsiTheme="majorEastAsia" w:eastAsiaTheme="majorEastAsia"/>
                <w:b/>
                <w:bCs/>
                <w:color w:val="auto"/>
                <w:kern w:val="0"/>
                <w:szCs w:val="21"/>
                <w:highlight w:val="none"/>
              </w:rPr>
            </w:pPr>
            <w:r>
              <w:rPr>
                <w:rFonts w:hint="eastAsia" w:cs="Tahoma" w:asciiTheme="majorEastAsia" w:hAnsiTheme="majorEastAsia" w:eastAsiaTheme="majorEastAsia"/>
                <w:b/>
                <w:bCs/>
                <w:color w:val="auto"/>
                <w:kern w:val="0"/>
                <w:szCs w:val="21"/>
                <w:highlight w:val="none"/>
              </w:rPr>
              <w:t>序号</w:t>
            </w:r>
          </w:p>
        </w:tc>
        <w:tc>
          <w:tcPr>
            <w:tcW w:w="1701" w:type="dxa"/>
            <w:tcBorders>
              <w:top w:val="single" w:color="auto" w:sz="4" w:space="0"/>
              <w:left w:val="single" w:color="auto" w:sz="4" w:space="0"/>
              <w:bottom w:val="single" w:color="auto" w:sz="4" w:space="0"/>
              <w:right w:val="single" w:color="auto" w:sz="4" w:space="0"/>
            </w:tcBorders>
            <w:vAlign w:val="center"/>
          </w:tcPr>
          <w:p w14:paraId="0F9E17FA">
            <w:pPr>
              <w:widowControl/>
              <w:spacing w:line="360" w:lineRule="auto"/>
              <w:jc w:val="center"/>
              <w:rPr>
                <w:rFonts w:hint="eastAsia" w:cs="Tahoma" w:asciiTheme="majorEastAsia" w:hAnsiTheme="majorEastAsia" w:eastAsiaTheme="majorEastAsia"/>
                <w:b/>
                <w:bCs/>
                <w:color w:val="auto"/>
                <w:kern w:val="0"/>
                <w:szCs w:val="21"/>
                <w:highlight w:val="none"/>
              </w:rPr>
            </w:pPr>
            <w:r>
              <w:rPr>
                <w:rFonts w:hint="eastAsia" w:cs="Tahoma" w:asciiTheme="majorEastAsia" w:hAnsiTheme="majorEastAsia" w:eastAsiaTheme="majorEastAsia"/>
                <w:b/>
                <w:bCs/>
                <w:color w:val="auto"/>
                <w:kern w:val="0"/>
                <w:szCs w:val="21"/>
                <w:highlight w:val="none"/>
              </w:rPr>
              <w:t>评审因素</w:t>
            </w:r>
          </w:p>
        </w:tc>
        <w:tc>
          <w:tcPr>
            <w:tcW w:w="6396" w:type="dxa"/>
            <w:tcBorders>
              <w:top w:val="single" w:color="auto" w:sz="4" w:space="0"/>
              <w:left w:val="single" w:color="auto" w:sz="4" w:space="0"/>
              <w:bottom w:val="single" w:color="auto" w:sz="4" w:space="0"/>
              <w:right w:val="single" w:color="auto" w:sz="4" w:space="0"/>
            </w:tcBorders>
            <w:vAlign w:val="center"/>
          </w:tcPr>
          <w:p w14:paraId="3F0A8333">
            <w:pPr>
              <w:widowControl/>
              <w:spacing w:line="360" w:lineRule="auto"/>
              <w:jc w:val="center"/>
              <w:rPr>
                <w:rFonts w:hint="eastAsia" w:cs="Tahoma" w:asciiTheme="majorEastAsia" w:hAnsiTheme="majorEastAsia" w:eastAsiaTheme="majorEastAsia"/>
                <w:b/>
                <w:bCs/>
                <w:color w:val="auto"/>
                <w:kern w:val="0"/>
                <w:szCs w:val="21"/>
                <w:highlight w:val="none"/>
              </w:rPr>
            </w:pPr>
            <w:r>
              <w:rPr>
                <w:rFonts w:hint="eastAsia" w:cs="Tahoma" w:asciiTheme="majorEastAsia" w:hAnsiTheme="majorEastAsia" w:eastAsiaTheme="majorEastAsia"/>
                <w:b/>
                <w:bCs/>
                <w:color w:val="auto"/>
                <w:kern w:val="0"/>
                <w:szCs w:val="21"/>
                <w:highlight w:val="none"/>
              </w:rPr>
              <w:t>评审标准</w:t>
            </w:r>
          </w:p>
        </w:tc>
      </w:tr>
      <w:tr w14:paraId="6749A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5AD07068">
            <w:pPr>
              <w:widowControl/>
              <w:spacing w:line="440" w:lineRule="exact"/>
              <w:jc w:val="center"/>
              <w:rPr>
                <w:rFonts w:hint="eastAsia" w:cs="Tahoma" w:asciiTheme="majorEastAsia" w:hAnsiTheme="majorEastAsia" w:eastAsiaTheme="majorEastAsia"/>
                <w:color w:val="auto"/>
                <w:kern w:val="0"/>
                <w:szCs w:val="21"/>
                <w:highlight w:val="none"/>
              </w:rPr>
            </w:pPr>
            <w:r>
              <w:rPr>
                <w:rFonts w:hint="eastAsia" w:cs="Tahoma" w:asciiTheme="majorEastAsia" w:hAnsiTheme="majorEastAsia" w:eastAsiaTheme="majorEastAsia"/>
                <w:color w:val="auto"/>
                <w:kern w:val="0"/>
                <w:szCs w:val="21"/>
                <w:highlight w:val="none"/>
              </w:rPr>
              <w:t>1</w:t>
            </w:r>
          </w:p>
        </w:tc>
        <w:tc>
          <w:tcPr>
            <w:tcW w:w="1701" w:type="dxa"/>
            <w:tcBorders>
              <w:top w:val="single" w:color="auto" w:sz="4" w:space="0"/>
              <w:left w:val="single" w:color="auto" w:sz="4" w:space="0"/>
              <w:bottom w:val="single" w:color="auto" w:sz="4" w:space="0"/>
              <w:right w:val="single" w:color="auto" w:sz="4" w:space="0"/>
            </w:tcBorders>
            <w:vAlign w:val="center"/>
          </w:tcPr>
          <w:p w14:paraId="7D37AA6A">
            <w:pPr>
              <w:widowControl/>
              <w:spacing w:line="440" w:lineRule="exact"/>
              <w:jc w:val="center"/>
              <w:rPr>
                <w:rFonts w:hint="eastAsia" w:cs="Tahoma" w:asciiTheme="majorEastAsia" w:hAnsiTheme="majorEastAsia" w:eastAsiaTheme="majorEastAsia"/>
                <w:color w:val="auto"/>
                <w:kern w:val="0"/>
                <w:szCs w:val="21"/>
                <w:highlight w:val="none"/>
              </w:rPr>
            </w:pPr>
            <w:r>
              <w:rPr>
                <w:rFonts w:hint="eastAsia" w:cs="Tahoma" w:asciiTheme="majorEastAsia" w:hAnsiTheme="majorEastAsia" w:eastAsiaTheme="majorEastAsia"/>
                <w:color w:val="auto"/>
                <w:kern w:val="0"/>
                <w:szCs w:val="21"/>
                <w:highlight w:val="none"/>
              </w:rPr>
              <w:t>价格分</w:t>
            </w:r>
          </w:p>
          <w:p w14:paraId="0975276B">
            <w:pPr>
              <w:widowControl/>
              <w:spacing w:line="440" w:lineRule="exact"/>
              <w:jc w:val="center"/>
              <w:rPr>
                <w:rFonts w:hint="eastAsia" w:cs="Tahoma" w:asciiTheme="majorEastAsia" w:hAnsiTheme="majorEastAsia" w:eastAsiaTheme="majorEastAsia"/>
                <w:color w:val="auto"/>
                <w:kern w:val="0"/>
                <w:szCs w:val="21"/>
                <w:highlight w:val="none"/>
              </w:rPr>
            </w:pPr>
            <w:r>
              <w:rPr>
                <w:rFonts w:hint="eastAsia" w:cs="Tahoma" w:asciiTheme="majorEastAsia" w:hAnsiTheme="majorEastAsia" w:eastAsiaTheme="majorEastAsia"/>
                <w:color w:val="auto"/>
                <w:kern w:val="0"/>
                <w:szCs w:val="21"/>
                <w:highlight w:val="none"/>
              </w:rPr>
              <w:t>（</w:t>
            </w:r>
            <w:r>
              <w:rPr>
                <w:rFonts w:hint="eastAsia" w:cs="Tahoma" w:asciiTheme="majorEastAsia" w:hAnsiTheme="majorEastAsia" w:eastAsiaTheme="majorEastAsia"/>
                <w:color w:val="auto"/>
                <w:kern w:val="0"/>
                <w:szCs w:val="21"/>
                <w:highlight w:val="none"/>
                <w:lang w:val="en-US" w:eastAsia="zh-CN"/>
              </w:rPr>
              <w:t>55</w:t>
            </w:r>
            <w:r>
              <w:rPr>
                <w:rFonts w:hint="eastAsia" w:cs="Tahoma" w:asciiTheme="majorEastAsia" w:hAnsiTheme="majorEastAsia" w:eastAsiaTheme="majorEastAsia"/>
                <w:color w:val="auto"/>
                <w:kern w:val="0"/>
                <w:szCs w:val="21"/>
                <w:highlight w:val="none"/>
              </w:rPr>
              <w:t>分）</w:t>
            </w:r>
          </w:p>
        </w:tc>
        <w:tc>
          <w:tcPr>
            <w:tcW w:w="6396" w:type="dxa"/>
            <w:tcBorders>
              <w:top w:val="single" w:color="auto" w:sz="4" w:space="0"/>
              <w:left w:val="single" w:color="auto" w:sz="4" w:space="0"/>
              <w:bottom w:val="single" w:color="auto" w:sz="4" w:space="0"/>
              <w:right w:val="single" w:color="auto" w:sz="4" w:space="0"/>
            </w:tcBorders>
          </w:tcPr>
          <w:p w14:paraId="23E31299">
            <w:pPr>
              <w:pStyle w:val="27"/>
              <w:spacing w:line="340" w:lineRule="exact"/>
              <w:ind w:firstLine="31" w:firstLineChars="15"/>
              <w:rPr>
                <w:rFonts w:hAnsi="宋体"/>
                <w:color w:val="auto"/>
                <w:kern w:val="2"/>
                <w:sz w:val="21"/>
                <w:highlight w:val="none"/>
              </w:rPr>
            </w:pPr>
            <w:r>
              <w:rPr>
                <w:rFonts w:hint="eastAsia" w:hAnsi="宋体"/>
                <w:color w:val="auto"/>
                <w:kern w:val="2"/>
                <w:sz w:val="21"/>
                <w:highlight w:val="none"/>
              </w:rPr>
              <w:t>（</w:t>
            </w:r>
            <w:r>
              <w:rPr>
                <w:rFonts w:hint="eastAsia" w:hAnsi="宋体"/>
                <w:color w:val="auto"/>
                <w:kern w:val="2"/>
                <w:sz w:val="21"/>
                <w:highlight w:val="none"/>
                <w:lang w:val="en-US" w:eastAsia="zh-CN"/>
              </w:rPr>
              <w:t>1</w:t>
            </w:r>
            <w:r>
              <w:rPr>
                <w:rFonts w:hint="eastAsia" w:hAnsi="宋体"/>
                <w:color w:val="auto"/>
                <w:kern w:val="2"/>
                <w:sz w:val="21"/>
                <w:highlight w:val="none"/>
              </w:rPr>
              <w:t>）以进入比较与评价环节的最低的评审价为基准价，基准价得分为</w:t>
            </w:r>
            <w:r>
              <w:rPr>
                <w:rFonts w:hint="eastAsia" w:hAnsi="宋体"/>
                <w:color w:val="auto"/>
                <w:kern w:val="2"/>
                <w:sz w:val="21"/>
                <w:highlight w:val="none"/>
                <w:lang w:val="en-US" w:eastAsia="zh-CN"/>
              </w:rPr>
              <w:t>55</w:t>
            </w:r>
            <w:r>
              <w:rPr>
                <w:rFonts w:hint="eastAsia" w:hAnsi="宋体"/>
                <w:color w:val="auto"/>
                <w:kern w:val="2"/>
                <w:sz w:val="21"/>
                <w:highlight w:val="none"/>
              </w:rPr>
              <w:t>分。</w:t>
            </w:r>
          </w:p>
          <w:p w14:paraId="531140CB">
            <w:pPr>
              <w:pStyle w:val="27"/>
              <w:spacing w:line="340" w:lineRule="exact"/>
              <w:ind w:firstLine="31" w:firstLineChars="15"/>
              <w:rPr>
                <w:rFonts w:hint="eastAsia" w:asciiTheme="majorEastAsia" w:hAnsiTheme="majorEastAsia" w:eastAsiaTheme="majorEastAsia"/>
                <w:color w:val="auto"/>
                <w:kern w:val="2"/>
                <w:sz w:val="21"/>
                <w:highlight w:val="none"/>
              </w:rPr>
            </w:pPr>
            <w:r>
              <w:rPr>
                <w:rFonts w:hint="eastAsia" w:hAnsi="宋体"/>
                <w:color w:val="auto"/>
                <w:kern w:val="2"/>
                <w:sz w:val="21"/>
                <w:highlight w:val="none"/>
              </w:rPr>
              <w:t>（</w:t>
            </w:r>
            <w:r>
              <w:rPr>
                <w:rFonts w:hint="eastAsia" w:hAnsi="宋体"/>
                <w:color w:val="auto"/>
                <w:kern w:val="2"/>
                <w:sz w:val="21"/>
                <w:highlight w:val="none"/>
                <w:lang w:val="en-US" w:eastAsia="zh-CN"/>
              </w:rPr>
              <w:t>2</w:t>
            </w:r>
            <w:r>
              <w:rPr>
                <w:rFonts w:hint="eastAsia" w:hAnsi="宋体"/>
                <w:color w:val="auto"/>
                <w:kern w:val="2"/>
                <w:sz w:val="21"/>
                <w:highlight w:val="none"/>
              </w:rPr>
              <w:t>）价格分计算公式：报价得分=（基准价/评审价）×</w:t>
            </w:r>
            <w:r>
              <w:rPr>
                <w:rFonts w:hint="eastAsia" w:hAnsi="宋体"/>
                <w:color w:val="auto"/>
                <w:kern w:val="2"/>
                <w:sz w:val="21"/>
                <w:highlight w:val="none"/>
                <w:lang w:val="en-US" w:eastAsia="zh-CN"/>
              </w:rPr>
              <w:t>55</w:t>
            </w:r>
            <w:r>
              <w:rPr>
                <w:rFonts w:hint="eastAsia" w:hAnsi="宋体"/>
                <w:color w:val="auto"/>
                <w:kern w:val="2"/>
                <w:sz w:val="21"/>
                <w:highlight w:val="none"/>
              </w:rPr>
              <w:t>分</w:t>
            </w:r>
          </w:p>
        </w:tc>
      </w:tr>
      <w:tr w14:paraId="12050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76" w:type="dxa"/>
            <w:vMerge w:val="restart"/>
            <w:tcBorders>
              <w:top w:val="single" w:color="auto" w:sz="4" w:space="0"/>
              <w:left w:val="single" w:color="auto" w:sz="4" w:space="0"/>
              <w:bottom w:val="single" w:color="auto" w:sz="4" w:space="0"/>
              <w:right w:val="single" w:color="auto" w:sz="4" w:space="0"/>
            </w:tcBorders>
            <w:vAlign w:val="center"/>
          </w:tcPr>
          <w:p w14:paraId="10CCEDD3">
            <w:pPr>
              <w:widowControl/>
              <w:spacing w:line="440" w:lineRule="exact"/>
              <w:jc w:val="center"/>
              <w:rPr>
                <w:rFonts w:hint="eastAsia" w:cs="Tahoma" w:asciiTheme="majorEastAsia" w:hAnsiTheme="majorEastAsia" w:eastAsiaTheme="majorEastAsia"/>
                <w:color w:val="auto"/>
                <w:kern w:val="0"/>
                <w:szCs w:val="21"/>
                <w:highlight w:val="none"/>
              </w:rPr>
            </w:pPr>
            <w:r>
              <w:rPr>
                <w:rFonts w:hint="eastAsia" w:asciiTheme="majorEastAsia" w:hAnsiTheme="majorEastAsia" w:eastAsiaTheme="majorEastAsia"/>
                <w:bCs/>
                <w:color w:val="auto"/>
                <w:kern w:val="0"/>
                <w:szCs w:val="21"/>
                <w:highlight w:val="none"/>
              </w:rPr>
              <w:t>2</w:t>
            </w:r>
          </w:p>
        </w:tc>
        <w:tc>
          <w:tcPr>
            <w:tcW w:w="1701" w:type="dxa"/>
            <w:tcBorders>
              <w:top w:val="single" w:color="auto" w:sz="4" w:space="0"/>
              <w:left w:val="single" w:color="auto" w:sz="4" w:space="0"/>
              <w:bottom w:val="single" w:color="auto" w:sz="4" w:space="0"/>
              <w:right w:val="single" w:color="auto" w:sz="4" w:space="0"/>
            </w:tcBorders>
            <w:vAlign w:val="center"/>
          </w:tcPr>
          <w:p w14:paraId="20CC6D4E">
            <w:pPr>
              <w:widowControl/>
              <w:spacing w:line="440" w:lineRule="exact"/>
              <w:jc w:val="center"/>
              <w:rPr>
                <w:rFonts w:hint="eastAsia" w:cs="Tahoma" w:asciiTheme="majorEastAsia" w:hAnsiTheme="majorEastAsia" w:eastAsiaTheme="majorEastAsia"/>
                <w:color w:val="auto"/>
                <w:kern w:val="0"/>
                <w:szCs w:val="21"/>
                <w:highlight w:val="none"/>
              </w:rPr>
            </w:pPr>
            <w:r>
              <w:rPr>
                <w:rFonts w:hint="eastAsia" w:asciiTheme="majorEastAsia" w:hAnsiTheme="majorEastAsia" w:eastAsiaTheme="majorEastAsia"/>
                <w:bCs/>
                <w:color w:val="auto"/>
                <w:kern w:val="0"/>
                <w:szCs w:val="21"/>
                <w:highlight w:val="none"/>
              </w:rPr>
              <w:t>技术分【</w:t>
            </w:r>
            <w:r>
              <w:rPr>
                <w:rFonts w:hint="eastAsia" w:asciiTheme="majorEastAsia" w:hAnsiTheme="majorEastAsia" w:eastAsiaTheme="majorEastAsia"/>
                <w:color w:val="auto"/>
                <w:szCs w:val="21"/>
                <w:highlight w:val="none"/>
              </w:rPr>
              <w:t>施工组织设计（</w:t>
            </w:r>
            <w:r>
              <w:rPr>
                <w:rFonts w:hint="eastAsia" w:asciiTheme="majorEastAsia" w:hAnsiTheme="majorEastAsia" w:eastAsiaTheme="majorEastAsia"/>
                <w:color w:val="auto"/>
                <w:szCs w:val="21"/>
                <w:highlight w:val="none"/>
                <w:lang w:val="en-US" w:eastAsia="zh-CN"/>
              </w:rPr>
              <w:t>15</w:t>
            </w:r>
            <w:r>
              <w:rPr>
                <w:rFonts w:hint="eastAsia" w:asciiTheme="majorEastAsia" w:hAnsiTheme="majorEastAsia" w:eastAsiaTheme="majorEastAsia"/>
                <w:color w:val="auto"/>
                <w:szCs w:val="21"/>
                <w:highlight w:val="none"/>
              </w:rPr>
              <w:t>分）】</w:t>
            </w:r>
          </w:p>
        </w:tc>
        <w:tc>
          <w:tcPr>
            <w:tcW w:w="6396" w:type="dxa"/>
            <w:tcBorders>
              <w:top w:val="single" w:color="auto" w:sz="4" w:space="0"/>
              <w:left w:val="single" w:color="auto" w:sz="4" w:space="0"/>
              <w:bottom w:val="single" w:color="auto" w:sz="4" w:space="0"/>
              <w:right w:val="single" w:color="auto" w:sz="4" w:space="0"/>
            </w:tcBorders>
            <w:vAlign w:val="center"/>
          </w:tcPr>
          <w:p w14:paraId="5D89FEE8">
            <w:pPr>
              <w:spacing w:line="440" w:lineRule="exact"/>
              <w:jc w:val="center"/>
              <w:rPr>
                <w:rFonts w:hint="eastAsia" w:asciiTheme="majorEastAsia" w:hAnsiTheme="majorEastAsia" w:eastAsiaTheme="majorEastAsia"/>
                <w:bCs/>
                <w:color w:val="auto"/>
                <w:highlight w:val="none"/>
              </w:rPr>
            </w:pPr>
            <w:r>
              <w:rPr>
                <w:rFonts w:hint="eastAsia" w:asciiTheme="majorEastAsia" w:hAnsiTheme="majorEastAsia" w:eastAsiaTheme="majorEastAsia"/>
                <w:bCs/>
                <w:color w:val="auto"/>
                <w:highlight w:val="none"/>
              </w:rPr>
              <w:t>评审标准</w:t>
            </w:r>
          </w:p>
        </w:tc>
      </w:tr>
      <w:tr w14:paraId="70E7B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776" w:type="dxa"/>
            <w:vMerge w:val="continue"/>
            <w:tcBorders>
              <w:top w:val="single" w:color="auto" w:sz="4" w:space="0"/>
              <w:left w:val="single" w:color="auto" w:sz="4" w:space="0"/>
              <w:bottom w:val="single" w:color="auto" w:sz="4" w:space="0"/>
              <w:right w:val="single" w:color="auto" w:sz="4" w:space="0"/>
            </w:tcBorders>
            <w:vAlign w:val="center"/>
          </w:tcPr>
          <w:p w14:paraId="65B5311F">
            <w:pPr>
              <w:widowControl/>
              <w:spacing w:line="440" w:lineRule="exact"/>
              <w:jc w:val="left"/>
              <w:rPr>
                <w:rFonts w:hint="eastAsia" w:cs="Tahoma" w:asciiTheme="majorEastAsia" w:hAnsiTheme="majorEastAsia" w:eastAsiaTheme="majorEastAsia"/>
                <w:color w:val="auto"/>
                <w:kern w:val="0"/>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732A7156">
            <w:pPr>
              <w:adjustRightInd w:val="0"/>
              <w:spacing w:line="440" w:lineRule="exact"/>
              <w:jc w:val="center"/>
              <w:textAlignment w:val="baseline"/>
              <w:rPr>
                <w:rFonts w:hint="eastAsia" w:asciiTheme="majorEastAsia" w:hAnsiTheme="majorEastAsia" w:eastAsiaTheme="majorEastAsia"/>
                <w:bCs/>
                <w:color w:val="auto"/>
                <w:kern w:val="0"/>
                <w:szCs w:val="21"/>
                <w:highlight w:val="none"/>
              </w:rPr>
            </w:pPr>
            <w:r>
              <w:rPr>
                <w:rFonts w:hint="eastAsia" w:asciiTheme="majorEastAsia" w:hAnsiTheme="majorEastAsia" w:eastAsiaTheme="majorEastAsia"/>
                <w:bCs/>
                <w:color w:val="auto"/>
                <w:kern w:val="0"/>
                <w:highlight w:val="none"/>
              </w:rPr>
              <w:t>2</w:t>
            </w:r>
            <w:r>
              <w:rPr>
                <w:rFonts w:asciiTheme="majorEastAsia" w:hAnsiTheme="majorEastAsia" w:eastAsiaTheme="majorEastAsia"/>
                <w:bCs/>
                <w:color w:val="auto"/>
                <w:kern w:val="0"/>
                <w:highlight w:val="none"/>
              </w:rPr>
              <w:t>.1</w:t>
            </w:r>
            <w:r>
              <w:rPr>
                <w:rFonts w:hint="eastAsia" w:cs="宋体" w:asciiTheme="majorEastAsia" w:hAnsiTheme="majorEastAsia" w:eastAsiaTheme="majorEastAsia"/>
                <w:color w:val="auto"/>
                <w:spacing w:val="-2"/>
                <w:highlight w:val="none"/>
              </w:rPr>
              <w:t>主要</w:t>
            </w:r>
            <w:r>
              <w:rPr>
                <w:rFonts w:hint="eastAsia" w:cs="宋体" w:asciiTheme="majorEastAsia" w:hAnsiTheme="majorEastAsia" w:eastAsiaTheme="majorEastAsia"/>
                <w:color w:val="auto"/>
                <w:spacing w:val="-1"/>
                <w:highlight w:val="none"/>
              </w:rPr>
              <w:t>施工方</w:t>
            </w:r>
            <w:r>
              <w:rPr>
                <w:rFonts w:hint="eastAsia" w:cs="宋体" w:asciiTheme="majorEastAsia" w:hAnsiTheme="majorEastAsia" w:eastAsiaTheme="majorEastAsia"/>
                <w:color w:val="auto"/>
                <w:spacing w:val="7"/>
                <w:highlight w:val="none"/>
              </w:rPr>
              <w:t>法</w:t>
            </w:r>
            <w:r>
              <w:rPr>
                <w:rFonts w:hint="eastAsia" w:asciiTheme="majorEastAsia" w:hAnsiTheme="majorEastAsia" w:eastAsiaTheme="majorEastAsia"/>
                <w:bCs/>
                <w:color w:val="auto"/>
                <w:kern w:val="0"/>
                <w:highlight w:val="none"/>
              </w:rPr>
              <w:t>（</w:t>
            </w:r>
            <w:r>
              <w:rPr>
                <w:rFonts w:hint="eastAsia" w:asciiTheme="majorEastAsia" w:hAnsiTheme="majorEastAsia" w:eastAsiaTheme="majorEastAsia"/>
                <w:bCs/>
                <w:color w:val="auto"/>
                <w:kern w:val="0"/>
                <w:highlight w:val="none"/>
                <w:lang w:val="en-US" w:eastAsia="zh-CN"/>
              </w:rPr>
              <w:t>1.5</w:t>
            </w:r>
            <w:r>
              <w:rPr>
                <w:rFonts w:hint="eastAsia" w:asciiTheme="majorEastAsia" w:hAnsiTheme="majorEastAsia" w:eastAsiaTheme="majorEastAsia"/>
                <w:bCs/>
                <w:color w:val="auto"/>
                <w:kern w:val="0"/>
                <w:highlight w:val="none"/>
              </w:rPr>
              <w:t>分）</w:t>
            </w:r>
          </w:p>
        </w:tc>
        <w:tc>
          <w:tcPr>
            <w:tcW w:w="6396" w:type="dxa"/>
            <w:tcBorders>
              <w:top w:val="single" w:color="auto" w:sz="4" w:space="0"/>
              <w:left w:val="single" w:color="auto" w:sz="4" w:space="0"/>
              <w:bottom w:val="single" w:color="auto" w:sz="4" w:space="0"/>
              <w:right w:val="single" w:color="auto" w:sz="4" w:space="0"/>
            </w:tcBorders>
            <w:vAlign w:val="center"/>
          </w:tcPr>
          <w:p w14:paraId="0302F2B5">
            <w:pPr>
              <w:spacing w:line="440" w:lineRule="exact"/>
              <w:rPr>
                <w:rFonts w:hint="eastAsia" w:cs="宋体" w:asciiTheme="majorEastAsia" w:hAnsiTheme="majorEastAsia" w:eastAsiaTheme="majorEastAsia"/>
                <w:color w:val="auto"/>
                <w:kern w:val="0"/>
                <w:highlight w:val="none"/>
              </w:rPr>
            </w:pPr>
            <w:r>
              <w:rPr>
                <w:rFonts w:hint="eastAsia" w:cs="宋体" w:asciiTheme="majorEastAsia" w:hAnsiTheme="majorEastAsia" w:eastAsiaTheme="majorEastAsia"/>
                <w:color w:val="auto"/>
                <w:kern w:val="0"/>
                <w:highlight w:val="none"/>
              </w:rPr>
              <w:t>一档</w:t>
            </w:r>
            <w:r>
              <w:rPr>
                <w:rFonts w:hint="eastAsia" w:cs="宋体" w:asciiTheme="majorEastAsia" w:hAnsiTheme="majorEastAsia" w:eastAsiaTheme="majorEastAsia"/>
                <w:color w:val="auto"/>
                <w:kern w:val="0"/>
                <w:highlight w:val="none"/>
                <w:lang w:eastAsia="zh-CN"/>
              </w:rPr>
              <w:t>（</w:t>
            </w:r>
            <w:r>
              <w:rPr>
                <w:rFonts w:hint="eastAsia" w:cs="宋体" w:asciiTheme="majorEastAsia" w:hAnsiTheme="majorEastAsia" w:eastAsiaTheme="majorEastAsia"/>
                <w:color w:val="auto"/>
                <w:kern w:val="0"/>
                <w:highlight w:val="none"/>
                <w:lang w:val="en-US" w:eastAsia="zh-CN"/>
              </w:rPr>
              <w:t>0.5</w:t>
            </w:r>
            <w:r>
              <w:rPr>
                <w:rFonts w:hint="eastAsia" w:cs="宋体" w:asciiTheme="majorEastAsia" w:hAnsiTheme="majorEastAsia" w:eastAsiaTheme="majorEastAsia"/>
                <w:color w:val="auto"/>
                <w:kern w:val="0"/>
                <w:highlight w:val="none"/>
              </w:rPr>
              <w:t>分</w:t>
            </w:r>
            <w:r>
              <w:rPr>
                <w:rFonts w:hint="eastAsia" w:cs="宋体" w:asciiTheme="majorEastAsia" w:hAnsiTheme="majorEastAsia" w:eastAsiaTheme="majorEastAsia"/>
                <w:color w:val="auto"/>
                <w:kern w:val="0"/>
                <w:highlight w:val="none"/>
                <w:lang w:eastAsia="zh-CN"/>
              </w:rPr>
              <w:t>）</w:t>
            </w:r>
            <w:r>
              <w:rPr>
                <w:rFonts w:hint="eastAsia" w:cs="宋体" w:asciiTheme="majorEastAsia" w:hAnsiTheme="majorEastAsia" w:eastAsiaTheme="majorEastAsia"/>
                <w:color w:val="auto"/>
                <w:kern w:val="0"/>
                <w:highlight w:val="none"/>
              </w:rPr>
              <w:t>：各主要分部施工方法及施工技术方案</w:t>
            </w:r>
            <w:r>
              <w:rPr>
                <w:rFonts w:hint="eastAsia" w:cs="宋体" w:asciiTheme="majorEastAsia" w:hAnsiTheme="majorEastAsia" w:eastAsiaTheme="majorEastAsia"/>
                <w:color w:val="auto"/>
                <w:kern w:val="0"/>
                <w:highlight w:val="none"/>
                <w:lang w:eastAsia="zh-CN"/>
              </w:rPr>
              <w:t>不全面</w:t>
            </w:r>
            <w:r>
              <w:rPr>
                <w:rFonts w:hint="eastAsia" w:cs="宋体" w:asciiTheme="majorEastAsia" w:hAnsiTheme="majorEastAsia" w:eastAsiaTheme="majorEastAsia"/>
                <w:color w:val="auto"/>
                <w:kern w:val="0"/>
                <w:highlight w:val="none"/>
              </w:rPr>
              <w:t>，工艺</w:t>
            </w:r>
            <w:r>
              <w:rPr>
                <w:rFonts w:hint="eastAsia" w:cs="宋体" w:asciiTheme="majorEastAsia" w:hAnsiTheme="majorEastAsia" w:eastAsiaTheme="majorEastAsia"/>
                <w:color w:val="auto"/>
                <w:kern w:val="0"/>
                <w:highlight w:val="none"/>
                <w:lang w:eastAsia="zh-CN"/>
              </w:rPr>
              <w:t>缺乏</w:t>
            </w:r>
            <w:r>
              <w:rPr>
                <w:rFonts w:hint="eastAsia" w:cs="宋体" w:asciiTheme="majorEastAsia" w:hAnsiTheme="majorEastAsia" w:eastAsiaTheme="majorEastAsia"/>
                <w:color w:val="auto"/>
                <w:kern w:val="0"/>
                <w:highlight w:val="none"/>
              </w:rPr>
              <w:t>先进性、方法</w:t>
            </w:r>
            <w:r>
              <w:rPr>
                <w:rFonts w:hint="eastAsia" w:cs="宋体" w:asciiTheme="majorEastAsia" w:hAnsiTheme="majorEastAsia" w:eastAsiaTheme="majorEastAsia"/>
                <w:color w:val="auto"/>
                <w:kern w:val="0"/>
                <w:highlight w:val="none"/>
                <w:lang w:eastAsia="zh-CN"/>
              </w:rPr>
              <w:t>缺乏</w:t>
            </w:r>
            <w:r>
              <w:rPr>
                <w:rFonts w:hint="eastAsia" w:cs="宋体" w:asciiTheme="majorEastAsia" w:hAnsiTheme="majorEastAsia" w:eastAsiaTheme="majorEastAsia"/>
                <w:color w:val="auto"/>
                <w:kern w:val="0"/>
                <w:highlight w:val="none"/>
              </w:rPr>
              <w:t>可行性、针对性，</w:t>
            </w:r>
            <w:r>
              <w:rPr>
                <w:rFonts w:hint="eastAsia" w:cs="宋体" w:asciiTheme="majorEastAsia" w:hAnsiTheme="majorEastAsia" w:eastAsiaTheme="majorEastAsia"/>
                <w:color w:val="auto"/>
                <w:kern w:val="0"/>
                <w:highlight w:val="none"/>
                <w:lang w:eastAsia="zh-CN"/>
              </w:rPr>
              <w:t>不</w:t>
            </w:r>
            <w:r>
              <w:rPr>
                <w:rFonts w:hint="eastAsia" w:cs="宋体" w:asciiTheme="majorEastAsia" w:hAnsiTheme="majorEastAsia" w:eastAsiaTheme="majorEastAsia"/>
                <w:color w:val="auto"/>
                <w:kern w:val="0"/>
                <w:highlight w:val="none"/>
              </w:rPr>
              <w:t>能指导项目施工，确保工程的安全程度低。</w:t>
            </w:r>
          </w:p>
          <w:p w14:paraId="2B6F5667">
            <w:pPr>
              <w:spacing w:line="440" w:lineRule="exact"/>
              <w:rPr>
                <w:rFonts w:hint="eastAsia" w:cs="宋体" w:asciiTheme="majorEastAsia" w:hAnsiTheme="majorEastAsia" w:eastAsiaTheme="majorEastAsia"/>
                <w:color w:val="auto"/>
                <w:kern w:val="0"/>
                <w:highlight w:val="none"/>
              </w:rPr>
            </w:pPr>
            <w:r>
              <w:rPr>
                <w:rFonts w:hint="eastAsia" w:cs="宋体" w:asciiTheme="majorEastAsia" w:hAnsiTheme="majorEastAsia" w:eastAsiaTheme="majorEastAsia"/>
                <w:color w:val="auto"/>
                <w:kern w:val="0"/>
                <w:highlight w:val="none"/>
              </w:rPr>
              <w:t>二档</w:t>
            </w:r>
            <w:r>
              <w:rPr>
                <w:rFonts w:hint="eastAsia" w:cs="宋体" w:asciiTheme="majorEastAsia" w:hAnsiTheme="majorEastAsia" w:eastAsiaTheme="majorEastAsia"/>
                <w:color w:val="auto"/>
                <w:kern w:val="0"/>
                <w:highlight w:val="none"/>
                <w:lang w:eastAsia="zh-CN"/>
              </w:rPr>
              <w:t>（</w:t>
            </w:r>
            <w:r>
              <w:rPr>
                <w:rFonts w:hint="eastAsia" w:cs="宋体" w:asciiTheme="majorEastAsia" w:hAnsiTheme="majorEastAsia" w:eastAsiaTheme="majorEastAsia"/>
                <w:color w:val="auto"/>
                <w:kern w:val="0"/>
                <w:highlight w:val="none"/>
                <w:lang w:val="en-US" w:eastAsia="zh-CN"/>
              </w:rPr>
              <w:t>1</w:t>
            </w:r>
            <w:r>
              <w:rPr>
                <w:rFonts w:hint="eastAsia" w:cs="宋体" w:asciiTheme="majorEastAsia" w:hAnsiTheme="majorEastAsia" w:eastAsiaTheme="majorEastAsia"/>
                <w:color w:val="auto"/>
                <w:kern w:val="0"/>
                <w:highlight w:val="none"/>
              </w:rPr>
              <w:t>分</w:t>
            </w:r>
            <w:r>
              <w:rPr>
                <w:rFonts w:hint="eastAsia" w:cs="宋体" w:asciiTheme="majorEastAsia" w:hAnsiTheme="majorEastAsia" w:eastAsiaTheme="majorEastAsia"/>
                <w:color w:val="auto"/>
                <w:kern w:val="0"/>
                <w:highlight w:val="none"/>
                <w:lang w:eastAsia="zh-CN"/>
              </w:rPr>
              <w:t>）</w:t>
            </w:r>
            <w:r>
              <w:rPr>
                <w:rFonts w:hint="eastAsia" w:cs="宋体" w:asciiTheme="majorEastAsia" w:hAnsiTheme="majorEastAsia" w:eastAsiaTheme="majorEastAsia"/>
                <w:color w:val="auto"/>
                <w:kern w:val="0"/>
                <w:highlight w:val="none"/>
              </w:rPr>
              <w:t>：各主要分部施工方法符合项目实际，有</w:t>
            </w:r>
            <w:r>
              <w:rPr>
                <w:rFonts w:hint="eastAsia" w:cs="宋体" w:asciiTheme="majorEastAsia" w:hAnsiTheme="majorEastAsia" w:eastAsiaTheme="majorEastAsia"/>
                <w:color w:val="auto"/>
                <w:kern w:val="0"/>
                <w:highlight w:val="none"/>
                <w:lang w:eastAsia="zh-CN"/>
              </w:rPr>
              <w:t>全面</w:t>
            </w:r>
            <w:r>
              <w:rPr>
                <w:rFonts w:hint="eastAsia" w:cs="宋体" w:asciiTheme="majorEastAsia" w:hAnsiTheme="majorEastAsia" w:eastAsiaTheme="majorEastAsia"/>
                <w:color w:val="auto"/>
                <w:kern w:val="0"/>
                <w:highlight w:val="none"/>
              </w:rPr>
              <w:t>的施工技术方案，工艺</w:t>
            </w:r>
            <w:r>
              <w:rPr>
                <w:rFonts w:hint="eastAsia" w:cs="宋体" w:asciiTheme="majorEastAsia" w:hAnsiTheme="majorEastAsia" w:eastAsiaTheme="majorEastAsia"/>
                <w:color w:val="auto"/>
                <w:kern w:val="0"/>
                <w:highlight w:val="none"/>
                <w:lang w:val="en-US" w:eastAsia="zh-CN"/>
              </w:rPr>
              <w:t>有一定的</w:t>
            </w:r>
            <w:r>
              <w:rPr>
                <w:rFonts w:hint="eastAsia" w:cs="宋体" w:asciiTheme="majorEastAsia" w:hAnsiTheme="majorEastAsia" w:eastAsiaTheme="majorEastAsia"/>
                <w:color w:val="auto"/>
                <w:kern w:val="0"/>
                <w:highlight w:val="none"/>
              </w:rPr>
              <w:t>先进</w:t>
            </w:r>
            <w:r>
              <w:rPr>
                <w:rFonts w:hint="eastAsia" w:cs="宋体" w:asciiTheme="majorEastAsia" w:hAnsiTheme="majorEastAsia" w:eastAsiaTheme="majorEastAsia"/>
                <w:color w:val="auto"/>
                <w:kern w:val="0"/>
                <w:highlight w:val="none"/>
                <w:lang w:val="en-US" w:eastAsia="zh-CN"/>
              </w:rPr>
              <w:t>性</w:t>
            </w:r>
            <w:r>
              <w:rPr>
                <w:rFonts w:hint="eastAsia" w:cs="宋体" w:asciiTheme="majorEastAsia" w:hAnsiTheme="majorEastAsia" w:eastAsiaTheme="majorEastAsia"/>
                <w:color w:val="auto"/>
                <w:kern w:val="0"/>
                <w:highlight w:val="none"/>
              </w:rPr>
              <w:t>，方法</w:t>
            </w:r>
            <w:r>
              <w:rPr>
                <w:rFonts w:hint="eastAsia" w:cs="宋体" w:asciiTheme="majorEastAsia" w:hAnsiTheme="majorEastAsia" w:eastAsiaTheme="majorEastAsia"/>
                <w:color w:val="auto"/>
                <w:kern w:val="0"/>
                <w:highlight w:val="none"/>
                <w:lang w:val="en-US" w:eastAsia="zh-CN"/>
              </w:rPr>
              <w:t>基本</w:t>
            </w:r>
            <w:r>
              <w:rPr>
                <w:rFonts w:hint="eastAsia" w:cs="宋体" w:asciiTheme="majorEastAsia" w:hAnsiTheme="majorEastAsia" w:eastAsiaTheme="majorEastAsia"/>
                <w:color w:val="auto"/>
                <w:kern w:val="0"/>
                <w:highlight w:val="none"/>
              </w:rPr>
              <w:t>合理、可行，能指导具体施工并确保安全。</w:t>
            </w:r>
          </w:p>
          <w:p w14:paraId="00515BDA">
            <w:pPr>
              <w:spacing w:line="440" w:lineRule="exact"/>
              <w:rPr>
                <w:rFonts w:hint="eastAsia"/>
                <w:color w:val="auto"/>
                <w:highlight w:val="none"/>
              </w:rPr>
            </w:pPr>
            <w:r>
              <w:rPr>
                <w:rFonts w:hint="eastAsia" w:cs="宋体" w:asciiTheme="majorEastAsia" w:hAnsiTheme="majorEastAsia" w:eastAsiaTheme="majorEastAsia"/>
                <w:color w:val="auto"/>
                <w:kern w:val="0"/>
                <w:highlight w:val="none"/>
              </w:rPr>
              <w:t>三档</w:t>
            </w:r>
            <w:r>
              <w:rPr>
                <w:rFonts w:hint="eastAsia" w:cs="宋体" w:asciiTheme="majorEastAsia" w:hAnsiTheme="majorEastAsia" w:eastAsiaTheme="majorEastAsia"/>
                <w:color w:val="auto"/>
                <w:kern w:val="0"/>
                <w:highlight w:val="none"/>
                <w:lang w:eastAsia="zh-CN"/>
              </w:rPr>
              <w:t>（</w:t>
            </w:r>
            <w:r>
              <w:rPr>
                <w:rFonts w:hint="eastAsia" w:cs="宋体" w:asciiTheme="majorEastAsia" w:hAnsiTheme="majorEastAsia" w:eastAsiaTheme="majorEastAsia"/>
                <w:color w:val="auto"/>
                <w:kern w:val="0"/>
                <w:highlight w:val="none"/>
                <w:lang w:val="en-US" w:eastAsia="zh-CN"/>
              </w:rPr>
              <w:t>1.5</w:t>
            </w:r>
            <w:r>
              <w:rPr>
                <w:rFonts w:hint="eastAsia" w:cs="宋体" w:asciiTheme="majorEastAsia" w:hAnsiTheme="majorEastAsia" w:eastAsiaTheme="majorEastAsia"/>
                <w:color w:val="auto"/>
                <w:kern w:val="0"/>
                <w:highlight w:val="none"/>
              </w:rPr>
              <w:t>分</w:t>
            </w:r>
            <w:r>
              <w:rPr>
                <w:rFonts w:hint="eastAsia" w:cs="宋体" w:asciiTheme="majorEastAsia" w:hAnsiTheme="majorEastAsia" w:eastAsiaTheme="majorEastAsia"/>
                <w:color w:val="auto"/>
                <w:kern w:val="0"/>
                <w:highlight w:val="none"/>
                <w:lang w:eastAsia="zh-CN"/>
              </w:rPr>
              <w:t>）</w:t>
            </w:r>
            <w:r>
              <w:rPr>
                <w:rFonts w:hint="eastAsia" w:cs="宋体" w:asciiTheme="majorEastAsia" w:hAnsiTheme="majorEastAsia" w:eastAsiaTheme="majorEastAsia"/>
                <w:color w:val="auto"/>
                <w:kern w:val="0"/>
                <w:highlight w:val="none"/>
              </w:rPr>
              <w:t>：各主要分部施工方法符合项目实际，有</w:t>
            </w:r>
            <w:r>
              <w:rPr>
                <w:rFonts w:hint="eastAsia" w:cs="宋体" w:asciiTheme="majorEastAsia" w:hAnsiTheme="majorEastAsia" w:eastAsiaTheme="majorEastAsia"/>
                <w:color w:val="auto"/>
                <w:kern w:val="0"/>
                <w:highlight w:val="none"/>
                <w:lang w:eastAsia="zh-CN"/>
              </w:rPr>
              <w:t>全面、</w:t>
            </w:r>
            <w:r>
              <w:rPr>
                <w:rFonts w:hint="eastAsia" w:cs="宋体" w:asciiTheme="majorEastAsia" w:hAnsiTheme="majorEastAsia" w:eastAsiaTheme="majorEastAsia"/>
                <w:color w:val="auto"/>
                <w:kern w:val="0"/>
                <w:highlight w:val="none"/>
                <w:lang w:val="en-US" w:eastAsia="zh-CN"/>
              </w:rPr>
              <w:t>完善</w:t>
            </w:r>
            <w:r>
              <w:rPr>
                <w:rFonts w:hint="eastAsia" w:cs="宋体" w:asciiTheme="majorEastAsia" w:hAnsiTheme="majorEastAsia" w:eastAsiaTheme="majorEastAsia"/>
                <w:color w:val="auto"/>
                <w:kern w:val="0"/>
                <w:highlight w:val="none"/>
              </w:rPr>
              <w:t>的施工技术方案，工艺先进、方法合理、可行，能</w:t>
            </w:r>
            <w:r>
              <w:rPr>
                <w:rFonts w:hint="eastAsia" w:cs="宋体" w:asciiTheme="majorEastAsia" w:hAnsiTheme="majorEastAsia" w:eastAsiaTheme="majorEastAsia"/>
                <w:color w:val="auto"/>
                <w:kern w:val="0"/>
                <w:highlight w:val="none"/>
                <w:lang w:val="en-US" w:eastAsia="zh-CN"/>
              </w:rPr>
              <w:t>高效的</w:t>
            </w:r>
            <w:r>
              <w:rPr>
                <w:rFonts w:hint="eastAsia" w:cs="宋体" w:asciiTheme="majorEastAsia" w:hAnsiTheme="majorEastAsia" w:eastAsiaTheme="majorEastAsia"/>
                <w:color w:val="auto"/>
                <w:kern w:val="0"/>
                <w:highlight w:val="none"/>
              </w:rPr>
              <w:t>指导具体施工并确保安全。</w:t>
            </w:r>
          </w:p>
        </w:tc>
      </w:tr>
      <w:tr w14:paraId="299CD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776" w:type="dxa"/>
            <w:vMerge w:val="continue"/>
            <w:tcBorders>
              <w:top w:val="single" w:color="auto" w:sz="4" w:space="0"/>
              <w:left w:val="single" w:color="auto" w:sz="4" w:space="0"/>
              <w:bottom w:val="single" w:color="auto" w:sz="4" w:space="0"/>
              <w:right w:val="single" w:color="auto" w:sz="4" w:space="0"/>
            </w:tcBorders>
            <w:vAlign w:val="center"/>
          </w:tcPr>
          <w:p w14:paraId="3A120DDB">
            <w:pPr>
              <w:widowControl/>
              <w:spacing w:line="440" w:lineRule="exact"/>
              <w:jc w:val="left"/>
              <w:rPr>
                <w:rFonts w:hint="eastAsia" w:cs="Tahoma" w:asciiTheme="majorEastAsia" w:hAnsiTheme="majorEastAsia" w:eastAsiaTheme="majorEastAsia"/>
                <w:color w:val="auto"/>
                <w:kern w:val="0"/>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17CD3F32">
            <w:pPr>
              <w:spacing w:line="400" w:lineRule="exact"/>
              <w:jc w:val="left"/>
              <w:rPr>
                <w:rFonts w:hint="eastAsia" w:asciiTheme="majorEastAsia" w:hAnsiTheme="majorEastAsia" w:eastAsiaTheme="majorEastAsia"/>
                <w:bCs/>
                <w:color w:val="auto"/>
                <w:kern w:val="0"/>
                <w:highlight w:val="none"/>
                <w:lang w:val="en-US" w:eastAsia="zh-CN"/>
              </w:rPr>
            </w:pPr>
            <w:r>
              <w:rPr>
                <w:rFonts w:hint="eastAsia" w:asciiTheme="majorEastAsia" w:hAnsiTheme="majorEastAsia" w:eastAsiaTheme="majorEastAsia"/>
                <w:bCs/>
                <w:color w:val="auto"/>
                <w:kern w:val="0"/>
                <w:highlight w:val="none"/>
                <w:lang w:val="en-US" w:eastAsia="zh-CN"/>
              </w:rPr>
              <w:t>2.2拟投入的主要物资计划（1分）</w:t>
            </w:r>
          </w:p>
          <w:p w14:paraId="67C0AA75">
            <w:pPr>
              <w:adjustRightInd w:val="0"/>
              <w:spacing w:line="440" w:lineRule="exact"/>
              <w:jc w:val="center"/>
              <w:textAlignment w:val="baseline"/>
              <w:rPr>
                <w:rFonts w:hint="default" w:asciiTheme="majorEastAsia" w:hAnsiTheme="majorEastAsia" w:eastAsiaTheme="majorEastAsia"/>
                <w:bCs/>
                <w:color w:val="auto"/>
                <w:kern w:val="0"/>
                <w:highlight w:val="none"/>
                <w:lang w:val="en-US" w:eastAsia="zh-CN"/>
              </w:rPr>
            </w:pPr>
          </w:p>
        </w:tc>
        <w:tc>
          <w:tcPr>
            <w:tcW w:w="6396" w:type="dxa"/>
            <w:tcBorders>
              <w:top w:val="single" w:color="auto" w:sz="4" w:space="0"/>
              <w:left w:val="single" w:color="auto" w:sz="4" w:space="0"/>
              <w:bottom w:val="single" w:color="auto" w:sz="4" w:space="0"/>
              <w:right w:val="single" w:color="auto" w:sz="4" w:space="0"/>
            </w:tcBorders>
            <w:vAlign w:val="center"/>
          </w:tcPr>
          <w:p w14:paraId="1435BDAA">
            <w:pPr>
              <w:spacing w:line="400" w:lineRule="exact"/>
              <w:jc w:val="left"/>
              <w:rPr>
                <w:rFonts w:hint="eastAsia" w:cs="宋体" w:asciiTheme="minorEastAsia" w:hAnsiTheme="minorEastAsia" w:eastAsiaTheme="minorEastAsia"/>
                <w:b w:val="0"/>
                <w:bCs/>
                <w:color w:val="auto"/>
                <w:szCs w:val="21"/>
                <w:highlight w:val="none"/>
                <w:lang w:eastAsia="zh-CN"/>
              </w:rPr>
            </w:pPr>
            <w:r>
              <w:rPr>
                <w:rFonts w:hint="eastAsia" w:cs="宋体" w:asciiTheme="minorEastAsia" w:hAnsiTheme="minorEastAsia" w:eastAsiaTheme="minorEastAsia"/>
                <w:b w:val="0"/>
                <w:bCs/>
                <w:color w:val="auto"/>
                <w:szCs w:val="21"/>
                <w:highlight w:val="none"/>
                <w:lang w:eastAsia="zh-CN"/>
              </w:rPr>
              <w:t>一</w:t>
            </w:r>
            <w:r>
              <w:rPr>
                <w:rFonts w:hint="eastAsia" w:cs="宋体" w:asciiTheme="minorEastAsia" w:hAnsiTheme="minorEastAsia" w:eastAsiaTheme="minorEastAsia"/>
                <w:b w:val="0"/>
                <w:bCs/>
                <w:color w:val="auto"/>
                <w:szCs w:val="21"/>
                <w:highlight w:val="none"/>
              </w:rPr>
              <w:t>档（</w:t>
            </w:r>
            <w:r>
              <w:rPr>
                <w:rFonts w:hint="eastAsia" w:cs="宋体" w:asciiTheme="minorEastAsia" w:hAnsiTheme="minorEastAsia" w:eastAsiaTheme="minorEastAsia"/>
                <w:b w:val="0"/>
                <w:bCs/>
                <w:color w:val="auto"/>
                <w:szCs w:val="21"/>
                <w:highlight w:val="none"/>
                <w:lang w:val="en-US" w:eastAsia="zh-CN"/>
              </w:rPr>
              <w:t>0.5</w:t>
            </w:r>
            <w:r>
              <w:rPr>
                <w:rFonts w:hint="eastAsia" w:cs="宋体" w:asciiTheme="minorEastAsia" w:hAnsiTheme="minorEastAsia" w:eastAsiaTheme="minorEastAsia"/>
                <w:b w:val="0"/>
                <w:bCs/>
                <w:color w:val="auto"/>
                <w:szCs w:val="21"/>
                <w:highlight w:val="none"/>
              </w:rPr>
              <w:t>分）：投入的施工材料的组织计划</w:t>
            </w:r>
            <w:r>
              <w:rPr>
                <w:rFonts w:hint="eastAsia" w:cs="宋体" w:asciiTheme="minorEastAsia" w:hAnsiTheme="minorEastAsia" w:eastAsiaTheme="minorEastAsia"/>
                <w:b w:val="0"/>
                <w:bCs/>
                <w:color w:val="auto"/>
                <w:szCs w:val="21"/>
                <w:highlight w:val="none"/>
                <w:lang w:eastAsia="zh-CN"/>
              </w:rPr>
              <w:t>基本合理</w:t>
            </w:r>
            <w:r>
              <w:rPr>
                <w:rFonts w:hint="eastAsia" w:cs="宋体" w:asciiTheme="minorEastAsia" w:hAnsiTheme="minorEastAsia" w:eastAsiaTheme="minorEastAsia"/>
                <w:b w:val="0"/>
                <w:bCs/>
                <w:color w:val="auto"/>
                <w:szCs w:val="21"/>
                <w:highlight w:val="none"/>
              </w:rPr>
              <w:t>，数量、选型配置、进场时间安排</w:t>
            </w:r>
            <w:r>
              <w:rPr>
                <w:rFonts w:hint="eastAsia" w:cs="宋体" w:asciiTheme="minorEastAsia" w:hAnsiTheme="minorEastAsia" w:eastAsiaTheme="minorEastAsia"/>
                <w:b w:val="0"/>
                <w:bCs/>
                <w:color w:val="auto"/>
                <w:szCs w:val="21"/>
                <w:highlight w:val="none"/>
                <w:lang w:val="en-US" w:eastAsia="zh-CN"/>
              </w:rPr>
              <w:t>基本可行</w:t>
            </w:r>
            <w:r>
              <w:rPr>
                <w:rFonts w:hint="eastAsia" w:cs="宋体" w:asciiTheme="minorEastAsia" w:hAnsiTheme="minorEastAsia" w:eastAsiaTheme="minorEastAsia"/>
                <w:b w:val="0"/>
                <w:bCs/>
                <w:color w:val="auto"/>
                <w:szCs w:val="21"/>
                <w:highlight w:val="none"/>
              </w:rPr>
              <w:t>，</w:t>
            </w:r>
            <w:r>
              <w:rPr>
                <w:rFonts w:hint="eastAsia" w:cs="宋体" w:asciiTheme="minorEastAsia" w:hAnsiTheme="minorEastAsia" w:eastAsiaTheme="minorEastAsia"/>
                <w:b w:val="0"/>
                <w:bCs/>
                <w:color w:val="auto"/>
                <w:szCs w:val="21"/>
                <w:highlight w:val="none"/>
                <w:lang w:eastAsia="zh-CN"/>
              </w:rPr>
              <w:t>所竞</w:t>
            </w:r>
            <w:r>
              <w:rPr>
                <w:rFonts w:hint="eastAsia" w:cs="宋体" w:asciiTheme="minorEastAsia" w:hAnsiTheme="minorEastAsia" w:eastAsiaTheme="minorEastAsia"/>
                <w:b w:val="0"/>
                <w:bCs/>
                <w:color w:val="auto"/>
                <w:szCs w:val="21"/>
                <w:highlight w:val="none"/>
                <w:lang w:val="en-US" w:eastAsia="zh-CN"/>
              </w:rPr>
              <w:t>工程量清单“</w:t>
            </w:r>
            <w:r>
              <w:rPr>
                <w:rFonts w:hint="eastAsia" w:cs="宋体" w:asciiTheme="minorEastAsia" w:hAnsiTheme="minorEastAsia" w:eastAsiaTheme="minorEastAsia"/>
                <w:b w:val="0"/>
                <w:bCs/>
                <w:color w:val="auto"/>
                <w:szCs w:val="21"/>
                <w:highlight w:val="none"/>
                <w:lang w:eastAsia="zh-CN"/>
              </w:rPr>
              <w:t>分部分项工程和单价措施项目费用表”中的第</w:t>
            </w:r>
            <w:r>
              <w:rPr>
                <w:rFonts w:hint="eastAsia" w:cs="宋体" w:asciiTheme="minorEastAsia" w:hAnsiTheme="minorEastAsia" w:eastAsiaTheme="minorEastAsia"/>
                <w:b w:val="0"/>
                <w:bCs/>
                <w:color w:val="auto"/>
                <w:szCs w:val="21"/>
                <w:highlight w:val="none"/>
                <w:lang w:val="en-US" w:eastAsia="zh-CN"/>
              </w:rPr>
              <w:t>6、7、8、58、59、60、74~81、114、115项</w:t>
            </w:r>
            <w:r>
              <w:rPr>
                <w:rFonts w:hint="eastAsia"/>
                <w:color w:val="auto"/>
                <w:highlight w:val="none"/>
                <w:lang w:val="en-US" w:eastAsia="zh-CN"/>
              </w:rPr>
              <w:t>号</w:t>
            </w:r>
            <w:r>
              <w:rPr>
                <w:rFonts w:hint="eastAsia" w:cs="宋体" w:asciiTheme="minorEastAsia" w:hAnsiTheme="minorEastAsia"/>
                <w:b w:val="0"/>
                <w:bCs/>
                <w:color w:val="auto"/>
                <w:szCs w:val="21"/>
                <w:highlight w:val="none"/>
                <w:lang w:eastAsia="zh-CN"/>
              </w:rPr>
              <w:t>设备器件</w:t>
            </w:r>
            <w:r>
              <w:rPr>
                <w:rFonts w:hint="eastAsia" w:cs="宋体" w:asciiTheme="minorEastAsia" w:hAnsiTheme="minorEastAsia" w:eastAsiaTheme="minorEastAsia"/>
                <w:b w:val="0"/>
                <w:bCs/>
                <w:color w:val="auto"/>
                <w:szCs w:val="21"/>
                <w:highlight w:val="none"/>
                <w:lang w:eastAsia="zh-CN"/>
              </w:rPr>
              <w:t>的技术参数仅满足“</w:t>
            </w:r>
            <w:r>
              <w:rPr>
                <w:rFonts w:hint="eastAsia" w:cs="宋体" w:asciiTheme="minorEastAsia" w:hAnsiTheme="minorEastAsia" w:eastAsiaTheme="minorEastAsia"/>
                <w:b w:val="0"/>
                <w:bCs/>
                <w:color w:val="auto"/>
                <w:szCs w:val="21"/>
                <w:highlight w:val="none"/>
              </w:rPr>
              <w:t>招标工程量清单</w:t>
            </w:r>
            <w:r>
              <w:rPr>
                <w:rFonts w:hint="eastAsia" w:cs="宋体" w:asciiTheme="minorEastAsia" w:hAnsiTheme="minorEastAsia" w:eastAsiaTheme="minorEastAsia"/>
                <w:b w:val="0"/>
                <w:bCs/>
                <w:color w:val="auto"/>
                <w:szCs w:val="21"/>
                <w:highlight w:val="none"/>
                <w:lang w:eastAsia="zh-CN"/>
              </w:rPr>
              <w:t>”</w:t>
            </w:r>
            <w:r>
              <w:rPr>
                <w:rFonts w:hint="eastAsia" w:cs="宋体" w:asciiTheme="minorEastAsia" w:hAnsiTheme="minorEastAsia" w:eastAsiaTheme="minorEastAsia"/>
                <w:b w:val="0"/>
                <w:bCs/>
                <w:color w:val="auto"/>
                <w:szCs w:val="21"/>
                <w:highlight w:val="none"/>
              </w:rPr>
              <w:t>中技术要求</w:t>
            </w:r>
            <w:r>
              <w:rPr>
                <w:rFonts w:hint="eastAsia" w:cs="宋体" w:asciiTheme="minorEastAsia" w:hAnsiTheme="minorEastAsia" w:eastAsiaTheme="minorEastAsia"/>
                <w:b w:val="0"/>
                <w:bCs/>
                <w:color w:val="auto"/>
                <w:szCs w:val="21"/>
                <w:highlight w:val="none"/>
                <w:lang w:eastAsia="zh-CN"/>
              </w:rPr>
              <w:t>，基本</w:t>
            </w:r>
            <w:r>
              <w:rPr>
                <w:rFonts w:hint="eastAsia" w:cs="宋体" w:asciiTheme="minorEastAsia" w:hAnsiTheme="minorEastAsia" w:eastAsiaTheme="minorEastAsia"/>
                <w:b w:val="0"/>
                <w:bCs/>
                <w:color w:val="auto"/>
                <w:szCs w:val="21"/>
                <w:highlight w:val="none"/>
              </w:rPr>
              <w:t>满足施工需要。</w:t>
            </w:r>
          </w:p>
          <w:p w14:paraId="73B5ECF5">
            <w:pPr>
              <w:spacing w:line="400" w:lineRule="exact"/>
              <w:jc w:val="left"/>
              <w:rPr>
                <w:rFonts w:hint="eastAsia" w:cs="宋体" w:asciiTheme="majorEastAsia" w:hAnsiTheme="majorEastAsia" w:eastAsiaTheme="majorEastAsia"/>
                <w:color w:val="auto"/>
                <w:kern w:val="0"/>
                <w:highlight w:val="none"/>
              </w:rPr>
            </w:pPr>
            <w:r>
              <w:rPr>
                <w:rFonts w:hint="eastAsia" w:cs="宋体" w:asciiTheme="minorEastAsia" w:hAnsiTheme="minorEastAsia" w:eastAsiaTheme="minorEastAsia"/>
                <w:b w:val="0"/>
                <w:bCs/>
                <w:color w:val="auto"/>
                <w:szCs w:val="21"/>
                <w:highlight w:val="none"/>
                <w:lang w:eastAsia="zh-CN"/>
              </w:rPr>
              <w:t>二</w:t>
            </w:r>
            <w:r>
              <w:rPr>
                <w:rFonts w:hint="eastAsia" w:cs="宋体" w:asciiTheme="minorEastAsia" w:hAnsiTheme="minorEastAsia" w:eastAsiaTheme="minorEastAsia"/>
                <w:b w:val="0"/>
                <w:bCs/>
                <w:color w:val="auto"/>
                <w:szCs w:val="21"/>
                <w:highlight w:val="none"/>
              </w:rPr>
              <w:t>档（</w:t>
            </w:r>
            <w:r>
              <w:rPr>
                <w:rFonts w:hint="eastAsia" w:cs="宋体" w:asciiTheme="minorEastAsia" w:hAnsiTheme="minorEastAsia" w:eastAsiaTheme="minorEastAsia"/>
                <w:b w:val="0"/>
                <w:bCs/>
                <w:color w:val="auto"/>
                <w:szCs w:val="21"/>
                <w:highlight w:val="none"/>
                <w:lang w:val="en-US" w:eastAsia="zh-CN"/>
              </w:rPr>
              <w:t>1</w:t>
            </w:r>
            <w:r>
              <w:rPr>
                <w:rFonts w:hint="eastAsia" w:cs="宋体" w:asciiTheme="minorEastAsia" w:hAnsiTheme="minorEastAsia" w:eastAsiaTheme="minorEastAsia"/>
                <w:b w:val="0"/>
                <w:bCs/>
                <w:color w:val="auto"/>
                <w:szCs w:val="21"/>
                <w:highlight w:val="none"/>
              </w:rPr>
              <w:t>分）：投入的施工材料的组织计划周</w:t>
            </w:r>
            <w:r>
              <w:rPr>
                <w:rFonts w:hint="eastAsia" w:cs="宋体" w:asciiTheme="minorEastAsia" w:hAnsiTheme="minorEastAsia" w:eastAsiaTheme="minorEastAsia"/>
                <w:b w:val="0"/>
                <w:bCs/>
                <w:color w:val="auto"/>
                <w:szCs w:val="21"/>
                <w:highlight w:val="none"/>
                <w:lang w:eastAsia="zh-CN"/>
              </w:rPr>
              <w:t>全、合理、针对性强</w:t>
            </w:r>
            <w:r>
              <w:rPr>
                <w:rFonts w:hint="eastAsia" w:cs="宋体" w:asciiTheme="minorEastAsia" w:hAnsiTheme="minorEastAsia" w:eastAsiaTheme="minorEastAsia"/>
                <w:b w:val="0"/>
                <w:bCs/>
                <w:color w:val="auto"/>
                <w:szCs w:val="21"/>
                <w:highlight w:val="none"/>
              </w:rPr>
              <w:t>，数量、选型配置、进场时间安排</w:t>
            </w:r>
            <w:r>
              <w:rPr>
                <w:rFonts w:hint="eastAsia" w:cs="宋体" w:asciiTheme="minorEastAsia" w:hAnsiTheme="minorEastAsia" w:eastAsiaTheme="minorEastAsia"/>
                <w:b w:val="0"/>
                <w:bCs/>
                <w:color w:val="auto"/>
                <w:szCs w:val="21"/>
                <w:highlight w:val="none"/>
                <w:lang w:val="en-US" w:eastAsia="zh-CN"/>
              </w:rPr>
              <w:t>可行</w:t>
            </w:r>
            <w:r>
              <w:rPr>
                <w:rFonts w:hint="eastAsia" w:cs="宋体" w:asciiTheme="minorEastAsia" w:hAnsiTheme="minorEastAsia" w:eastAsiaTheme="minorEastAsia"/>
                <w:b w:val="0"/>
                <w:bCs/>
                <w:color w:val="auto"/>
                <w:szCs w:val="21"/>
                <w:highlight w:val="none"/>
              </w:rPr>
              <w:t>，</w:t>
            </w:r>
            <w:r>
              <w:rPr>
                <w:rFonts w:hint="eastAsia" w:cs="宋体" w:asciiTheme="minorEastAsia" w:hAnsiTheme="minorEastAsia" w:eastAsiaTheme="minorEastAsia"/>
                <w:b w:val="0"/>
                <w:bCs/>
                <w:color w:val="auto"/>
                <w:szCs w:val="21"/>
                <w:highlight w:val="none"/>
                <w:lang w:eastAsia="zh-CN"/>
              </w:rPr>
              <w:t>所竞</w:t>
            </w:r>
            <w:r>
              <w:rPr>
                <w:rFonts w:hint="eastAsia" w:cs="宋体" w:asciiTheme="minorEastAsia" w:hAnsiTheme="minorEastAsia" w:eastAsiaTheme="minorEastAsia"/>
                <w:b w:val="0"/>
                <w:bCs/>
                <w:color w:val="auto"/>
                <w:szCs w:val="21"/>
                <w:highlight w:val="none"/>
                <w:lang w:val="en-US" w:eastAsia="zh-CN"/>
              </w:rPr>
              <w:t>工程量清单“</w:t>
            </w:r>
            <w:r>
              <w:rPr>
                <w:rFonts w:hint="eastAsia" w:cs="宋体" w:asciiTheme="minorEastAsia" w:hAnsiTheme="minorEastAsia" w:eastAsiaTheme="minorEastAsia"/>
                <w:b w:val="0"/>
                <w:bCs/>
                <w:color w:val="auto"/>
                <w:szCs w:val="21"/>
                <w:highlight w:val="none"/>
                <w:lang w:eastAsia="zh-CN"/>
              </w:rPr>
              <w:t>分部分项工程和单价措施项目费用表”中的第</w:t>
            </w:r>
            <w:r>
              <w:rPr>
                <w:rFonts w:hint="eastAsia" w:cs="宋体" w:asciiTheme="minorEastAsia" w:hAnsiTheme="minorEastAsia" w:eastAsiaTheme="minorEastAsia"/>
                <w:b w:val="0"/>
                <w:bCs/>
                <w:color w:val="auto"/>
                <w:szCs w:val="21"/>
                <w:highlight w:val="none"/>
                <w:lang w:val="en-US" w:eastAsia="zh-CN"/>
              </w:rPr>
              <w:t>6、7、8、58、59、60、74~81、114、115项</w:t>
            </w:r>
            <w:r>
              <w:rPr>
                <w:rFonts w:hint="eastAsia"/>
                <w:color w:val="auto"/>
                <w:highlight w:val="none"/>
                <w:lang w:val="en-US" w:eastAsia="zh-CN"/>
              </w:rPr>
              <w:t>号</w:t>
            </w:r>
            <w:r>
              <w:rPr>
                <w:rFonts w:hint="eastAsia" w:cs="宋体" w:asciiTheme="minorEastAsia" w:hAnsiTheme="minorEastAsia"/>
                <w:b w:val="0"/>
                <w:bCs/>
                <w:color w:val="auto"/>
                <w:szCs w:val="21"/>
                <w:highlight w:val="none"/>
                <w:lang w:eastAsia="zh-CN"/>
              </w:rPr>
              <w:t>设备器件</w:t>
            </w:r>
            <w:r>
              <w:rPr>
                <w:rFonts w:hint="eastAsia" w:cs="宋体" w:asciiTheme="minorEastAsia" w:hAnsiTheme="minorEastAsia" w:eastAsiaTheme="minorEastAsia"/>
                <w:b w:val="0"/>
                <w:bCs/>
                <w:color w:val="auto"/>
                <w:szCs w:val="21"/>
                <w:highlight w:val="none"/>
                <w:lang w:eastAsia="zh-CN"/>
              </w:rPr>
              <w:t>的技术参数经评委认定优于“</w:t>
            </w:r>
            <w:r>
              <w:rPr>
                <w:rFonts w:hint="eastAsia" w:cs="宋体" w:asciiTheme="minorEastAsia" w:hAnsiTheme="minorEastAsia" w:eastAsiaTheme="minorEastAsia"/>
                <w:b w:val="0"/>
                <w:bCs/>
                <w:color w:val="auto"/>
                <w:szCs w:val="21"/>
                <w:highlight w:val="none"/>
              </w:rPr>
              <w:t>招标工程量清单</w:t>
            </w:r>
            <w:r>
              <w:rPr>
                <w:rFonts w:hint="eastAsia" w:cs="宋体" w:asciiTheme="minorEastAsia" w:hAnsiTheme="minorEastAsia" w:eastAsiaTheme="minorEastAsia"/>
                <w:b w:val="0"/>
                <w:bCs/>
                <w:color w:val="auto"/>
                <w:szCs w:val="21"/>
                <w:highlight w:val="none"/>
                <w:lang w:eastAsia="zh-CN"/>
              </w:rPr>
              <w:t>”</w:t>
            </w:r>
            <w:r>
              <w:rPr>
                <w:rFonts w:hint="eastAsia" w:cs="宋体" w:asciiTheme="minorEastAsia" w:hAnsiTheme="minorEastAsia" w:eastAsiaTheme="minorEastAsia"/>
                <w:b w:val="0"/>
                <w:bCs/>
                <w:color w:val="auto"/>
                <w:szCs w:val="21"/>
                <w:highlight w:val="none"/>
              </w:rPr>
              <w:t>中技术要求</w:t>
            </w:r>
            <w:r>
              <w:rPr>
                <w:rFonts w:hint="eastAsia" w:cs="宋体" w:asciiTheme="minorEastAsia" w:hAnsiTheme="minorEastAsia" w:eastAsiaTheme="minorEastAsia"/>
                <w:b w:val="0"/>
                <w:bCs/>
                <w:color w:val="auto"/>
                <w:szCs w:val="21"/>
                <w:highlight w:val="none"/>
                <w:lang w:eastAsia="zh-CN"/>
              </w:rPr>
              <w:t>，</w:t>
            </w:r>
            <w:r>
              <w:rPr>
                <w:rFonts w:hint="eastAsia" w:cs="宋体" w:asciiTheme="minorEastAsia" w:hAnsiTheme="minorEastAsia" w:eastAsiaTheme="minorEastAsia"/>
                <w:b w:val="0"/>
                <w:bCs/>
                <w:color w:val="auto"/>
                <w:szCs w:val="21"/>
                <w:highlight w:val="none"/>
              </w:rPr>
              <w:t>完全满足施工需要。</w:t>
            </w:r>
          </w:p>
        </w:tc>
      </w:tr>
      <w:tr w14:paraId="35EA6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76" w:type="dxa"/>
            <w:vMerge w:val="continue"/>
            <w:tcBorders>
              <w:top w:val="single" w:color="auto" w:sz="4" w:space="0"/>
              <w:left w:val="single" w:color="auto" w:sz="4" w:space="0"/>
              <w:bottom w:val="single" w:color="auto" w:sz="4" w:space="0"/>
              <w:right w:val="single" w:color="auto" w:sz="4" w:space="0"/>
            </w:tcBorders>
            <w:vAlign w:val="center"/>
          </w:tcPr>
          <w:p w14:paraId="04385ADE">
            <w:pPr>
              <w:widowControl/>
              <w:spacing w:line="440" w:lineRule="exact"/>
              <w:jc w:val="left"/>
              <w:rPr>
                <w:rFonts w:hint="eastAsia" w:cs="Tahoma" w:asciiTheme="majorEastAsia" w:hAnsiTheme="majorEastAsia" w:eastAsiaTheme="majorEastAsia"/>
                <w:color w:val="auto"/>
                <w:kern w:val="0"/>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0102B511">
            <w:pPr>
              <w:adjustRightInd w:val="0"/>
              <w:spacing w:line="440" w:lineRule="exact"/>
              <w:jc w:val="center"/>
              <w:textAlignment w:val="baseline"/>
              <w:rPr>
                <w:rFonts w:hint="eastAsia" w:cs="宋体" w:asciiTheme="majorEastAsia" w:hAnsiTheme="majorEastAsia" w:eastAsiaTheme="majorEastAsia"/>
                <w:color w:val="auto"/>
                <w:highlight w:val="none"/>
              </w:rPr>
            </w:pPr>
            <w:r>
              <w:rPr>
                <w:rFonts w:hint="eastAsia" w:asciiTheme="majorEastAsia" w:hAnsiTheme="majorEastAsia" w:eastAsiaTheme="majorEastAsia"/>
                <w:bCs/>
                <w:color w:val="auto"/>
                <w:kern w:val="0"/>
                <w:highlight w:val="none"/>
              </w:rPr>
              <w:t>2</w:t>
            </w:r>
            <w:r>
              <w:rPr>
                <w:rFonts w:asciiTheme="majorEastAsia" w:hAnsiTheme="majorEastAsia" w:eastAsiaTheme="majorEastAsia"/>
                <w:bCs/>
                <w:color w:val="auto"/>
                <w:kern w:val="0"/>
                <w:highlight w:val="none"/>
              </w:rPr>
              <w:t>.3</w:t>
            </w:r>
            <w:r>
              <w:rPr>
                <w:rFonts w:hint="eastAsia" w:cs="宋体" w:asciiTheme="majorEastAsia" w:hAnsiTheme="majorEastAsia" w:eastAsiaTheme="majorEastAsia"/>
                <w:color w:val="auto"/>
                <w:spacing w:val="-2"/>
                <w:highlight w:val="none"/>
              </w:rPr>
              <w:t>劳动力安排</w:t>
            </w:r>
            <w:r>
              <w:rPr>
                <w:rFonts w:hint="eastAsia" w:cs="宋体" w:asciiTheme="majorEastAsia" w:hAnsiTheme="majorEastAsia" w:eastAsiaTheme="majorEastAsia"/>
                <w:color w:val="auto"/>
                <w:spacing w:val="5"/>
                <w:highlight w:val="none"/>
              </w:rPr>
              <w:t>计划</w:t>
            </w:r>
            <w:r>
              <w:rPr>
                <w:rFonts w:hint="eastAsia" w:asciiTheme="majorEastAsia" w:hAnsiTheme="majorEastAsia" w:eastAsiaTheme="majorEastAsia"/>
                <w:color w:val="auto"/>
                <w:szCs w:val="21"/>
                <w:highlight w:val="none"/>
              </w:rPr>
              <w:t>（</w:t>
            </w:r>
            <w:r>
              <w:rPr>
                <w:rFonts w:hint="eastAsia" w:asciiTheme="majorEastAsia" w:hAnsiTheme="majorEastAsia" w:eastAsiaTheme="majorEastAsia"/>
                <w:color w:val="auto"/>
                <w:szCs w:val="21"/>
                <w:highlight w:val="none"/>
                <w:lang w:val="en-US" w:eastAsia="zh-CN"/>
              </w:rPr>
              <w:t>1.5</w:t>
            </w:r>
            <w:r>
              <w:rPr>
                <w:rFonts w:hint="eastAsia" w:asciiTheme="majorEastAsia" w:hAnsiTheme="majorEastAsia" w:eastAsiaTheme="majorEastAsia"/>
                <w:color w:val="auto"/>
                <w:szCs w:val="21"/>
                <w:highlight w:val="none"/>
              </w:rPr>
              <w:t>分）</w:t>
            </w:r>
          </w:p>
        </w:tc>
        <w:tc>
          <w:tcPr>
            <w:tcW w:w="6396" w:type="dxa"/>
            <w:tcBorders>
              <w:top w:val="single" w:color="auto" w:sz="4" w:space="0"/>
              <w:left w:val="single" w:color="auto" w:sz="4" w:space="0"/>
              <w:bottom w:val="single" w:color="auto" w:sz="4" w:space="0"/>
              <w:right w:val="single" w:color="auto" w:sz="4" w:space="0"/>
            </w:tcBorders>
            <w:vAlign w:val="center"/>
          </w:tcPr>
          <w:p w14:paraId="472AB095">
            <w:pPr>
              <w:spacing w:line="440" w:lineRule="exact"/>
              <w:rPr>
                <w:rFonts w:hint="eastAsia" w:cs="宋体" w:asciiTheme="majorEastAsia" w:hAnsiTheme="majorEastAsia" w:eastAsiaTheme="majorEastAsia"/>
                <w:color w:val="auto"/>
                <w:kern w:val="0"/>
                <w:highlight w:val="none"/>
              </w:rPr>
            </w:pPr>
            <w:r>
              <w:rPr>
                <w:rFonts w:hint="eastAsia" w:cs="宋体" w:asciiTheme="majorEastAsia" w:hAnsiTheme="majorEastAsia" w:eastAsiaTheme="majorEastAsia"/>
                <w:color w:val="auto"/>
                <w:kern w:val="0"/>
                <w:highlight w:val="none"/>
              </w:rPr>
              <w:t>一档</w:t>
            </w:r>
            <w:r>
              <w:rPr>
                <w:rFonts w:hint="eastAsia" w:cs="宋体" w:asciiTheme="majorEastAsia" w:hAnsiTheme="majorEastAsia" w:eastAsiaTheme="majorEastAsia"/>
                <w:color w:val="auto"/>
                <w:kern w:val="0"/>
                <w:highlight w:val="none"/>
                <w:lang w:eastAsia="zh-CN"/>
              </w:rPr>
              <w:t>（</w:t>
            </w:r>
            <w:r>
              <w:rPr>
                <w:rFonts w:hint="eastAsia" w:cs="宋体" w:asciiTheme="majorEastAsia" w:hAnsiTheme="majorEastAsia" w:eastAsiaTheme="majorEastAsia"/>
                <w:color w:val="auto"/>
                <w:kern w:val="0"/>
                <w:highlight w:val="none"/>
                <w:lang w:val="en-US" w:eastAsia="zh-CN"/>
              </w:rPr>
              <w:t>0.5</w:t>
            </w:r>
            <w:r>
              <w:rPr>
                <w:rFonts w:hint="eastAsia" w:cs="宋体" w:asciiTheme="majorEastAsia" w:hAnsiTheme="majorEastAsia" w:eastAsiaTheme="majorEastAsia"/>
                <w:color w:val="auto"/>
                <w:kern w:val="0"/>
                <w:highlight w:val="none"/>
              </w:rPr>
              <w:t>分</w:t>
            </w:r>
            <w:r>
              <w:rPr>
                <w:rFonts w:hint="eastAsia" w:cs="宋体" w:asciiTheme="majorEastAsia" w:hAnsiTheme="majorEastAsia" w:eastAsiaTheme="majorEastAsia"/>
                <w:color w:val="auto"/>
                <w:kern w:val="0"/>
                <w:highlight w:val="none"/>
                <w:lang w:eastAsia="zh-CN"/>
              </w:rPr>
              <w:t>）</w:t>
            </w:r>
            <w:r>
              <w:rPr>
                <w:rFonts w:hint="eastAsia" w:cs="宋体" w:asciiTheme="majorEastAsia" w:hAnsiTheme="majorEastAsia" w:eastAsiaTheme="majorEastAsia"/>
                <w:color w:val="auto"/>
                <w:kern w:val="0"/>
                <w:highlight w:val="none"/>
              </w:rPr>
              <w:t>：各主要施工工序的劳动力安排计划</w:t>
            </w:r>
            <w:r>
              <w:rPr>
                <w:rFonts w:hint="eastAsia" w:cs="宋体" w:asciiTheme="majorEastAsia" w:hAnsiTheme="majorEastAsia" w:eastAsiaTheme="majorEastAsia"/>
                <w:color w:val="auto"/>
                <w:kern w:val="0"/>
                <w:highlight w:val="none"/>
                <w:lang w:eastAsia="zh-CN"/>
              </w:rPr>
              <w:t>缺乏合理性</w:t>
            </w:r>
            <w:r>
              <w:rPr>
                <w:rFonts w:hint="eastAsia" w:cs="宋体" w:asciiTheme="majorEastAsia" w:hAnsiTheme="majorEastAsia" w:eastAsiaTheme="majorEastAsia"/>
                <w:color w:val="auto"/>
                <w:kern w:val="0"/>
                <w:highlight w:val="none"/>
              </w:rPr>
              <w:t>，各工种劳动力安排计划</w:t>
            </w:r>
            <w:r>
              <w:rPr>
                <w:rFonts w:hint="eastAsia" w:cs="宋体" w:asciiTheme="majorEastAsia" w:hAnsiTheme="majorEastAsia" w:eastAsiaTheme="majorEastAsia"/>
                <w:color w:val="auto"/>
                <w:kern w:val="0"/>
                <w:highlight w:val="none"/>
                <w:lang w:eastAsia="zh-CN"/>
              </w:rPr>
              <w:t>不周全</w:t>
            </w:r>
            <w:r>
              <w:rPr>
                <w:rFonts w:hint="eastAsia" w:cs="宋体" w:asciiTheme="majorEastAsia" w:hAnsiTheme="majorEastAsia" w:eastAsiaTheme="majorEastAsia"/>
                <w:color w:val="auto"/>
                <w:kern w:val="0"/>
                <w:highlight w:val="none"/>
              </w:rPr>
              <w:t>，劳动力投入</w:t>
            </w:r>
            <w:r>
              <w:rPr>
                <w:rFonts w:hint="eastAsia" w:cs="宋体" w:asciiTheme="majorEastAsia" w:hAnsiTheme="majorEastAsia" w:eastAsiaTheme="majorEastAsia"/>
                <w:color w:val="auto"/>
                <w:kern w:val="0"/>
                <w:highlight w:val="none"/>
                <w:lang w:eastAsia="zh-CN"/>
              </w:rPr>
              <w:t>缺乏</w:t>
            </w:r>
            <w:r>
              <w:rPr>
                <w:rFonts w:hint="eastAsia" w:cs="宋体" w:asciiTheme="majorEastAsia" w:hAnsiTheme="majorEastAsia" w:eastAsiaTheme="majorEastAsia"/>
                <w:color w:val="auto"/>
                <w:kern w:val="0"/>
                <w:highlight w:val="none"/>
              </w:rPr>
              <w:t>合理</w:t>
            </w:r>
            <w:r>
              <w:rPr>
                <w:rFonts w:hint="eastAsia" w:cs="宋体" w:asciiTheme="majorEastAsia" w:hAnsiTheme="majorEastAsia" w:eastAsiaTheme="majorEastAsia"/>
                <w:color w:val="auto"/>
                <w:kern w:val="0"/>
                <w:highlight w:val="none"/>
                <w:lang w:eastAsia="zh-CN"/>
              </w:rPr>
              <w:t>性及针对性</w:t>
            </w:r>
            <w:r>
              <w:rPr>
                <w:rFonts w:hint="eastAsia" w:cs="宋体" w:asciiTheme="majorEastAsia" w:hAnsiTheme="majorEastAsia" w:eastAsiaTheme="majorEastAsia"/>
                <w:color w:val="auto"/>
                <w:kern w:val="0"/>
                <w:highlight w:val="none"/>
              </w:rPr>
              <w:t>，</w:t>
            </w:r>
            <w:r>
              <w:rPr>
                <w:rFonts w:hint="eastAsia" w:cs="宋体" w:asciiTheme="majorEastAsia" w:hAnsiTheme="majorEastAsia" w:eastAsiaTheme="majorEastAsia"/>
                <w:color w:val="auto"/>
                <w:kern w:val="0"/>
                <w:highlight w:val="none"/>
                <w:lang w:eastAsia="zh-CN"/>
              </w:rPr>
              <w:t>不能</w:t>
            </w:r>
            <w:r>
              <w:rPr>
                <w:rFonts w:hint="eastAsia" w:cs="宋体" w:asciiTheme="majorEastAsia" w:hAnsiTheme="majorEastAsia" w:eastAsiaTheme="majorEastAsia"/>
                <w:color w:val="auto"/>
                <w:kern w:val="0"/>
                <w:highlight w:val="none"/>
              </w:rPr>
              <w:t>满足施工需要。</w:t>
            </w:r>
          </w:p>
          <w:p w14:paraId="3B64FAA8">
            <w:pPr>
              <w:spacing w:line="440" w:lineRule="exact"/>
              <w:rPr>
                <w:rFonts w:hint="eastAsia" w:cs="宋体" w:asciiTheme="majorEastAsia" w:hAnsiTheme="majorEastAsia" w:eastAsiaTheme="majorEastAsia"/>
                <w:color w:val="auto"/>
                <w:kern w:val="0"/>
                <w:highlight w:val="none"/>
              </w:rPr>
            </w:pPr>
            <w:r>
              <w:rPr>
                <w:rFonts w:hint="eastAsia" w:cs="宋体" w:asciiTheme="majorEastAsia" w:hAnsiTheme="majorEastAsia" w:eastAsiaTheme="majorEastAsia"/>
                <w:color w:val="auto"/>
                <w:kern w:val="0"/>
                <w:highlight w:val="none"/>
              </w:rPr>
              <w:t>二档</w:t>
            </w:r>
            <w:r>
              <w:rPr>
                <w:rFonts w:hint="eastAsia" w:cs="宋体" w:asciiTheme="majorEastAsia" w:hAnsiTheme="majorEastAsia" w:eastAsiaTheme="majorEastAsia"/>
                <w:color w:val="auto"/>
                <w:kern w:val="0"/>
                <w:highlight w:val="none"/>
                <w:lang w:eastAsia="zh-CN"/>
              </w:rPr>
              <w:t>（</w:t>
            </w:r>
            <w:r>
              <w:rPr>
                <w:rFonts w:hint="eastAsia" w:cs="宋体" w:asciiTheme="majorEastAsia" w:hAnsiTheme="majorEastAsia" w:eastAsiaTheme="majorEastAsia"/>
                <w:color w:val="auto"/>
                <w:kern w:val="0"/>
                <w:highlight w:val="none"/>
                <w:lang w:val="en-US" w:eastAsia="zh-CN"/>
              </w:rPr>
              <w:t>1</w:t>
            </w:r>
            <w:r>
              <w:rPr>
                <w:rFonts w:hint="eastAsia" w:cs="宋体" w:asciiTheme="majorEastAsia" w:hAnsiTheme="majorEastAsia" w:eastAsiaTheme="majorEastAsia"/>
                <w:color w:val="auto"/>
                <w:kern w:val="0"/>
                <w:highlight w:val="none"/>
              </w:rPr>
              <w:t>分</w:t>
            </w:r>
            <w:r>
              <w:rPr>
                <w:rFonts w:hint="eastAsia" w:cs="宋体" w:asciiTheme="majorEastAsia" w:hAnsiTheme="majorEastAsia" w:eastAsiaTheme="majorEastAsia"/>
                <w:color w:val="auto"/>
                <w:kern w:val="0"/>
                <w:highlight w:val="none"/>
                <w:lang w:eastAsia="zh-CN"/>
              </w:rPr>
              <w:t>）</w:t>
            </w:r>
            <w:r>
              <w:rPr>
                <w:rFonts w:hint="eastAsia" w:cs="宋体" w:asciiTheme="majorEastAsia" w:hAnsiTheme="majorEastAsia" w:eastAsiaTheme="majorEastAsia"/>
                <w:color w:val="auto"/>
                <w:kern w:val="0"/>
                <w:highlight w:val="none"/>
              </w:rPr>
              <w:t>：各主要施工工序的劳动力安排计划</w:t>
            </w:r>
            <w:r>
              <w:rPr>
                <w:rFonts w:hint="eastAsia" w:cs="宋体" w:asciiTheme="majorEastAsia" w:hAnsiTheme="majorEastAsia" w:eastAsiaTheme="majorEastAsia"/>
                <w:color w:val="auto"/>
                <w:kern w:val="0"/>
                <w:highlight w:val="none"/>
                <w:lang w:val="en-US" w:eastAsia="zh-CN"/>
              </w:rPr>
              <w:t>基本</w:t>
            </w:r>
            <w:r>
              <w:rPr>
                <w:rFonts w:hint="eastAsia" w:cs="宋体" w:asciiTheme="majorEastAsia" w:hAnsiTheme="majorEastAsia" w:eastAsiaTheme="majorEastAsia"/>
                <w:color w:val="auto"/>
                <w:kern w:val="0"/>
                <w:highlight w:val="none"/>
                <w:lang w:eastAsia="zh-CN"/>
              </w:rPr>
              <w:t>合理</w:t>
            </w:r>
            <w:r>
              <w:rPr>
                <w:rFonts w:hint="eastAsia" w:cs="宋体" w:asciiTheme="majorEastAsia" w:hAnsiTheme="majorEastAsia" w:eastAsiaTheme="majorEastAsia"/>
                <w:color w:val="auto"/>
                <w:kern w:val="0"/>
                <w:highlight w:val="none"/>
              </w:rPr>
              <w:t>，各工种劳动力安排计划</w:t>
            </w:r>
            <w:r>
              <w:rPr>
                <w:rFonts w:hint="eastAsia" w:cs="宋体" w:asciiTheme="majorEastAsia" w:hAnsiTheme="majorEastAsia" w:eastAsiaTheme="majorEastAsia"/>
                <w:color w:val="auto"/>
                <w:kern w:val="0"/>
                <w:highlight w:val="none"/>
                <w:lang w:eastAsia="zh-CN"/>
              </w:rPr>
              <w:t>基本周全</w:t>
            </w:r>
            <w:r>
              <w:rPr>
                <w:rFonts w:hint="eastAsia" w:cs="宋体" w:asciiTheme="majorEastAsia" w:hAnsiTheme="majorEastAsia" w:eastAsiaTheme="majorEastAsia"/>
                <w:color w:val="auto"/>
                <w:kern w:val="0"/>
                <w:highlight w:val="none"/>
              </w:rPr>
              <w:t>，劳动力投入</w:t>
            </w:r>
            <w:r>
              <w:rPr>
                <w:rFonts w:hint="eastAsia" w:cs="宋体" w:asciiTheme="majorEastAsia" w:hAnsiTheme="majorEastAsia" w:eastAsiaTheme="majorEastAsia"/>
                <w:color w:val="auto"/>
                <w:kern w:val="0"/>
                <w:highlight w:val="none"/>
                <w:lang w:eastAsia="zh-CN"/>
              </w:rPr>
              <w:t>有一定的</w:t>
            </w:r>
            <w:r>
              <w:rPr>
                <w:rFonts w:hint="eastAsia" w:cs="宋体" w:asciiTheme="majorEastAsia" w:hAnsiTheme="majorEastAsia" w:eastAsiaTheme="majorEastAsia"/>
                <w:color w:val="auto"/>
                <w:kern w:val="0"/>
                <w:highlight w:val="none"/>
              </w:rPr>
              <w:t>合理</w:t>
            </w:r>
            <w:r>
              <w:rPr>
                <w:rFonts w:hint="eastAsia" w:cs="宋体" w:asciiTheme="majorEastAsia" w:hAnsiTheme="majorEastAsia" w:eastAsiaTheme="majorEastAsia"/>
                <w:color w:val="auto"/>
                <w:kern w:val="0"/>
                <w:highlight w:val="none"/>
                <w:lang w:eastAsia="zh-CN"/>
              </w:rPr>
              <w:t>性及针对性</w:t>
            </w:r>
            <w:r>
              <w:rPr>
                <w:rFonts w:hint="eastAsia" w:cs="宋体" w:asciiTheme="majorEastAsia" w:hAnsiTheme="majorEastAsia" w:eastAsiaTheme="majorEastAsia"/>
                <w:color w:val="auto"/>
                <w:kern w:val="0"/>
                <w:highlight w:val="none"/>
              </w:rPr>
              <w:t>，</w:t>
            </w:r>
            <w:r>
              <w:rPr>
                <w:rFonts w:hint="eastAsia" w:cs="宋体" w:asciiTheme="majorEastAsia" w:hAnsiTheme="majorEastAsia" w:eastAsiaTheme="majorEastAsia"/>
                <w:color w:val="auto"/>
                <w:kern w:val="0"/>
                <w:highlight w:val="none"/>
                <w:lang w:eastAsia="zh-CN"/>
              </w:rPr>
              <w:t>基本</w:t>
            </w:r>
            <w:r>
              <w:rPr>
                <w:rFonts w:hint="eastAsia" w:cs="宋体" w:asciiTheme="majorEastAsia" w:hAnsiTheme="majorEastAsia" w:eastAsiaTheme="majorEastAsia"/>
                <w:color w:val="auto"/>
                <w:kern w:val="0"/>
                <w:highlight w:val="none"/>
              </w:rPr>
              <w:t>满足施工需要。</w:t>
            </w:r>
          </w:p>
          <w:p w14:paraId="0A09574C">
            <w:pPr>
              <w:spacing w:line="440" w:lineRule="exact"/>
              <w:rPr>
                <w:rFonts w:hint="eastAsia" w:asciiTheme="majorEastAsia" w:hAnsiTheme="majorEastAsia" w:eastAsiaTheme="majorEastAsia"/>
                <w:color w:val="auto"/>
                <w:highlight w:val="none"/>
              </w:rPr>
            </w:pPr>
            <w:r>
              <w:rPr>
                <w:rFonts w:hint="eastAsia" w:cs="宋体" w:asciiTheme="majorEastAsia" w:hAnsiTheme="majorEastAsia" w:eastAsiaTheme="majorEastAsia"/>
                <w:color w:val="auto"/>
                <w:kern w:val="0"/>
                <w:highlight w:val="none"/>
              </w:rPr>
              <w:t>三档</w:t>
            </w:r>
            <w:r>
              <w:rPr>
                <w:rFonts w:hint="eastAsia" w:cs="宋体" w:asciiTheme="majorEastAsia" w:hAnsiTheme="majorEastAsia" w:eastAsiaTheme="majorEastAsia"/>
                <w:color w:val="auto"/>
                <w:kern w:val="0"/>
                <w:highlight w:val="none"/>
                <w:lang w:eastAsia="zh-CN"/>
              </w:rPr>
              <w:t>（</w:t>
            </w:r>
            <w:r>
              <w:rPr>
                <w:rFonts w:hint="eastAsia" w:cs="宋体" w:asciiTheme="majorEastAsia" w:hAnsiTheme="majorEastAsia" w:eastAsiaTheme="majorEastAsia"/>
                <w:color w:val="auto"/>
                <w:kern w:val="0"/>
                <w:highlight w:val="none"/>
                <w:lang w:val="en-US" w:eastAsia="zh-CN"/>
              </w:rPr>
              <w:t>1.5</w:t>
            </w:r>
            <w:r>
              <w:rPr>
                <w:rFonts w:hint="eastAsia" w:cs="宋体" w:asciiTheme="majorEastAsia" w:hAnsiTheme="majorEastAsia" w:eastAsiaTheme="majorEastAsia"/>
                <w:color w:val="auto"/>
                <w:kern w:val="0"/>
                <w:highlight w:val="none"/>
              </w:rPr>
              <w:t>分</w:t>
            </w:r>
            <w:r>
              <w:rPr>
                <w:rFonts w:hint="eastAsia" w:cs="宋体" w:asciiTheme="majorEastAsia" w:hAnsiTheme="majorEastAsia" w:eastAsiaTheme="majorEastAsia"/>
                <w:color w:val="auto"/>
                <w:kern w:val="0"/>
                <w:highlight w:val="none"/>
                <w:lang w:eastAsia="zh-CN"/>
              </w:rPr>
              <w:t>）</w:t>
            </w:r>
            <w:r>
              <w:rPr>
                <w:rFonts w:hint="eastAsia" w:cs="宋体" w:asciiTheme="majorEastAsia" w:hAnsiTheme="majorEastAsia" w:eastAsiaTheme="majorEastAsia"/>
                <w:color w:val="auto"/>
                <w:kern w:val="0"/>
                <w:highlight w:val="none"/>
              </w:rPr>
              <w:t>：各主要施工工序的劳动力安排计划</w:t>
            </w:r>
            <w:r>
              <w:rPr>
                <w:rFonts w:hint="eastAsia" w:cs="宋体" w:asciiTheme="majorEastAsia" w:hAnsiTheme="majorEastAsia" w:eastAsiaTheme="majorEastAsia"/>
                <w:color w:val="auto"/>
                <w:kern w:val="0"/>
                <w:highlight w:val="none"/>
                <w:lang w:eastAsia="zh-CN"/>
              </w:rPr>
              <w:t>周密、合理</w:t>
            </w:r>
            <w:r>
              <w:rPr>
                <w:rFonts w:hint="eastAsia" w:cs="宋体" w:asciiTheme="majorEastAsia" w:hAnsiTheme="majorEastAsia" w:eastAsiaTheme="majorEastAsia"/>
                <w:color w:val="auto"/>
                <w:kern w:val="0"/>
                <w:highlight w:val="none"/>
              </w:rPr>
              <w:t>，各工种劳动力安排计划</w:t>
            </w:r>
            <w:r>
              <w:rPr>
                <w:rFonts w:hint="eastAsia" w:cs="宋体" w:asciiTheme="majorEastAsia" w:hAnsiTheme="majorEastAsia" w:eastAsiaTheme="majorEastAsia"/>
                <w:color w:val="auto"/>
                <w:kern w:val="0"/>
                <w:highlight w:val="none"/>
                <w:lang w:eastAsia="zh-CN"/>
              </w:rPr>
              <w:t>周全</w:t>
            </w:r>
            <w:r>
              <w:rPr>
                <w:rFonts w:hint="eastAsia" w:cs="宋体" w:asciiTheme="majorEastAsia" w:hAnsiTheme="majorEastAsia" w:eastAsiaTheme="majorEastAsia"/>
                <w:color w:val="auto"/>
                <w:kern w:val="0"/>
                <w:highlight w:val="none"/>
              </w:rPr>
              <w:t>，劳动力投入合理</w:t>
            </w:r>
            <w:r>
              <w:rPr>
                <w:rFonts w:hint="eastAsia" w:cs="宋体" w:asciiTheme="majorEastAsia" w:hAnsiTheme="majorEastAsia" w:eastAsiaTheme="majorEastAsia"/>
                <w:color w:val="auto"/>
                <w:kern w:val="0"/>
                <w:highlight w:val="none"/>
                <w:lang w:eastAsia="zh-CN"/>
              </w:rPr>
              <w:t>、针对性强</w:t>
            </w:r>
            <w:r>
              <w:rPr>
                <w:rFonts w:hint="eastAsia" w:cs="宋体" w:asciiTheme="majorEastAsia" w:hAnsiTheme="majorEastAsia" w:eastAsiaTheme="majorEastAsia"/>
                <w:color w:val="auto"/>
                <w:kern w:val="0"/>
                <w:highlight w:val="none"/>
              </w:rPr>
              <w:t>，完全满足施工需要，有利于项目切实、有效的实施。</w:t>
            </w:r>
          </w:p>
        </w:tc>
      </w:tr>
      <w:tr w14:paraId="5AB4D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76" w:type="dxa"/>
            <w:vMerge w:val="continue"/>
            <w:tcBorders>
              <w:top w:val="single" w:color="auto" w:sz="4" w:space="0"/>
              <w:left w:val="single" w:color="auto" w:sz="4" w:space="0"/>
              <w:bottom w:val="single" w:color="auto" w:sz="4" w:space="0"/>
              <w:right w:val="single" w:color="auto" w:sz="4" w:space="0"/>
            </w:tcBorders>
            <w:vAlign w:val="center"/>
          </w:tcPr>
          <w:p w14:paraId="7C612AF1">
            <w:pPr>
              <w:widowControl/>
              <w:spacing w:line="440" w:lineRule="exact"/>
              <w:jc w:val="left"/>
              <w:rPr>
                <w:rFonts w:hint="eastAsia" w:cs="Tahoma" w:asciiTheme="majorEastAsia" w:hAnsiTheme="majorEastAsia" w:eastAsiaTheme="majorEastAsia"/>
                <w:color w:val="auto"/>
                <w:kern w:val="0"/>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36B95843">
            <w:pPr>
              <w:adjustRightInd w:val="0"/>
              <w:spacing w:line="440" w:lineRule="exact"/>
              <w:jc w:val="center"/>
              <w:textAlignment w:val="baseline"/>
              <w:rPr>
                <w:rFonts w:hint="eastAsia" w:cs="宋体" w:asciiTheme="majorEastAsia" w:hAnsiTheme="majorEastAsia" w:eastAsiaTheme="majorEastAsia"/>
                <w:color w:val="auto"/>
                <w:highlight w:val="none"/>
              </w:rPr>
            </w:pPr>
            <w:r>
              <w:rPr>
                <w:rFonts w:hint="eastAsia" w:asciiTheme="majorEastAsia" w:hAnsiTheme="majorEastAsia" w:eastAsiaTheme="majorEastAsia"/>
                <w:bCs/>
                <w:color w:val="auto"/>
                <w:kern w:val="0"/>
                <w:highlight w:val="none"/>
              </w:rPr>
              <w:t>2</w:t>
            </w:r>
            <w:r>
              <w:rPr>
                <w:rFonts w:asciiTheme="majorEastAsia" w:hAnsiTheme="majorEastAsia" w:eastAsiaTheme="majorEastAsia"/>
                <w:bCs/>
                <w:color w:val="auto"/>
                <w:kern w:val="0"/>
                <w:highlight w:val="none"/>
              </w:rPr>
              <w:t>.4</w:t>
            </w:r>
            <w:r>
              <w:rPr>
                <w:rFonts w:hint="eastAsia" w:cs="宋体" w:asciiTheme="majorEastAsia" w:hAnsiTheme="majorEastAsia" w:eastAsiaTheme="majorEastAsia"/>
                <w:color w:val="auto"/>
                <w:spacing w:val="-1"/>
                <w:highlight w:val="none"/>
              </w:rPr>
              <w:t>确保工程质量的技术组</w:t>
            </w:r>
            <w:r>
              <w:rPr>
                <w:rFonts w:hint="eastAsia" w:cs="宋体" w:asciiTheme="majorEastAsia" w:hAnsiTheme="majorEastAsia" w:eastAsiaTheme="majorEastAsia"/>
                <w:color w:val="auto"/>
                <w:spacing w:val="15"/>
                <w:highlight w:val="none"/>
              </w:rPr>
              <w:t>织</w:t>
            </w:r>
            <w:r>
              <w:rPr>
                <w:rFonts w:hint="eastAsia" w:cs="宋体" w:asciiTheme="majorEastAsia" w:hAnsiTheme="majorEastAsia" w:eastAsiaTheme="majorEastAsia"/>
                <w:color w:val="auto"/>
                <w:spacing w:val="14"/>
                <w:highlight w:val="none"/>
              </w:rPr>
              <w:t>措施</w:t>
            </w:r>
            <w:r>
              <w:rPr>
                <w:rFonts w:hint="eastAsia" w:asciiTheme="majorEastAsia" w:hAnsiTheme="majorEastAsia" w:eastAsiaTheme="majorEastAsia"/>
                <w:color w:val="auto"/>
                <w:szCs w:val="21"/>
                <w:highlight w:val="none"/>
              </w:rPr>
              <w:t>（</w:t>
            </w:r>
            <w:r>
              <w:rPr>
                <w:rFonts w:hint="eastAsia" w:asciiTheme="majorEastAsia" w:hAnsiTheme="majorEastAsia" w:eastAsiaTheme="majorEastAsia"/>
                <w:color w:val="auto"/>
                <w:szCs w:val="21"/>
                <w:highlight w:val="none"/>
                <w:lang w:val="en-US" w:eastAsia="zh-CN"/>
              </w:rPr>
              <w:t>1.5</w:t>
            </w:r>
            <w:r>
              <w:rPr>
                <w:rFonts w:hint="eastAsia" w:asciiTheme="majorEastAsia" w:hAnsiTheme="majorEastAsia" w:eastAsiaTheme="majorEastAsia"/>
                <w:color w:val="auto"/>
                <w:szCs w:val="21"/>
                <w:highlight w:val="none"/>
              </w:rPr>
              <w:t>分）</w:t>
            </w:r>
          </w:p>
        </w:tc>
        <w:tc>
          <w:tcPr>
            <w:tcW w:w="6396" w:type="dxa"/>
            <w:tcBorders>
              <w:top w:val="single" w:color="auto" w:sz="4" w:space="0"/>
              <w:left w:val="single" w:color="auto" w:sz="4" w:space="0"/>
              <w:bottom w:val="single" w:color="auto" w:sz="4" w:space="0"/>
              <w:right w:val="single" w:color="auto" w:sz="4" w:space="0"/>
            </w:tcBorders>
            <w:vAlign w:val="center"/>
          </w:tcPr>
          <w:p w14:paraId="06179638">
            <w:pPr>
              <w:spacing w:line="440" w:lineRule="exact"/>
              <w:rPr>
                <w:rFonts w:hint="eastAsia" w:cs="宋体" w:asciiTheme="majorEastAsia" w:hAnsiTheme="majorEastAsia" w:eastAsiaTheme="majorEastAsia"/>
                <w:color w:val="auto"/>
                <w:kern w:val="0"/>
                <w:highlight w:val="none"/>
              </w:rPr>
            </w:pPr>
            <w:r>
              <w:rPr>
                <w:rFonts w:hint="eastAsia" w:cs="宋体" w:asciiTheme="majorEastAsia" w:hAnsiTheme="majorEastAsia" w:eastAsiaTheme="majorEastAsia"/>
                <w:color w:val="auto"/>
                <w:kern w:val="0"/>
                <w:highlight w:val="none"/>
              </w:rPr>
              <w:t>一档（</w:t>
            </w:r>
            <w:r>
              <w:rPr>
                <w:rFonts w:hint="eastAsia" w:cs="宋体" w:asciiTheme="majorEastAsia" w:hAnsiTheme="majorEastAsia" w:eastAsiaTheme="majorEastAsia"/>
                <w:color w:val="auto"/>
                <w:kern w:val="0"/>
                <w:highlight w:val="none"/>
                <w:lang w:val="en-US" w:eastAsia="zh-CN"/>
              </w:rPr>
              <w:t>0.5</w:t>
            </w:r>
            <w:r>
              <w:rPr>
                <w:rFonts w:hint="eastAsia" w:cs="宋体" w:asciiTheme="majorEastAsia" w:hAnsiTheme="majorEastAsia" w:eastAsiaTheme="majorEastAsia"/>
                <w:color w:val="auto"/>
                <w:kern w:val="0"/>
                <w:highlight w:val="none"/>
              </w:rPr>
              <w:t>分）：具有专门质量技术管理班子和制度，且人员配备</w:t>
            </w:r>
            <w:r>
              <w:rPr>
                <w:rFonts w:hint="eastAsia" w:cs="宋体" w:asciiTheme="majorEastAsia" w:hAnsiTheme="majorEastAsia" w:eastAsiaTheme="majorEastAsia"/>
                <w:color w:val="auto"/>
                <w:kern w:val="0"/>
                <w:highlight w:val="none"/>
                <w:lang w:val="en-US" w:eastAsia="zh-CN"/>
              </w:rPr>
              <w:t>基本</w:t>
            </w:r>
            <w:r>
              <w:rPr>
                <w:rFonts w:hint="eastAsia" w:cs="宋体" w:asciiTheme="majorEastAsia" w:hAnsiTheme="majorEastAsia" w:eastAsiaTheme="majorEastAsia"/>
                <w:color w:val="auto"/>
                <w:kern w:val="0"/>
                <w:highlight w:val="none"/>
              </w:rPr>
              <w:t>合理</w:t>
            </w:r>
            <w:r>
              <w:rPr>
                <w:rFonts w:hint="eastAsia" w:cs="宋体" w:asciiTheme="majorEastAsia" w:hAnsiTheme="majorEastAsia" w:eastAsiaTheme="majorEastAsia"/>
                <w:color w:val="auto"/>
                <w:kern w:val="0"/>
                <w:highlight w:val="none"/>
                <w:lang w:val="en-US" w:eastAsia="zh-CN"/>
              </w:rPr>
              <w:t>性</w:t>
            </w:r>
            <w:r>
              <w:rPr>
                <w:rFonts w:hint="eastAsia" w:cs="宋体" w:asciiTheme="majorEastAsia" w:hAnsiTheme="majorEastAsia" w:eastAsiaTheme="majorEastAsia"/>
                <w:color w:val="auto"/>
                <w:kern w:val="0"/>
                <w:highlight w:val="none"/>
              </w:rPr>
              <w:t>，制度</w:t>
            </w:r>
            <w:r>
              <w:rPr>
                <w:rFonts w:hint="eastAsia" w:cs="宋体" w:asciiTheme="majorEastAsia" w:hAnsiTheme="majorEastAsia" w:eastAsiaTheme="majorEastAsia"/>
                <w:color w:val="auto"/>
                <w:kern w:val="0"/>
                <w:highlight w:val="none"/>
                <w:lang w:val="en-US" w:eastAsia="zh-CN"/>
              </w:rPr>
              <w:t>基本</w:t>
            </w:r>
            <w:r>
              <w:rPr>
                <w:rFonts w:hint="eastAsia" w:cs="宋体" w:asciiTheme="majorEastAsia" w:hAnsiTheme="majorEastAsia" w:eastAsiaTheme="majorEastAsia"/>
                <w:color w:val="auto"/>
                <w:kern w:val="0"/>
                <w:highlight w:val="none"/>
              </w:rPr>
              <w:t>健全；主要工序具有</w:t>
            </w:r>
            <w:r>
              <w:rPr>
                <w:rFonts w:hint="eastAsia" w:cs="宋体" w:asciiTheme="majorEastAsia" w:hAnsiTheme="majorEastAsia" w:eastAsiaTheme="majorEastAsia"/>
                <w:color w:val="auto"/>
                <w:kern w:val="0"/>
                <w:highlight w:val="none"/>
                <w:lang w:eastAsia="zh-CN"/>
              </w:rPr>
              <w:t>浅显的</w:t>
            </w:r>
            <w:r>
              <w:rPr>
                <w:rFonts w:hint="eastAsia" w:cs="宋体" w:asciiTheme="majorEastAsia" w:hAnsiTheme="majorEastAsia" w:eastAsiaTheme="majorEastAsia"/>
                <w:color w:val="auto"/>
                <w:kern w:val="0"/>
                <w:highlight w:val="none"/>
              </w:rPr>
              <w:t>质量技术保证措施和手段，自控体系</w:t>
            </w:r>
            <w:r>
              <w:rPr>
                <w:rFonts w:hint="eastAsia" w:cs="宋体" w:asciiTheme="majorEastAsia" w:hAnsiTheme="majorEastAsia" w:eastAsiaTheme="majorEastAsia"/>
                <w:color w:val="auto"/>
                <w:kern w:val="0"/>
                <w:highlight w:val="none"/>
                <w:lang w:eastAsia="zh-CN"/>
              </w:rPr>
              <w:t>不</w:t>
            </w:r>
            <w:r>
              <w:rPr>
                <w:rFonts w:hint="eastAsia" w:cs="宋体" w:asciiTheme="majorEastAsia" w:hAnsiTheme="majorEastAsia" w:eastAsiaTheme="majorEastAsia"/>
                <w:color w:val="auto"/>
                <w:kern w:val="0"/>
                <w:highlight w:val="none"/>
              </w:rPr>
              <w:t>完整；</w:t>
            </w:r>
            <w:r>
              <w:rPr>
                <w:rFonts w:hint="eastAsia" w:cs="宋体" w:asciiTheme="majorEastAsia" w:hAnsiTheme="majorEastAsia" w:eastAsiaTheme="majorEastAsia"/>
                <w:color w:val="auto"/>
                <w:kern w:val="0"/>
                <w:highlight w:val="none"/>
                <w:lang w:eastAsia="zh-CN"/>
              </w:rPr>
              <w:t>缺乏</w:t>
            </w:r>
            <w:r>
              <w:rPr>
                <w:rFonts w:hint="eastAsia" w:cs="宋体" w:asciiTheme="majorEastAsia" w:hAnsiTheme="majorEastAsia" w:eastAsiaTheme="majorEastAsia"/>
                <w:color w:val="auto"/>
                <w:kern w:val="0"/>
                <w:highlight w:val="none"/>
              </w:rPr>
              <w:t xml:space="preserve">针对性及可行性，能基本保证技术质量，基本达到承诺的质量标准。 </w:t>
            </w:r>
          </w:p>
          <w:p w14:paraId="182C73FF">
            <w:pPr>
              <w:spacing w:line="440" w:lineRule="exact"/>
              <w:rPr>
                <w:rFonts w:hint="eastAsia" w:cs="宋体" w:asciiTheme="majorEastAsia" w:hAnsiTheme="majorEastAsia" w:eastAsiaTheme="majorEastAsia"/>
                <w:color w:val="auto"/>
                <w:kern w:val="0"/>
                <w:highlight w:val="none"/>
              </w:rPr>
            </w:pPr>
            <w:r>
              <w:rPr>
                <w:rFonts w:hint="eastAsia" w:cs="宋体" w:asciiTheme="majorEastAsia" w:hAnsiTheme="majorEastAsia" w:eastAsiaTheme="majorEastAsia"/>
                <w:color w:val="auto"/>
                <w:kern w:val="0"/>
                <w:highlight w:val="none"/>
              </w:rPr>
              <w:t>二档（</w:t>
            </w:r>
            <w:r>
              <w:rPr>
                <w:rFonts w:hint="eastAsia" w:cs="宋体" w:asciiTheme="majorEastAsia" w:hAnsiTheme="majorEastAsia" w:eastAsiaTheme="majorEastAsia"/>
                <w:color w:val="auto"/>
                <w:kern w:val="0"/>
                <w:highlight w:val="none"/>
                <w:lang w:val="en-US" w:eastAsia="zh-CN"/>
              </w:rPr>
              <w:t>1</w:t>
            </w:r>
            <w:r>
              <w:rPr>
                <w:rFonts w:hint="eastAsia" w:cs="宋体" w:asciiTheme="majorEastAsia" w:hAnsiTheme="majorEastAsia" w:eastAsiaTheme="majorEastAsia"/>
                <w:color w:val="auto"/>
                <w:kern w:val="0"/>
                <w:highlight w:val="none"/>
              </w:rPr>
              <w:t>分）：具有专门的质量技术管理班子和制度，且人员配备合理，制度健全；主要工序具</w:t>
            </w:r>
            <w:r>
              <w:rPr>
                <w:rFonts w:hint="eastAsia" w:cs="宋体" w:asciiTheme="majorEastAsia" w:hAnsiTheme="majorEastAsia" w:eastAsiaTheme="majorEastAsia"/>
                <w:color w:val="auto"/>
                <w:kern w:val="0"/>
                <w:highlight w:val="none"/>
                <w:lang w:val="en-US" w:eastAsia="zh-CN"/>
              </w:rPr>
              <w:t>全面</w:t>
            </w:r>
            <w:r>
              <w:rPr>
                <w:rFonts w:hint="eastAsia" w:cs="宋体" w:asciiTheme="majorEastAsia" w:hAnsiTheme="majorEastAsia" w:eastAsiaTheme="majorEastAsia"/>
                <w:color w:val="auto"/>
                <w:kern w:val="0"/>
                <w:highlight w:val="none"/>
              </w:rPr>
              <w:t>质量技术保证措施和手段，自控体系基本完整；</w:t>
            </w:r>
            <w:r>
              <w:rPr>
                <w:rFonts w:hint="eastAsia" w:cs="宋体" w:asciiTheme="majorEastAsia" w:hAnsiTheme="majorEastAsia" w:eastAsiaTheme="majorEastAsia"/>
                <w:color w:val="auto"/>
                <w:kern w:val="0"/>
                <w:highlight w:val="none"/>
                <w:lang w:eastAsia="zh-CN"/>
              </w:rPr>
              <w:t>有一定的</w:t>
            </w:r>
            <w:r>
              <w:rPr>
                <w:rFonts w:hint="eastAsia" w:cs="宋体" w:asciiTheme="majorEastAsia" w:hAnsiTheme="majorEastAsia" w:eastAsiaTheme="majorEastAsia"/>
                <w:color w:val="auto"/>
                <w:kern w:val="0"/>
                <w:highlight w:val="none"/>
              </w:rPr>
              <w:t xml:space="preserve">针对性及可行性；能保证技术质量，达到承诺的质量标准。 </w:t>
            </w:r>
          </w:p>
          <w:p w14:paraId="5724F822">
            <w:pPr>
              <w:spacing w:line="440" w:lineRule="exact"/>
              <w:rPr>
                <w:rFonts w:hint="eastAsia" w:asciiTheme="majorEastAsia" w:hAnsiTheme="majorEastAsia" w:eastAsiaTheme="majorEastAsia"/>
                <w:color w:val="auto"/>
                <w:highlight w:val="none"/>
              </w:rPr>
            </w:pPr>
            <w:r>
              <w:rPr>
                <w:rFonts w:hint="eastAsia" w:cs="宋体" w:asciiTheme="majorEastAsia" w:hAnsiTheme="majorEastAsia" w:eastAsiaTheme="majorEastAsia"/>
                <w:color w:val="auto"/>
                <w:kern w:val="0"/>
                <w:highlight w:val="none"/>
              </w:rPr>
              <w:t>三档（</w:t>
            </w:r>
            <w:r>
              <w:rPr>
                <w:rFonts w:hint="eastAsia" w:cs="宋体" w:asciiTheme="majorEastAsia" w:hAnsiTheme="majorEastAsia" w:eastAsiaTheme="majorEastAsia"/>
                <w:color w:val="auto"/>
                <w:kern w:val="0"/>
                <w:highlight w:val="none"/>
                <w:lang w:val="en-US" w:eastAsia="zh-CN"/>
              </w:rPr>
              <w:t>1.5</w:t>
            </w:r>
            <w:r>
              <w:rPr>
                <w:rFonts w:hint="eastAsia" w:cs="宋体" w:asciiTheme="majorEastAsia" w:hAnsiTheme="majorEastAsia" w:eastAsiaTheme="majorEastAsia"/>
                <w:color w:val="auto"/>
                <w:kern w:val="0"/>
                <w:highlight w:val="none"/>
              </w:rPr>
              <w:t>分）：具有专门的质量技术管理班子和制度，且人员配备合理，制度健全</w:t>
            </w:r>
            <w:r>
              <w:rPr>
                <w:rFonts w:hint="eastAsia" w:cs="宋体" w:asciiTheme="majorEastAsia" w:hAnsiTheme="majorEastAsia" w:eastAsiaTheme="majorEastAsia"/>
                <w:color w:val="auto"/>
                <w:kern w:val="0"/>
                <w:highlight w:val="none"/>
                <w:lang w:eastAsia="zh-CN"/>
              </w:rPr>
              <w:t>、</w:t>
            </w:r>
            <w:r>
              <w:rPr>
                <w:rFonts w:hint="eastAsia" w:cs="宋体" w:asciiTheme="majorEastAsia" w:hAnsiTheme="majorEastAsia" w:eastAsiaTheme="majorEastAsia"/>
                <w:color w:val="auto"/>
                <w:kern w:val="0"/>
                <w:highlight w:val="none"/>
                <w:lang w:val="en-US" w:eastAsia="zh-CN"/>
              </w:rPr>
              <w:t>完善</w:t>
            </w:r>
            <w:r>
              <w:rPr>
                <w:rFonts w:hint="eastAsia" w:cs="宋体" w:asciiTheme="majorEastAsia" w:hAnsiTheme="majorEastAsia" w:eastAsiaTheme="majorEastAsia"/>
                <w:color w:val="auto"/>
                <w:kern w:val="0"/>
                <w:highlight w:val="none"/>
              </w:rPr>
              <w:t>；主要工序具有健全、</w:t>
            </w:r>
            <w:r>
              <w:rPr>
                <w:rFonts w:hint="eastAsia" w:cs="宋体" w:asciiTheme="majorEastAsia" w:hAnsiTheme="majorEastAsia" w:eastAsiaTheme="majorEastAsia"/>
                <w:color w:val="auto"/>
                <w:kern w:val="0"/>
                <w:highlight w:val="none"/>
                <w:lang w:val="en-US" w:eastAsia="zh-CN"/>
              </w:rPr>
              <w:t>完善</w:t>
            </w:r>
            <w:r>
              <w:rPr>
                <w:rFonts w:hint="eastAsia" w:cs="宋体" w:asciiTheme="majorEastAsia" w:hAnsiTheme="majorEastAsia" w:eastAsiaTheme="majorEastAsia"/>
                <w:color w:val="auto"/>
                <w:kern w:val="0"/>
                <w:highlight w:val="none"/>
              </w:rPr>
              <w:t xml:space="preserve">的质量技术保证措施和手段，自控体系完整；针对性及可行性强；能有效保证技术质量，保证项目切实有效的实施，充分达到承诺的质量标准。 </w:t>
            </w:r>
          </w:p>
        </w:tc>
      </w:tr>
      <w:tr w14:paraId="6D7CC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76" w:type="dxa"/>
            <w:vMerge w:val="continue"/>
            <w:tcBorders>
              <w:top w:val="single" w:color="auto" w:sz="4" w:space="0"/>
              <w:left w:val="single" w:color="auto" w:sz="4" w:space="0"/>
              <w:bottom w:val="single" w:color="auto" w:sz="4" w:space="0"/>
              <w:right w:val="single" w:color="auto" w:sz="4" w:space="0"/>
            </w:tcBorders>
            <w:vAlign w:val="center"/>
          </w:tcPr>
          <w:p w14:paraId="67E305F5">
            <w:pPr>
              <w:widowControl/>
              <w:spacing w:line="440" w:lineRule="exact"/>
              <w:jc w:val="left"/>
              <w:rPr>
                <w:rFonts w:hint="eastAsia" w:cs="Tahoma" w:asciiTheme="majorEastAsia" w:hAnsiTheme="majorEastAsia" w:eastAsiaTheme="majorEastAsia"/>
                <w:color w:val="auto"/>
                <w:kern w:val="0"/>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0B6879D3">
            <w:pPr>
              <w:adjustRightInd w:val="0"/>
              <w:spacing w:line="440" w:lineRule="exact"/>
              <w:jc w:val="center"/>
              <w:textAlignment w:val="baseline"/>
              <w:rPr>
                <w:rFonts w:hint="eastAsia" w:cs="宋体" w:asciiTheme="majorEastAsia" w:hAnsiTheme="majorEastAsia" w:eastAsiaTheme="majorEastAsia"/>
                <w:color w:val="auto"/>
                <w:highlight w:val="none"/>
              </w:rPr>
            </w:pPr>
            <w:r>
              <w:rPr>
                <w:rFonts w:hint="eastAsia" w:asciiTheme="majorEastAsia" w:hAnsiTheme="majorEastAsia" w:eastAsiaTheme="majorEastAsia"/>
                <w:bCs/>
                <w:color w:val="auto"/>
                <w:kern w:val="0"/>
                <w:highlight w:val="none"/>
              </w:rPr>
              <w:t>2</w:t>
            </w:r>
            <w:r>
              <w:rPr>
                <w:rFonts w:asciiTheme="majorEastAsia" w:hAnsiTheme="majorEastAsia" w:eastAsiaTheme="majorEastAsia"/>
                <w:bCs/>
                <w:color w:val="auto"/>
                <w:kern w:val="0"/>
                <w:highlight w:val="none"/>
              </w:rPr>
              <w:t>.5</w:t>
            </w:r>
            <w:r>
              <w:rPr>
                <w:rFonts w:hint="eastAsia" w:cs="宋体" w:asciiTheme="majorEastAsia" w:hAnsiTheme="majorEastAsia" w:eastAsiaTheme="majorEastAsia"/>
                <w:color w:val="auto"/>
                <w:spacing w:val="-1"/>
                <w:highlight w:val="none"/>
              </w:rPr>
              <w:t>确保安全生产的技术组</w:t>
            </w:r>
            <w:r>
              <w:rPr>
                <w:rFonts w:hint="eastAsia" w:cs="宋体" w:asciiTheme="majorEastAsia" w:hAnsiTheme="majorEastAsia" w:eastAsiaTheme="majorEastAsia"/>
                <w:color w:val="auto"/>
                <w:spacing w:val="15"/>
                <w:highlight w:val="none"/>
              </w:rPr>
              <w:t>织</w:t>
            </w:r>
            <w:r>
              <w:rPr>
                <w:rFonts w:hint="eastAsia" w:cs="宋体" w:asciiTheme="majorEastAsia" w:hAnsiTheme="majorEastAsia" w:eastAsiaTheme="majorEastAsia"/>
                <w:color w:val="auto"/>
                <w:spacing w:val="14"/>
                <w:highlight w:val="none"/>
              </w:rPr>
              <w:t>措施</w:t>
            </w:r>
            <w:r>
              <w:rPr>
                <w:rFonts w:hint="eastAsia" w:asciiTheme="majorEastAsia" w:hAnsiTheme="majorEastAsia" w:eastAsiaTheme="majorEastAsia"/>
                <w:color w:val="auto"/>
                <w:szCs w:val="21"/>
                <w:highlight w:val="none"/>
              </w:rPr>
              <w:t>（</w:t>
            </w:r>
            <w:r>
              <w:rPr>
                <w:rFonts w:hint="eastAsia" w:asciiTheme="majorEastAsia" w:hAnsiTheme="majorEastAsia" w:eastAsiaTheme="majorEastAsia"/>
                <w:color w:val="auto"/>
                <w:szCs w:val="21"/>
                <w:highlight w:val="none"/>
                <w:lang w:val="en-US" w:eastAsia="zh-CN"/>
              </w:rPr>
              <w:t>1.5</w:t>
            </w:r>
            <w:r>
              <w:rPr>
                <w:rFonts w:hint="eastAsia" w:asciiTheme="majorEastAsia" w:hAnsiTheme="majorEastAsia" w:eastAsiaTheme="majorEastAsia"/>
                <w:color w:val="auto"/>
                <w:szCs w:val="21"/>
                <w:highlight w:val="none"/>
              </w:rPr>
              <w:t>分）</w:t>
            </w:r>
          </w:p>
        </w:tc>
        <w:tc>
          <w:tcPr>
            <w:tcW w:w="6396" w:type="dxa"/>
            <w:tcBorders>
              <w:top w:val="single" w:color="auto" w:sz="4" w:space="0"/>
              <w:left w:val="single" w:color="auto" w:sz="4" w:space="0"/>
              <w:bottom w:val="single" w:color="auto" w:sz="4" w:space="0"/>
              <w:right w:val="single" w:color="auto" w:sz="4" w:space="0"/>
            </w:tcBorders>
            <w:vAlign w:val="center"/>
          </w:tcPr>
          <w:p w14:paraId="13C409FB">
            <w:pPr>
              <w:spacing w:line="440" w:lineRule="exact"/>
              <w:rPr>
                <w:rFonts w:hint="eastAsia" w:cs="宋体" w:asciiTheme="majorEastAsia" w:hAnsiTheme="majorEastAsia" w:eastAsiaTheme="majorEastAsia"/>
                <w:color w:val="auto"/>
                <w:kern w:val="0"/>
                <w:highlight w:val="none"/>
              </w:rPr>
            </w:pPr>
            <w:r>
              <w:rPr>
                <w:rFonts w:hint="eastAsia" w:cs="宋体" w:asciiTheme="majorEastAsia" w:hAnsiTheme="majorEastAsia" w:eastAsiaTheme="majorEastAsia"/>
                <w:color w:val="auto"/>
                <w:kern w:val="0"/>
                <w:highlight w:val="none"/>
              </w:rPr>
              <w:t>一档（</w:t>
            </w:r>
            <w:r>
              <w:rPr>
                <w:rFonts w:hint="eastAsia" w:cs="宋体" w:asciiTheme="majorEastAsia" w:hAnsiTheme="majorEastAsia" w:eastAsiaTheme="majorEastAsia"/>
                <w:color w:val="auto"/>
                <w:kern w:val="0"/>
                <w:highlight w:val="none"/>
                <w:lang w:val="en-US" w:eastAsia="zh-CN"/>
              </w:rPr>
              <w:t>0.5</w:t>
            </w:r>
            <w:r>
              <w:rPr>
                <w:rFonts w:hint="eastAsia" w:cs="宋体" w:asciiTheme="majorEastAsia" w:hAnsiTheme="majorEastAsia" w:eastAsiaTheme="majorEastAsia"/>
                <w:color w:val="auto"/>
                <w:kern w:val="0"/>
                <w:highlight w:val="none"/>
              </w:rPr>
              <w:t>分）：具有专门的安全管理人员和制度，且人员配备基本合理，制度基本健全，各道工序安全技术措施</w:t>
            </w:r>
            <w:r>
              <w:rPr>
                <w:rFonts w:hint="eastAsia" w:cs="宋体" w:asciiTheme="majorEastAsia" w:hAnsiTheme="majorEastAsia" w:eastAsiaTheme="majorEastAsia"/>
                <w:color w:val="auto"/>
                <w:kern w:val="0"/>
                <w:highlight w:val="none"/>
                <w:lang w:eastAsia="zh-CN"/>
              </w:rPr>
              <w:t>缺乏</w:t>
            </w:r>
            <w:r>
              <w:rPr>
                <w:rFonts w:hint="eastAsia" w:cs="宋体" w:asciiTheme="majorEastAsia" w:hAnsiTheme="majorEastAsia" w:eastAsiaTheme="majorEastAsia"/>
                <w:color w:val="auto"/>
                <w:kern w:val="0"/>
                <w:highlight w:val="none"/>
              </w:rPr>
              <w:t>针对性及可行性，基本符合实际且基本满足有关安全技术标准要求；现场防火、应急救援、社会治安安全措施</w:t>
            </w:r>
            <w:r>
              <w:rPr>
                <w:rFonts w:hint="eastAsia" w:cs="宋体" w:asciiTheme="majorEastAsia" w:hAnsiTheme="majorEastAsia" w:eastAsiaTheme="majorEastAsia"/>
                <w:color w:val="auto"/>
                <w:kern w:val="0"/>
                <w:highlight w:val="none"/>
                <w:lang w:eastAsia="zh-CN"/>
              </w:rPr>
              <w:t>欠缺周全性</w:t>
            </w:r>
            <w:r>
              <w:rPr>
                <w:rFonts w:hint="eastAsia" w:cs="宋体" w:asciiTheme="majorEastAsia" w:hAnsiTheme="majorEastAsia" w:eastAsiaTheme="majorEastAsia"/>
                <w:color w:val="auto"/>
                <w:kern w:val="0"/>
                <w:highlight w:val="none"/>
              </w:rPr>
              <w:t xml:space="preserve">。 </w:t>
            </w:r>
          </w:p>
          <w:p w14:paraId="105362F2">
            <w:pPr>
              <w:spacing w:line="440" w:lineRule="exact"/>
              <w:rPr>
                <w:rFonts w:hint="eastAsia" w:cs="宋体" w:asciiTheme="majorEastAsia" w:hAnsiTheme="majorEastAsia" w:eastAsiaTheme="majorEastAsia"/>
                <w:color w:val="auto"/>
                <w:kern w:val="0"/>
                <w:highlight w:val="none"/>
              </w:rPr>
            </w:pPr>
            <w:r>
              <w:rPr>
                <w:rFonts w:hint="eastAsia" w:cs="宋体" w:asciiTheme="majorEastAsia" w:hAnsiTheme="majorEastAsia" w:eastAsiaTheme="majorEastAsia"/>
                <w:color w:val="auto"/>
                <w:kern w:val="0"/>
                <w:highlight w:val="none"/>
              </w:rPr>
              <w:t>二档（</w:t>
            </w:r>
            <w:r>
              <w:rPr>
                <w:rFonts w:hint="eastAsia" w:cs="宋体" w:asciiTheme="majorEastAsia" w:hAnsiTheme="majorEastAsia" w:eastAsiaTheme="majorEastAsia"/>
                <w:color w:val="auto"/>
                <w:kern w:val="0"/>
                <w:highlight w:val="none"/>
                <w:lang w:val="en-US" w:eastAsia="zh-CN"/>
              </w:rPr>
              <w:t>1</w:t>
            </w:r>
            <w:r>
              <w:rPr>
                <w:rFonts w:hint="eastAsia" w:cs="宋体" w:asciiTheme="majorEastAsia" w:hAnsiTheme="majorEastAsia" w:eastAsiaTheme="majorEastAsia"/>
                <w:color w:val="auto"/>
                <w:kern w:val="0"/>
                <w:highlight w:val="none"/>
              </w:rPr>
              <w:t>分）：具有专门的安全管理人员和制度，且人员配备合理，制度健全，各道工序安全技术措施</w:t>
            </w:r>
            <w:r>
              <w:rPr>
                <w:rFonts w:hint="eastAsia" w:cs="宋体" w:asciiTheme="majorEastAsia" w:hAnsiTheme="majorEastAsia" w:eastAsiaTheme="majorEastAsia"/>
                <w:color w:val="auto"/>
                <w:kern w:val="0"/>
                <w:highlight w:val="none"/>
                <w:lang w:eastAsia="zh-CN"/>
              </w:rPr>
              <w:t>有一定的</w:t>
            </w:r>
            <w:r>
              <w:rPr>
                <w:rFonts w:hint="eastAsia" w:cs="宋体" w:asciiTheme="majorEastAsia" w:hAnsiTheme="majorEastAsia" w:eastAsiaTheme="majorEastAsia"/>
                <w:color w:val="auto"/>
                <w:kern w:val="0"/>
                <w:highlight w:val="none"/>
              </w:rPr>
              <w:t>针对性及可行性，符合实际且满足有关安全技术标准要求；现场防火、应急救援、社会治安安全措施</w:t>
            </w:r>
            <w:r>
              <w:rPr>
                <w:rFonts w:hint="eastAsia" w:cs="宋体" w:asciiTheme="majorEastAsia" w:hAnsiTheme="majorEastAsia" w:eastAsiaTheme="majorEastAsia"/>
                <w:color w:val="auto"/>
                <w:kern w:val="0"/>
                <w:highlight w:val="none"/>
                <w:lang w:eastAsia="zh-CN"/>
              </w:rPr>
              <w:t>基本周全</w:t>
            </w:r>
            <w:r>
              <w:rPr>
                <w:rFonts w:hint="eastAsia" w:cs="宋体" w:asciiTheme="majorEastAsia" w:hAnsiTheme="majorEastAsia" w:eastAsiaTheme="majorEastAsia"/>
                <w:color w:val="auto"/>
                <w:kern w:val="0"/>
                <w:highlight w:val="none"/>
              </w:rPr>
              <w:t xml:space="preserve">。 </w:t>
            </w:r>
          </w:p>
          <w:p w14:paraId="001425B5">
            <w:pPr>
              <w:spacing w:line="440" w:lineRule="exact"/>
              <w:rPr>
                <w:rFonts w:hint="eastAsia" w:asciiTheme="majorEastAsia" w:hAnsiTheme="majorEastAsia" w:eastAsiaTheme="majorEastAsia"/>
                <w:color w:val="auto"/>
                <w:highlight w:val="none"/>
              </w:rPr>
            </w:pPr>
            <w:r>
              <w:rPr>
                <w:rFonts w:hint="eastAsia" w:cs="宋体" w:asciiTheme="majorEastAsia" w:hAnsiTheme="majorEastAsia" w:eastAsiaTheme="majorEastAsia"/>
                <w:color w:val="auto"/>
                <w:kern w:val="0"/>
                <w:highlight w:val="none"/>
              </w:rPr>
              <w:t>三档（</w:t>
            </w:r>
            <w:r>
              <w:rPr>
                <w:rFonts w:hint="eastAsia" w:cs="宋体" w:asciiTheme="majorEastAsia" w:hAnsiTheme="majorEastAsia" w:eastAsiaTheme="majorEastAsia"/>
                <w:color w:val="auto"/>
                <w:kern w:val="0"/>
                <w:highlight w:val="none"/>
                <w:lang w:val="en-US" w:eastAsia="zh-CN"/>
              </w:rPr>
              <w:t>1.5</w:t>
            </w:r>
            <w:r>
              <w:rPr>
                <w:rFonts w:hint="eastAsia" w:cs="宋体" w:asciiTheme="majorEastAsia" w:hAnsiTheme="majorEastAsia" w:eastAsiaTheme="majorEastAsia"/>
                <w:color w:val="auto"/>
                <w:kern w:val="0"/>
                <w:highlight w:val="none"/>
              </w:rPr>
              <w:t>分）：具有专门的安全管理人员和制度，且人员配备合理，制度健全</w:t>
            </w:r>
            <w:r>
              <w:rPr>
                <w:rFonts w:hint="eastAsia" w:cs="宋体" w:asciiTheme="majorEastAsia" w:hAnsiTheme="majorEastAsia" w:eastAsiaTheme="majorEastAsia"/>
                <w:color w:val="auto"/>
                <w:kern w:val="0"/>
                <w:highlight w:val="none"/>
                <w:lang w:eastAsia="zh-CN"/>
              </w:rPr>
              <w:t>、</w:t>
            </w:r>
            <w:r>
              <w:rPr>
                <w:rFonts w:hint="eastAsia" w:cs="宋体" w:asciiTheme="majorEastAsia" w:hAnsiTheme="majorEastAsia" w:eastAsiaTheme="majorEastAsia"/>
                <w:color w:val="auto"/>
                <w:kern w:val="0"/>
                <w:highlight w:val="none"/>
                <w:lang w:val="en-US" w:eastAsia="zh-CN"/>
              </w:rPr>
              <w:t>完善</w:t>
            </w:r>
            <w:r>
              <w:rPr>
                <w:rFonts w:hint="eastAsia" w:cs="宋体" w:asciiTheme="majorEastAsia" w:hAnsiTheme="majorEastAsia" w:eastAsiaTheme="majorEastAsia"/>
                <w:color w:val="auto"/>
                <w:kern w:val="0"/>
                <w:highlight w:val="none"/>
              </w:rPr>
              <w:t>，各道工序安全技术措施针对性及可行性强，充分符合实际且满足有关安全技术标准要求；现场防火、应急救援、社会治安安全措施</w:t>
            </w:r>
            <w:r>
              <w:rPr>
                <w:rFonts w:hint="eastAsia" w:cs="宋体" w:asciiTheme="majorEastAsia" w:hAnsiTheme="majorEastAsia" w:eastAsiaTheme="majorEastAsia"/>
                <w:color w:val="auto"/>
                <w:kern w:val="0"/>
                <w:highlight w:val="none"/>
                <w:lang w:eastAsia="zh-CN"/>
              </w:rPr>
              <w:t>周全</w:t>
            </w:r>
            <w:r>
              <w:rPr>
                <w:rFonts w:hint="eastAsia" w:cs="宋体" w:asciiTheme="majorEastAsia" w:hAnsiTheme="majorEastAsia" w:eastAsiaTheme="majorEastAsia"/>
                <w:color w:val="auto"/>
                <w:kern w:val="0"/>
                <w:highlight w:val="none"/>
              </w:rPr>
              <w:t xml:space="preserve">且得力。 </w:t>
            </w:r>
          </w:p>
        </w:tc>
      </w:tr>
      <w:tr w14:paraId="60AEE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76" w:type="dxa"/>
            <w:vMerge w:val="continue"/>
            <w:tcBorders>
              <w:top w:val="single" w:color="auto" w:sz="4" w:space="0"/>
              <w:left w:val="single" w:color="auto" w:sz="4" w:space="0"/>
              <w:bottom w:val="single" w:color="auto" w:sz="4" w:space="0"/>
              <w:right w:val="single" w:color="auto" w:sz="4" w:space="0"/>
            </w:tcBorders>
            <w:vAlign w:val="center"/>
          </w:tcPr>
          <w:p w14:paraId="67AC5567">
            <w:pPr>
              <w:widowControl/>
              <w:spacing w:line="440" w:lineRule="exact"/>
              <w:jc w:val="left"/>
              <w:rPr>
                <w:rFonts w:hint="eastAsia" w:cs="Tahoma" w:asciiTheme="majorEastAsia" w:hAnsiTheme="majorEastAsia" w:eastAsiaTheme="majorEastAsia"/>
                <w:color w:val="auto"/>
                <w:kern w:val="0"/>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59552C0E">
            <w:pPr>
              <w:adjustRightInd w:val="0"/>
              <w:spacing w:line="440" w:lineRule="exact"/>
              <w:jc w:val="center"/>
              <w:textAlignment w:val="baseline"/>
              <w:rPr>
                <w:rFonts w:hint="eastAsia" w:cs="宋体" w:asciiTheme="majorEastAsia" w:hAnsiTheme="majorEastAsia" w:eastAsiaTheme="majorEastAsia"/>
                <w:color w:val="auto"/>
                <w:highlight w:val="none"/>
              </w:rPr>
            </w:pPr>
            <w:r>
              <w:rPr>
                <w:rFonts w:hint="eastAsia" w:cs="宋体" w:asciiTheme="majorEastAsia" w:hAnsiTheme="majorEastAsia" w:eastAsiaTheme="majorEastAsia"/>
                <w:bCs/>
                <w:color w:val="auto"/>
                <w:kern w:val="0"/>
                <w:highlight w:val="none"/>
              </w:rPr>
              <w:t>2</w:t>
            </w:r>
            <w:r>
              <w:rPr>
                <w:rFonts w:cs="宋体" w:asciiTheme="majorEastAsia" w:hAnsiTheme="majorEastAsia" w:eastAsiaTheme="majorEastAsia"/>
                <w:bCs/>
                <w:color w:val="auto"/>
                <w:kern w:val="0"/>
                <w:highlight w:val="none"/>
              </w:rPr>
              <w:t>.6</w:t>
            </w:r>
            <w:r>
              <w:rPr>
                <w:rFonts w:hint="eastAsia" w:cs="宋体" w:asciiTheme="majorEastAsia" w:hAnsiTheme="majorEastAsia" w:eastAsiaTheme="majorEastAsia"/>
                <w:color w:val="auto"/>
                <w:spacing w:val="-1"/>
                <w:highlight w:val="none"/>
              </w:rPr>
              <w:t>确保工期的技术组织</w:t>
            </w:r>
            <w:r>
              <w:rPr>
                <w:rFonts w:hint="eastAsia" w:cs="宋体" w:asciiTheme="majorEastAsia" w:hAnsiTheme="majorEastAsia" w:eastAsiaTheme="majorEastAsia"/>
                <w:color w:val="auto"/>
                <w:highlight w:val="none"/>
              </w:rPr>
              <w:t>措</w:t>
            </w:r>
            <w:r>
              <w:rPr>
                <w:rFonts w:hint="eastAsia" w:cs="宋体" w:asciiTheme="majorEastAsia" w:hAnsiTheme="majorEastAsia" w:eastAsiaTheme="majorEastAsia"/>
                <w:color w:val="auto"/>
                <w:spacing w:val="7"/>
                <w:highlight w:val="none"/>
              </w:rPr>
              <w:t>施</w:t>
            </w:r>
            <w:r>
              <w:rPr>
                <w:rFonts w:hint="eastAsia" w:asciiTheme="majorEastAsia" w:hAnsiTheme="majorEastAsia" w:eastAsiaTheme="majorEastAsia"/>
                <w:color w:val="auto"/>
                <w:szCs w:val="21"/>
                <w:highlight w:val="none"/>
              </w:rPr>
              <w:t>（</w:t>
            </w:r>
            <w:r>
              <w:rPr>
                <w:rFonts w:hint="eastAsia" w:asciiTheme="majorEastAsia" w:hAnsiTheme="majorEastAsia" w:eastAsiaTheme="majorEastAsia"/>
                <w:color w:val="auto"/>
                <w:szCs w:val="21"/>
                <w:highlight w:val="none"/>
                <w:lang w:val="en-US" w:eastAsia="zh-CN"/>
              </w:rPr>
              <w:t>1.5</w:t>
            </w:r>
            <w:r>
              <w:rPr>
                <w:rFonts w:hint="eastAsia" w:asciiTheme="majorEastAsia" w:hAnsiTheme="majorEastAsia" w:eastAsiaTheme="majorEastAsia"/>
                <w:color w:val="auto"/>
                <w:szCs w:val="21"/>
                <w:highlight w:val="none"/>
              </w:rPr>
              <w:t>分）</w:t>
            </w:r>
          </w:p>
        </w:tc>
        <w:tc>
          <w:tcPr>
            <w:tcW w:w="6396" w:type="dxa"/>
            <w:tcBorders>
              <w:top w:val="single" w:color="auto" w:sz="4" w:space="0"/>
              <w:left w:val="single" w:color="auto" w:sz="4" w:space="0"/>
              <w:bottom w:val="single" w:color="auto" w:sz="4" w:space="0"/>
              <w:right w:val="single" w:color="auto" w:sz="4" w:space="0"/>
            </w:tcBorders>
            <w:vAlign w:val="center"/>
          </w:tcPr>
          <w:p w14:paraId="2EFBA520">
            <w:pPr>
              <w:spacing w:line="440" w:lineRule="exact"/>
              <w:rPr>
                <w:rFonts w:hint="eastAsia" w:cs="宋体" w:asciiTheme="majorEastAsia" w:hAnsiTheme="majorEastAsia" w:eastAsiaTheme="majorEastAsia"/>
                <w:color w:val="auto"/>
                <w:kern w:val="0"/>
                <w:highlight w:val="none"/>
              </w:rPr>
            </w:pPr>
            <w:r>
              <w:rPr>
                <w:rFonts w:hint="eastAsia" w:cs="宋体" w:asciiTheme="majorEastAsia" w:hAnsiTheme="majorEastAsia" w:eastAsiaTheme="majorEastAsia"/>
                <w:color w:val="auto"/>
                <w:kern w:val="0"/>
                <w:highlight w:val="none"/>
              </w:rPr>
              <w:t>一档</w:t>
            </w:r>
            <w:r>
              <w:rPr>
                <w:rFonts w:hint="eastAsia" w:cs="宋体" w:asciiTheme="majorEastAsia" w:hAnsiTheme="majorEastAsia" w:eastAsiaTheme="majorEastAsia"/>
                <w:color w:val="auto"/>
                <w:kern w:val="0"/>
                <w:highlight w:val="none"/>
                <w:lang w:eastAsia="zh-CN"/>
              </w:rPr>
              <w:t>（</w:t>
            </w:r>
            <w:r>
              <w:rPr>
                <w:rFonts w:hint="eastAsia" w:cs="宋体" w:asciiTheme="majorEastAsia" w:hAnsiTheme="majorEastAsia" w:eastAsiaTheme="majorEastAsia"/>
                <w:color w:val="auto"/>
                <w:kern w:val="0"/>
                <w:highlight w:val="none"/>
                <w:lang w:val="en-US" w:eastAsia="zh-CN"/>
              </w:rPr>
              <w:t>0.5</w:t>
            </w:r>
            <w:r>
              <w:rPr>
                <w:rFonts w:hint="eastAsia" w:cs="宋体" w:asciiTheme="majorEastAsia" w:hAnsiTheme="majorEastAsia" w:eastAsiaTheme="majorEastAsia"/>
                <w:color w:val="auto"/>
                <w:kern w:val="0"/>
                <w:highlight w:val="none"/>
              </w:rPr>
              <w:t>分</w:t>
            </w:r>
            <w:r>
              <w:rPr>
                <w:rFonts w:hint="eastAsia" w:cs="宋体" w:asciiTheme="majorEastAsia" w:hAnsiTheme="majorEastAsia" w:eastAsiaTheme="majorEastAsia"/>
                <w:color w:val="auto"/>
                <w:kern w:val="0"/>
                <w:highlight w:val="none"/>
                <w:lang w:eastAsia="zh-CN"/>
              </w:rPr>
              <w:t>）</w:t>
            </w:r>
            <w:r>
              <w:rPr>
                <w:rFonts w:hint="eastAsia" w:cs="宋体" w:asciiTheme="majorEastAsia" w:hAnsiTheme="majorEastAsia" w:eastAsiaTheme="majorEastAsia"/>
                <w:color w:val="auto"/>
                <w:kern w:val="0"/>
                <w:highlight w:val="none"/>
              </w:rPr>
              <w:t>：在施工工艺、施工方法、材料选用、劳动力安排、技术等方面有保证工期的</w:t>
            </w:r>
            <w:r>
              <w:rPr>
                <w:rFonts w:hint="eastAsia" w:cs="宋体" w:asciiTheme="majorEastAsia" w:hAnsiTheme="majorEastAsia" w:eastAsiaTheme="majorEastAsia"/>
                <w:color w:val="auto"/>
                <w:kern w:val="0"/>
                <w:highlight w:val="none"/>
                <w:lang w:eastAsia="zh-CN"/>
              </w:rPr>
              <w:t>基本</w:t>
            </w:r>
            <w:r>
              <w:rPr>
                <w:rFonts w:hint="eastAsia" w:cs="宋体" w:asciiTheme="majorEastAsia" w:hAnsiTheme="majorEastAsia" w:eastAsiaTheme="majorEastAsia"/>
                <w:color w:val="auto"/>
                <w:kern w:val="0"/>
                <w:highlight w:val="none"/>
              </w:rPr>
              <w:t>措施</w:t>
            </w:r>
            <w:r>
              <w:rPr>
                <w:rFonts w:hint="eastAsia" w:cs="宋体" w:asciiTheme="majorEastAsia" w:hAnsiTheme="majorEastAsia" w:eastAsiaTheme="majorEastAsia"/>
                <w:color w:val="auto"/>
                <w:kern w:val="0"/>
                <w:highlight w:val="none"/>
                <w:lang w:eastAsia="zh-CN"/>
              </w:rPr>
              <w:t>；具</w:t>
            </w:r>
            <w:r>
              <w:rPr>
                <w:rFonts w:hint="eastAsia" w:cs="宋体" w:asciiTheme="majorEastAsia" w:hAnsiTheme="majorEastAsia" w:eastAsiaTheme="majorEastAsia"/>
                <w:color w:val="auto"/>
                <w:kern w:val="0"/>
                <w:highlight w:val="none"/>
              </w:rPr>
              <w:t>有控制工期的</w:t>
            </w:r>
            <w:r>
              <w:rPr>
                <w:rFonts w:hint="eastAsia" w:cs="宋体" w:asciiTheme="majorEastAsia" w:hAnsiTheme="majorEastAsia" w:eastAsiaTheme="majorEastAsia"/>
                <w:color w:val="auto"/>
                <w:kern w:val="0"/>
                <w:highlight w:val="none"/>
                <w:lang w:eastAsia="zh-CN"/>
              </w:rPr>
              <w:t>基本</w:t>
            </w:r>
            <w:r>
              <w:rPr>
                <w:rFonts w:hint="eastAsia" w:cs="宋体" w:asciiTheme="majorEastAsia" w:hAnsiTheme="majorEastAsia" w:eastAsiaTheme="majorEastAsia"/>
                <w:color w:val="auto"/>
                <w:kern w:val="0"/>
                <w:highlight w:val="none"/>
              </w:rPr>
              <w:t>施工进度计划</w:t>
            </w:r>
            <w:r>
              <w:rPr>
                <w:rFonts w:hint="eastAsia" w:cs="宋体" w:asciiTheme="majorEastAsia" w:hAnsiTheme="majorEastAsia" w:eastAsiaTheme="majorEastAsia"/>
                <w:color w:val="auto"/>
                <w:kern w:val="0"/>
                <w:highlight w:val="none"/>
                <w:lang w:eastAsia="zh-CN"/>
              </w:rPr>
              <w:t>；</w:t>
            </w:r>
            <w:r>
              <w:rPr>
                <w:rFonts w:hint="eastAsia" w:cs="宋体" w:asciiTheme="majorEastAsia" w:hAnsiTheme="majorEastAsia" w:eastAsiaTheme="majorEastAsia"/>
                <w:color w:val="auto"/>
                <w:kern w:val="0"/>
                <w:highlight w:val="none"/>
              </w:rPr>
              <w:t>无施工总进度表或施工网络图，各项计划图表编制</w:t>
            </w:r>
            <w:r>
              <w:rPr>
                <w:rFonts w:hint="eastAsia" w:cs="宋体" w:asciiTheme="majorEastAsia" w:hAnsiTheme="majorEastAsia" w:eastAsiaTheme="majorEastAsia"/>
                <w:color w:val="auto"/>
                <w:kern w:val="0"/>
                <w:highlight w:val="none"/>
                <w:lang w:eastAsia="zh-CN"/>
              </w:rPr>
              <w:t>不完善，</w:t>
            </w:r>
            <w:r>
              <w:rPr>
                <w:rFonts w:hint="eastAsia" w:cs="宋体" w:asciiTheme="majorEastAsia" w:hAnsiTheme="majorEastAsia" w:eastAsiaTheme="majorEastAsia"/>
                <w:color w:val="auto"/>
                <w:kern w:val="0"/>
                <w:highlight w:val="none"/>
              </w:rPr>
              <w:t>安排</w:t>
            </w:r>
            <w:r>
              <w:rPr>
                <w:rFonts w:hint="eastAsia" w:cs="宋体" w:asciiTheme="majorEastAsia" w:hAnsiTheme="majorEastAsia" w:eastAsiaTheme="majorEastAsia"/>
                <w:color w:val="auto"/>
                <w:kern w:val="0"/>
                <w:highlight w:val="none"/>
                <w:lang w:eastAsia="zh-CN"/>
              </w:rPr>
              <w:t>缺乏合理性</w:t>
            </w:r>
            <w:r>
              <w:rPr>
                <w:rFonts w:hint="eastAsia" w:cs="宋体" w:asciiTheme="majorEastAsia" w:hAnsiTheme="majorEastAsia" w:eastAsiaTheme="majorEastAsia"/>
                <w:color w:val="auto"/>
                <w:kern w:val="0"/>
                <w:highlight w:val="none"/>
              </w:rPr>
              <w:t>，基本符合本项目施工实际要求。</w:t>
            </w:r>
          </w:p>
          <w:p w14:paraId="743BA5D6">
            <w:pPr>
              <w:spacing w:line="440" w:lineRule="exact"/>
              <w:ind w:firstLine="34"/>
              <w:rPr>
                <w:rFonts w:hint="eastAsia" w:cs="宋体" w:asciiTheme="majorEastAsia" w:hAnsiTheme="majorEastAsia" w:eastAsiaTheme="majorEastAsia"/>
                <w:color w:val="auto"/>
                <w:kern w:val="0"/>
                <w:highlight w:val="none"/>
              </w:rPr>
            </w:pPr>
            <w:r>
              <w:rPr>
                <w:rFonts w:hint="eastAsia" w:cs="宋体" w:asciiTheme="majorEastAsia" w:hAnsiTheme="majorEastAsia" w:eastAsiaTheme="majorEastAsia"/>
                <w:color w:val="auto"/>
                <w:kern w:val="0"/>
                <w:highlight w:val="none"/>
              </w:rPr>
              <w:t>二档</w:t>
            </w:r>
            <w:r>
              <w:rPr>
                <w:rFonts w:hint="eastAsia" w:cs="宋体" w:asciiTheme="majorEastAsia" w:hAnsiTheme="majorEastAsia" w:eastAsiaTheme="majorEastAsia"/>
                <w:color w:val="auto"/>
                <w:kern w:val="0"/>
                <w:highlight w:val="none"/>
                <w:lang w:eastAsia="zh-CN"/>
              </w:rPr>
              <w:t>（</w:t>
            </w:r>
            <w:r>
              <w:rPr>
                <w:rFonts w:hint="eastAsia" w:cs="宋体" w:asciiTheme="majorEastAsia" w:hAnsiTheme="majorEastAsia" w:eastAsiaTheme="majorEastAsia"/>
                <w:color w:val="auto"/>
                <w:kern w:val="0"/>
                <w:highlight w:val="none"/>
                <w:lang w:val="en-US" w:eastAsia="zh-CN"/>
              </w:rPr>
              <w:t>1</w:t>
            </w:r>
            <w:r>
              <w:rPr>
                <w:rFonts w:hint="eastAsia" w:cs="宋体" w:asciiTheme="majorEastAsia" w:hAnsiTheme="majorEastAsia" w:eastAsiaTheme="majorEastAsia"/>
                <w:color w:val="auto"/>
                <w:kern w:val="0"/>
                <w:highlight w:val="none"/>
              </w:rPr>
              <w:t>分</w:t>
            </w:r>
            <w:r>
              <w:rPr>
                <w:rFonts w:hint="eastAsia" w:cs="宋体" w:asciiTheme="majorEastAsia" w:hAnsiTheme="majorEastAsia" w:eastAsiaTheme="majorEastAsia"/>
                <w:color w:val="auto"/>
                <w:kern w:val="0"/>
                <w:highlight w:val="none"/>
                <w:lang w:eastAsia="zh-CN"/>
              </w:rPr>
              <w:t>）</w:t>
            </w:r>
            <w:r>
              <w:rPr>
                <w:rFonts w:hint="eastAsia" w:cs="宋体" w:asciiTheme="majorEastAsia" w:hAnsiTheme="majorEastAsia" w:eastAsiaTheme="majorEastAsia"/>
                <w:color w:val="auto"/>
                <w:kern w:val="0"/>
                <w:highlight w:val="none"/>
              </w:rPr>
              <w:t>：在施工工艺、施工方法、材料选用、劳动力安排、技术等方面有保证工期的</w:t>
            </w:r>
            <w:r>
              <w:rPr>
                <w:rFonts w:hint="eastAsia" w:cs="宋体" w:asciiTheme="majorEastAsia" w:hAnsiTheme="majorEastAsia" w:eastAsiaTheme="majorEastAsia"/>
                <w:color w:val="auto"/>
                <w:kern w:val="0"/>
                <w:highlight w:val="none"/>
                <w:lang w:eastAsia="zh-CN"/>
              </w:rPr>
              <w:t>完整的</w:t>
            </w:r>
            <w:r>
              <w:rPr>
                <w:rFonts w:hint="eastAsia" w:cs="宋体" w:asciiTheme="majorEastAsia" w:hAnsiTheme="majorEastAsia" w:eastAsiaTheme="majorEastAsia"/>
                <w:color w:val="auto"/>
                <w:kern w:val="0"/>
                <w:highlight w:val="none"/>
              </w:rPr>
              <w:t>措施且措施得当</w:t>
            </w:r>
            <w:r>
              <w:rPr>
                <w:rFonts w:hint="eastAsia" w:cs="宋体" w:asciiTheme="majorEastAsia" w:hAnsiTheme="majorEastAsia" w:eastAsiaTheme="majorEastAsia"/>
                <w:color w:val="auto"/>
                <w:kern w:val="0"/>
                <w:highlight w:val="none"/>
                <w:lang w:eastAsia="zh-CN"/>
              </w:rPr>
              <w:t>；具</w:t>
            </w:r>
            <w:r>
              <w:rPr>
                <w:rFonts w:hint="eastAsia" w:cs="宋体" w:asciiTheme="majorEastAsia" w:hAnsiTheme="majorEastAsia" w:eastAsiaTheme="majorEastAsia"/>
                <w:color w:val="auto"/>
                <w:kern w:val="0"/>
                <w:highlight w:val="none"/>
              </w:rPr>
              <w:t>有控制工期的</w:t>
            </w:r>
            <w:r>
              <w:rPr>
                <w:rFonts w:hint="eastAsia" w:cs="宋体" w:asciiTheme="majorEastAsia" w:hAnsiTheme="majorEastAsia" w:eastAsiaTheme="majorEastAsia"/>
                <w:color w:val="auto"/>
                <w:kern w:val="0"/>
                <w:highlight w:val="none"/>
                <w:lang w:eastAsia="zh-CN"/>
              </w:rPr>
              <w:t>完整的</w:t>
            </w:r>
            <w:r>
              <w:rPr>
                <w:rFonts w:hint="eastAsia" w:cs="宋体" w:asciiTheme="majorEastAsia" w:hAnsiTheme="majorEastAsia" w:eastAsiaTheme="majorEastAsia"/>
                <w:color w:val="auto"/>
                <w:kern w:val="0"/>
                <w:highlight w:val="none"/>
              </w:rPr>
              <w:t>施工进度计划</w:t>
            </w:r>
            <w:r>
              <w:rPr>
                <w:rFonts w:hint="eastAsia" w:cs="宋体" w:asciiTheme="majorEastAsia" w:hAnsiTheme="majorEastAsia" w:eastAsiaTheme="majorEastAsia"/>
                <w:color w:val="auto"/>
                <w:kern w:val="0"/>
                <w:highlight w:val="none"/>
                <w:lang w:eastAsia="zh-CN"/>
              </w:rPr>
              <w:t>；</w:t>
            </w:r>
            <w:r>
              <w:rPr>
                <w:rFonts w:hint="eastAsia" w:cs="宋体" w:asciiTheme="majorEastAsia" w:hAnsiTheme="majorEastAsia" w:eastAsiaTheme="majorEastAsia"/>
                <w:color w:val="auto"/>
                <w:kern w:val="0"/>
                <w:highlight w:val="none"/>
              </w:rPr>
              <w:t>有施工总进度表或施工网络图，各项计划图表编制</w:t>
            </w:r>
            <w:r>
              <w:rPr>
                <w:rFonts w:hint="eastAsia" w:cs="宋体" w:asciiTheme="majorEastAsia" w:hAnsiTheme="majorEastAsia" w:eastAsiaTheme="majorEastAsia"/>
                <w:color w:val="auto"/>
                <w:kern w:val="0"/>
                <w:highlight w:val="none"/>
                <w:lang w:val="en-US" w:eastAsia="zh-CN"/>
              </w:rPr>
              <w:t>基本</w:t>
            </w:r>
            <w:r>
              <w:rPr>
                <w:rFonts w:hint="eastAsia" w:cs="宋体" w:asciiTheme="majorEastAsia" w:hAnsiTheme="majorEastAsia" w:eastAsiaTheme="majorEastAsia"/>
                <w:color w:val="auto"/>
                <w:kern w:val="0"/>
                <w:highlight w:val="none"/>
              </w:rPr>
              <w:t>完善，安排</w:t>
            </w:r>
            <w:r>
              <w:rPr>
                <w:rFonts w:hint="eastAsia" w:cs="宋体" w:asciiTheme="majorEastAsia" w:hAnsiTheme="majorEastAsia" w:eastAsiaTheme="majorEastAsia"/>
                <w:color w:val="auto"/>
                <w:kern w:val="0"/>
                <w:highlight w:val="none"/>
                <w:lang w:val="en-US" w:eastAsia="zh-CN"/>
              </w:rPr>
              <w:t>基本</w:t>
            </w:r>
            <w:r>
              <w:rPr>
                <w:rFonts w:hint="eastAsia" w:cs="宋体" w:asciiTheme="majorEastAsia" w:hAnsiTheme="majorEastAsia" w:eastAsiaTheme="majorEastAsia"/>
                <w:color w:val="auto"/>
                <w:kern w:val="0"/>
                <w:highlight w:val="none"/>
              </w:rPr>
              <w:t>合理，符合本项目施工实际要求。</w:t>
            </w:r>
          </w:p>
          <w:p w14:paraId="596823C1">
            <w:pPr>
              <w:spacing w:line="440" w:lineRule="exact"/>
              <w:rPr>
                <w:rFonts w:hint="eastAsia" w:asciiTheme="majorEastAsia" w:hAnsiTheme="majorEastAsia" w:eastAsiaTheme="majorEastAsia"/>
                <w:color w:val="auto"/>
                <w:highlight w:val="none"/>
              </w:rPr>
            </w:pPr>
            <w:r>
              <w:rPr>
                <w:rFonts w:hint="eastAsia" w:cs="宋体" w:asciiTheme="majorEastAsia" w:hAnsiTheme="majorEastAsia" w:eastAsiaTheme="majorEastAsia"/>
                <w:color w:val="auto"/>
                <w:kern w:val="0"/>
                <w:highlight w:val="none"/>
              </w:rPr>
              <w:t>三档</w:t>
            </w:r>
            <w:r>
              <w:rPr>
                <w:rFonts w:hint="eastAsia" w:cs="宋体" w:asciiTheme="majorEastAsia" w:hAnsiTheme="majorEastAsia" w:eastAsiaTheme="majorEastAsia"/>
                <w:color w:val="auto"/>
                <w:kern w:val="0"/>
                <w:highlight w:val="none"/>
                <w:lang w:eastAsia="zh-CN"/>
              </w:rPr>
              <w:t>（</w:t>
            </w:r>
            <w:r>
              <w:rPr>
                <w:rFonts w:hint="eastAsia" w:cs="宋体" w:asciiTheme="majorEastAsia" w:hAnsiTheme="majorEastAsia" w:eastAsiaTheme="majorEastAsia"/>
                <w:color w:val="auto"/>
                <w:kern w:val="0"/>
                <w:highlight w:val="none"/>
                <w:lang w:val="en-US" w:eastAsia="zh-CN"/>
              </w:rPr>
              <w:t>1.5</w:t>
            </w:r>
            <w:r>
              <w:rPr>
                <w:rFonts w:hint="eastAsia" w:cs="宋体" w:asciiTheme="majorEastAsia" w:hAnsiTheme="majorEastAsia" w:eastAsiaTheme="majorEastAsia"/>
                <w:color w:val="auto"/>
                <w:kern w:val="0"/>
                <w:highlight w:val="none"/>
              </w:rPr>
              <w:t>分</w:t>
            </w:r>
            <w:r>
              <w:rPr>
                <w:rFonts w:hint="eastAsia" w:cs="宋体" w:asciiTheme="majorEastAsia" w:hAnsiTheme="majorEastAsia" w:eastAsiaTheme="majorEastAsia"/>
                <w:color w:val="auto"/>
                <w:kern w:val="0"/>
                <w:highlight w:val="none"/>
                <w:lang w:eastAsia="zh-CN"/>
              </w:rPr>
              <w:t>）</w:t>
            </w:r>
            <w:r>
              <w:rPr>
                <w:rFonts w:hint="eastAsia" w:cs="宋体" w:asciiTheme="majorEastAsia" w:hAnsiTheme="majorEastAsia" w:eastAsiaTheme="majorEastAsia"/>
                <w:color w:val="auto"/>
                <w:kern w:val="0"/>
                <w:highlight w:val="none"/>
              </w:rPr>
              <w:t>：在施工工艺、施工方法、材料选用、劳动力安排、技术等方面有保证工期的</w:t>
            </w:r>
            <w:r>
              <w:rPr>
                <w:rFonts w:hint="eastAsia" w:cs="宋体" w:asciiTheme="majorEastAsia" w:hAnsiTheme="majorEastAsia" w:eastAsiaTheme="majorEastAsia"/>
                <w:color w:val="auto"/>
                <w:kern w:val="0"/>
                <w:highlight w:val="none"/>
                <w:lang w:eastAsia="zh-CN"/>
              </w:rPr>
              <w:t>完整、周全的</w:t>
            </w:r>
            <w:r>
              <w:rPr>
                <w:rFonts w:hint="eastAsia" w:cs="宋体" w:asciiTheme="majorEastAsia" w:hAnsiTheme="majorEastAsia" w:eastAsiaTheme="majorEastAsia"/>
                <w:color w:val="auto"/>
                <w:kern w:val="0"/>
                <w:highlight w:val="none"/>
              </w:rPr>
              <w:t>措施且措施得当</w:t>
            </w:r>
            <w:r>
              <w:rPr>
                <w:rFonts w:hint="eastAsia" w:cs="宋体" w:asciiTheme="majorEastAsia" w:hAnsiTheme="majorEastAsia" w:eastAsiaTheme="majorEastAsia"/>
                <w:color w:val="auto"/>
                <w:kern w:val="0"/>
                <w:highlight w:val="none"/>
                <w:lang w:eastAsia="zh-CN"/>
              </w:rPr>
              <w:t>；</w:t>
            </w:r>
            <w:r>
              <w:rPr>
                <w:rFonts w:hint="eastAsia" w:cs="宋体" w:asciiTheme="majorEastAsia" w:hAnsiTheme="majorEastAsia" w:eastAsiaTheme="majorEastAsia"/>
                <w:color w:val="auto"/>
                <w:kern w:val="0"/>
                <w:highlight w:val="none"/>
              </w:rPr>
              <w:t>有控制工期的</w:t>
            </w:r>
            <w:r>
              <w:rPr>
                <w:rFonts w:hint="eastAsia" w:cs="宋体" w:asciiTheme="majorEastAsia" w:hAnsiTheme="majorEastAsia" w:eastAsiaTheme="majorEastAsia"/>
                <w:color w:val="auto"/>
                <w:kern w:val="0"/>
                <w:highlight w:val="none"/>
                <w:lang w:eastAsia="zh-CN"/>
              </w:rPr>
              <w:t>完整、周密的</w:t>
            </w:r>
            <w:r>
              <w:rPr>
                <w:rFonts w:hint="eastAsia" w:cs="宋体" w:asciiTheme="majorEastAsia" w:hAnsiTheme="majorEastAsia" w:eastAsiaTheme="majorEastAsia"/>
                <w:color w:val="auto"/>
                <w:kern w:val="0"/>
                <w:highlight w:val="none"/>
              </w:rPr>
              <w:t>施工进度计划</w:t>
            </w:r>
            <w:r>
              <w:rPr>
                <w:rFonts w:hint="eastAsia" w:cs="宋体" w:asciiTheme="majorEastAsia" w:hAnsiTheme="majorEastAsia" w:eastAsiaTheme="majorEastAsia"/>
                <w:color w:val="auto"/>
                <w:kern w:val="0"/>
                <w:highlight w:val="none"/>
                <w:lang w:eastAsia="zh-CN"/>
              </w:rPr>
              <w:t>；</w:t>
            </w:r>
            <w:r>
              <w:rPr>
                <w:rFonts w:hint="eastAsia" w:cs="宋体" w:asciiTheme="majorEastAsia" w:hAnsiTheme="majorEastAsia" w:eastAsiaTheme="majorEastAsia"/>
                <w:color w:val="auto"/>
                <w:kern w:val="0"/>
                <w:highlight w:val="none"/>
              </w:rPr>
              <w:t>有施工总进度表或施工网络图，各项计划图表编制完善，安排合理，可行性强，</w:t>
            </w:r>
            <w:r>
              <w:rPr>
                <w:rFonts w:hint="eastAsia" w:cs="宋体" w:asciiTheme="majorEastAsia" w:hAnsiTheme="majorEastAsia" w:eastAsiaTheme="majorEastAsia"/>
                <w:color w:val="auto"/>
                <w:kern w:val="0"/>
                <w:highlight w:val="none"/>
                <w:lang w:eastAsia="zh-CN"/>
              </w:rPr>
              <w:t>完全</w:t>
            </w:r>
            <w:r>
              <w:rPr>
                <w:rFonts w:hint="eastAsia" w:cs="宋体" w:asciiTheme="majorEastAsia" w:hAnsiTheme="majorEastAsia" w:eastAsiaTheme="majorEastAsia"/>
                <w:color w:val="auto"/>
                <w:kern w:val="0"/>
                <w:highlight w:val="none"/>
              </w:rPr>
              <w:t>符合本项目施工实际要求。</w:t>
            </w:r>
          </w:p>
        </w:tc>
      </w:tr>
      <w:tr w14:paraId="5805B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76" w:type="dxa"/>
            <w:vMerge w:val="continue"/>
            <w:tcBorders>
              <w:top w:val="single" w:color="auto" w:sz="4" w:space="0"/>
              <w:left w:val="single" w:color="auto" w:sz="4" w:space="0"/>
              <w:bottom w:val="single" w:color="auto" w:sz="4" w:space="0"/>
              <w:right w:val="single" w:color="auto" w:sz="4" w:space="0"/>
            </w:tcBorders>
            <w:vAlign w:val="center"/>
          </w:tcPr>
          <w:p w14:paraId="312844B2">
            <w:pPr>
              <w:widowControl/>
              <w:spacing w:line="440" w:lineRule="exact"/>
              <w:jc w:val="left"/>
              <w:rPr>
                <w:rFonts w:hint="eastAsia" w:cs="Tahoma" w:asciiTheme="majorEastAsia" w:hAnsiTheme="majorEastAsia" w:eastAsiaTheme="majorEastAsia"/>
                <w:color w:val="auto"/>
                <w:kern w:val="0"/>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70E03568">
            <w:pPr>
              <w:adjustRightInd w:val="0"/>
              <w:spacing w:line="440" w:lineRule="exact"/>
              <w:jc w:val="center"/>
              <w:textAlignment w:val="baseline"/>
              <w:rPr>
                <w:rFonts w:hint="eastAsia" w:cs="宋体" w:asciiTheme="majorEastAsia" w:hAnsiTheme="majorEastAsia" w:eastAsiaTheme="majorEastAsia"/>
                <w:b w:val="0"/>
                <w:bCs/>
                <w:color w:val="auto"/>
                <w:highlight w:val="none"/>
              </w:rPr>
            </w:pPr>
            <w:r>
              <w:rPr>
                <w:rFonts w:hint="eastAsia" w:asciiTheme="majorEastAsia" w:hAnsiTheme="majorEastAsia" w:eastAsiaTheme="majorEastAsia"/>
                <w:b w:val="0"/>
                <w:bCs/>
                <w:color w:val="auto"/>
                <w:kern w:val="0"/>
                <w:highlight w:val="none"/>
              </w:rPr>
              <w:t>2</w:t>
            </w:r>
            <w:r>
              <w:rPr>
                <w:rFonts w:asciiTheme="majorEastAsia" w:hAnsiTheme="majorEastAsia" w:eastAsiaTheme="majorEastAsia"/>
                <w:b w:val="0"/>
                <w:bCs/>
                <w:color w:val="auto"/>
                <w:kern w:val="0"/>
                <w:highlight w:val="none"/>
              </w:rPr>
              <w:t>.7</w:t>
            </w:r>
            <w:r>
              <w:rPr>
                <w:rFonts w:hint="eastAsia" w:cs="宋体" w:asciiTheme="minorEastAsia" w:hAnsiTheme="minorEastAsia" w:eastAsiaTheme="minorEastAsia"/>
                <w:b w:val="0"/>
                <w:bCs/>
                <w:color w:val="auto"/>
                <w:szCs w:val="21"/>
                <w:highlight w:val="none"/>
              </w:rPr>
              <w:t>关键施工技术、工艺及工程实施的重点、难点和解决方案</w:t>
            </w:r>
            <w:r>
              <w:rPr>
                <w:rFonts w:hint="eastAsia" w:asciiTheme="majorEastAsia" w:hAnsiTheme="majorEastAsia" w:eastAsiaTheme="majorEastAsia"/>
                <w:b w:val="0"/>
                <w:bCs/>
                <w:color w:val="auto"/>
                <w:szCs w:val="21"/>
                <w:highlight w:val="none"/>
              </w:rPr>
              <w:t>（</w:t>
            </w:r>
            <w:r>
              <w:rPr>
                <w:rFonts w:hint="eastAsia" w:asciiTheme="majorEastAsia" w:hAnsiTheme="majorEastAsia" w:eastAsiaTheme="majorEastAsia"/>
                <w:b w:val="0"/>
                <w:bCs/>
                <w:color w:val="auto"/>
                <w:szCs w:val="21"/>
                <w:highlight w:val="none"/>
                <w:lang w:val="en-US" w:eastAsia="zh-CN"/>
              </w:rPr>
              <w:t>1</w:t>
            </w:r>
            <w:r>
              <w:rPr>
                <w:rFonts w:hint="eastAsia" w:asciiTheme="majorEastAsia" w:hAnsiTheme="majorEastAsia" w:eastAsiaTheme="majorEastAsia"/>
                <w:b w:val="0"/>
                <w:bCs/>
                <w:color w:val="auto"/>
                <w:szCs w:val="21"/>
                <w:highlight w:val="none"/>
              </w:rPr>
              <w:t>分）</w:t>
            </w:r>
          </w:p>
        </w:tc>
        <w:tc>
          <w:tcPr>
            <w:tcW w:w="6396" w:type="dxa"/>
            <w:tcBorders>
              <w:top w:val="single" w:color="auto" w:sz="4" w:space="0"/>
              <w:left w:val="single" w:color="auto" w:sz="4" w:space="0"/>
              <w:bottom w:val="single" w:color="auto" w:sz="4" w:space="0"/>
              <w:right w:val="single" w:color="auto" w:sz="4" w:space="0"/>
            </w:tcBorders>
            <w:vAlign w:val="center"/>
          </w:tcPr>
          <w:p w14:paraId="55EAFF5B">
            <w:pPr>
              <w:spacing w:line="400" w:lineRule="exact"/>
              <w:jc w:val="left"/>
              <w:rPr>
                <w:rFonts w:hint="eastAsia" w:cs="宋体" w:asciiTheme="minorEastAsia" w:hAnsiTheme="minorEastAsia" w:eastAsiaTheme="minorEastAsia"/>
                <w:b w:val="0"/>
                <w:bCs/>
                <w:color w:val="auto"/>
                <w:szCs w:val="21"/>
                <w:highlight w:val="none"/>
                <w:lang w:eastAsia="zh-CN"/>
              </w:rPr>
            </w:pPr>
            <w:r>
              <w:rPr>
                <w:rFonts w:hint="eastAsia" w:cs="宋体" w:asciiTheme="minorEastAsia" w:hAnsiTheme="minorEastAsia" w:eastAsiaTheme="minorEastAsia"/>
                <w:b w:val="0"/>
                <w:bCs/>
                <w:color w:val="auto"/>
                <w:szCs w:val="21"/>
                <w:highlight w:val="none"/>
                <w:lang w:eastAsia="zh-CN"/>
              </w:rPr>
              <w:t>一</w:t>
            </w:r>
            <w:r>
              <w:rPr>
                <w:rFonts w:hint="eastAsia" w:cs="宋体" w:asciiTheme="minorEastAsia" w:hAnsiTheme="minorEastAsia" w:eastAsiaTheme="minorEastAsia"/>
                <w:b w:val="0"/>
                <w:bCs/>
                <w:color w:val="auto"/>
                <w:szCs w:val="21"/>
                <w:highlight w:val="none"/>
              </w:rPr>
              <w:t>档（</w:t>
            </w:r>
            <w:r>
              <w:rPr>
                <w:rFonts w:hint="eastAsia" w:cs="宋体" w:asciiTheme="minorEastAsia" w:hAnsiTheme="minorEastAsia" w:eastAsiaTheme="minorEastAsia"/>
                <w:b w:val="0"/>
                <w:bCs/>
                <w:color w:val="auto"/>
                <w:szCs w:val="21"/>
                <w:highlight w:val="none"/>
                <w:lang w:val="en-US" w:eastAsia="zh-CN"/>
              </w:rPr>
              <w:t>0.4</w:t>
            </w:r>
            <w:r>
              <w:rPr>
                <w:rFonts w:hint="eastAsia" w:cs="宋体" w:asciiTheme="minorEastAsia" w:hAnsiTheme="minorEastAsia" w:eastAsiaTheme="minorEastAsia"/>
                <w:b w:val="0"/>
                <w:bCs/>
                <w:color w:val="auto"/>
                <w:szCs w:val="21"/>
                <w:highlight w:val="none"/>
              </w:rPr>
              <w:t>分）：对项目关键技术、工艺有</w:t>
            </w:r>
            <w:r>
              <w:rPr>
                <w:rFonts w:hint="eastAsia" w:cs="宋体" w:asciiTheme="minorEastAsia" w:hAnsiTheme="minorEastAsia" w:eastAsiaTheme="minorEastAsia"/>
                <w:b w:val="0"/>
                <w:bCs/>
                <w:color w:val="auto"/>
                <w:szCs w:val="21"/>
                <w:highlight w:val="none"/>
                <w:lang w:eastAsia="zh-CN"/>
              </w:rPr>
              <w:t>浅显</w:t>
            </w:r>
            <w:r>
              <w:rPr>
                <w:rFonts w:hint="eastAsia" w:cs="宋体" w:asciiTheme="minorEastAsia" w:hAnsiTheme="minorEastAsia" w:eastAsiaTheme="minorEastAsia"/>
                <w:b w:val="0"/>
                <w:bCs/>
                <w:color w:val="auto"/>
                <w:szCs w:val="21"/>
                <w:highlight w:val="none"/>
              </w:rPr>
              <w:t>的表达，对重点、难点</w:t>
            </w:r>
            <w:r>
              <w:rPr>
                <w:rFonts w:hint="eastAsia" w:cs="宋体" w:asciiTheme="minorEastAsia" w:hAnsiTheme="minorEastAsia" w:eastAsiaTheme="minorEastAsia"/>
                <w:b w:val="0"/>
                <w:bCs/>
                <w:color w:val="auto"/>
                <w:szCs w:val="21"/>
                <w:highlight w:val="none"/>
                <w:lang w:eastAsia="zh-CN"/>
              </w:rPr>
              <w:t>提出</w:t>
            </w:r>
            <w:r>
              <w:rPr>
                <w:rFonts w:hint="eastAsia" w:cs="宋体" w:asciiTheme="minorEastAsia" w:hAnsiTheme="minorEastAsia" w:eastAsiaTheme="minorEastAsia"/>
                <w:b w:val="0"/>
                <w:bCs/>
                <w:color w:val="auto"/>
                <w:szCs w:val="21"/>
                <w:highlight w:val="none"/>
              </w:rPr>
              <w:t>建议</w:t>
            </w:r>
            <w:r>
              <w:rPr>
                <w:rFonts w:hint="eastAsia" w:cs="宋体" w:asciiTheme="minorEastAsia" w:hAnsiTheme="minorEastAsia" w:eastAsiaTheme="minorEastAsia"/>
                <w:b w:val="0"/>
                <w:bCs/>
                <w:color w:val="auto"/>
                <w:szCs w:val="21"/>
                <w:highlight w:val="none"/>
                <w:lang w:eastAsia="zh-CN"/>
              </w:rPr>
              <w:t>但欠缺合理性及针对性</w:t>
            </w:r>
            <w:r>
              <w:rPr>
                <w:rFonts w:hint="eastAsia" w:cs="宋体" w:asciiTheme="minorEastAsia" w:hAnsiTheme="minorEastAsia" w:eastAsiaTheme="minorEastAsia"/>
                <w:b w:val="0"/>
                <w:bCs/>
                <w:color w:val="auto"/>
                <w:szCs w:val="21"/>
                <w:highlight w:val="none"/>
              </w:rPr>
              <w:t>，解决方案</w:t>
            </w:r>
            <w:r>
              <w:rPr>
                <w:rFonts w:hint="eastAsia" w:cs="宋体" w:asciiTheme="minorEastAsia" w:hAnsiTheme="minorEastAsia" w:eastAsiaTheme="minorEastAsia"/>
                <w:b w:val="0"/>
                <w:bCs/>
                <w:color w:val="auto"/>
                <w:szCs w:val="21"/>
                <w:highlight w:val="none"/>
                <w:lang w:eastAsia="zh-CN"/>
              </w:rPr>
              <w:t>欠缺</w:t>
            </w:r>
            <w:r>
              <w:rPr>
                <w:rFonts w:hint="eastAsia" w:cs="宋体" w:asciiTheme="minorEastAsia" w:hAnsiTheme="minorEastAsia" w:eastAsiaTheme="minorEastAsia"/>
                <w:b w:val="0"/>
                <w:bCs/>
                <w:color w:val="auto"/>
                <w:szCs w:val="21"/>
                <w:highlight w:val="none"/>
              </w:rPr>
              <w:t>经济、安全</w:t>
            </w:r>
            <w:r>
              <w:rPr>
                <w:rFonts w:hint="eastAsia" w:cs="宋体" w:asciiTheme="minorEastAsia" w:hAnsiTheme="minorEastAsia" w:eastAsiaTheme="minorEastAsia"/>
                <w:b w:val="0"/>
                <w:bCs/>
                <w:color w:val="auto"/>
                <w:szCs w:val="21"/>
                <w:highlight w:val="none"/>
                <w:lang w:eastAsia="zh-CN"/>
              </w:rPr>
              <w:t>性，</w:t>
            </w:r>
            <w:r>
              <w:rPr>
                <w:rFonts w:hint="eastAsia" w:cs="宋体" w:asciiTheme="minorEastAsia" w:hAnsiTheme="minorEastAsia" w:eastAsiaTheme="minorEastAsia"/>
                <w:b w:val="0"/>
                <w:bCs/>
                <w:color w:val="auto"/>
                <w:szCs w:val="21"/>
                <w:highlight w:val="none"/>
              </w:rPr>
              <w:t>基本可行。</w:t>
            </w:r>
          </w:p>
          <w:p w14:paraId="3F85E47F">
            <w:pPr>
              <w:spacing w:line="400" w:lineRule="exact"/>
              <w:jc w:val="left"/>
              <w:rPr>
                <w:rFonts w:hint="eastAsia" w:cs="宋体" w:asciiTheme="minorEastAsia" w:hAnsiTheme="minorEastAsia" w:eastAsiaTheme="minorEastAsia"/>
                <w:b w:val="0"/>
                <w:bCs/>
                <w:color w:val="auto"/>
                <w:szCs w:val="21"/>
                <w:highlight w:val="none"/>
              </w:rPr>
            </w:pPr>
            <w:r>
              <w:rPr>
                <w:rFonts w:hint="eastAsia" w:cs="宋体" w:asciiTheme="minorEastAsia" w:hAnsiTheme="minorEastAsia" w:eastAsiaTheme="minorEastAsia"/>
                <w:b w:val="0"/>
                <w:bCs/>
                <w:color w:val="auto"/>
                <w:szCs w:val="21"/>
                <w:highlight w:val="none"/>
                <w:lang w:eastAsia="zh-CN"/>
              </w:rPr>
              <w:t>二</w:t>
            </w:r>
            <w:r>
              <w:rPr>
                <w:rFonts w:hint="eastAsia" w:cs="宋体" w:asciiTheme="minorEastAsia" w:hAnsiTheme="minorEastAsia" w:eastAsiaTheme="minorEastAsia"/>
                <w:b w:val="0"/>
                <w:bCs/>
                <w:color w:val="auto"/>
                <w:szCs w:val="21"/>
                <w:highlight w:val="none"/>
              </w:rPr>
              <w:t>档（</w:t>
            </w:r>
            <w:r>
              <w:rPr>
                <w:rFonts w:hint="eastAsia" w:cs="宋体" w:asciiTheme="minorEastAsia" w:hAnsiTheme="minorEastAsia" w:eastAsiaTheme="minorEastAsia"/>
                <w:b w:val="0"/>
                <w:bCs/>
                <w:color w:val="auto"/>
                <w:szCs w:val="21"/>
                <w:highlight w:val="none"/>
                <w:lang w:val="en-US" w:eastAsia="zh-CN"/>
              </w:rPr>
              <w:t>0.7</w:t>
            </w:r>
            <w:r>
              <w:rPr>
                <w:rFonts w:hint="eastAsia" w:cs="宋体" w:asciiTheme="minorEastAsia" w:hAnsiTheme="minorEastAsia" w:eastAsiaTheme="minorEastAsia"/>
                <w:b w:val="0"/>
                <w:bCs/>
                <w:color w:val="auto"/>
                <w:szCs w:val="21"/>
                <w:highlight w:val="none"/>
              </w:rPr>
              <w:t>分）：对项目关键技术、工艺有</w:t>
            </w:r>
            <w:r>
              <w:rPr>
                <w:rFonts w:hint="eastAsia" w:cs="宋体" w:asciiTheme="minorEastAsia" w:hAnsiTheme="minorEastAsia" w:eastAsiaTheme="minorEastAsia"/>
                <w:b w:val="0"/>
                <w:bCs/>
                <w:color w:val="auto"/>
                <w:szCs w:val="21"/>
                <w:highlight w:val="none"/>
                <w:lang w:val="en-US" w:eastAsia="zh-CN"/>
              </w:rPr>
              <w:t>一定</w:t>
            </w:r>
            <w:r>
              <w:rPr>
                <w:rFonts w:hint="eastAsia" w:cs="宋体" w:asciiTheme="minorEastAsia" w:hAnsiTheme="minorEastAsia" w:eastAsiaTheme="minorEastAsia"/>
                <w:b w:val="0"/>
                <w:bCs/>
                <w:color w:val="auto"/>
                <w:szCs w:val="21"/>
                <w:highlight w:val="none"/>
              </w:rPr>
              <w:t>深入的表达，对重点、难点</w:t>
            </w:r>
            <w:r>
              <w:rPr>
                <w:rFonts w:hint="eastAsia" w:cs="宋体" w:asciiTheme="minorEastAsia" w:hAnsiTheme="minorEastAsia" w:eastAsiaTheme="minorEastAsia"/>
                <w:b w:val="0"/>
                <w:bCs/>
                <w:color w:val="auto"/>
                <w:szCs w:val="21"/>
                <w:highlight w:val="none"/>
                <w:lang w:eastAsia="zh-CN"/>
              </w:rPr>
              <w:t>提出</w:t>
            </w:r>
            <w:r>
              <w:rPr>
                <w:rFonts w:hint="eastAsia" w:cs="宋体" w:asciiTheme="minorEastAsia" w:hAnsiTheme="minorEastAsia" w:eastAsiaTheme="minorEastAsia"/>
                <w:b w:val="0"/>
                <w:bCs/>
                <w:color w:val="auto"/>
                <w:szCs w:val="21"/>
                <w:highlight w:val="none"/>
              </w:rPr>
              <w:t>建议</w:t>
            </w:r>
            <w:r>
              <w:rPr>
                <w:rFonts w:hint="eastAsia" w:cs="宋体" w:asciiTheme="minorEastAsia" w:hAnsiTheme="minorEastAsia" w:eastAsiaTheme="minorEastAsia"/>
                <w:b w:val="0"/>
                <w:bCs/>
                <w:color w:val="auto"/>
                <w:szCs w:val="21"/>
                <w:highlight w:val="none"/>
                <w:lang w:eastAsia="zh-CN"/>
              </w:rPr>
              <w:t>且有一定的合理性及针对性</w:t>
            </w:r>
            <w:r>
              <w:rPr>
                <w:rFonts w:hint="eastAsia" w:cs="宋体" w:asciiTheme="minorEastAsia" w:hAnsiTheme="minorEastAsia" w:eastAsiaTheme="minorEastAsia"/>
                <w:b w:val="0"/>
                <w:bCs/>
                <w:color w:val="auto"/>
                <w:szCs w:val="21"/>
                <w:highlight w:val="none"/>
              </w:rPr>
              <w:t>，解决方案经济、安全、基本可行。</w:t>
            </w:r>
          </w:p>
          <w:p w14:paraId="1E97EA8F">
            <w:pPr>
              <w:spacing w:line="400" w:lineRule="exact"/>
              <w:jc w:val="left"/>
              <w:rPr>
                <w:rFonts w:hint="eastAsia"/>
                <w:color w:val="auto"/>
                <w:highlight w:val="none"/>
              </w:rPr>
            </w:pPr>
            <w:r>
              <w:rPr>
                <w:rFonts w:hint="eastAsia" w:cs="宋体" w:asciiTheme="minorEastAsia" w:hAnsiTheme="minorEastAsia" w:eastAsiaTheme="minorEastAsia"/>
                <w:b w:val="0"/>
                <w:bCs/>
                <w:color w:val="auto"/>
                <w:szCs w:val="21"/>
                <w:highlight w:val="none"/>
                <w:lang w:eastAsia="zh-CN"/>
              </w:rPr>
              <w:t>三</w:t>
            </w:r>
            <w:r>
              <w:rPr>
                <w:rFonts w:hint="eastAsia" w:cs="宋体" w:asciiTheme="minorEastAsia" w:hAnsiTheme="minorEastAsia" w:eastAsiaTheme="minorEastAsia"/>
                <w:b w:val="0"/>
                <w:bCs/>
                <w:color w:val="auto"/>
                <w:szCs w:val="21"/>
                <w:highlight w:val="none"/>
              </w:rPr>
              <w:t>档（</w:t>
            </w:r>
            <w:r>
              <w:rPr>
                <w:rFonts w:hint="eastAsia" w:cs="宋体" w:asciiTheme="minorEastAsia" w:hAnsiTheme="minorEastAsia" w:eastAsiaTheme="minorEastAsia"/>
                <w:b w:val="0"/>
                <w:bCs/>
                <w:color w:val="auto"/>
                <w:szCs w:val="21"/>
                <w:highlight w:val="none"/>
                <w:lang w:val="en-US" w:eastAsia="zh-CN"/>
              </w:rPr>
              <w:t>1</w:t>
            </w:r>
            <w:r>
              <w:rPr>
                <w:rFonts w:hint="eastAsia" w:cs="宋体" w:asciiTheme="minorEastAsia" w:hAnsiTheme="minorEastAsia" w:eastAsiaTheme="minorEastAsia"/>
                <w:b w:val="0"/>
                <w:bCs/>
                <w:color w:val="auto"/>
                <w:szCs w:val="21"/>
                <w:highlight w:val="none"/>
              </w:rPr>
              <w:t>分）：对项目关键技术、工艺有深入的表达，对重点、难点有先进合理</w:t>
            </w:r>
            <w:r>
              <w:rPr>
                <w:rFonts w:hint="eastAsia" w:cs="宋体" w:asciiTheme="minorEastAsia" w:hAnsiTheme="minorEastAsia" w:eastAsiaTheme="minorEastAsia"/>
                <w:b w:val="0"/>
                <w:bCs/>
                <w:color w:val="auto"/>
                <w:szCs w:val="21"/>
                <w:highlight w:val="none"/>
                <w:lang w:eastAsia="zh-CN"/>
              </w:rPr>
              <w:t>、针对性强</w:t>
            </w:r>
            <w:r>
              <w:rPr>
                <w:rFonts w:hint="eastAsia" w:cs="宋体" w:asciiTheme="minorEastAsia" w:hAnsiTheme="minorEastAsia" w:eastAsiaTheme="minorEastAsia"/>
                <w:b w:val="0"/>
                <w:bCs/>
                <w:color w:val="auto"/>
                <w:szCs w:val="21"/>
                <w:highlight w:val="none"/>
              </w:rPr>
              <w:t>的施工措施并有可行的安全措施，解决方案</w:t>
            </w:r>
            <w:r>
              <w:rPr>
                <w:rFonts w:hint="eastAsia" w:cs="宋体" w:asciiTheme="minorEastAsia" w:hAnsiTheme="minorEastAsia" w:eastAsiaTheme="minorEastAsia"/>
                <w:b w:val="0"/>
                <w:bCs/>
                <w:color w:val="auto"/>
                <w:szCs w:val="21"/>
                <w:highlight w:val="none"/>
                <w:lang w:eastAsia="zh-CN"/>
              </w:rPr>
              <w:t>全面</w:t>
            </w:r>
            <w:r>
              <w:rPr>
                <w:rFonts w:hint="eastAsia" w:cs="宋体" w:asciiTheme="minorEastAsia" w:hAnsiTheme="minorEastAsia" w:eastAsiaTheme="minorEastAsia"/>
                <w:b w:val="0"/>
                <w:bCs/>
                <w:color w:val="auto"/>
                <w:szCs w:val="21"/>
                <w:highlight w:val="none"/>
              </w:rPr>
              <w:t>、经济、安全、切实可行，措施得力。</w:t>
            </w:r>
          </w:p>
        </w:tc>
      </w:tr>
      <w:tr w14:paraId="1BE4E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76" w:type="dxa"/>
            <w:vMerge w:val="continue"/>
            <w:tcBorders>
              <w:top w:val="single" w:color="auto" w:sz="4" w:space="0"/>
              <w:left w:val="single" w:color="auto" w:sz="4" w:space="0"/>
              <w:bottom w:val="single" w:color="auto" w:sz="4" w:space="0"/>
              <w:right w:val="single" w:color="auto" w:sz="4" w:space="0"/>
            </w:tcBorders>
            <w:vAlign w:val="center"/>
          </w:tcPr>
          <w:p w14:paraId="1D2E50D8">
            <w:pPr>
              <w:widowControl/>
              <w:spacing w:line="440" w:lineRule="exact"/>
              <w:jc w:val="left"/>
              <w:rPr>
                <w:rFonts w:hint="eastAsia" w:cs="Tahoma" w:asciiTheme="majorEastAsia" w:hAnsiTheme="majorEastAsia" w:eastAsiaTheme="majorEastAsia"/>
                <w:color w:val="auto"/>
                <w:kern w:val="0"/>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31C3E0EC">
            <w:pPr>
              <w:adjustRightInd w:val="0"/>
              <w:spacing w:line="440" w:lineRule="exact"/>
              <w:jc w:val="center"/>
              <w:textAlignment w:val="baseline"/>
              <w:rPr>
                <w:rFonts w:hint="eastAsia" w:asciiTheme="majorEastAsia" w:hAnsiTheme="majorEastAsia" w:eastAsiaTheme="majorEastAsia"/>
                <w:b w:val="0"/>
                <w:bCs/>
                <w:color w:val="auto"/>
                <w:kern w:val="0"/>
                <w:highlight w:val="none"/>
              </w:rPr>
            </w:pPr>
            <w:r>
              <w:rPr>
                <w:rFonts w:hint="eastAsia" w:cs="宋体" w:asciiTheme="minorEastAsia" w:hAnsiTheme="minorEastAsia" w:eastAsiaTheme="minorEastAsia"/>
                <w:b w:val="0"/>
                <w:bCs/>
                <w:color w:val="auto"/>
                <w:szCs w:val="21"/>
                <w:highlight w:val="none"/>
                <w:lang w:val="en-US" w:eastAsia="zh-CN"/>
              </w:rPr>
              <w:t>2.8</w:t>
            </w:r>
            <w:r>
              <w:rPr>
                <w:rFonts w:hint="eastAsia" w:cs="宋体" w:asciiTheme="minorEastAsia" w:hAnsiTheme="minorEastAsia" w:eastAsiaTheme="minorEastAsia"/>
                <w:b w:val="0"/>
                <w:bCs/>
                <w:color w:val="auto"/>
                <w:szCs w:val="21"/>
                <w:highlight w:val="none"/>
              </w:rPr>
              <w:t>施工平面布置和临时设施布置（</w:t>
            </w:r>
            <w:r>
              <w:rPr>
                <w:rFonts w:hint="eastAsia" w:cs="宋体" w:asciiTheme="minorEastAsia" w:hAnsiTheme="minorEastAsia" w:eastAsiaTheme="minorEastAsia"/>
                <w:b w:val="0"/>
                <w:bCs/>
                <w:color w:val="auto"/>
                <w:szCs w:val="21"/>
                <w:highlight w:val="none"/>
                <w:lang w:val="en-US" w:eastAsia="zh-CN"/>
              </w:rPr>
              <w:t>1.5</w:t>
            </w:r>
            <w:r>
              <w:rPr>
                <w:rFonts w:hint="eastAsia" w:cs="宋体" w:asciiTheme="minorEastAsia" w:hAnsiTheme="minorEastAsia" w:eastAsiaTheme="minorEastAsia"/>
                <w:b w:val="0"/>
                <w:bCs/>
                <w:color w:val="auto"/>
                <w:szCs w:val="21"/>
                <w:highlight w:val="none"/>
              </w:rPr>
              <w:t>分）</w:t>
            </w:r>
          </w:p>
        </w:tc>
        <w:tc>
          <w:tcPr>
            <w:tcW w:w="6396" w:type="dxa"/>
            <w:tcBorders>
              <w:top w:val="single" w:color="auto" w:sz="4" w:space="0"/>
              <w:left w:val="single" w:color="auto" w:sz="4" w:space="0"/>
              <w:bottom w:val="single" w:color="auto" w:sz="4" w:space="0"/>
              <w:right w:val="single" w:color="auto" w:sz="4" w:space="0"/>
            </w:tcBorders>
            <w:vAlign w:val="center"/>
          </w:tcPr>
          <w:p w14:paraId="38300A6E">
            <w:pPr>
              <w:adjustRightInd w:val="0"/>
              <w:spacing w:line="440" w:lineRule="exact"/>
              <w:jc w:val="left"/>
              <w:textAlignment w:val="baseline"/>
              <w:rPr>
                <w:rFonts w:hint="eastAsia" w:cs="宋体" w:asciiTheme="minorEastAsia" w:hAnsiTheme="minorEastAsia" w:eastAsiaTheme="minorEastAsia"/>
                <w:b w:val="0"/>
                <w:bCs/>
                <w:color w:val="auto"/>
                <w:szCs w:val="21"/>
                <w:highlight w:val="none"/>
              </w:rPr>
            </w:pPr>
            <w:r>
              <w:rPr>
                <w:rFonts w:hint="eastAsia" w:cs="宋体" w:asciiTheme="minorEastAsia" w:hAnsiTheme="minorEastAsia" w:eastAsiaTheme="minorEastAsia"/>
                <w:b w:val="0"/>
                <w:bCs/>
                <w:color w:val="auto"/>
                <w:szCs w:val="21"/>
                <w:highlight w:val="none"/>
              </w:rPr>
              <w:t>一档（</w:t>
            </w:r>
            <w:r>
              <w:rPr>
                <w:rFonts w:hint="eastAsia" w:cs="宋体" w:asciiTheme="minorEastAsia" w:hAnsiTheme="minorEastAsia" w:eastAsiaTheme="minorEastAsia"/>
                <w:b w:val="0"/>
                <w:bCs/>
                <w:color w:val="auto"/>
                <w:szCs w:val="21"/>
                <w:highlight w:val="none"/>
                <w:lang w:val="en-US" w:eastAsia="zh-CN"/>
              </w:rPr>
              <w:t>0.5</w:t>
            </w:r>
            <w:r>
              <w:rPr>
                <w:rFonts w:hint="eastAsia" w:cs="宋体" w:asciiTheme="minorEastAsia" w:hAnsiTheme="minorEastAsia" w:eastAsiaTheme="minorEastAsia"/>
                <w:b w:val="0"/>
                <w:bCs/>
                <w:color w:val="auto"/>
                <w:szCs w:val="21"/>
                <w:highlight w:val="none"/>
              </w:rPr>
              <w:t>分）：施工平面布置和临时设施布置</w:t>
            </w:r>
            <w:r>
              <w:rPr>
                <w:rFonts w:hint="eastAsia" w:cs="宋体" w:asciiTheme="minorEastAsia" w:hAnsiTheme="minorEastAsia" w:eastAsiaTheme="minorEastAsia"/>
                <w:b w:val="0"/>
                <w:bCs/>
                <w:color w:val="auto"/>
                <w:szCs w:val="21"/>
                <w:highlight w:val="none"/>
                <w:lang w:eastAsia="zh-CN"/>
              </w:rPr>
              <w:t>欠缺</w:t>
            </w:r>
            <w:r>
              <w:rPr>
                <w:rFonts w:hint="eastAsia" w:cs="宋体" w:asciiTheme="minorEastAsia" w:hAnsiTheme="minorEastAsia" w:eastAsiaTheme="minorEastAsia"/>
                <w:b w:val="0"/>
                <w:bCs/>
                <w:color w:val="auto"/>
                <w:szCs w:val="21"/>
                <w:highlight w:val="none"/>
              </w:rPr>
              <w:t xml:space="preserve">合理性，基本符合本项目施工实际要求。    </w:t>
            </w:r>
          </w:p>
          <w:p w14:paraId="2F709216">
            <w:pPr>
              <w:adjustRightInd w:val="0"/>
              <w:spacing w:line="440" w:lineRule="exact"/>
              <w:jc w:val="left"/>
              <w:textAlignment w:val="baseline"/>
              <w:rPr>
                <w:rFonts w:hint="eastAsia" w:cs="宋体" w:asciiTheme="minorEastAsia" w:hAnsiTheme="minorEastAsia" w:eastAsiaTheme="minorEastAsia"/>
                <w:b w:val="0"/>
                <w:bCs/>
                <w:color w:val="auto"/>
                <w:szCs w:val="21"/>
                <w:highlight w:val="none"/>
              </w:rPr>
            </w:pPr>
            <w:r>
              <w:rPr>
                <w:rFonts w:hint="eastAsia" w:cs="宋体" w:asciiTheme="minorEastAsia" w:hAnsiTheme="minorEastAsia" w:eastAsiaTheme="minorEastAsia"/>
                <w:b w:val="0"/>
                <w:bCs/>
                <w:color w:val="auto"/>
                <w:szCs w:val="21"/>
                <w:highlight w:val="none"/>
              </w:rPr>
              <w:t>二档（</w:t>
            </w:r>
            <w:r>
              <w:rPr>
                <w:rFonts w:hint="eastAsia" w:cs="宋体" w:asciiTheme="minorEastAsia" w:hAnsiTheme="minorEastAsia" w:eastAsiaTheme="minorEastAsia"/>
                <w:b w:val="0"/>
                <w:bCs/>
                <w:color w:val="auto"/>
                <w:szCs w:val="21"/>
                <w:highlight w:val="none"/>
                <w:lang w:val="en-US" w:eastAsia="zh-CN"/>
              </w:rPr>
              <w:t>1</w:t>
            </w:r>
            <w:r>
              <w:rPr>
                <w:rFonts w:hint="eastAsia" w:cs="宋体" w:asciiTheme="minorEastAsia" w:hAnsiTheme="minorEastAsia" w:eastAsiaTheme="minorEastAsia"/>
                <w:b w:val="0"/>
                <w:bCs/>
                <w:color w:val="auto"/>
                <w:szCs w:val="21"/>
                <w:highlight w:val="none"/>
              </w:rPr>
              <w:t>分）：施工平面布置和临时设施布置有一定的合理性，符合本项目施工实际要求。</w:t>
            </w:r>
          </w:p>
          <w:p w14:paraId="22F57BE5">
            <w:pPr>
              <w:adjustRightInd w:val="0"/>
              <w:spacing w:line="440" w:lineRule="exact"/>
              <w:jc w:val="left"/>
              <w:textAlignment w:val="baseline"/>
              <w:rPr>
                <w:rFonts w:hint="eastAsia" w:cs="宋体" w:asciiTheme="minorEastAsia" w:hAnsiTheme="minorEastAsia" w:eastAsiaTheme="minorEastAsia"/>
                <w:b/>
                <w:color w:val="auto"/>
                <w:szCs w:val="21"/>
                <w:highlight w:val="none"/>
                <w:lang w:eastAsia="zh-CN"/>
              </w:rPr>
            </w:pPr>
            <w:r>
              <w:rPr>
                <w:rFonts w:hint="eastAsia" w:cs="宋体" w:asciiTheme="minorEastAsia" w:hAnsiTheme="minorEastAsia" w:eastAsiaTheme="minorEastAsia"/>
                <w:b w:val="0"/>
                <w:bCs/>
                <w:color w:val="auto"/>
                <w:szCs w:val="21"/>
                <w:highlight w:val="none"/>
              </w:rPr>
              <w:t>三档（</w:t>
            </w:r>
            <w:r>
              <w:rPr>
                <w:rFonts w:hint="eastAsia" w:cs="宋体" w:asciiTheme="minorEastAsia" w:hAnsiTheme="minorEastAsia" w:eastAsiaTheme="minorEastAsia"/>
                <w:b w:val="0"/>
                <w:bCs/>
                <w:color w:val="auto"/>
                <w:szCs w:val="21"/>
                <w:highlight w:val="none"/>
                <w:lang w:val="en-US" w:eastAsia="zh-CN"/>
              </w:rPr>
              <w:t>1.5</w:t>
            </w:r>
            <w:r>
              <w:rPr>
                <w:rFonts w:hint="eastAsia" w:cs="宋体" w:asciiTheme="minorEastAsia" w:hAnsiTheme="minorEastAsia" w:eastAsiaTheme="minorEastAsia"/>
                <w:b w:val="0"/>
                <w:bCs/>
                <w:color w:val="auto"/>
                <w:szCs w:val="21"/>
                <w:highlight w:val="none"/>
              </w:rPr>
              <w:t>分）：施工平面布置和临时设施布置合理，完全符合本项目施工实际要求。</w:t>
            </w:r>
          </w:p>
        </w:tc>
      </w:tr>
      <w:tr w14:paraId="359F2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76" w:type="dxa"/>
            <w:vMerge w:val="continue"/>
            <w:tcBorders>
              <w:top w:val="single" w:color="auto" w:sz="4" w:space="0"/>
              <w:left w:val="single" w:color="auto" w:sz="4" w:space="0"/>
              <w:bottom w:val="single" w:color="auto" w:sz="4" w:space="0"/>
              <w:right w:val="single" w:color="auto" w:sz="4" w:space="0"/>
            </w:tcBorders>
            <w:vAlign w:val="center"/>
          </w:tcPr>
          <w:p w14:paraId="47D7F996">
            <w:pPr>
              <w:widowControl/>
              <w:spacing w:line="440" w:lineRule="exact"/>
              <w:jc w:val="left"/>
              <w:rPr>
                <w:rFonts w:hint="eastAsia" w:cs="Tahoma" w:asciiTheme="majorEastAsia" w:hAnsiTheme="majorEastAsia" w:eastAsiaTheme="majorEastAsia"/>
                <w:color w:val="auto"/>
                <w:kern w:val="0"/>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58856007">
            <w:pPr>
              <w:adjustRightInd w:val="0"/>
              <w:spacing w:line="440" w:lineRule="exact"/>
              <w:jc w:val="center"/>
              <w:textAlignment w:val="baseline"/>
              <w:rPr>
                <w:rFonts w:hint="eastAsia" w:cs="宋体" w:asciiTheme="minorEastAsia" w:hAnsiTheme="minorEastAsia" w:eastAsiaTheme="minorEastAsia"/>
                <w:b w:val="0"/>
                <w:bCs/>
                <w:color w:val="auto"/>
                <w:szCs w:val="21"/>
                <w:highlight w:val="none"/>
              </w:rPr>
            </w:pPr>
            <w:r>
              <w:rPr>
                <w:rFonts w:hint="eastAsia" w:cs="宋体" w:asciiTheme="minorEastAsia" w:hAnsiTheme="minorEastAsia" w:eastAsiaTheme="minorEastAsia"/>
                <w:b w:val="0"/>
                <w:bCs/>
                <w:color w:val="auto"/>
                <w:szCs w:val="21"/>
                <w:highlight w:val="none"/>
              </w:rPr>
              <w:t>2.</w:t>
            </w:r>
            <w:r>
              <w:rPr>
                <w:rFonts w:hint="eastAsia" w:cs="宋体" w:asciiTheme="minorEastAsia" w:hAnsiTheme="minorEastAsia" w:eastAsiaTheme="minorEastAsia"/>
                <w:b w:val="0"/>
                <w:bCs/>
                <w:color w:val="auto"/>
                <w:szCs w:val="21"/>
                <w:highlight w:val="none"/>
                <w:lang w:val="en-US" w:eastAsia="zh-CN"/>
              </w:rPr>
              <w:t>9</w:t>
            </w:r>
            <w:r>
              <w:rPr>
                <w:rFonts w:hint="eastAsia" w:cs="宋体" w:asciiTheme="minorEastAsia" w:hAnsiTheme="minorEastAsia" w:eastAsiaTheme="minorEastAsia"/>
                <w:b w:val="0"/>
                <w:bCs/>
                <w:color w:val="auto"/>
                <w:szCs w:val="21"/>
                <w:highlight w:val="none"/>
                <w:lang w:eastAsia="zh-CN"/>
              </w:rPr>
              <w:t>主要设备</w:t>
            </w:r>
            <w:r>
              <w:rPr>
                <w:rFonts w:hint="eastAsia" w:cs="宋体" w:asciiTheme="minorEastAsia" w:hAnsiTheme="minorEastAsia" w:eastAsiaTheme="minorEastAsia"/>
                <w:b w:val="0"/>
                <w:bCs/>
                <w:color w:val="auto"/>
                <w:szCs w:val="21"/>
                <w:highlight w:val="none"/>
                <w:lang w:val="en-US" w:eastAsia="zh-CN"/>
              </w:rPr>
              <w:t>质保期</w:t>
            </w:r>
            <w:r>
              <w:rPr>
                <w:rFonts w:hint="eastAsia" w:cs="宋体" w:asciiTheme="minorEastAsia" w:hAnsiTheme="minorEastAsia" w:eastAsiaTheme="minorEastAsia"/>
                <w:b w:val="0"/>
                <w:bCs/>
                <w:color w:val="auto"/>
                <w:szCs w:val="21"/>
                <w:highlight w:val="none"/>
                <w:lang w:eastAsia="zh-CN"/>
              </w:rPr>
              <w:t>延长分</w:t>
            </w:r>
            <w:r>
              <w:rPr>
                <w:rFonts w:hint="eastAsia" w:cs="宋体" w:asciiTheme="minorEastAsia" w:hAnsiTheme="minorEastAsia" w:eastAsiaTheme="minorEastAsia"/>
                <w:b w:val="0"/>
                <w:bCs/>
                <w:color w:val="auto"/>
                <w:szCs w:val="21"/>
                <w:highlight w:val="none"/>
              </w:rPr>
              <w:t>（</w:t>
            </w:r>
            <w:r>
              <w:rPr>
                <w:rFonts w:hint="eastAsia" w:cs="宋体" w:asciiTheme="minorEastAsia" w:hAnsiTheme="minorEastAsia" w:eastAsiaTheme="minorEastAsia"/>
                <w:b w:val="0"/>
                <w:bCs/>
                <w:color w:val="auto"/>
                <w:szCs w:val="21"/>
                <w:highlight w:val="none"/>
                <w:lang w:val="en-US" w:eastAsia="zh-CN"/>
              </w:rPr>
              <w:t>4</w:t>
            </w:r>
            <w:r>
              <w:rPr>
                <w:rFonts w:hint="eastAsia" w:cs="宋体" w:asciiTheme="minorEastAsia" w:hAnsiTheme="minorEastAsia" w:eastAsiaTheme="minorEastAsia"/>
                <w:b w:val="0"/>
                <w:bCs/>
                <w:color w:val="auto"/>
                <w:szCs w:val="21"/>
                <w:highlight w:val="none"/>
              </w:rPr>
              <w:t>分）</w:t>
            </w:r>
          </w:p>
        </w:tc>
        <w:tc>
          <w:tcPr>
            <w:tcW w:w="6396" w:type="dxa"/>
            <w:tcBorders>
              <w:top w:val="single" w:color="auto" w:sz="4" w:space="0"/>
              <w:left w:val="single" w:color="auto" w:sz="4" w:space="0"/>
              <w:bottom w:val="single" w:color="auto" w:sz="4" w:space="0"/>
              <w:right w:val="single" w:color="auto" w:sz="4" w:space="0"/>
            </w:tcBorders>
            <w:vAlign w:val="center"/>
          </w:tcPr>
          <w:p w14:paraId="175EB7B5">
            <w:pPr>
              <w:adjustRightInd w:val="0"/>
              <w:spacing w:line="440" w:lineRule="exact"/>
              <w:jc w:val="left"/>
              <w:textAlignment w:val="baseline"/>
              <w:rPr>
                <w:rFonts w:hint="eastAsia" w:cs="宋体" w:asciiTheme="minorEastAsia" w:hAnsiTheme="minorEastAsia" w:eastAsiaTheme="minorEastAsia"/>
                <w:b w:val="0"/>
                <w:bCs/>
                <w:color w:val="auto"/>
                <w:szCs w:val="21"/>
                <w:highlight w:val="none"/>
              </w:rPr>
            </w:pPr>
            <w:r>
              <w:rPr>
                <w:rFonts w:hint="eastAsia" w:cs="宋体" w:asciiTheme="minorEastAsia" w:hAnsiTheme="minorEastAsia" w:eastAsiaTheme="minorEastAsia"/>
                <w:b w:val="0"/>
                <w:bCs/>
                <w:color w:val="auto"/>
                <w:szCs w:val="21"/>
                <w:highlight w:val="none"/>
                <w:lang w:eastAsia="zh-CN"/>
              </w:rPr>
              <w:t>供应商于</w:t>
            </w:r>
            <w:r>
              <w:rPr>
                <w:rFonts w:hint="eastAsia" w:ascii="宋体" w:hAnsi="宋体" w:eastAsia="宋体" w:cs="宋体"/>
                <w:b w:val="0"/>
                <w:bCs/>
                <w:color w:val="auto"/>
                <w:kern w:val="2"/>
                <w:sz w:val="21"/>
                <w:szCs w:val="21"/>
                <w:highlight w:val="none"/>
                <w:lang w:val="en-US" w:eastAsia="zh-CN"/>
              </w:rPr>
              <w:t>响应文件承诺的工程量清单“分部分项工程和单价措施项目费用表”中的第6、7、8、58、59、60、74~81、114、115项号所有设备器件的</w:t>
            </w:r>
            <w:r>
              <w:rPr>
                <w:rFonts w:hint="eastAsia" w:cs="宋体" w:asciiTheme="minorEastAsia" w:hAnsiTheme="minorEastAsia" w:eastAsiaTheme="minorEastAsia"/>
                <w:b w:val="0"/>
                <w:bCs/>
                <w:color w:val="auto"/>
                <w:szCs w:val="21"/>
                <w:highlight w:val="none"/>
                <w:lang w:val="en-US" w:eastAsia="zh-CN"/>
              </w:rPr>
              <w:t>质保期</w:t>
            </w:r>
            <w:r>
              <w:rPr>
                <w:rFonts w:hint="eastAsia" w:ascii="宋体" w:hAnsi="宋体" w:eastAsia="宋体" w:cs="宋体"/>
                <w:b w:val="0"/>
                <w:bCs/>
                <w:color w:val="auto"/>
                <w:kern w:val="2"/>
                <w:sz w:val="21"/>
                <w:szCs w:val="21"/>
                <w:highlight w:val="none"/>
                <w:lang w:val="en-US" w:eastAsia="zh-CN"/>
              </w:rPr>
              <w:t>在满足</w:t>
            </w:r>
            <w:r>
              <w:rPr>
                <w:rFonts w:hint="eastAsia" w:ascii="宋体" w:hAnsi="宋体" w:cs="宋体"/>
                <w:b w:val="0"/>
                <w:bCs/>
                <w:color w:val="auto"/>
                <w:kern w:val="2"/>
                <w:sz w:val="21"/>
                <w:szCs w:val="21"/>
                <w:highlight w:val="none"/>
                <w:lang w:val="en-US" w:eastAsia="zh-CN"/>
              </w:rPr>
              <w:t>质保期</w:t>
            </w:r>
            <w:r>
              <w:rPr>
                <w:rFonts w:hint="eastAsia" w:ascii="宋体" w:hAnsi="宋体" w:eastAsia="宋体" w:cs="宋体"/>
                <w:b w:val="0"/>
                <w:bCs/>
                <w:color w:val="auto"/>
                <w:kern w:val="2"/>
                <w:sz w:val="21"/>
                <w:szCs w:val="21"/>
                <w:highlight w:val="none"/>
                <w:lang w:val="en-US" w:eastAsia="zh-CN"/>
              </w:rPr>
              <w:t>（2年）要求的基础上，每增加1年，得2分【以上部分设备器件的</w:t>
            </w:r>
            <w:r>
              <w:rPr>
                <w:rFonts w:hint="eastAsia" w:cs="宋体" w:asciiTheme="minorEastAsia" w:hAnsiTheme="minorEastAsia" w:eastAsiaTheme="minorEastAsia"/>
                <w:b w:val="0"/>
                <w:bCs/>
                <w:color w:val="auto"/>
                <w:szCs w:val="21"/>
                <w:highlight w:val="none"/>
                <w:lang w:val="en-US" w:eastAsia="zh-CN"/>
              </w:rPr>
              <w:t>质保期</w:t>
            </w:r>
            <w:r>
              <w:rPr>
                <w:rFonts w:hint="eastAsia" w:ascii="宋体" w:hAnsi="宋体" w:eastAsia="宋体" w:cs="宋体"/>
                <w:b w:val="0"/>
                <w:bCs/>
                <w:color w:val="auto"/>
                <w:kern w:val="2"/>
                <w:sz w:val="21"/>
                <w:szCs w:val="21"/>
                <w:highlight w:val="none"/>
                <w:lang w:val="en-US" w:eastAsia="zh-CN"/>
              </w:rPr>
              <w:t>延长的，按延长</w:t>
            </w:r>
            <w:r>
              <w:rPr>
                <w:rFonts w:hint="eastAsia" w:cs="宋体" w:asciiTheme="minorEastAsia" w:hAnsiTheme="minorEastAsia" w:eastAsiaTheme="minorEastAsia"/>
                <w:b w:val="0"/>
                <w:bCs/>
                <w:color w:val="auto"/>
                <w:szCs w:val="21"/>
                <w:highlight w:val="none"/>
                <w:lang w:val="en-US" w:eastAsia="zh-CN"/>
              </w:rPr>
              <w:t>质保期</w:t>
            </w:r>
            <w:r>
              <w:rPr>
                <w:rFonts w:hint="eastAsia" w:ascii="宋体" w:hAnsi="宋体" w:eastAsia="宋体" w:cs="宋体"/>
                <w:b w:val="0"/>
                <w:bCs/>
                <w:color w:val="auto"/>
                <w:kern w:val="2"/>
                <w:sz w:val="21"/>
                <w:szCs w:val="21"/>
                <w:highlight w:val="none"/>
                <w:lang w:val="en-US" w:eastAsia="zh-CN"/>
              </w:rPr>
              <w:t>项号的综合单价占“分部分项工程和单价措施项目费用表”中的第6、7、8、58、59、60、74~81、114、115项号所有设备器件综合单价合计金额比例进行打分（即：延长</w:t>
            </w:r>
            <w:r>
              <w:rPr>
                <w:rFonts w:hint="eastAsia" w:cs="宋体" w:asciiTheme="minorEastAsia" w:hAnsiTheme="minorEastAsia" w:eastAsiaTheme="minorEastAsia"/>
                <w:b w:val="0"/>
                <w:bCs/>
                <w:color w:val="auto"/>
                <w:szCs w:val="21"/>
                <w:highlight w:val="none"/>
                <w:lang w:val="en-US" w:eastAsia="zh-CN"/>
              </w:rPr>
              <w:t>质保期</w:t>
            </w:r>
            <w:r>
              <w:rPr>
                <w:rFonts w:hint="eastAsia" w:ascii="宋体" w:hAnsi="宋体" w:eastAsia="宋体" w:cs="宋体"/>
                <w:b w:val="0"/>
                <w:bCs/>
                <w:color w:val="auto"/>
                <w:kern w:val="2"/>
                <w:sz w:val="21"/>
                <w:szCs w:val="21"/>
                <w:highlight w:val="none"/>
                <w:lang w:val="en-US" w:eastAsia="zh-CN"/>
              </w:rPr>
              <w:t>项的综合单价/上述项综合单价合计）×2分】</w:t>
            </w:r>
            <w:r>
              <w:rPr>
                <w:rFonts w:hint="eastAsia" w:cs="宋体" w:asciiTheme="minorEastAsia" w:hAnsiTheme="minorEastAsia" w:eastAsiaTheme="minorEastAsia"/>
                <w:b w:val="0"/>
                <w:bCs/>
                <w:color w:val="auto"/>
                <w:szCs w:val="21"/>
                <w:highlight w:val="none"/>
                <w:lang w:val="en-US" w:eastAsia="zh-CN"/>
              </w:rPr>
              <w:t>，最多得4分</w:t>
            </w:r>
            <w:r>
              <w:rPr>
                <w:rFonts w:hint="eastAsia" w:cs="宋体" w:asciiTheme="minorEastAsia" w:hAnsiTheme="minorEastAsia" w:eastAsiaTheme="minorEastAsia"/>
                <w:b w:val="0"/>
                <w:bCs/>
                <w:color w:val="auto"/>
                <w:szCs w:val="21"/>
                <w:highlight w:val="none"/>
              </w:rPr>
              <w:t>。</w:t>
            </w:r>
          </w:p>
        </w:tc>
      </w:tr>
      <w:tr w14:paraId="29B18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76" w:type="dxa"/>
            <w:vMerge w:val="restart"/>
            <w:tcBorders>
              <w:top w:val="single" w:color="auto" w:sz="4" w:space="0"/>
              <w:left w:val="single" w:color="auto" w:sz="4" w:space="0"/>
              <w:bottom w:val="single" w:color="auto" w:sz="4" w:space="0"/>
              <w:right w:val="single" w:color="auto" w:sz="4" w:space="0"/>
            </w:tcBorders>
            <w:vAlign w:val="center"/>
          </w:tcPr>
          <w:p w14:paraId="0D103F01">
            <w:pPr>
              <w:widowControl/>
              <w:spacing w:line="440" w:lineRule="exact"/>
              <w:jc w:val="center"/>
              <w:rPr>
                <w:rFonts w:hint="eastAsia" w:cs="Tahoma" w:asciiTheme="majorEastAsia" w:hAnsiTheme="majorEastAsia" w:eastAsiaTheme="majorEastAsia"/>
                <w:color w:val="auto"/>
                <w:kern w:val="0"/>
                <w:szCs w:val="21"/>
                <w:highlight w:val="none"/>
              </w:rPr>
            </w:pPr>
            <w:r>
              <w:rPr>
                <w:rFonts w:hint="eastAsia" w:cs="Tahoma" w:asciiTheme="majorEastAsia" w:hAnsiTheme="majorEastAsia" w:eastAsiaTheme="majorEastAsia"/>
                <w:color w:val="auto"/>
                <w:kern w:val="0"/>
                <w:szCs w:val="21"/>
                <w:highlight w:val="none"/>
              </w:rPr>
              <w:t>3</w:t>
            </w:r>
          </w:p>
        </w:tc>
        <w:tc>
          <w:tcPr>
            <w:tcW w:w="1701" w:type="dxa"/>
            <w:tcBorders>
              <w:top w:val="single" w:color="auto" w:sz="4" w:space="0"/>
              <w:left w:val="single" w:color="auto" w:sz="4" w:space="0"/>
              <w:bottom w:val="single" w:color="auto" w:sz="4" w:space="0"/>
              <w:right w:val="single" w:color="auto" w:sz="4" w:space="0"/>
            </w:tcBorders>
            <w:vAlign w:val="center"/>
          </w:tcPr>
          <w:p w14:paraId="2D852B33">
            <w:pPr>
              <w:widowControl/>
              <w:spacing w:line="440" w:lineRule="exact"/>
              <w:jc w:val="center"/>
              <w:rPr>
                <w:rFonts w:hint="eastAsia" w:cs="Courier New" w:asciiTheme="majorEastAsia" w:hAnsiTheme="majorEastAsia" w:eastAsiaTheme="majorEastAsia"/>
                <w:bCs/>
                <w:color w:val="auto"/>
                <w:szCs w:val="21"/>
                <w:highlight w:val="none"/>
              </w:rPr>
            </w:pPr>
            <w:r>
              <w:rPr>
                <w:rFonts w:hint="eastAsia" w:cs="Courier New" w:asciiTheme="majorEastAsia" w:hAnsiTheme="majorEastAsia" w:eastAsiaTheme="majorEastAsia"/>
                <w:bCs/>
                <w:color w:val="auto"/>
                <w:szCs w:val="21"/>
                <w:highlight w:val="none"/>
              </w:rPr>
              <w:t>商务分</w:t>
            </w:r>
          </w:p>
          <w:p w14:paraId="434DBCD7">
            <w:pPr>
              <w:widowControl/>
              <w:spacing w:line="440" w:lineRule="exact"/>
              <w:jc w:val="center"/>
              <w:rPr>
                <w:rFonts w:hint="eastAsia" w:cs="Courier New" w:asciiTheme="majorEastAsia" w:hAnsiTheme="majorEastAsia" w:eastAsiaTheme="majorEastAsia"/>
                <w:bCs/>
                <w:color w:val="auto"/>
                <w:szCs w:val="21"/>
                <w:highlight w:val="none"/>
              </w:rPr>
            </w:pPr>
            <w:r>
              <w:rPr>
                <w:rFonts w:hint="eastAsia" w:cs="Courier New" w:asciiTheme="majorEastAsia" w:hAnsiTheme="majorEastAsia" w:eastAsiaTheme="majorEastAsia"/>
                <w:bCs/>
                <w:color w:val="auto"/>
                <w:szCs w:val="21"/>
                <w:highlight w:val="none"/>
              </w:rPr>
              <w:t>（</w:t>
            </w:r>
            <w:r>
              <w:rPr>
                <w:rFonts w:hint="eastAsia" w:cs="Courier New" w:asciiTheme="majorEastAsia" w:hAnsiTheme="majorEastAsia" w:eastAsiaTheme="majorEastAsia"/>
                <w:bCs/>
                <w:color w:val="auto"/>
                <w:szCs w:val="21"/>
                <w:highlight w:val="none"/>
                <w:lang w:val="en-US" w:eastAsia="zh-CN"/>
              </w:rPr>
              <w:t>30</w:t>
            </w:r>
            <w:r>
              <w:rPr>
                <w:rFonts w:hint="eastAsia" w:cs="Courier New" w:asciiTheme="majorEastAsia" w:hAnsiTheme="majorEastAsia" w:eastAsiaTheme="majorEastAsia"/>
                <w:bCs/>
                <w:color w:val="auto"/>
                <w:szCs w:val="21"/>
                <w:highlight w:val="none"/>
              </w:rPr>
              <w:t>分）</w:t>
            </w:r>
          </w:p>
        </w:tc>
        <w:tc>
          <w:tcPr>
            <w:tcW w:w="6396" w:type="dxa"/>
            <w:tcBorders>
              <w:top w:val="single" w:color="auto" w:sz="4" w:space="0"/>
              <w:left w:val="single" w:color="auto" w:sz="4" w:space="0"/>
              <w:bottom w:val="single" w:color="auto" w:sz="4" w:space="0"/>
              <w:right w:val="single" w:color="auto" w:sz="4" w:space="0"/>
            </w:tcBorders>
            <w:vAlign w:val="center"/>
          </w:tcPr>
          <w:p w14:paraId="185255C8">
            <w:pPr>
              <w:widowControl/>
              <w:spacing w:line="440" w:lineRule="exact"/>
              <w:jc w:val="center"/>
              <w:rPr>
                <w:rFonts w:hint="eastAsia" w:cs="Tahoma" w:asciiTheme="majorEastAsia" w:hAnsiTheme="majorEastAsia" w:eastAsiaTheme="majorEastAsia"/>
                <w:color w:val="auto"/>
                <w:kern w:val="0"/>
                <w:szCs w:val="21"/>
                <w:highlight w:val="none"/>
              </w:rPr>
            </w:pPr>
            <w:r>
              <w:rPr>
                <w:rFonts w:hint="eastAsia" w:cs="Tahoma" w:asciiTheme="majorEastAsia" w:hAnsiTheme="majorEastAsia" w:eastAsiaTheme="majorEastAsia"/>
                <w:color w:val="auto"/>
                <w:kern w:val="0"/>
                <w:szCs w:val="21"/>
                <w:highlight w:val="none"/>
              </w:rPr>
              <w:t>评审标准</w:t>
            </w:r>
          </w:p>
        </w:tc>
      </w:tr>
      <w:tr w14:paraId="2E695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776" w:type="dxa"/>
            <w:vMerge w:val="continue"/>
            <w:tcBorders>
              <w:top w:val="single" w:color="auto" w:sz="4" w:space="0"/>
              <w:left w:val="single" w:color="auto" w:sz="4" w:space="0"/>
              <w:bottom w:val="single" w:color="auto" w:sz="4" w:space="0"/>
              <w:right w:val="single" w:color="auto" w:sz="4" w:space="0"/>
            </w:tcBorders>
            <w:vAlign w:val="center"/>
          </w:tcPr>
          <w:p w14:paraId="1B6EE3CD">
            <w:pPr>
              <w:widowControl/>
              <w:spacing w:line="440" w:lineRule="exact"/>
              <w:jc w:val="left"/>
              <w:rPr>
                <w:rFonts w:hint="eastAsia" w:cs="Tahoma" w:asciiTheme="majorEastAsia" w:hAnsiTheme="majorEastAsia" w:eastAsiaTheme="majorEastAsia"/>
                <w:color w:val="auto"/>
                <w:kern w:val="0"/>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52716662">
            <w:pPr>
              <w:widowControl/>
              <w:spacing w:line="440" w:lineRule="exact"/>
              <w:jc w:val="center"/>
              <w:rPr>
                <w:rFonts w:hint="eastAsia" w:asciiTheme="majorEastAsia" w:hAnsiTheme="majorEastAsia" w:eastAsiaTheme="majorEastAsia"/>
                <w:color w:val="auto"/>
                <w:kern w:val="0"/>
                <w:szCs w:val="21"/>
                <w:highlight w:val="none"/>
              </w:rPr>
            </w:pPr>
            <w:r>
              <w:rPr>
                <w:rFonts w:hint="eastAsia" w:cs="Tahoma" w:asciiTheme="majorEastAsia" w:hAnsiTheme="majorEastAsia" w:eastAsiaTheme="majorEastAsia"/>
                <w:color w:val="auto"/>
                <w:kern w:val="0"/>
                <w:szCs w:val="21"/>
                <w:highlight w:val="none"/>
              </w:rPr>
              <w:t>3.1</w:t>
            </w:r>
            <w:r>
              <w:rPr>
                <w:rFonts w:hint="eastAsia" w:asciiTheme="majorEastAsia" w:hAnsiTheme="majorEastAsia" w:eastAsiaTheme="majorEastAsia"/>
                <w:color w:val="auto"/>
                <w:kern w:val="0"/>
                <w:szCs w:val="21"/>
                <w:highlight w:val="none"/>
              </w:rPr>
              <w:t>项目管理机构分</w:t>
            </w:r>
          </w:p>
          <w:p w14:paraId="0825FB3B">
            <w:pPr>
              <w:widowControl/>
              <w:spacing w:line="440" w:lineRule="exact"/>
              <w:jc w:val="center"/>
              <w:rPr>
                <w:rFonts w:hint="eastAsia" w:cs="Tahoma" w:asciiTheme="majorEastAsia" w:hAnsiTheme="majorEastAsia" w:eastAsiaTheme="majorEastAsia"/>
                <w:color w:val="auto"/>
                <w:kern w:val="0"/>
                <w:szCs w:val="21"/>
                <w:highlight w:val="none"/>
              </w:rPr>
            </w:pPr>
            <w:r>
              <w:rPr>
                <w:rFonts w:hint="eastAsia" w:asciiTheme="majorEastAsia" w:hAnsiTheme="majorEastAsia" w:eastAsiaTheme="majorEastAsia"/>
                <w:color w:val="auto"/>
                <w:kern w:val="0"/>
                <w:szCs w:val="21"/>
                <w:highlight w:val="none"/>
              </w:rPr>
              <w:t>（</w:t>
            </w:r>
            <w:r>
              <w:rPr>
                <w:rFonts w:hint="eastAsia" w:asciiTheme="majorEastAsia" w:hAnsiTheme="majorEastAsia" w:eastAsiaTheme="majorEastAsia"/>
                <w:color w:val="auto"/>
                <w:kern w:val="0"/>
                <w:szCs w:val="21"/>
                <w:highlight w:val="none"/>
                <w:lang w:val="en-US" w:eastAsia="zh-CN"/>
              </w:rPr>
              <w:t>8</w:t>
            </w:r>
            <w:r>
              <w:rPr>
                <w:rFonts w:hint="eastAsia" w:asciiTheme="majorEastAsia" w:hAnsiTheme="majorEastAsia" w:eastAsiaTheme="majorEastAsia"/>
                <w:color w:val="auto"/>
                <w:kern w:val="0"/>
                <w:szCs w:val="21"/>
                <w:highlight w:val="none"/>
              </w:rPr>
              <w:t>分）</w:t>
            </w:r>
          </w:p>
        </w:tc>
        <w:tc>
          <w:tcPr>
            <w:tcW w:w="6396" w:type="dxa"/>
            <w:tcBorders>
              <w:top w:val="single" w:color="auto" w:sz="4" w:space="0"/>
              <w:left w:val="single" w:color="auto" w:sz="4" w:space="0"/>
              <w:bottom w:val="single" w:color="auto" w:sz="4" w:space="0"/>
              <w:right w:val="single" w:color="auto" w:sz="4" w:space="0"/>
            </w:tcBorders>
          </w:tcPr>
          <w:p w14:paraId="3423AC0C">
            <w:pPr>
              <w:spacing w:line="400" w:lineRule="exact"/>
              <w:ind w:firstLine="420" w:firstLineChars="200"/>
              <w:jc w:val="left"/>
              <w:rPr>
                <w:rFonts w:hint="eastAsia" w:cs="宋体" w:asciiTheme="minorEastAsia" w:hAnsiTheme="minorEastAsia" w:eastAsiaTheme="minorEastAsia"/>
                <w:color w:val="auto"/>
                <w:szCs w:val="21"/>
                <w:highlight w:val="none"/>
              </w:rPr>
            </w:pPr>
            <w:r>
              <w:rPr>
                <w:rFonts w:hint="eastAsia" w:asciiTheme="majorEastAsia" w:hAnsiTheme="majorEastAsia" w:eastAsiaTheme="majorEastAsia"/>
                <w:color w:val="auto"/>
                <w:kern w:val="0"/>
                <w:szCs w:val="21"/>
                <w:highlight w:val="none"/>
              </w:rPr>
              <w:t>供</w:t>
            </w:r>
            <w:r>
              <w:rPr>
                <w:rFonts w:hint="eastAsia" w:cs="宋体" w:asciiTheme="minorEastAsia" w:hAnsiTheme="minorEastAsia" w:eastAsiaTheme="minorEastAsia"/>
                <w:color w:val="auto"/>
                <w:szCs w:val="21"/>
                <w:highlight w:val="none"/>
              </w:rPr>
              <w:t>应商拟派本项目的项目管理机构人员在满足第三章“采购需求”“（一）项目管理机构人员”中“配备要求”的基础上，按以下情形计分：</w:t>
            </w:r>
          </w:p>
          <w:p w14:paraId="36BDEF4E">
            <w:pPr>
              <w:spacing w:line="400" w:lineRule="exact"/>
              <w:jc w:val="left"/>
              <w:rPr>
                <w:rFonts w:hint="default" w:cs="宋体" w:asciiTheme="minorEastAsia" w:hAnsiTheme="minorEastAsia" w:eastAsiaTheme="minorEastAsia"/>
                <w:color w:val="auto"/>
                <w:szCs w:val="21"/>
                <w:highlight w:val="none"/>
                <w:lang w:val="en-US" w:eastAsia="zh-CN"/>
              </w:rPr>
            </w:pPr>
            <w:r>
              <w:rPr>
                <w:rFonts w:hint="eastAsia" w:cs="宋体" w:asciiTheme="minorEastAsia" w:hAnsiTheme="minorEastAsia" w:eastAsiaTheme="minorEastAsia"/>
                <w:color w:val="auto"/>
                <w:szCs w:val="21"/>
                <w:highlight w:val="none"/>
                <w:lang w:eastAsia="zh-CN"/>
              </w:rPr>
              <w:t>（</w:t>
            </w:r>
            <w:r>
              <w:rPr>
                <w:rFonts w:hint="eastAsia" w:cs="宋体" w:asciiTheme="minorEastAsia" w:hAnsiTheme="minorEastAsia" w:eastAsiaTheme="minorEastAsia"/>
                <w:color w:val="auto"/>
                <w:szCs w:val="21"/>
                <w:highlight w:val="none"/>
                <w:lang w:val="en-US" w:eastAsia="zh-CN"/>
              </w:rPr>
              <w:t>1</w:t>
            </w:r>
            <w:r>
              <w:rPr>
                <w:rFonts w:hint="eastAsia" w:cs="宋体" w:asciiTheme="minorEastAsia" w:hAnsiTheme="minorEastAsia" w:eastAsiaTheme="minorEastAsia"/>
                <w:color w:val="auto"/>
                <w:szCs w:val="21"/>
                <w:highlight w:val="none"/>
                <w:lang w:eastAsia="zh-CN"/>
              </w:rPr>
              <w:t>）</w:t>
            </w:r>
            <w:r>
              <w:rPr>
                <w:rFonts w:hint="eastAsia" w:cs="宋体" w:asciiTheme="minorEastAsia" w:hAnsiTheme="minorEastAsia" w:eastAsiaTheme="minorEastAsia"/>
                <w:color w:val="auto"/>
                <w:szCs w:val="21"/>
                <w:highlight w:val="none"/>
                <w:lang w:val="en-US" w:eastAsia="zh-CN"/>
              </w:rPr>
              <w:t>项目经理（3分）</w:t>
            </w:r>
          </w:p>
          <w:p w14:paraId="7BC2AA2C">
            <w:pPr>
              <w:spacing w:line="400" w:lineRule="exact"/>
              <w:ind w:firstLine="420" w:firstLineChars="200"/>
              <w:jc w:val="left"/>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供应商拟派本项目的项目经理具有</w:t>
            </w:r>
            <w:r>
              <w:rPr>
                <w:rFonts w:hint="eastAsia" w:cs="宋体" w:asciiTheme="minorEastAsia" w:hAnsiTheme="minorEastAsia" w:eastAsiaTheme="minorEastAsia"/>
                <w:color w:val="auto"/>
                <w:szCs w:val="21"/>
                <w:highlight w:val="none"/>
                <w:lang w:eastAsia="zh-CN"/>
              </w:rPr>
              <w:t>与本项目相关的</w:t>
            </w:r>
            <w:r>
              <w:rPr>
                <w:rFonts w:hint="eastAsia"/>
                <w:color w:val="auto"/>
                <w:highlight w:val="none"/>
              </w:rPr>
              <w:t>电气</w:t>
            </w:r>
            <w:r>
              <w:rPr>
                <w:rFonts w:hint="eastAsia"/>
                <w:color w:val="auto"/>
                <w:highlight w:val="none"/>
                <w:lang w:val="en-US" w:eastAsia="zh-CN"/>
              </w:rPr>
              <w:t>类</w:t>
            </w:r>
            <w:r>
              <w:rPr>
                <w:rFonts w:hint="eastAsia" w:cs="宋体" w:asciiTheme="minorEastAsia" w:hAnsiTheme="minorEastAsia" w:eastAsiaTheme="minorEastAsia"/>
                <w:color w:val="auto"/>
                <w:szCs w:val="21"/>
                <w:highlight w:val="none"/>
                <w:lang w:val="en-US" w:eastAsia="zh-CN"/>
              </w:rPr>
              <w:t>或</w:t>
            </w:r>
            <w:r>
              <w:rPr>
                <w:rFonts w:hint="eastAsia" w:cs="宋体" w:asciiTheme="minorEastAsia" w:hAnsiTheme="minorEastAsia" w:eastAsiaTheme="minorEastAsia"/>
                <w:color w:val="auto"/>
                <w:szCs w:val="21"/>
                <w:highlight w:val="none"/>
              </w:rPr>
              <w:t>电力工程专业职称的，</w:t>
            </w:r>
            <w:r>
              <w:rPr>
                <w:rFonts w:hint="eastAsia" w:cs="宋体" w:asciiTheme="minorEastAsia" w:hAnsiTheme="minorEastAsia" w:eastAsiaTheme="minorEastAsia"/>
                <w:color w:val="auto"/>
                <w:szCs w:val="21"/>
                <w:highlight w:val="none"/>
                <w:lang w:eastAsia="zh-CN"/>
              </w:rPr>
              <w:t>初级职称的，</w:t>
            </w:r>
            <w:r>
              <w:rPr>
                <w:rFonts w:hint="eastAsia" w:cs="宋体" w:asciiTheme="minorEastAsia" w:hAnsiTheme="minorEastAsia" w:eastAsiaTheme="minorEastAsia"/>
                <w:color w:val="auto"/>
                <w:szCs w:val="21"/>
                <w:highlight w:val="none"/>
              </w:rPr>
              <w:t>得1分；中级职称的，得2分</w:t>
            </w:r>
            <w:r>
              <w:rPr>
                <w:rFonts w:hint="eastAsia" w:cs="宋体" w:asciiTheme="minorEastAsia" w:hAnsiTheme="minorEastAsia" w:eastAsiaTheme="minorEastAsia"/>
                <w:color w:val="auto"/>
                <w:szCs w:val="21"/>
                <w:highlight w:val="none"/>
                <w:lang w:eastAsia="zh-CN"/>
              </w:rPr>
              <w:t>；高</w:t>
            </w:r>
            <w:r>
              <w:rPr>
                <w:rFonts w:hint="eastAsia" w:cs="宋体" w:asciiTheme="minorEastAsia" w:hAnsiTheme="minorEastAsia" w:eastAsiaTheme="minorEastAsia"/>
                <w:color w:val="auto"/>
                <w:szCs w:val="21"/>
                <w:highlight w:val="none"/>
              </w:rPr>
              <w:t>级职称的，得</w:t>
            </w:r>
            <w:r>
              <w:rPr>
                <w:rFonts w:hint="eastAsia" w:cs="宋体" w:asciiTheme="minorEastAsia" w:hAnsiTheme="minorEastAsia" w:eastAsiaTheme="minorEastAsia"/>
                <w:color w:val="auto"/>
                <w:szCs w:val="21"/>
                <w:highlight w:val="none"/>
                <w:lang w:val="en-US" w:eastAsia="zh-CN"/>
              </w:rPr>
              <w:t>3</w:t>
            </w:r>
            <w:r>
              <w:rPr>
                <w:rFonts w:hint="eastAsia" w:cs="宋体" w:asciiTheme="minorEastAsia" w:hAnsiTheme="minorEastAsia" w:eastAsiaTheme="minorEastAsia"/>
                <w:color w:val="auto"/>
                <w:szCs w:val="21"/>
                <w:highlight w:val="none"/>
              </w:rPr>
              <w:t>分，</w:t>
            </w:r>
            <w:r>
              <w:rPr>
                <w:rFonts w:hint="eastAsia" w:cs="宋体" w:asciiTheme="minorEastAsia" w:hAnsiTheme="minorEastAsia" w:eastAsiaTheme="minorEastAsia"/>
                <w:color w:val="auto"/>
                <w:szCs w:val="21"/>
                <w:highlight w:val="none"/>
                <w:lang w:eastAsia="zh-CN"/>
              </w:rPr>
              <w:t>本项</w:t>
            </w:r>
            <w:r>
              <w:rPr>
                <w:rFonts w:hint="eastAsia" w:cs="宋体" w:asciiTheme="minorEastAsia" w:hAnsiTheme="minorEastAsia" w:eastAsiaTheme="minorEastAsia"/>
                <w:color w:val="auto"/>
                <w:szCs w:val="21"/>
                <w:highlight w:val="none"/>
              </w:rPr>
              <w:t>最多得</w:t>
            </w:r>
            <w:r>
              <w:rPr>
                <w:rFonts w:hint="eastAsia" w:cs="宋体" w:asciiTheme="minorEastAsia" w:hAnsiTheme="minorEastAsia" w:eastAsiaTheme="minorEastAsia"/>
                <w:color w:val="auto"/>
                <w:szCs w:val="21"/>
                <w:highlight w:val="none"/>
                <w:lang w:val="en-US" w:eastAsia="zh-CN"/>
              </w:rPr>
              <w:t>3</w:t>
            </w:r>
            <w:r>
              <w:rPr>
                <w:rFonts w:hint="eastAsia" w:cs="宋体" w:asciiTheme="minorEastAsia" w:hAnsiTheme="minorEastAsia" w:eastAsiaTheme="minorEastAsia"/>
                <w:color w:val="auto"/>
                <w:szCs w:val="21"/>
                <w:highlight w:val="none"/>
              </w:rPr>
              <w:t>分</w:t>
            </w:r>
            <w:r>
              <w:rPr>
                <w:rFonts w:hint="eastAsia" w:cs="宋体" w:asciiTheme="minorEastAsia" w:hAnsiTheme="minorEastAsia" w:eastAsiaTheme="minorEastAsia"/>
                <w:color w:val="auto"/>
                <w:szCs w:val="21"/>
                <w:highlight w:val="none"/>
                <w:lang w:val="en-US" w:eastAsia="zh-CN"/>
              </w:rPr>
              <w:t>（响应文件中提供相应职称证书复印件，加盖供应商电子签章，否则不予认可）</w:t>
            </w:r>
            <w:r>
              <w:rPr>
                <w:rFonts w:hint="eastAsia" w:cs="宋体" w:asciiTheme="minorEastAsia" w:hAnsiTheme="minorEastAsia" w:eastAsiaTheme="minorEastAsia"/>
                <w:color w:val="auto"/>
                <w:szCs w:val="21"/>
                <w:highlight w:val="none"/>
              </w:rPr>
              <w:t>；</w:t>
            </w:r>
          </w:p>
          <w:p w14:paraId="713B2249">
            <w:pPr>
              <w:spacing w:line="400" w:lineRule="exact"/>
              <w:jc w:val="left"/>
              <w:rPr>
                <w:rFonts w:hint="eastAsia" w:cs="宋体" w:asciiTheme="minorEastAsia" w:hAnsiTheme="minorEastAsia" w:eastAsiaTheme="minorEastAsia"/>
                <w:color w:val="auto"/>
                <w:szCs w:val="21"/>
                <w:highlight w:val="none"/>
                <w:lang w:eastAsia="zh-CN"/>
              </w:rPr>
            </w:pPr>
            <w:r>
              <w:rPr>
                <w:rFonts w:hint="eastAsia" w:cs="宋体" w:asciiTheme="minorEastAsia" w:hAnsiTheme="minorEastAsia" w:eastAsiaTheme="minorEastAsia"/>
                <w:color w:val="auto"/>
                <w:szCs w:val="21"/>
                <w:highlight w:val="none"/>
                <w:lang w:eastAsia="zh-CN"/>
              </w:rPr>
              <w:t>（</w:t>
            </w:r>
            <w:r>
              <w:rPr>
                <w:rFonts w:hint="eastAsia" w:cs="宋体" w:asciiTheme="minorEastAsia" w:hAnsiTheme="minorEastAsia" w:eastAsiaTheme="minorEastAsia"/>
                <w:color w:val="auto"/>
                <w:szCs w:val="21"/>
                <w:highlight w:val="none"/>
                <w:lang w:val="en-US" w:eastAsia="zh-CN"/>
              </w:rPr>
              <w:t>2</w:t>
            </w:r>
            <w:r>
              <w:rPr>
                <w:rFonts w:hint="eastAsia" w:cs="宋体" w:asciiTheme="minorEastAsia" w:hAnsiTheme="minorEastAsia" w:eastAsiaTheme="minorEastAsia"/>
                <w:color w:val="auto"/>
                <w:szCs w:val="21"/>
                <w:highlight w:val="none"/>
                <w:lang w:eastAsia="zh-CN"/>
              </w:rPr>
              <w:t>）</w:t>
            </w:r>
            <w:r>
              <w:rPr>
                <w:rFonts w:hint="eastAsia" w:cs="宋体" w:asciiTheme="minorEastAsia" w:hAnsiTheme="minorEastAsia" w:eastAsiaTheme="minorEastAsia"/>
                <w:color w:val="auto"/>
                <w:szCs w:val="21"/>
                <w:highlight w:val="none"/>
              </w:rPr>
              <w:t>造价工程师</w:t>
            </w:r>
            <w:r>
              <w:rPr>
                <w:rFonts w:hint="eastAsia" w:cs="宋体" w:asciiTheme="minorEastAsia" w:hAnsiTheme="minorEastAsia" w:eastAsiaTheme="minorEastAsia"/>
                <w:color w:val="auto"/>
                <w:szCs w:val="21"/>
                <w:highlight w:val="none"/>
                <w:lang w:eastAsia="zh-CN"/>
              </w:rPr>
              <w:t>（</w:t>
            </w:r>
            <w:r>
              <w:rPr>
                <w:rFonts w:hint="eastAsia" w:cs="宋体" w:asciiTheme="minorEastAsia" w:hAnsiTheme="minorEastAsia" w:eastAsiaTheme="minorEastAsia"/>
                <w:color w:val="auto"/>
                <w:szCs w:val="21"/>
                <w:highlight w:val="none"/>
                <w:lang w:val="en-US" w:eastAsia="zh-CN"/>
              </w:rPr>
              <w:t>5分</w:t>
            </w:r>
            <w:r>
              <w:rPr>
                <w:rFonts w:hint="eastAsia" w:cs="宋体" w:asciiTheme="minorEastAsia" w:hAnsiTheme="minorEastAsia" w:eastAsiaTheme="minorEastAsia"/>
                <w:color w:val="auto"/>
                <w:szCs w:val="21"/>
                <w:highlight w:val="none"/>
                <w:lang w:eastAsia="zh-CN"/>
              </w:rPr>
              <w:t>）</w:t>
            </w:r>
          </w:p>
          <w:p w14:paraId="07A87364">
            <w:pPr>
              <w:spacing w:line="400" w:lineRule="exact"/>
              <w:ind w:firstLine="420" w:firstLineChars="200"/>
              <w:jc w:val="left"/>
              <w:rPr>
                <w:rFonts w:hint="eastAsia" w:cs="宋体" w:asciiTheme="minorEastAsia" w:hAnsiTheme="minorEastAsia" w:eastAsiaTheme="minorEastAsia"/>
                <w:color w:val="auto"/>
                <w:szCs w:val="21"/>
                <w:highlight w:val="none"/>
                <w:lang w:val="en-US" w:eastAsia="zh-CN"/>
              </w:rPr>
            </w:pPr>
            <w:r>
              <w:rPr>
                <w:rFonts w:hint="eastAsia" w:cs="宋体" w:asciiTheme="minorEastAsia" w:hAnsiTheme="minorEastAsia" w:eastAsiaTheme="minorEastAsia"/>
                <w:color w:val="auto"/>
                <w:szCs w:val="21"/>
                <w:highlight w:val="none"/>
                <w:lang w:eastAsia="zh-CN"/>
              </w:rPr>
              <w:t>①</w:t>
            </w:r>
            <w:r>
              <w:rPr>
                <w:rFonts w:hint="eastAsia" w:cs="宋体" w:asciiTheme="minorEastAsia" w:hAnsiTheme="minorEastAsia" w:eastAsiaTheme="minorEastAsia"/>
                <w:color w:val="auto"/>
                <w:szCs w:val="21"/>
                <w:highlight w:val="none"/>
              </w:rPr>
              <w:t>供应商拟派的本项目的造价工程师具有</w:t>
            </w:r>
            <w:r>
              <w:rPr>
                <w:rFonts w:hint="eastAsia" w:cs="宋体" w:asciiTheme="minorEastAsia" w:hAnsiTheme="minorEastAsia" w:eastAsiaTheme="minorEastAsia"/>
                <w:color w:val="auto"/>
                <w:szCs w:val="21"/>
                <w:highlight w:val="none"/>
                <w:lang w:val="en-US" w:eastAsia="zh-CN"/>
              </w:rPr>
              <w:t>一</w:t>
            </w:r>
            <w:r>
              <w:rPr>
                <w:rFonts w:hint="eastAsia" w:cs="宋体" w:asciiTheme="minorEastAsia" w:hAnsiTheme="minorEastAsia" w:eastAsiaTheme="minorEastAsia"/>
                <w:color w:val="auto"/>
                <w:szCs w:val="21"/>
                <w:highlight w:val="none"/>
              </w:rPr>
              <w:t>级造价工程师执业资格</w:t>
            </w:r>
            <w:r>
              <w:rPr>
                <w:rFonts w:hint="eastAsia" w:cs="宋体" w:asciiTheme="minorEastAsia" w:hAnsiTheme="minorEastAsia" w:eastAsiaTheme="minorEastAsia"/>
                <w:color w:val="auto"/>
                <w:szCs w:val="21"/>
                <w:highlight w:val="none"/>
                <w:lang w:val="en-US" w:eastAsia="zh-CN"/>
              </w:rPr>
              <w:t>的</w:t>
            </w:r>
            <w:r>
              <w:rPr>
                <w:rFonts w:hint="eastAsia" w:cs="宋体" w:asciiTheme="minorEastAsia" w:hAnsiTheme="minorEastAsia" w:eastAsiaTheme="minorEastAsia"/>
                <w:color w:val="auto"/>
                <w:szCs w:val="21"/>
                <w:highlight w:val="none"/>
                <w:lang w:eastAsia="zh-CN"/>
              </w:rPr>
              <w:t>【</w:t>
            </w:r>
            <w:r>
              <w:rPr>
                <w:rFonts w:hint="eastAsia" w:cs="宋体" w:asciiTheme="minorEastAsia" w:hAnsiTheme="minorEastAsia" w:eastAsiaTheme="minorEastAsia"/>
                <w:color w:val="auto"/>
                <w:szCs w:val="21"/>
                <w:highlight w:val="none"/>
              </w:rPr>
              <w:t>响应文件中提供相应造价工程师执业资格证书复印件及</w:t>
            </w:r>
            <w:r>
              <w:rPr>
                <w:rFonts w:hint="eastAsia" w:ascii="宋体" w:hAnsi="宋体" w:cs="宋体"/>
                <w:color w:val="auto"/>
                <w:szCs w:val="21"/>
                <w:highlight w:val="none"/>
                <w:lang w:val="en-US" w:eastAsia="zh-CN"/>
              </w:rPr>
              <w:t>属于</w:t>
            </w:r>
            <w:r>
              <w:rPr>
                <w:rFonts w:hint="eastAsia" w:ascii="宋体" w:hAnsi="宋体" w:cs="宋体"/>
                <w:color w:val="auto"/>
                <w:szCs w:val="21"/>
                <w:highlight w:val="none"/>
                <w:lang w:eastAsia="zh-CN"/>
              </w:rPr>
              <w:t>本单位在职员工的证明材料（可以是劳动合同复印件、</w:t>
            </w:r>
            <w:r>
              <w:rPr>
                <w:rFonts w:hint="eastAsia" w:ascii="宋体" w:hAnsi="宋体" w:cs="宋体"/>
                <w:color w:val="auto"/>
                <w:szCs w:val="21"/>
                <w:highlight w:val="none"/>
              </w:rPr>
              <w:t>202</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月以来任意一个月供应商为以上项目管理机构人员交纳的社保证明材料复印件</w:t>
            </w:r>
            <w:r>
              <w:rPr>
                <w:rFonts w:hint="eastAsia" w:ascii="宋体" w:hAnsi="宋体" w:cs="宋体"/>
                <w:color w:val="auto"/>
                <w:szCs w:val="21"/>
                <w:highlight w:val="none"/>
                <w:lang w:eastAsia="zh-CN"/>
              </w:rPr>
              <w:t>等</w:t>
            </w:r>
            <w:r>
              <w:rPr>
                <w:rFonts w:hint="eastAsia" w:ascii="宋体" w:hAnsi="宋体" w:cs="宋体"/>
                <w:color w:val="auto"/>
                <w:szCs w:val="21"/>
                <w:highlight w:val="none"/>
              </w:rPr>
              <w:t>）</w:t>
            </w:r>
            <w:r>
              <w:rPr>
                <w:rFonts w:hint="eastAsia" w:cs="宋体" w:asciiTheme="minorEastAsia" w:hAnsiTheme="minorEastAsia" w:eastAsiaTheme="minorEastAsia"/>
                <w:color w:val="auto"/>
                <w:szCs w:val="21"/>
                <w:highlight w:val="none"/>
              </w:rPr>
              <w:t>，加盖供应商电子签章</w:t>
            </w:r>
            <w:r>
              <w:rPr>
                <w:rFonts w:hint="eastAsia" w:cs="宋体" w:asciiTheme="minorEastAsia" w:hAnsiTheme="minorEastAsia" w:eastAsiaTheme="minorEastAsia"/>
                <w:color w:val="auto"/>
                <w:szCs w:val="21"/>
                <w:highlight w:val="none"/>
                <w:lang w:eastAsia="zh-CN"/>
              </w:rPr>
              <w:t>，</w:t>
            </w:r>
            <w:r>
              <w:rPr>
                <w:rFonts w:hint="eastAsia"/>
                <w:color w:val="auto"/>
                <w:highlight w:val="none"/>
                <w:lang w:eastAsia="zh-CN"/>
              </w:rPr>
              <w:t>否则不予认可</w:t>
            </w:r>
            <w:r>
              <w:rPr>
                <w:rFonts w:hint="eastAsia" w:cs="宋体" w:asciiTheme="minorEastAsia" w:hAnsiTheme="minorEastAsia" w:eastAsiaTheme="minorEastAsia"/>
                <w:color w:val="auto"/>
                <w:szCs w:val="21"/>
                <w:highlight w:val="none"/>
                <w:lang w:eastAsia="zh-CN"/>
              </w:rPr>
              <w:t>】</w:t>
            </w:r>
            <w:r>
              <w:rPr>
                <w:rFonts w:hint="eastAsia" w:cs="宋体" w:asciiTheme="minorEastAsia" w:hAnsiTheme="minorEastAsia" w:eastAsiaTheme="minorEastAsia"/>
                <w:color w:val="auto"/>
                <w:szCs w:val="21"/>
                <w:highlight w:val="none"/>
                <w:lang w:val="en-US" w:eastAsia="zh-CN"/>
              </w:rPr>
              <w:t>，得2分。</w:t>
            </w:r>
          </w:p>
          <w:p w14:paraId="2246A422">
            <w:pPr>
              <w:spacing w:line="400" w:lineRule="exact"/>
              <w:ind w:firstLine="420" w:firstLineChars="20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lang w:eastAsia="zh-CN"/>
              </w:rPr>
              <w:t>②</w:t>
            </w:r>
            <w:r>
              <w:rPr>
                <w:rFonts w:hint="eastAsia" w:cs="宋体" w:asciiTheme="minorEastAsia" w:hAnsiTheme="minorEastAsia" w:eastAsiaTheme="minorEastAsia"/>
                <w:color w:val="auto"/>
                <w:szCs w:val="21"/>
                <w:highlight w:val="none"/>
              </w:rPr>
              <w:t>供应商拟派的本项目的造价工程师</w:t>
            </w:r>
            <w:r>
              <w:rPr>
                <w:rFonts w:hint="eastAsia" w:cs="宋体" w:asciiTheme="minorEastAsia" w:hAnsiTheme="minorEastAsia" w:eastAsiaTheme="minorEastAsia"/>
                <w:color w:val="auto"/>
                <w:szCs w:val="21"/>
                <w:highlight w:val="none"/>
                <w:lang w:val="en-US" w:eastAsia="zh-CN"/>
              </w:rPr>
              <w:t>具备</w:t>
            </w:r>
            <w:r>
              <w:rPr>
                <w:rFonts w:hint="eastAsia" w:cs="宋体" w:asciiTheme="minorEastAsia" w:hAnsiTheme="minorEastAsia" w:eastAsiaTheme="minorEastAsia"/>
                <w:color w:val="auto"/>
                <w:szCs w:val="21"/>
                <w:highlight w:val="none"/>
                <w:lang w:eastAsia="zh-CN"/>
              </w:rPr>
              <w:t>与本项目相关的</w:t>
            </w:r>
            <w:r>
              <w:rPr>
                <w:rFonts w:hint="eastAsia"/>
                <w:color w:val="auto"/>
                <w:highlight w:val="none"/>
              </w:rPr>
              <w:t>电气</w:t>
            </w:r>
            <w:r>
              <w:rPr>
                <w:rFonts w:hint="eastAsia"/>
                <w:color w:val="auto"/>
                <w:highlight w:val="none"/>
                <w:lang w:val="en-US" w:eastAsia="zh-CN"/>
              </w:rPr>
              <w:t>类或</w:t>
            </w:r>
            <w:r>
              <w:rPr>
                <w:rFonts w:hint="eastAsia" w:cs="宋体" w:asciiTheme="minorEastAsia" w:hAnsiTheme="minorEastAsia" w:eastAsiaTheme="minorEastAsia"/>
                <w:color w:val="auto"/>
                <w:szCs w:val="21"/>
                <w:highlight w:val="none"/>
              </w:rPr>
              <w:t>电力工程</w:t>
            </w:r>
            <w:r>
              <w:rPr>
                <w:rFonts w:hint="eastAsia" w:cs="宋体" w:asciiTheme="minorEastAsia" w:hAnsiTheme="minorEastAsia" w:eastAsiaTheme="minorEastAsia"/>
                <w:color w:val="auto"/>
                <w:szCs w:val="21"/>
                <w:highlight w:val="none"/>
                <w:lang w:val="en-US" w:eastAsia="zh-CN"/>
              </w:rPr>
              <w:t>高级职称</w:t>
            </w:r>
            <w:r>
              <w:rPr>
                <w:rFonts w:hint="eastAsia" w:cs="宋体" w:asciiTheme="minorEastAsia" w:hAnsiTheme="minorEastAsia" w:eastAsiaTheme="minorEastAsia"/>
                <w:color w:val="auto"/>
                <w:szCs w:val="21"/>
                <w:highlight w:val="none"/>
              </w:rPr>
              <w:t>的</w:t>
            </w:r>
            <w:r>
              <w:rPr>
                <w:rFonts w:hint="eastAsia" w:cs="宋体" w:asciiTheme="minorEastAsia" w:hAnsiTheme="minorEastAsia" w:eastAsiaTheme="minorEastAsia"/>
                <w:color w:val="auto"/>
                <w:szCs w:val="21"/>
                <w:highlight w:val="none"/>
                <w:lang w:eastAsia="zh-CN"/>
              </w:rPr>
              <w:t>【</w:t>
            </w:r>
            <w:r>
              <w:rPr>
                <w:rFonts w:hint="eastAsia" w:cs="宋体" w:asciiTheme="minorEastAsia" w:hAnsiTheme="minorEastAsia" w:eastAsiaTheme="minorEastAsia"/>
                <w:color w:val="auto"/>
                <w:szCs w:val="21"/>
                <w:highlight w:val="none"/>
              </w:rPr>
              <w:t>响应文件中提供相应</w:t>
            </w:r>
            <w:r>
              <w:rPr>
                <w:rFonts w:hint="eastAsia" w:cs="宋体" w:asciiTheme="minorEastAsia" w:hAnsiTheme="minorEastAsia" w:eastAsiaTheme="minorEastAsia"/>
                <w:color w:val="auto"/>
                <w:szCs w:val="21"/>
                <w:highlight w:val="none"/>
                <w:lang w:val="en-US" w:eastAsia="zh-CN"/>
              </w:rPr>
              <w:t>职称</w:t>
            </w:r>
            <w:r>
              <w:rPr>
                <w:rFonts w:hint="eastAsia" w:cs="宋体" w:asciiTheme="minorEastAsia" w:hAnsiTheme="minorEastAsia" w:eastAsiaTheme="minorEastAsia"/>
                <w:color w:val="auto"/>
                <w:szCs w:val="21"/>
                <w:highlight w:val="none"/>
              </w:rPr>
              <w:t>证书复印件及</w:t>
            </w:r>
            <w:r>
              <w:rPr>
                <w:rFonts w:hint="eastAsia" w:ascii="宋体" w:hAnsi="宋体" w:cs="宋体"/>
                <w:color w:val="auto"/>
                <w:szCs w:val="21"/>
                <w:highlight w:val="none"/>
                <w:lang w:val="en-US" w:eastAsia="zh-CN"/>
              </w:rPr>
              <w:t>属于</w:t>
            </w:r>
            <w:r>
              <w:rPr>
                <w:rFonts w:hint="eastAsia" w:ascii="宋体" w:hAnsi="宋体" w:cs="宋体"/>
                <w:color w:val="auto"/>
                <w:szCs w:val="21"/>
                <w:highlight w:val="none"/>
                <w:lang w:eastAsia="zh-CN"/>
              </w:rPr>
              <w:t>本单位在职员工的证明材料（可以是劳动合同复印件、</w:t>
            </w:r>
            <w:r>
              <w:rPr>
                <w:rFonts w:hint="eastAsia" w:ascii="宋体" w:hAnsi="宋体" w:cs="宋体"/>
                <w:color w:val="auto"/>
                <w:szCs w:val="21"/>
                <w:highlight w:val="none"/>
              </w:rPr>
              <w:t>202</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月以来任意一个月供应商为以上项目管理机构人员交纳的社保证明材料复印件</w:t>
            </w:r>
            <w:r>
              <w:rPr>
                <w:rFonts w:hint="eastAsia" w:ascii="宋体" w:hAnsi="宋体" w:cs="宋体"/>
                <w:color w:val="auto"/>
                <w:szCs w:val="21"/>
                <w:highlight w:val="none"/>
                <w:lang w:eastAsia="zh-CN"/>
              </w:rPr>
              <w:t>等</w:t>
            </w:r>
            <w:r>
              <w:rPr>
                <w:rFonts w:hint="eastAsia" w:ascii="宋体" w:hAnsi="宋体" w:cs="宋体"/>
                <w:color w:val="auto"/>
                <w:szCs w:val="21"/>
                <w:highlight w:val="none"/>
              </w:rPr>
              <w:t>）</w:t>
            </w:r>
            <w:r>
              <w:rPr>
                <w:rFonts w:hint="eastAsia" w:cs="宋体" w:asciiTheme="minorEastAsia" w:hAnsiTheme="minorEastAsia" w:eastAsiaTheme="minorEastAsia"/>
                <w:color w:val="auto"/>
                <w:szCs w:val="21"/>
                <w:highlight w:val="none"/>
              </w:rPr>
              <w:t>，加盖供应商电子签章</w:t>
            </w:r>
            <w:r>
              <w:rPr>
                <w:rFonts w:hint="eastAsia" w:cs="宋体" w:asciiTheme="minorEastAsia" w:hAnsiTheme="minorEastAsia" w:eastAsiaTheme="minorEastAsia"/>
                <w:color w:val="auto"/>
                <w:szCs w:val="21"/>
                <w:highlight w:val="none"/>
                <w:lang w:eastAsia="zh-CN"/>
              </w:rPr>
              <w:t>，</w:t>
            </w:r>
            <w:r>
              <w:rPr>
                <w:rFonts w:hint="eastAsia"/>
                <w:color w:val="auto"/>
                <w:highlight w:val="none"/>
                <w:lang w:eastAsia="zh-CN"/>
              </w:rPr>
              <w:t>否则不予认可</w:t>
            </w:r>
            <w:r>
              <w:rPr>
                <w:rFonts w:hint="eastAsia" w:cs="宋体" w:asciiTheme="minorEastAsia" w:hAnsiTheme="minorEastAsia" w:eastAsiaTheme="minorEastAsia"/>
                <w:color w:val="auto"/>
                <w:szCs w:val="21"/>
                <w:highlight w:val="none"/>
                <w:lang w:eastAsia="zh-CN"/>
              </w:rPr>
              <w:t>】</w:t>
            </w:r>
            <w:r>
              <w:rPr>
                <w:rFonts w:hint="eastAsia" w:cs="宋体" w:asciiTheme="minorEastAsia" w:hAnsiTheme="minorEastAsia" w:eastAsiaTheme="minorEastAsia"/>
                <w:color w:val="auto"/>
                <w:szCs w:val="21"/>
                <w:highlight w:val="none"/>
              </w:rPr>
              <w:t>，得</w:t>
            </w:r>
            <w:r>
              <w:rPr>
                <w:rFonts w:hint="eastAsia" w:cs="宋体" w:asciiTheme="minorEastAsia" w:hAnsiTheme="minorEastAsia" w:eastAsiaTheme="minorEastAsia"/>
                <w:color w:val="auto"/>
                <w:szCs w:val="21"/>
                <w:highlight w:val="none"/>
                <w:lang w:val="en-US" w:eastAsia="zh-CN"/>
              </w:rPr>
              <w:t>3</w:t>
            </w:r>
            <w:r>
              <w:rPr>
                <w:rFonts w:hint="eastAsia" w:cs="宋体" w:asciiTheme="minorEastAsia" w:hAnsiTheme="minorEastAsia" w:eastAsiaTheme="minorEastAsia"/>
                <w:color w:val="auto"/>
                <w:szCs w:val="21"/>
                <w:highlight w:val="none"/>
              </w:rPr>
              <w:t>分。</w:t>
            </w:r>
          </w:p>
          <w:p w14:paraId="126DD406">
            <w:pPr>
              <w:widowControl/>
              <w:spacing w:line="440" w:lineRule="exact"/>
              <w:jc w:val="left"/>
              <w:rPr>
                <w:rFonts w:hint="eastAsia" w:asciiTheme="majorEastAsia" w:hAnsiTheme="majorEastAsia" w:eastAsiaTheme="majorEastAsia"/>
                <w:color w:val="auto"/>
                <w:kern w:val="0"/>
                <w:szCs w:val="21"/>
                <w:highlight w:val="none"/>
              </w:rPr>
            </w:pPr>
            <w:r>
              <w:rPr>
                <w:rFonts w:hint="eastAsia" w:asciiTheme="majorEastAsia" w:hAnsiTheme="majorEastAsia" w:eastAsiaTheme="majorEastAsia"/>
                <w:b/>
                <w:bCs/>
                <w:color w:val="auto"/>
                <w:kern w:val="0"/>
                <w:szCs w:val="21"/>
                <w:highlight w:val="none"/>
                <w:lang w:eastAsia="zh-CN"/>
              </w:rPr>
              <w:t>注：</w:t>
            </w:r>
            <w:r>
              <w:rPr>
                <w:rFonts w:hint="eastAsia" w:asciiTheme="majorEastAsia" w:hAnsiTheme="majorEastAsia" w:eastAsiaTheme="majorEastAsia"/>
                <w:b/>
                <w:bCs/>
                <w:color w:val="auto"/>
                <w:kern w:val="0"/>
                <w:szCs w:val="21"/>
                <w:highlight w:val="none"/>
              </w:rPr>
              <w:t>同一人员同时具有不同等级职称的，按最高职称认定，不重复计分。</w:t>
            </w:r>
          </w:p>
        </w:tc>
      </w:tr>
      <w:tr w14:paraId="3A83A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776" w:type="dxa"/>
            <w:vMerge w:val="continue"/>
            <w:tcBorders>
              <w:top w:val="single" w:color="auto" w:sz="4" w:space="0"/>
              <w:left w:val="single" w:color="auto" w:sz="4" w:space="0"/>
              <w:bottom w:val="single" w:color="auto" w:sz="4" w:space="0"/>
              <w:right w:val="single" w:color="auto" w:sz="4" w:space="0"/>
            </w:tcBorders>
            <w:vAlign w:val="center"/>
          </w:tcPr>
          <w:p w14:paraId="3604746C">
            <w:pPr>
              <w:widowControl/>
              <w:spacing w:line="440" w:lineRule="exact"/>
              <w:jc w:val="left"/>
              <w:rPr>
                <w:rFonts w:hint="eastAsia" w:cs="Tahoma" w:asciiTheme="majorEastAsia" w:hAnsiTheme="majorEastAsia" w:eastAsiaTheme="majorEastAsia"/>
                <w:color w:val="auto"/>
                <w:kern w:val="0"/>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74BCE2EF">
            <w:pPr>
              <w:spacing w:line="400" w:lineRule="exact"/>
              <w:jc w:val="center"/>
              <w:rPr>
                <w:rFonts w:cs="宋体" w:asciiTheme="minorEastAsia" w:hAnsiTheme="minorEastAsia" w:eastAsiaTheme="minorEastAsia"/>
                <w:b/>
                <w:color w:val="auto"/>
                <w:szCs w:val="21"/>
                <w:highlight w:val="none"/>
              </w:rPr>
            </w:pPr>
            <w:r>
              <w:rPr>
                <w:rFonts w:hint="eastAsia" w:cs="宋体" w:asciiTheme="minorEastAsia" w:hAnsiTheme="minorEastAsia" w:eastAsiaTheme="minorEastAsia"/>
                <w:b w:val="0"/>
                <w:bCs/>
                <w:color w:val="auto"/>
                <w:szCs w:val="21"/>
                <w:highlight w:val="none"/>
                <w:lang w:val="en-US" w:eastAsia="zh-CN"/>
              </w:rPr>
              <w:t>3.2</w:t>
            </w:r>
            <w:r>
              <w:rPr>
                <w:rFonts w:hint="eastAsia" w:cs="宋体" w:asciiTheme="minorEastAsia" w:hAnsiTheme="minorEastAsia" w:eastAsiaTheme="minorEastAsia"/>
                <w:b w:val="0"/>
                <w:bCs/>
                <w:color w:val="auto"/>
                <w:szCs w:val="21"/>
                <w:highlight w:val="none"/>
              </w:rPr>
              <w:t>信誉分（满分</w:t>
            </w:r>
            <w:r>
              <w:rPr>
                <w:rFonts w:cs="宋体" w:asciiTheme="minorEastAsia" w:hAnsiTheme="minorEastAsia" w:eastAsiaTheme="minorEastAsia"/>
                <w:b w:val="0"/>
                <w:bCs/>
                <w:color w:val="auto"/>
                <w:szCs w:val="21"/>
                <w:highlight w:val="none"/>
              </w:rPr>
              <w:t>6</w:t>
            </w:r>
            <w:r>
              <w:rPr>
                <w:rFonts w:hint="eastAsia" w:cs="宋体" w:asciiTheme="minorEastAsia" w:hAnsiTheme="minorEastAsia" w:eastAsiaTheme="minorEastAsia"/>
                <w:b w:val="0"/>
                <w:bCs/>
                <w:color w:val="auto"/>
                <w:szCs w:val="21"/>
                <w:highlight w:val="none"/>
              </w:rPr>
              <w:t>分）</w:t>
            </w:r>
          </w:p>
          <w:p w14:paraId="3BC900D6">
            <w:pPr>
              <w:widowControl/>
              <w:spacing w:line="440" w:lineRule="exact"/>
              <w:jc w:val="center"/>
              <w:rPr>
                <w:rFonts w:hint="eastAsia" w:cs="Tahoma" w:asciiTheme="majorEastAsia" w:hAnsiTheme="majorEastAsia" w:eastAsiaTheme="majorEastAsia"/>
                <w:color w:val="auto"/>
                <w:kern w:val="0"/>
                <w:szCs w:val="21"/>
                <w:highlight w:val="none"/>
              </w:rPr>
            </w:pPr>
          </w:p>
        </w:tc>
        <w:tc>
          <w:tcPr>
            <w:tcW w:w="6396" w:type="dxa"/>
            <w:tcBorders>
              <w:top w:val="single" w:color="auto" w:sz="4" w:space="0"/>
              <w:left w:val="single" w:color="auto" w:sz="4" w:space="0"/>
              <w:bottom w:val="single" w:color="auto" w:sz="4" w:space="0"/>
              <w:right w:val="single" w:color="auto" w:sz="4" w:space="0"/>
            </w:tcBorders>
          </w:tcPr>
          <w:p w14:paraId="7627DC10">
            <w:pPr>
              <w:spacing w:line="400" w:lineRule="exact"/>
              <w:ind w:firstLine="420" w:firstLineChars="200"/>
              <w:jc w:val="left"/>
              <w:rPr>
                <w:rFonts w:hint="eastAsia"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供应商</w:t>
            </w:r>
            <w:r>
              <w:rPr>
                <w:rFonts w:hint="eastAsia" w:asciiTheme="majorEastAsia" w:hAnsiTheme="majorEastAsia" w:eastAsiaTheme="majorEastAsia"/>
                <w:color w:val="auto"/>
                <w:szCs w:val="21"/>
                <w:highlight w:val="none"/>
                <w:lang w:val="en-US" w:eastAsia="zh-CN"/>
              </w:rPr>
              <w:t>2022</w:t>
            </w:r>
            <w:r>
              <w:rPr>
                <w:rFonts w:hint="eastAsia" w:asciiTheme="majorEastAsia" w:hAnsiTheme="majorEastAsia" w:eastAsiaTheme="majorEastAsia"/>
                <w:color w:val="auto"/>
                <w:szCs w:val="21"/>
                <w:highlight w:val="none"/>
              </w:rPr>
              <w:t>年以来（以获奖时间为准）承接过</w:t>
            </w:r>
            <w:r>
              <w:rPr>
                <w:rFonts w:hint="eastAsia" w:asciiTheme="majorEastAsia" w:hAnsiTheme="majorEastAsia" w:eastAsiaTheme="majorEastAsia"/>
                <w:color w:val="auto"/>
                <w:szCs w:val="21"/>
                <w:highlight w:val="none"/>
                <w:lang w:eastAsia="zh-CN"/>
              </w:rPr>
              <w:t>的电力</w:t>
            </w:r>
            <w:r>
              <w:rPr>
                <w:rFonts w:hint="eastAsia" w:asciiTheme="majorEastAsia" w:hAnsiTheme="majorEastAsia" w:eastAsiaTheme="majorEastAsia"/>
                <w:color w:val="auto"/>
                <w:szCs w:val="21"/>
                <w:highlight w:val="none"/>
              </w:rPr>
              <w:t>工程项目获得</w:t>
            </w:r>
            <w:r>
              <w:rPr>
                <w:rFonts w:hint="eastAsia" w:asciiTheme="majorEastAsia" w:hAnsiTheme="majorEastAsia" w:eastAsiaTheme="majorEastAsia"/>
                <w:color w:val="auto"/>
                <w:szCs w:val="21"/>
                <w:highlight w:val="none"/>
                <w:lang w:val="en-US" w:eastAsia="zh-CN"/>
              </w:rPr>
              <w:t>设区的</w:t>
            </w:r>
            <w:r>
              <w:rPr>
                <w:rFonts w:hint="eastAsia" w:asciiTheme="majorEastAsia" w:hAnsiTheme="majorEastAsia" w:eastAsiaTheme="majorEastAsia"/>
                <w:color w:val="auto"/>
                <w:szCs w:val="21"/>
                <w:highlight w:val="none"/>
                <w:lang w:eastAsia="zh-CN"/>
              </w:rPr>
              <w:t>市级</w:t>
            </w:r>
            <w:r>
              <w:rPr>
                <w:rFonts w:hint="eastAsia" w:asciiTheme="majorEastAsia" w:hAnsiTheme="majorEastAsia" w:eastAsiaTheme="majorEastAsia"/>
                <w:color w:val="auto"/>
                <w:szCs w:val="21"/>
                <w:highlight w:val="none"/>
              </w:rPr>
              <w:t>有关部门颁发的与工程质量相关奖项的，每提供1个奖项，得1分</w:t>
            </w:r>
            <w:r>
              <w:rPr>
                <w:rFonts w:hint="eastAsia" w:asciiTheme="majorEastAsia" w:hAnsiTheme="majorEastAsia" w:eastAsiaTheme="majorEastAsia"/>
                <w:color w:val="auto"/>
                <w:szCs w:val="21"/>
                <w:highlight w:val="none"/>
                <w:lang w:eastAsia="zh-CN"/>
              </w:rPr>
              <w:t>；</w:t>
            </w:r>
            <w:r>
              <w:rPr>
                <w:rFonts w:hint="eastAsia" w:asciiTheme="majorEastAsia" w:hAnsiTheme="majorEastAsia" w:eastAsiaTheme="majorEastAsia"/>
                <w:color w:val="auto"/>
                <w:szCs w:val="21"/>
                <w:highlight w:val="none"/>
              </w:rPr>
              <w:t>供应商</w:t>
            </w:r>
            <w:r>
              <w:rPr>
                <w:rFonts w:hint="eastAsia" w:asciiTheme="majorEastAsia" w:hAnsiTheme="majorEastAsia" w:eastAsiaTheme="majorEastAsia"/>
                <w:color w:val="auto"/>
                <w:szCs w:val="21"/>
                <w:highlight w:val="none"/>
                <w:lang w:val="en-US" w:eastAsia="zh-CN"/>
              </w:rPr>
              <w:t>2022</w:t>
            </w:r>
            <w:r>
              <w:rPr>
                <w:rFonts w:hint="eastAsia" w:asciiTheme="majorEastAsia" w:hAnsiTheme="majorEastAsia" w:eastAsiaTheme="majorEastAsia"/>
                <w:color w:val="auto"/>
                <w:szCs w:val="21"/>
                <w:highlight w:val="none"/>
              </w:rPr>
              <w:t>年以来（以获奖时间为准）承接过</w:t>
            </w:r>
            <w:r>
              <w:rPr>
                <w:rFonts w:hint="eastAsia" w:asciiTheme="majorEastAsia" w:hAnsiTheme="majorEastAsia" w:eastAsiaTheme="majorEastAsia"/>
                <w:color w:val="auto"/>
                <w:szCs w:val="21"/>
                <w:highlight w:val="none"/>
                <w:lang w:eastAsia="zh-CN"/>
              </w:rPr>
              <w:t>电力</w:t>
            </w:r>
            <w:r>
              <w:rPr>
                <w:rFonts w:hint="eastAsia" w:asciiTheme="majorEastAsia" w:hAnsiTheme="majorEastAsia" w:eastAsiaTheme="majorEastAsia"/>
                <w:color w:val="auto"/>
                <w:szCs w:val="21"/>
                <w:highlight w:val="none"/>
              </w:rPr>
              <w:t>工程项目获得</w:t>
            </w:r>
            <w:r>
              <w:rPr>
                <w:rFonts w:hint="eastAsia" w:asciiTheme="majorEastAsia" w:hAnsiTheme="majorEastAsia" w:eastAsiaTheme="majorEastAsia"/>
                <w:color w:val="auto"/>
                <w:szCs w:val="21"/>
                <w:highlight w:val="none"/>
                <w:lang w:eastAsia="zh-CN"/>
              </w:rPr>
              <w:t>省级及以上</w:t>
            </w:r>
            <w:r>
              <w:rPr>
                <w:rFonts w:hint="eastAsia" w:asciiTheme="majorEastAsia" w:hAnsiTheme="majorEastAsia" w:eastAsiaTheme="majorEastAsia"/>
                <w:color w:val="auto"/>
                <w:szCs w:val="21"/>
                <w:highlight w:val="none"/>
              </w:rPr>
              <w:t>有关部门颁发的与工程质量相关奖项的，每提供1个奖项，得</w:t>
            </w:r>
            <w:r>
              <w:rPr>
                <w:rFonts w:hint="eastAsia" w:asciiTheme="majorEastAsia" w:hAnsiTheme="majorEastAsia" w:eastAsiaTheme="majorEastAsia"/>
                <w:color w:val="auto"/>
                <w:szCs w:val="21"/>
                <w:highlight w:val="none"/>
                <w:lang w:val="en-US" w:eastAsia="zh-CN"/>
              </w:rPr>
              <w:t>3</w:t>
            </w:r>
            <w:r>
              <w:rPr>
                <w:rFonts w:hint="eastAsia" w:asciiTheme="majorEastAsia" w:hAnsiTheme="majorEastAsia" w:eastAsiaTheme="majorEastAsia"/>
                <w:color w:val="auto"/>
                <w:szCs w:val="21"/>
                <w:highlight w:val="none"/>
              </w:rPr>
              <w:t>分</w:t>
            </w:r>
            <w:r>
              <w:rPr>
                <w:rFonts w:hint="eastAsia" w:asciiTheme="majorEastAsia" w:hAnsiTheme="majorEastAsia" w:eastAsiaTheme="majorEastAsia"/>
                <w:color w:val="auto"/>
                <w:szCs w:val="21"/>
                <w:highlight w:val="none"/>
                <w:lang w:eastAsia="zh-CN"/>
              </w:rPr>
              <w:t>；本项最多得</w:t>
            </w:r>
            <w:r>
              <w:rPr>
                <w:rFonts w:hint="eastAsia" w:asciiTheme="majorEastAsia" w:hAnsiTheme="majorEastAsia" w:eastAsiaTheme="majorEastAsia"/>
                <w:color w:val="auto"/>
                <w:szCs w:val="21"/>
                <w:highlight w:val="none"/>
                <w:lang w:val="en-US" w:eastAsia="zh-CN"/>
              </w:rPr>
              <w:t>6分</w:t>
            </w:r>
            <w:r>
              <w:rPr>
                <w:rFonts w:hint="eastAsia" w:asciiTheme="majorEastAsia" w:hAnsiTheme="majorEastAsia" w:eastAsiaTheme="majorEastAsia"/>
                <w:color w:val="auto"/>
                <w:szCs w:val="21"/>
                <w:highlight w:val="none"/>
              </w:rPr>
              <w:t>【响应文件中提供相关有效证明材料复印件，可以是相关有效证书、牌匾照片、奖状等</w:t>
            </w:r>
            <w:r>
              <w:rPr>
                <w:rFonts w:hint="eastAsia" w:asciiTheme="majorEastAsia" w:hAnsiTheme="majorEastAsia" w:eastAsiaTheme="majorEastAsia"/>
                <w:color w:val="auto"/>
                <w:szCs w:val="21"/>
                <w:highlight w:val="none"/>
                <w:lang w:eastAsia="zh-CN"/>
              </w:rPr>
              <w:t>（</w:t>
            </w:r>
            <w:r>
              <w:rPr>
                <w:rFonts w:hint="eastAsia" w:asciiTheme="majorEastAsia" w:hAnsiTheme="majorEastAsia" w:eastAsiaTheme="majorEastAsia"/>
                <w:color w:val="auto"/>
                <w:szCs w:val="21"/>
                <w:highlight w:val="none"/>
              </w:rPr>
              <w:t>证明材料中应清晰反映供应商单位全称），加盖供应商电子签章</w:t>
            </w:r>
            <w:r>
              <w:rPr>
                <w:rFonts w:hint="eastAsia" w:asciiTheme="majorEastAsia" w:hAnsiTheme="majorEastAsia" w:eastAsiaTheme="majorEastAsia"/>
                <w:color w:val="auto"/>
                <w:szCs w:val="21"/>
                <w:highlight w:val="none"/>
                <w:lang w:eastAsia="zh-CN"/>
              </w:rPr>
              <w:t>，</w:t>
            </w:r>
            <w:r>
              <w:rPr>
                <w:rFonts w:hint="eastAsia"/>
                <w:color w:val="auto"/>
                <w:highlight w:val="none"/>
                <w:lang w:eastAsia="zh-CN"/>
              </w:rPr>
              <w:t>否则不予认可</w:t>
            </w:r>
            <w:r>
              <w:rPr>
                <w:rFonts w:hint="eastAsia" w:asciiTheme="majorEastAsia" w:hAnsiTheme="majorEastAsia" w:eastAsiaTheme="majorEastAsia"/>
                <w:color w:val="auto"/>
                <w:szCs w:val="21"/>
                <w:highlight w:val="none"/>
              </w:rPr>
              <w:t>】。</w:t>
            </w:r>
          </w:p>
          <w:p w14:paraId="01BC1C7F">
            <w:pPr>
              <w:pStyle w:val="65"/>
              <w:rPr>
                <w:rFonts w:hint="eastAsia" w:eastAsiaTheme="majorEastAsia"/>
                <w:color w:val="auto"/>
                <w:highlight w:val="none"/>
                <w:lang w:eastAsia="zh-CN"/>
              </w:rPr>
            </w:pPr>
            <w:r>
              <w:rPr>
                <w:rFonts w:hint="eastAsia" w:cs="Times New Roman" w:asciiTheme="majorEastAsia" w:hAnsiTheme="majorEastAsia" w:eastAsiaTheme="majorEastAsia"/>
                <w:b/>
                <w:bCs/>
                <w:color w:val="auto"/>
                <w:kern w:val="0"/>
                <w:sz w:val="21"/>
                <w:szCs w:val="21"/>
                <w:highlight w:val="none"/>
                <w:lang w:val="en-US" w:eastAsia="zh-CN" w:bidi="ar-SA"/>
              </w:rPr>
              <w:t>注：同一工程获得多个奖项的，按相应最高分值认定，不重复计分。</w:t>
            </w:r>
          </w:p>
        </w:tc>
      </w:tr>
      <w:tr w14:paraId="11391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776" w:type="dxa"/>
            <w:vMerge w:val="continue"/>
            <w:tcBorders>
              <w:top w:val="single" w:color="auto" w:sz="4" w:space="0"/>
              <w:left w:val="single" w:color="auto" w:sz="4" w:space="0"/>
              <w:bottom w:val="single" w:color="auto" w:sz="4" w:space="0"/>
              <w:right w:val="single" w:color="auto" w:sz="4" w:space="0"/>
            </w:tcBorders>
            <w:vAlign w:val="center"/>
          </w:tcPr>
          <w:p w14:paraId="7B57CBA8">
            <w:pPr>
              <w:widowControl/>
              <w:spacing w:line="440" w:lineRule="exact"/>
              <w:jc w:val="left"/>
              <w:rPr>
                <w:rFonts w:hint="eastAsia" w:cs="Tahoma" w:asciiTheme="majorEastAsia" w:hAnsiTheme="majorEastAsia" w:eastAsiaTheme="majorEastAsia"/>
                <w:color w:val="auto"/>
                <w:kern w:val="0"/>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140414AC">
            <w:pPr>
              <w:spacing w:line="400" w:lineRule="exact"/>
              <w:jc w:val="center"/>
              <w:rPr>
                <w:rFonts w:hint="eastAsia" w:cs="Tahoma" w:asciiTheme="majorEastAsia" w:hAnsiTheme="majorEastAsia" w:eastAsiaTheme="majorEastAsia"/>
                <w:color w:val="auto"/>
                <w:kern w:val="0"/>
                <w:szCs w:val="21"/>
                <w:highlight w:val="none"/>
              </w:rPr>
            </w:pPr>
            <w:r>
              <w:rPr>
                <w:rFonts w:hint="eastAsia" w:cs="宋体" w:asciiTheme="minorEastAsia" w:hAnsiTheme="minorEastAsia" w:eastAsiaTheme="minorEastAsia"/>
                <w:b w:val="0"/>
                <w:bCs/>
                <w:color w:val="auto"/>
                <w:szCs w:val="21"/>
                <w:highlight w:val="none"/>
                <w:lang w:val="en-US" w:eastAsia="zh-CN"/>
              </w:rPr>
              <w:t>3.3企业认证分（6分）</w:t>
            </w:r>
          </w:p>
        </w:tc>
        <w:tc>
          <w:tcPr>
            <w:tcW w:w="6396" w:type="dxa"/>
            <w:tcBorders>
              <w:top w:val="single" w:color="auto" w:sz="4" w:space="0"/>
              <w:left w:val="single" w:color="auto" w:sz="4" w:space="0"/>
              <w:bottom w:val="single" w:color="auto" w:sz="4" w:space="0"/>
              <w:right w:val="single" w:color="auto" w:sz="4" w:space="0"/>
            </w:tcBorders>
          </w:tcPr>
          <w:p w14:paraId="6FA83E9B">
            <w:pPr>
              <w:spacing w:line="400" w:lineRule="exact"/>
              <w:jc w:val="left"/>
              <w:rPr>
                <w:rFonts w:hint="eastAsia" w:asciiTheme="majorEastAsia" w:hAnsiTheme="majorEastAsia" w:eastAsiaTheme="majorEastAsia"/>
                <w:b/>
                <w:bCs/>
                <w:color w:val="auto"/>
                <w:kern w:val="0"/>
                <w:szCs w:val="21"/>
                <w:highlight w:val="none"/>
                <w:lang w:eastAsia="zh-CN"/>
              </w:rPr>
            </w:pPr>
            <w:r>
              <w:rPr>
                <w:rFonts w:hint="eastAsia" w:cs="宋体" w:asciiTheme="minorEastAsia" w:hAnsiTheme="minorEastAsia" w:eastAsiaTheme="minorEastAsia"/>
                <w:color w:val="auto"/>
                <w:szCs w:val="21"/>
                <w:highlight w:val="none"/>
              </w:rPr>
              <w:t>供应商通过</w:t>
            </w:r>
            <w:r>
              <w:rPr>
                <w:rFonts w:hint="eastAsia" w:cs="宋体" w:asciiTheme="minorEastAsia" w:hAnsiTheme="minorEastAsia" w:eastAsiaTheme="minorEastAsia"/>
                <w:color w:val="auto"/>
                <w:szCs w:val="21"/>
                <w:highlight w:val="none"/>
                <w:lang w:val="en-US" w:eastAsia="zh-CN"/>
              </w:rPr>
              <w:t>ISO9001</w:t>
            </w:r>
            <w:r>
              <w:rPr>
                <w:rFonts w:hint="eastAsia" w:cs="宋体" w:asciiTheme="minorEastAsia" w:hAnsiTheme="minorEastAsia" w:eastAsiaTheme="minorEastAsia"/>
                <w:color w:val="auto"/>
                <w:szCs w:val="21"/>
                <w:highlight w:val="none"/>
              </w:rPr>
              <w:t>质量管理体系认证、ISO14001环境管理体系认证、ISO45001职业健康安全管理体系认证且有效的【供应商于响应文件中提供相应有效证明材料复印件</w:t>
            </w:r>
            <w:r>
              <w:rPr>
                <w:rFonts w:hint="eastAsia" w:cs="宋体" w:asciiTheme="minorEastAsia" w:hAnsiTheme="minorEastAsia" w:eastAsiaTheme="minorEastAsia"/>
                <w:color w:val="auto"/>
                <w:szCs w:val="21"/>
                <w:highlight w:val="none"/>
                <w:lang w:eastAsia="zh-CN"/>
              </w:rPr>
              <w:t>（</w:t>
            </w:r>
            <w:r>
              <w:rPr>
                <w:rFonts w:hint="eastAsia" w:cs="宋体" w:asciiTheme="minorEastAsia" w:hAnsiTheme="minorEastAsia" w:eastAsiaTheme="minorEastAsia"/>
                <w:color w:val="auto"/>
                <w:szCs w:val="21"/>
                <w:highlight w:val="none"/>
              </w:rPr>
              <w:t>认证证书中应清晰反映供应商单位全称），并加盖供应商电子签章</w:t>
            </w:r>
            <w:r>
              <w:rPr>
                <w:rFonts w:hint="eastAsia" w:cs="宋体" w:asciiTheme="minorEastAsia" w:hAnsiTheme="minorEastAsia" w:eastAsiaTheme="minorEastAsia"/>
                <w:color w:val="auto"/>
                <w:szCs w:val="21"/>
                <w:highlight w:val="none"/>
                <w:lang w:eastAsia="zh-CN"/>
              </w:rPr>
              <w:t>，</w:t>
            </w:r>
            <w:r>
              <w:rPr>
                <w:rFonts w:hint="eastAsia"/>
                <w:color w:val="auto"/>
                <w:highlight w:val="none"/>
                <w:lang w:eastAsia="zh-CN"/>
              </w:rPr>
              <w:t>否则不予认可</w:t>
            </w:r>
            <w:r>
              <w:rPr>
                <w:rFonts w:hint="eastAsia" w:cs="宋体" w:asciiTheme="minorEastAsia" w:hAnsiTheme="minorEastAsia" w:eastAsiaTheme="minorEastAsia"/>
                <w:color w:val="auto"/>
                <w:szCs w:val="21"/>
                <w:highlight w:val="none"/>
              </w:rPr>
              <w:t>】，每提供1项认证得</w:t>
            </w:r>
            <w:r>
              <w:rPr>
                <w:rFonts w:hint="eastAsia" w:cs="宋体" w:asciiTheme="minorEastAsia" w:hAnsiTheme="minorEastAsia" w:eastAsiaTheme="minorEastAsia"/>
                <w:color w:val="auto"/>
                <w:szCs w:val="21"/>
                <w:highlight w:val="none"/>
                <w:lang w:val="en-US" w:eastAsia="zh-CN"/>
              </w:rPr>
              <w:t>2</w:t>
            </w:r>
            <w:r>
              <w:rPr>
                <w:rFonts w:hint="eastAsia" w:cs="宋体" w:asciiTheme="minorEastAsia" w:hAnsiTheme="minorEastAsia" w:eastAsiaTheme="minorEastAsia"/>
                <w:color w:val="auto"/>
                <w:szCs w:val="21"/>
                <w:highlight w:val="none"/>
              </w:rPr>
              <w:t>分，最多得</w:t>
            </w:r>
            <w:r>
              <w:rPr>
                <w:rFonts w:hint="eastAsia" w:cs="宋体" w:asciiTheme="minorEastAsia" w:hAnsiTheme="minorEastAsia" w:eastAsiaTheme="minorEastAsia"/>
                <w:color w:val="auto"/>
                <w:szCs w:val="21"/>
                <w:highlight w:val="none"/>
                <w:lang w:val="en-US" w:eastAsia="zh-CN"/>
              </w:rPr>
              <w:t>6</w:t>
            </w:r>
            <w:r>
              <w:rPr>
                <w:rFonts w:hint="eastAsia" w:cs="宋体" w:asciiTheme="minorEastAsia" w:hAnsiTheme="minorEastAsia" w:eastAsiaTheme="minorEastAsia"/>
                <w:color w:val="auto"/>
                <w:szCs w:val="21"/>
                <w:highlight w:val="none"/>
              </w:rPr>
              <w:t>分。</w:t>
            </w:r>
          </w:p>
        </w:tc>
      </w:tr>
      <w:tr w14:paraId="7FD36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776" w:type="dxa"/>
            <w:vMerge w:val="continue"/>
            <w:tcBorders>
              <w:top w:val="single" w:color="auto" w:sz="4" w:space="0"/>
              <w:left w:val="single" w:color="auto" w:sz="4" w:space="0"/>
              <w:bottom w:val="single" w:color="auto" w:sz="4" w:space="0"/>
              <w:right w:val="single" w:color="auto" w:sz="4" w:space="0"/>
            </w:tcBorders>
            <w:vAlign w:val="center"/>
          </w:tcPr>
          <w:p w14:paraId="079B5A20">
            <w:pPr>
              <w:widowControl/>
              <w:spacing w:line="440" w:lineRule="exact"/>
              <w:jc w:val="left"/>
              <w:rPr>
                <w:rFonts w:hint="eastAsia" w:cs="Tahoma" w:asciiTheme="majorEastAsia" w:hAnsiTheme="majorEastAsia" w:eastAsiaTheme="majorEastAsia"/>
                <w:color w:val="auto"/>
                <w:kern w:val="0"/>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247F5564">
            <w:pPr>
              <w:spacing w:line="400" w:lineRule="exact"/>
              <w:jc w:val="center"/>
              <w:rPr>
                <w:rFonts w:hint="eastAsia" w:cs="宋体" w:asciiTheme="minorEastAsia" w:hAnsiTheme="minorEastAsia" w:eastAsiaTheme="minorEastAsia"/>
                <w:b w:val="0"/>
                <w:bCs/>
                <w:color w:val="auto"/>
                <w:szCs w:val="21"/>
                <w:highlight w:val="none"/>
              </w:rPr>
            </w:pPr>
            <w:r>
              <w:rPr>
                <w:rFonts w:hint="eastAsia" w:cs="宋体" w:asciiTheme="minorEastAsia" w:hAnsiTheme="minorEastAsia" w:eastAsiaTheme="minorEastAsia"/>
                <w:b w:val="0"/>
                <w:bCs/>
                <w:color w:val="auto"/>
                <w:szCs w:val="21"/>
                <w:highlight w:val="none"/>
                <w:lang w:val="en-US" w:eastAsia="zh-CN"/>
              </w:rPr>
              <w:t>3.4</w:t>
            </w:r>
            <w:r>
              <w:rPr>
                <w:rFonts w:hint="eastAsia" w:cs="宋体" w:asciiTheme="minorEastAsia" w:hAnsiTheme="minorEastAsia" w:eastAsiaTheme="minorEastAsia"/>
                <w:b w:val="0"/>
                <w:bCs/>
                <w:color w:val="auto"/>
                <w:szCs w:val="21"/>
                <w:highlight w:val="none"/>
              </w:rPr>
              <w:t>业绩分</w:t>
            </w:r>
          </w:p>
          <w:p w14:paraId="65EB8F33">
            <w:pPr>
              <w:spacing w:line="400" w:lineRule="exact"/>
              <w:jc w:val="center"/>
              <w:rPr>
                <w:rFonts w:hint="eastAsia" w:cs="Tahoma" w:asciiTheme="majorEastAsia" w:hAnsiTheme="majorEastAsia" w:eastAsiaTheme="majorEastAsia"/>
                <w:color w:val="auto"/>
                <w:kern w:val="0"/>
                <w:szCs w:val="21"/>
                <w:highlight w:val="none"/>
              </w:rPr>
            </w:pPr>
            <w:r>
              <w:rPr>
                <w:rFonts w:hint="eastAsia" w:cs="宋体" w:asciiTheme="minorEastAsia" w:hAnsiTheme="minorEastAsia" w:eastAsiaTheme="minorEastAsia"/>
                <w:b w:val="0"/>
                <w:bCs/>
                <w:color w:val="auto"/>
                <w:szCs w:val="21"/>
                <w:highlight w:val="none"/>
              </w:rPr>
              <w:t>（</w:t>
            </w:r>
            <w:r>
              <w:rPr>
                <w:rFonts w:hint="eastAsia" w:cs="宋体" w:asciiTheme="minorEastAsia" w:hAnsiTheme="minorEastAsia" w:eastAsiaTheme="minorEastAsia"/>
                <w:b w:val="0"/>
                <w:bCs/>
                <w:color w:val="auto"/>
                <w:szCs w:val="21"/>
                <w:highlight w:val="none"/>
                <w:lang w:val="en-US" w:eastAsia="zh-CN"/>
              </w:rPr>
              <w:t>10</w:t>
            </w:r>
            <w:r>
              <w:rPr>
                <w:rFonts w:hint="eastAsia" w:cs="宋体" w:asciiTheme="minorEastAsia" w:hAnsiTheme="minorEastAsia" w:eastAsiaTheme="minorEastAsia"/>
                <w:b w:val="0"/>
                <w:bCs/>
                <w:color w:val="auto"/>
                <w:szCs w:val="21"/>
                <w:highlight w:val="none"/>
              </w:rPr>
              <w:t>分）</w:t>
            </w:r>
          </w:p>
        </w:tc>
        <w:tc>
          <w:tcPr>
            <w:tcW w:w="6396" w:type="dxa"/>
            <w:tcBorders>
              <w:top w:val="single" w:color="auto" w:sz="4" w:space="0"/>
              <w:left w:val="single" w:color="auto" w:sz="4" w:space="0"/>
              <w:bottom w:val="single" w:color="auto" w:sz="4" w:space="0"/>
              <w:right w:val="single" w:color="auto" w:sz="4" w:space="0"/>
            </w:tcBorders>
          </w:tcPr>
          <w:p w14:paraId="1BAFDB08">
            <w:pPr>
              <w:spacing w:line="400" w:lineRule="exact"/>
              <w:jc w:val="left"/>
              <w:rPr>
                <w:rFonts w:hint="eastAsia" w:asciiTheme="majorEastAsia" w:hAnsiTheme="majorEastAsia" w:eastAsiaTheme="majorEastAsia"/>
                <w:b/>
                <w:bCs/>
                <w:color w:val="auto"/>
                <w:kern w:val="0"/>
                <w:szCs w:val="21"/>
                <w:highlight w:val="none"/>
                <w:lang w:eastAsia="zh-CN"/>
              </w:rPr>
            </w:pPr>
            <w:r>
              <w:rPr>
                <w:rFonts w:hint="eastAsia" w:cs="宋体" w:asciiTheme="minorEastAsia" w:hAnsiTheme="minorEastAsia" w:eastAsiaTheme="minorEastAsia"/>
                <w:color w:val="auto"/>
                <w:szCs w:val="21"/>
                <w:highlight w:val="none"/>
              </w:rPr>
              <w:t>供应商自20</w:t>
            </w:r>
            <w:r>
              <w:rPr>
                <w:rFonts w:hint="eastAsia" w:cs="宋体" w:asciiTheme="minorEastAsia" w:hAnsiTheme="minorEastAsia"/>
                <w:color w:val="auto"/>
                <w:szCs w:val="21"/>
                <w:highlight w:val="none"/>
                <w:lang w:val="en-US" w:eastAsia="zh-CN"/>
              </w:rPr>
              <w:t>22</w:t>
            </w:r>
            <w:r>
              <w:rPr>
                <w:rFonts w:hint="eastAsia" w:cs="宋体" w:asciiTheme="minorEastAsia" w:hAnsiTheme="minorEastAsia" w:eastAsiaTheme="minorEastAsia"/>
                <w:color w:val="auto"/>
                <w:szCs w:val="21"/>
                <w:highlight w:val="none"/>
              </w:rPr>
              <w:t>年以来承接过同类项目业绩（同类</w:t>
            </w:r>
            <w:r>
              <w:rPr>
                <w:rFonts w:cs="宋体" w:asciiTheme="minorEastAsia" w:hAnsiTheme="minorEastAsia" w:eastAsiaTheme="minorEastAsia"/>
                <w:color w:val="auto"/>
                <w:szCs w:val="21"/>
                <w:highlight w:val="none"/>
              </w:rPr>
              <w:t>项目指</w:t>
            </w:r>
            <w:r>
              <w:rPr>
                <w:rFonts w:hint="eastAsia" w:cs="宋体" w:asciiTheme="minorEastAsia" w:hAnsiTheme="minorEastAsia" w:eastAsiaTheme="minorEastAsia"/>
                <w:color w:val="auto"/>
                <w:szCs w:val="21"/>
                <w:highlight w:val="none"/>
              </w:rPr>
              <w:t>电力修缮或电力提升工程</w:t>
            </w:r>
            <w:r>
              <w:rPr>
                <w:rFonts w:hint="eastAsia" w:cs="宋体" w:asciiTheme="minorEastAsia" w:hAnsiTheme="minorEastAsia" w:eastAsiaTheme="minorEastAsia"/>
                <w:color w:val="auto"/>
                <w:szCs w:val="21"/>
                <w:highlight w:val="none"/>
                <w:lang w:eastAsia="zh-CN"/>
              </w:rPr>
              <w:t>或</w:t>
            </w:r>
            <w:r>
              <w:rPr>
                <w:rFonts w:hint="eastAsia" w:cs="宋体" w:asciiTheme="minorEastAsia" w:hAnsiTheme="minorEastAsia" w:eastAsiaTheme="minorEastAsia"/>
                <w:color w:val="auto"/>
                <w:szCs w:val="21"/>
                <w:highlight w:val="none"/>
              </w:rPr>
              <w:t>电力</w:t>
            </w:r>
            <w:r>
              <w:rPr>
                <w:rFonts w:hint="eastAsia" w:cs="宋体" w:asciiTheme="minorEastAsia" w:hAnsiTheme="minorEastAsia" w:eastAsiaTheme="minorEastAsia"/>
                <w:color w:val="auto"/>
                <w:szCs w:val="21"/>
                <w:highlight w:val="none"/>
                <w:lang w:eastAsia="zh-CN"/>
              </w:rPr>
              <w:t>新建工程或电力改造等电力工程项目</w:t>
            </w:r>
            <w:r>
              <w:rPr>
                <w:rFonts w:hint="eastAsia" w:cs="宋体" w:asciiTheme="minorEastAsia" w:hAnsiTheme="minorEastAsia" w:eastAsiaTheme="minorEastAsia"/>
                <w:color w:val="auto"/>
                <w:szCs w:val="21"/>
                <w:highlight w:val="none"/>
              </w:rPr>
              <w:t>）的【响应文件中提供中标（成交）通知书或合同协议书复印件，要求能清晰反映工程名称、工程内容、金额，同一个编号的项目有两个或两个以上的分标中标的只算1个业绩，加盖供应商电子签章</w:t>
            </w:r>
            <w:r>
              <w:rPr>
                <w:rFonts w:hint="eastAsia" w:cs="宋体" w:asciiTheme="minorEastAsia" w:hAnsiTheme="minorEastAsia" w:eastAsiaTheme="minorEastAsia"/>
                <w:color w:val="auto"/>
                <w:szCs w:val="21"/>
                <w:highlight w:val="none"/>
                <w:lang w:eastAsia="zh-CN"/>
              </w:rPr>
              <w:t>，</w:t>
            </w:r>
            <w:r>
              <w:rPr>
                <w:rFonts w:hint="eastAsia"/>
                <w:color w:val="auto"/>
                <w:highlight w:val="none"/>
                <w:lang w:eastAsia="zh-CN"/>
              </w:rPr>
              <w:t>否则不予认可</w:t>
            </w:r>
            <w:r>
              <w:rPr>
                <w:rFonts w:hint="eastAsia" w:cs="宋体" w:asciiTheme="minorEastAsia" w:hAnsiTheme="minorEastAsia" w:eastAsiaTheme="minorEastAsia"/>
                <w:color w:val="auto"/>
                <w:szCs w:val="21"/>
                <w:highlight w:val="none"/>
              </w:rPr>
              <w:t>】，每提供1项业绩得2分，最多得10分。</w:t>
            </w:r>
          </w:p>
        </w:tc>
      </w:tr>
      <w:tr w14:paraId="085E3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873" w:type="dxa"/>
            <w:gridSpan w:val="3"/>
            <w:tcBorders>
              <w:top w:val="single" w:color="auto" w:sz="4" w:space="0"/>
              <w:left w:val="single" w:color="auto" w:sz="4" w:space="0"/>
              <w:bottom w:val="single" w:color="auto" w:sz="4" w:space="0"/>
              <w:right w:val="single" w:color="auto" w:sz="4" w:space="0"/>
            </w:tcBorders>
          </w:tcPr>
          <w:p w14:paraId="40478F1F">
            <w:pPr>
              <w:pStyle w:val="27"/>
              <w:spacing w:line="440" w:lineRule="exact"/>
              <w:rPr>
                <w:rFonts w:hint="eastAsia" w:asciiTheme="majorEastAsia" w:hAnsiTheme="majorEastAsia" w:eastAsiaTheme="majorEastAsia"/>
                <w:color w:val="auto"/>
                <w:kern w:val="2"/>
                <w:sz w:val="21"/>
                <w:highlight w:val="none"/>
              </w:rPr>
            </w:pPr>
            <w:r>
              <w:rPr>
                <w:rFonts w:hint="eastAsia" w:asciiTheme="majorEastAsia" w:hAnsiTheme="majorEastAsia" w:eastAsiaTheme="majorEastAsia"/>
                <w:color w:val="auto"/>
                <w:kern w:val="2"/>
                <w:sz w:val="21"/>
                <w:highlight w:val="none"/>
              </w:rPr>
              <w:t>总得分为以上各项评审因素得分合计</w:t>
            </w:r>
          </w:p>
        </w:tc>
      </w:tr>
    </w:tbl>
    <w:p w14:paraId="0A3E6ABC">
      <w:pPr>
        <w:spacing w:line="400" w:lineRule="exact"/>
        <w:rPr>
          <w:rFonts w:hint="eastAsia" w:ascii="宋体" w:hAnsi="宋体" w:cs="宋体"/>
          <w:color w:val="auto"/>
          <w:highlight w:val="none"/>
        </w:rPr>
      </w:pPr>
    </w:p>
    <w:p w14:paraId="5140C614">
      <w:pPr>
        <w:pStyle w:val="2"/>
        <w:jc w:val="center"/>
        <w:rPr>
          <w:rFonts w:hint="eastAsia" w:ascii="宋体" w:hAnsi="宋体" w:cs="宋体"/>
          <w:color w:val="auto"/>
          <w:highlight w:val="none"/>
        </w:rPr>
      </w:pPr>
    </w:p>
    <w:p w14:paraId="3CFBC622">
      <w:pPr>
        <w:pStyle w:val="2"/>
        <w:jc w:val="center"/>
        <w:rPr>
          <w:rFonts w:hint="eastAsia" w:ascii="宋体" w:hAnsi="宋体" w:cs="宋体"/>
          <w:color w:val="auto"/>
          <w:highlight w:val="none"/>
        </w:rPr>
      </w:pPr>
    </w:p>
    <w:p w14:paraId="21ECCA2A">
      <w:pPr>
        <w:rPr>
          <w:rFonts w:hint="eastAsia" w:ascii="宋体" w:hAnsi="宋体" w:cs="宋体"/>
          <w:color w:val="auto"/>
          <w:highlight w:val="none"/>
        </w:rPr>
      </w:pPr>
    </w:p>
    <w:p w14:paraId="14146F7F">
      <w:pPr>
        <w:rPr>
          <w:rFonts w:hint="eastAsia" w:ascii="宋体" w:hAnsi="宋体" w:cs="宋体"/>
          <w:color w:val="auto"/>
          <w:highlight w:val="none"/>
        </w:rPr>
      </w:pPr>
    </w:p>
    <w:p w14:paraId="6F06247D">
      <w:pPr>
        <w:rPr>
          <w:rFonts w:hint="eastAsia" w:ascii="宋体" w:hAnsi="宋体" w:cs="宋体"/>
          <w:color w:val="auto"/>
          <w:highlight w:val="none"/>
        </w:rPr>
      </w:pPr>
    </w:p>
    <w:p w14:paraId="59B2C8F1">
      <w:pPr>
        <w:rPr>
          <w:rFonts w:hint="eastAsia" w:ascii="宋体" w:hAnsi="宋体" w:cs="宋体"/>
          <w:color w:val="auto"/>
          <w:highlight w:val="none"/>
        </w:rPr>
      </w:pPr>
    </w:p>
    <w:p w14:paraId="3AD3B75E">
      <w:pPr>
        <w:pStyle w:val="2"/>
        <w:jc w:val="center"/>
        <w:rPr>
          <w:color w:val="auto"/>
          <w:highlight w:val="none"/>
        </w:rPr>
      </w:pPr>
    </w:p>
    <w:p w14:paraId="672E679D">
      <w:pPr>
        <w:pStyle w:val="2"/>
        <w:jc w:val="center"/>
        <w:rPr>
          <w:color w:val="auto"/>
          <w:highlight w:val="none"/>
        </w:rPr>
      </w:pPr>
    </w:p>
    <w:p w14:paraId="7A49E366">
      <w:pPr>
        <w:pStyle w:val="2"/>
        <w:jc w:val="center"/>
        <w:rPr>
          <w:color w:val="auto"/>
          <w:highlight w:val="none"/>
        </w:rPr>
      </w:pPr>
    </w:p>
    <w:p w14:paraId="13C7E16C">
      <w:pPr>
        <w:pStyle w:val="2"/>
        <w:jc w:val="center"/>
        <w:rPr>
          <w:color w:val="auto"/>
          <w:highlight w:val="none"/>
        </w:rPr>
      </w:pPr>
      <w:r>
        <w:rPr>
          <w:rFonts w:hint="eastAsia"/>
          <w:color w:val="auto"/>
          <w:highlight w:val="none"/>
        </w:rPr>
        <w:t>第五章 工程量清单及图纸</w:t>
      </w:r>
    </w:p>
    <w:p w14:paraId="761F96B7">
      <w:pPr>
        <w:pStyle w:val="2"/>
        <w:jc w:val="center"/>
        <w:rPr>
          <w:color w:val="auto"/>
          <w:highlight w:val="none"/>
        </w:rPr>
      </w:pPr>
    </w:p>
    <w:p w14:paraId="1E6661B3">
      <w:pPr>
        <w:spacing w:line="360" w:lineRule="auto"/>
        <w:ind w:firstLine="420" w:firstLineChars="200"/>
        <w:rPr>
          <w:color w:val="auto"/>
          <w:highlight w:val="none"/>
        </w:rPr>
      </w:pPr>
      <w:r>
        <w:rPr>
          <w:color w:val="auto"/>
          <w:highlight w:val="none"/>
        </w:rPr>
        <w:br w:type="page"/>
      </w:r>
      <w:r>
        <w:rPr>
          <w:color w:val="auto"/>
          <w:highlight w:val="none"/>
        </w:rPr>
        <w:t>1.1</w:t>
      </w:r>
      <w:r>
        <w:rPr>
          <w:rFonts w:hint="eastAsia" w:hAnsi="宋体" w:cs="宋体"/>
          <w:color w:val="auto"/>
          <w:highlight w:val="none"/>
        </w:rPr>
        <w:t>本工程量清单依据《建设工程工程量清单计价规范</w:t>
      </w:r>
      <w:r>
        <w:rPr>
          <w:rFonts w:hint="eastAsia" w:cs="宋体"/>
          <w:color w:val="auto"/>
          <w:highlight w:val="none"/>
        </w:rPr>
        <w:t>（</w:t>
      </w:r>
      <w:r>
        <w:rPr>
          <w:color w:val="auto"/>
          <w:highlight w:val="none"/>
        </w:rPr>
        <w:t>GB50500-2013</w:t>
      </w:r>
      <w:r>
        <w:rPr>
          <w:rFonts w:hint="eastAsia" w:cs="宋体"/>
          <w:color w:val="auto"/>
          <w:highlight w:val="none"/>
        </w:rPr>
        <w:t>）</w:t>
      </w:r>
      <w:r>
        <w:rPr>
          <w:rFonts w:hint="eastAsia" w:hAnsi="宋体" w:cs="宋体"/>
          <w:color w:val="auto"/>
          <w:highlight w:val="none"/>
        </w:rPr>
        <w:t>广西实施细则》（以下简称</w:t>
      </w:r>
      <w:r>
        <w:rPr>
          <w:color w:val="auto"/>
          <w:highlight w:val="none"/>
        </w:rPr>
        <w:t>“</w:t>
      </w:r>
      <w:r>
        <w:rPr>
          <w:rFonts w:hint="eastAsia" w:hAnsi="宋体" w:cs="宋体"/>
          <w:color w:val="auto"/>
          <w:highlight w:val="none"/>
        </w:rPr>
        <w:t>《计价规范》</w:t>
      </w:r>
      <w:r>
        <w:rPr>
          <w:color w:val="auto"/>
          <w:highlight w:val="none"/>
        </w:rPr>
        <w:t>”</w:t>
      </w:r>
      <w:r>
        <w:rPr>
          <w:rFonts w:hint="eastAsia" w:cs="宋体"/>
          <w:color w:val="auto"/>
          <w:highlight w:val="none"/>
        </w:rPr>
        <w:t>）</w:t>
      </w:r>
      <w:r>
        <w:rPr>
          <w:rFonts w:hint="eastAsia" w:hAnsi="宋体" w:cs="宋体"/>
          <w:color w:val="auto"/>
          <w:highlight w:val="none"/>
        </w:rPr>
        <w:t>、《工程量清单计算规范（</w:t>
      </w:r>
      <w:r>
        <w:rPr>
          <w:color w:val="auto"/>
          <w:highlight w:val="none"/>
        </w:rPr>
        <w:t>GB50854~50862-2013</w:t>
      </w:r>
      <w:r>
        <w:rPr>
          <w:rFonts w:hint="eastAsia" w:hAnsi="宋体" w:cs="宋体"/>
          <w:color w:val="auto"/>
          <w:highlight w:val="none"/>
        </w:rPr>
        <w:t>）》及广西实施细则（修订本）（以下简称</w:t>
      </w:r>
      <w:r>
        <w:rPr>
          <w:color w:val="auto"/>
          <w:highlight w:val="none"/>
        </w:rPr>
        <w:t>“</w:t>
      </w:r>
      <w:r>
        <w:rPr>
          <w:rFonts w:hint="eastAsia" w:hAnsi="宋体" w:cs="宋体"/>
          <w:color w:val="auto"/>
          <w:highlight w:val="none"/>
        </w:rPr>
        <w:t>《计算规范》</w:t>
      </w:r>
      <w:r>
        <w:rPr>
          <w:color w:val="auto"/>
          <w:highlight w:val="none"/>
        </w:rPr>
        <w:t>”</w:t>
      </w:r>
      <w:r>
        <w:rPr>
          <w:rFonts w:hint="eastAsia" w:hAnsi="宋体" w:cs="宋体"/>
          <w:color w:val="auto"/>
          <w:highlight w:val="none"/>
        </w:rPr>
        <w:t>）、</w:t>
      </w:r>
      <w:r>
        <w:rPr>
          <w:rFonts w:hint="eastAsia" w:hAnsi="宋体" w:cs="宋体"/>
          <w:color w:val="auto"/>
          <w:kern w:val="0"/>
          <w:highlight w:val="none"/>
        </w:rPr>
        <w:t>《关于建筑业实施营业税改征增值税后广西壮族自治区建设工程计价依据调整的通知》（桂建标〔</w:t>
      </w:r>
      <w:r>
        <w:rPr>
          <w:rFonts w:hAnsi="宋体"/>
          <w:color w:val="auto"/>
          <w:kern w:val="0"/>
          <w:highlight w:val="none"/>
        </w:rPr>
        <w:t>2016</w:t>
      </w:r>
      <w:r>
        <w:rPr>
          <w:rFonts w:hint="eastAsia" w:hAnsi="宋体" w:cs="宋体"/>
          <w:color w:val="auto"/>
          <w:kern w:val="0"/>
          <w:highlight w:val="none"/>
        </w:rPr>
        <w:t>〕</w:t>
      </w:r>
      <w:r>
        <w:rPr>
          <w:rFonts w:hAnsi="宋体"/>
          <w:color w:val="auto"/>
          <w:kern w:val="0"/>
          <w:highlight w:val="none"/>
        </w:rPr>
        <w:t>17</w:t>
      </w:r>
      <w:r>
        <w:rPr>
          <w:rFonts w:hint="eastAsia" w:hAnsi="宋体" w:cs="宋体"/>
          <w:color w:val="auto"/>
          <w:kern w:val="0"/>
          <w:highlight w:val="none"/>
        </w:rPr>
        <w:t>号）、磋商文件</w:t>
      </w:r>
      <w:r>
        <w:rPr>
          <w:rFonts w:hint="eastAsia" w:hAnsi="宋体" w:cs="宋体"/>
          <w:color w:val="auto"/>
          <w:highlight w:val="none"/>
        </w:rPr>
        <w:t>、施工图等编制。计算规范中没有的清单项目，应在本章第</w:t>
      </w:r>
      <w:r>
        <w:rPr>
          <w:color w:val="auto"/>
          <w:highlight w:val="none"/>
        </w:rPr>
        <w:t>1.4</w:t>
      </w:r>
      <w:r>
        <w:rPr>
          <w:rFonts w:hint="eastAsia" w:hAnsi="宋体" w:cs="宋体"/>
          <w:color w:val="auto"/>
          <w:highlight w:val="none"/>
        </w:rPr>
        <w:t>款约定。</w:t>
      </w:r>
    </w:p>
    <w:p w14:paraId="58BEC081">
      <w:pPr>
        <w:spacing w:line="360" w:lineRule="auto"/>
        <w:ind w:firstLine="420" w:firstLineChars="200"/>
        <w:rPr>
          <w:color w:val="auto"/>
          <w:highlight w:val="none"/>
        </w:rPr>
      </w:pPr>
      <w:r>
        <w:rPr>
          <w:color w:val="auto"/>
          <w:highlight w:val="none"/>
        </w:rPr>
        <w:t xml:space="preserve">1.2 </w:t>
      </w:r>
      <w:r>
        <w:rPr>
          <w:rFonts w:hint="eastAsia"/>
          <w:color w:val="auto"/>
          <w:highlight w:val="none"/>
        </w:rPr>
        <w:t>工程量清单应与供应商须知、合同协议条款、合同的通用条款、合同专用条款、技术规范及图纸等文件一起结合使用。</w:t>
      </w:r>
    </w:p>
    <w:p w14:paraId="28EC02B6">
      <w:pPr>
        <w:spacing w:line="360" w:lineRule="auto"/>
        <w:ind w:firstLine="420" w:firstLineChars="200"/>
        <w:rPr>
          <w:color w:val="auto"/>
          <w:highlight w:val="none"/>
        </w:rPr>
      </w:pPr>
      <w:r>
        <w:rPr>
          <w:color w:val="auto"/>
          <w:highlight w:val="none"/>
        </w:rPr>
        <w:t xml:space="preserve">1.3 </w:t>
      </w:r>
      <w:r>
        <w:rPr>
          <w:rFonts w:hint="eastAsia" w:cs="宋体"/>
          <w:color w:val="auto"/>
          <w:highlight w:val="none"/>
        </w:rPr>
        <w:t>工程量清单是磋商文件的组成部分，是工程量清单计价的基础，作为编制招标控制价、竞标报价、计算或调整工程量、索赔等的依据之一。</w:t>
      </w:r>
    </w:p>
    <w:p w14:paraId="0130BE89">
      <w:pPr>
        <w:spacing w:line="360" w:lineRule="auto"/>
        <w:ind w:firstLine="420" w:firstLineChars="200"/>
        <w:rPr>
          <w:color w:val="auto"/>
          <w:highlight w:val="none"/>
        </w:rPr>
      </w:pPr>
      <w:r>
        <w:rPr>
          <w:color w:val="auto"/>
          <w:highlight w:val="none"/>
        </w:rPr>
        <w:t xml:space="preserve">1.4 </w:t>
      </w:r>
      <w:r>
        <w:rPr>
          <w:rFonts w:hint="eastAsia" w:cs="宋体"/>
          <w:color w:val="auto"/>
          <w:highlight w:val="none"/>
        </w:rPr>
        <w:t>补充清单项目的特征、计量单位、工程量计算规则及工作内容说明如下：</w:t>
      </w:r>
      <w:r>
        <w:rPr>
          <w:rFonts w:hint="eastAsia"/>
          <w:color w:val="auto"/>
          <w:highlight w:val="none"/>
          <w:u w:val="single"/>
        </w:rPr>
        <w:t>无</w:t>
      </w:r>
      <w:r>
        <w:rPr>
          <w:rFonts w:hint="eastAsia" w:hAnsi="宋体" w:cs="宋体"/>
          <w:color w:val="auto"/>
          <w:highlight w:val="none"/>
        </w:rPr>
        <w:t>。</w:t>
      </w:r>
    </w:p>
    <w:p w14:paraId="14392B42">
      <w:pPr>
        <w:pStyle w:val="27"/>
        <w:spacing w:line="360" w:lineRule="auto"/>
        <w:ind w:firstLine="420" w:firstLineChars="200"/>
        <w:rPr>
          <w:rFonts w:hint="eastAsia" w:ascii="Times New Roman" w:hAnsi="Times New Roman"/>
          <w:color w:val="auto"/>
          <w:sz w:val="21"/>
          <w:highlight w:val="none"/>
        </w:rPr>
      </w:pPr>
      <w:r>
        <w:rPr>
          <w:rFonts w:ascii="Times New Roman" w:hAnsi="Times New Roman"/>
          <w:color w:val="auto"/>
          <w:sz w:val="21"/>
          <w:highlight w:val="none"/>
        </w:rPr>
        <w:t>1.</w:t>
      </w:r>
      <w:r>
        <w:rPr>
          <w:rFonts w:hint="eastAsia" w:ascii="Times New Roman" w:hAnsi="Times New Roman"/>
          <w:color w:val="auto"/>
          <w:sz w:val="21"/>
          <w:highlight w:val="none"/>
          <w:lang w:val="en-US" w:eastAsia="zh-CN"/>
        </w:rPr>
        <w:t>5</w:t>
      </w:r>
      <w:r>
        <w:rPr>
          <w:rFonts w:ascii="Times New Roman" w:hAnsi="Times New Roman"/>
          <w:color w:val="auto"/>
          <w:sz w:val="21"/>
          <w:highlight w:val="none"/>
        </w:rPr>
        <w:t xml:space="preserve"> </w:t>
      </w:r>
      <w:r>
        <w:rPr>
          <w:rFonts w:hint="eastAsia" w:ascii="Times New Roman" w:hAnsi="Times New Roman"/>
          <w:color w:val="auto"/>
          <w:sz w:val="21"/>
          <w:highlight w:val="none"/>
        </w:rPr>
        <w:t>本工程暂列金额：无。</w:t>
      </w:r>
    </w:p>
    <w:p w14:paraId="5144E77B">
      <w:pPr>
        <w:spacing w:line="360" w:lineRule="auto"/>
        <w:ind w:firstLine="420" w:firstLineChars="200"/>
        <w:rPr>
          <w:color w:val="auto"/>
          <w:highlight w:val="none"/>
        </w:rPr>
      </w:pPr>
      <w:r>
        <w:rPr>
          <w:color w:val="auto"/>
          <w:highlight w:val="none"/>
        </w:rPr>
        <w:t>1.</w:t>
      </w:r>
      <w:r>
        <w:rPr>
          <w:rFonts w:hint="eastAsia"/>
          <w:color w:val="auto"/>
          <w:highlight w:val="none"/>
          <w:lang w:val="en-US" w:eastAsia="zh-CN"/>
        </w:rPr>
        <w:t>6</w:t>
      </w:r>
      <w:r>
        <w:rPr>
          <w:color w:val="auto"/>
          <w:highlight w:val="none"/>
        </w:rPr>
        <w:t xml:space="preserve"> </w:t>
      </w:r>
      <w:r>
        <w:rPr>
          <w:rFonts w:hint="eastAsia" w:cs="宋体"/>
          <w:color w:val="auto"/>
          <w:highlight w:val="none"/>
        </w:rPr>
        <w:t>本工程部分材料和设备在磋商时作为暂估价计列，结算按实调整，具体内容详见《其他项目费用汇总表》（表</w:t>
      </w:r>
      <w:r>
        <w:rPr>
          <w:rFonts w:hint="eastAsia"/>
          <w:color w:val="auto"/>
          <w:highlight w:val="none"/>
        </w:rPr>
        <w:t>-11</w:t>
      </w:r>
      <w:r>
        <w:rPr>
          <w:rFonts w:hint="eastAsia" w:cs="宋体"/>
          <w:color w:val="auto"/>
          <w:highlight w:val="none"/>
        </w:rPr>
        <w:t>）。</w:t>
      </w:r>
    </w:p>
    <w:p w14:paraId="47D33981">
      <w:pPr>
        <w:spacing w:line="360" w:lineRule="auto"/>
        <w:ind w:firstLine="420" w:firstLineChars="200"/>
        <w:rPr>
          <w:color w:val="auto"/>
          <w:highlight w:val="none"/>
        </w:rPr>
      </w:pPr>
      <w:r>
        <w:rPr>
          <w:color w:val="auto"/>
          <w:highlight w:val="none"/>
        </w:rPr>
        <w:t>1.</w:t>
      </w:r>
      <w:r>
        <w:rPr>
          <w:rFonts w:hint="eastAsia"/>
          <w:color w:val="auto"/>
          <w:highlight w:val="none"/>
          <w:lang w:val="en-US" w:eastAsia="zh-CN"/>
        </w:rPr>
        <w:t>7</w:t>
      </w:r>
      <w:r>
        <w:rPr>
          <w:color w:val="auto"/>
          <w:highlight w:val="none"/>
        </w:rPr>
        <w:t xml:space="preserve"> </w:t>
      </w:r>
      <w:r>
        <w:rPr>
          <w:rFonts w:hint="eastAsia" w:cs="宋体"/>
          <w:color w:val="auto"/>
          <w:highlight w:val="none"/>
        </w:rPr>
        <w:t>磋商时暂估专业工程的价款属于暂估价，结算按实调整，具体内容详见《其他项目费用汇总表》（表</w:t>
      </w:r>
      <w:r>
        <w:rPr>
          <w:rFonts w:hint="eastAsia"/>
          <w:color w:val="auto"/>
          <w:highlight w:val="none"/>
        </w:rPr>
        <w:t>-11</w:t>
      </w:r>
      <w:r>
        <w:rPr>
          <w:rFonts w:hint="eastAsia" w:cs="宋体"/>
          <w:color w:val="auto"/>
          <w:highlight w:val="none"/>
        </w:rPr>
        <w:t>）。</w:t>
      </w:r>
    </w:p>
    <w:p w14:paraId="73EF577A">
      <w:pPr>
        <w:spacing w:line="360" w:lineRule="auto"/>
        <w:ind w:firstLine="420" w:firstLineChars="200"/>
        <w:rPr>
          <w:color w:val="auto"/>
          <w:highlight w:val="none"/>
        </w:rPr>
      </w:pPr>
      <w:r>
        <w:rPr>
          <w:color w:val="auto"/>
          <w:highlight w:val="none"/>
        </w:rPr>
        <w:t>1.</w:t>
      </w:r>
      <w:r>
        <w:rPr>
          <w:rFonts w:hint="eastAsia"/>
          <w:color w:val="auto"/>
          <w:highlight w:val="none"/>
          <w:lang w:val="en-US" w:eastAsia="zh-CN"/>
        </w:rPr>
        <w:t>8</w:t>
      </w:r>
      <w:r>
        <w:rPr>
          <w:color w:val="auto"/>
          <w:highlight w:val="none"/>
        </w:rPr>
        <w:t xml:space="preserve"> </w:t>
      </w:r>
      <w:r>
        <w:rPr>
          <w:rFonts w:hint="eastAsia"/>
          <w:color w:val="auto"/>
          <w:highlight w:val="none"/>
          <w:lang w:eastAsia="zh-CN"/>
        </w:rPr>
        <w:t>其他</w:t>
      </w:r>
      <w:r>
        <w:rPr>
          <w:rFonts w:hint="eastAsia" w:cs="宋体"/>
          <w:color w:val="auto"/>
          <w:highlight w:val="none"/>
        </w:rPr>
        <w:t>需要说明的问题：</w:t>
      </w:r>
      <w:r>
        <w:rPr>
          <w:rFonts w:hint="eastAsia" w:cs="宋体"/>
          <w:color w:val="auto"/>
          <w:highlight w:val="none"/>
          <w:u w:val="single"/>
          <w:lang w:eastAsia="zh-CN"/>
        </w:rPr>
        <w:t>详见工程量清单</w:t>
      </w:r>
      <w:r>
        <w:rPr>
          <w:rFonts w:hint="eastAsia" w:cs="宋体"/>
          <w:color w:val="auto"/>
          <w:highlight w:val="none"/>
        </w:rPr>
        <w:t>。</w:t>
      </w:r>
    </w:p>
    <w:p w14:paraId="3FFBDAC2">
      <w:pPr>
        <w:spacing w:line="360" w:lineRule="auto"/>
        <w:ind w:firstLine="420" w:firstLineChars="200"/>
        <w:jc w:val="left"/>
        <w:rPr>
          <w:color w:val="auto"/>
          <w:highlight w:val="none"/>
        </w:rPr>
      </w:pPr>
      <w:r>
        <w:rPr>
          <w:color w:val="auto"/>
          <w:highlight w:val="none"/>
        </w:rPr>
        <w:t>1.</w:t>
      </w:r>
      <w:r>
        <w:rPr>
          <w:rFonts w:hint="eastAsia"/>
          <w:color w:val="auto"/>
          <w:highlight w:val="none"/>
          <w:lang w:val="en-US" w:eastAsia="zh-CN"/>
        </w:rPr>
        <w:t>9</w:t>
      </w:r>
      <w:r>
        <w:rPr>
          <w:color w:val="auto"/>
          <w:highlight w:val="none"/>
        </w:rPr>
        <w:t xml:space="preserve"> </w:t>
      </w:r>
      <w:r>
        <w:rPr>
          <w:rFonts w:hint="eastAsia" w:cs="宋体"/>
          <w:color w:val="auto"/>
          <w:highlight w:val="none"/>
        </w:rPr>
        <w:t>工程量清单与磋商文件同时发布。</w:t>
      </w:r>
      <w:r>
        <w:rPr>
          <w:color w:val="auto"/>
          <w:highlight w:val="none"/>
        </w:rPr>
        <w:t xml:space="preserve"> </w:t>
      </w:r>
      <w:r>
        <w:rPr>
          <w:rFonts w:hint="eastAsia" w:cs="宋体"/>
          <w:color w:val="auto"/>
          <w:highlight w:val="none"/>
        </w:rPr>
        <w:t>一般计税法建设工程的工程量清单表格按</w:t>
      </w:r>
      <w:r>
        <w:rPr>
          <w:rFonts w:hint="eastAsia" w:hAnsi="宋体" w:cs="宋体"/>
          <w:color w:val="auto"/>
          <w:kern w:val="0"/>
          <w:highlight w:val="none"/>
        </w:rPr>
        <w:t>《关于建筑业实施营业税改征增值税后广西壮族自治区建设工程计价依据调整的通知》（桂建标〔</w:t>
      </w:r>
      <w:r>
        <w:rPr>
          <w:rFonts w:hAnsi="宋体"/>
          <w:color w:val="auto"/>
          <w:kern w:val="0"/>
          <w:highlight w:val="none"/>
        </w:rPr>
        <w:t>2016</w:t>
      </w:r>
      <w:r>
        <w:rPr>
          <w:rFonts w:hint="eastAsia" w:hAnsi="宋体" w:cs="宋体"/>
          <w:color w:val="auto"/>
          <w:kern w:val="0"/>
          <w:highlight w:val="none"/>
        </w:rPr>
        <w:t>〕</w:t>
      </w:r>
      <w:r>
        <w:rPr>
          <w:rFonts w:hAnsi="宋体"/>
          <w:color w:val="auto"/>
          <w:kern w:val="0"/>
          <w:highlight w:val="none"/>
        </w:rPr>
        <w:t>17</w:t>
      </w:r>
      <w:r>
        <w:rPr>
          <w:rFonts w:hint="eastAsia" w:hAnsi="宋体" w:cs="宋体"/>
          <w:color w:val="auto"/>
          <w:kern w:val="0"/>
          <w:highlight w:val="none"/>
        </w:rPr>
        <w:t>号）</w:t>
      </w:r>
      <w:r>
        <w:rPr>
          <w:rFonts w:hint="eastAsia" w:ascii="宋体" w:hAnsi="宋体" w:cs="宋体"/>
          <w:color w:val="auto"/>
          <w:highlight w:val="none"/>
        </w:rPr>
        <w:t>附件“增值税一般计税方法工程计价表”要求提供；简易计税法建设工程按照《计价规范》要求的</w:t>
      </w:r>
      <w:r>
        <w:rPr>
          <w:rFonts w:hint="eastAsia" w:cs="宋体"/>
          <w:color w:val="auto"/>
          <w:highlight w:val="none"/>
        </w:rPr>
        <w:t>表格提供，但规费和税费要按照《关于建筑业实施营业税改征增值税后广西壮族自治区建设工程计价依据调整的通知》（桂建标〔</w:t>
      </w:r>
      <w:r>
        <w:rPr>
          <w:color w:val="auto"/>
          <w:highlight w:val="none"/>
        </w:rPr>
        <w:t>2016</w:t>
      </w:r>
      <w:r>
        <w:rPr>
          <w:rFonts w:hint="eastAsia" w:cs="宋体"/>
          <w:color w:val="auto"/>
          <w:highlight w:val="none"/>
        </w:rPr>
        <w:t>〕</w:t>
      </w:r>
      <w:r>
        <w:rPr>
          <w:color w:val="auto"/>
          <w:highlight w:val="none"/>
        </w:rPr>
        <w:t>17</w:t>
      </w:r>
      <w:r>
        <w:rPr>
          <w:rFonts w:hint="eastAsia" w:cs="宋体"/>
          <w:color w:val="auto"/>
          <w:highlight w:val="none"/>
        </w:rPr>
        <w:t>号）</w:t>
      </w:r>
      <w:r>
        <w:rPr>
          <w:rFonts w:hint="eastAsia" w:ascii="宋体" w:hAnsi="宋体" w:cs="宋体"/>
          <w:color w:val="auto"/>
          <w:highlight w:val="none"/>
        </w:rPr>
        <w:t>要求调整，具体</w:t>
      </w:r>
      <w:r>
        <w:rPr>
          <w:rFonts w:hint="eastAsia" w:cs="宋体"/>
          <w:color w:val="auto"/>
          <w:highlight w:val="none"/>
        </w:rPr>
        <w:t>包括：</w:t>
      </w:r>
    </w:p>
    <w:p w14:paraId="3C040CA2">
      <w:pPr>
        <w:spacing w:line="360" w:lineRule="auto"/>
        <w:ind w:firstLine="630" w:firstLineChars="300"/>
        <w:jc w:val="left"/>
        <w:rPr>
          <w:color w:val="auto"/>
          <w:highlight w:val="none"/>
        </w:rPr>
      </w:pPr>
      <w:r>
        <w:rPr>
          <w:color w:val="auto"/>
          <w:highlight w:val="none"/>
        </w:rPr>
        <w:t xml:space="preserve">1.1 </w:t>
      </w:r>
      <w:r>
        <w:rPr>
          <w:rFonts w:hint="eastAsia" w:cs="宋体"/>
          <w:color w:val="auto"/>
          <w:highlight w:val="none"/>
        </w:rPr>
        <w:t>招标工程量清单（封</w:t>
      </w:r>
      <w:r>
        <w:rPr>
          <w:color w:val="auto"/>
          <w:highlight w:val="none"/>
        </w:rPr>
        <w:t>-1</w:t>
      </w:r>
      <w:r>
        <w:rPr>
          <w:rFonts w:hint="eastAsia" w:cs="宋体"/>
          <w:color w:val="auto"/>
          <w:highlight w:val="none"/>
        </w:rPr>
        <w:t>）</w:t>
      </w:r>
    </w:p>
    <w:p w14:paraId="0265799F">
      <w:pPr>
        <w:spacing w:line="360" w:lineRule="auto"/>
        <w:ind w:firstLine="630" w:firstLineChars="300"/>
        <w:jc w:val="left"/>
        <w:rPr>
          <w:color w:val="auto"/>
          <w:highlight w:val="none"/>
        </w:rPr>
      </w:pPr>
      <w:r>
        <w:rPr>
          <w:color w:val="auto"/>
          <w:highlight w:val="none"/>
        </w:rPr>
        <w:t xml:space="preserve">1.2 </w:t>
      </w:r>
      <w:r>
        <w:rPr>
          <w:rFonts w:hint="eastAsia" w:cs="宋体"/>
          <w:color w:val="auto"/>
          <w:highlight w:val="none"/>
        </w:rPr>
        <w:t>招标工程量清单（封扉</w:t>
      </w:r>
      <w:r>
        <w:rPr>
          <w:color w:val="auto"/>
          <w:highlight w:val="none"/>
        </w:rPr>
        <w:t>-1</w:t>
      </w:r>
      <w:r>
        <w:rPr>
          <w:rFonts w:hint="eastAsia" w:cs="宋体"/>
          <w:color w:val="auto"/>
          <w:highlight w:val="none"/>
        </w:rPr>
        <w:t>）</w:t>
      </w:r>
    </w:p>
    <w:p w14:paraId="09F78947">
      <w:pPr>
        <w:spacing w:line="360" w:lineRule="auto"/>
        <w:ind w:firstLine="630" w:firstLineChars="300"/>
        <w:jc w:val="left"/>
        <w:rPr>
          <w:color w:val="auto"/>
          <w:highlight w:val="none"/>
        </w:rPr>
      </w:pPr>
      <w:r>
        <w:rPr>
          <w:color w:val="auto"/>
          <w:highlight w:val="none"/>
        </w:rPr>
        <w:t xml:space="preserve">1.3 </w:t>
      </w:r>
      <w:r>
        <w:rPr>
          <w:rFonts w:hint="eastAsia" w:cs="宋体"/>
          <w:color w:val="auto"/>
          <w:highlight w:val="none"/>
        </w:rPr>
        <w:t>总说明（表</w:t>
      </w:r>
      <w:r>
        <w:rPr>
          <w:color w:val="auto"/>
          <w:highlight w:val="none"/>
        </w:rPr>
        <w:t>-01</w:t>
      </w:r>
      <w:r>
        <w:rPr>
          <w:rFonts w:hint="eastAsia" w:cs="宋体"/>
          <w:color w:val="auto"/>
          <w:highlight w:val="none"/>
        </w:rPr>
        <w:t>）</w:t>
      </w:r>
    </w:p>
    <w:p w14:paraId="785A2B54">
      <w:pPr>
        <w:spacing w:line="360" w:lineRule="auto"/>
        <w:ind w:firstLine="630" w:firstLineChars="300"/>
        <w:jc w:val="left"/>
        <w:rPr>
          <w:color w:val="auto"/>
          <w:highlight w:val="none"/>
        </w:rPr>
      </w:pPr>
      <w:r>
        <w:rPr>
          <w:color w:val="auto"/>
          <w:highlight w:val="none"/>
        </w:rPr>
        <w:t xml:space="preserve">1.4 </w:t>
      </w:r>
      <w:r>
        <w:rPr>
          <w:rFonts w:hint="eastAsia" w:cs="宋体"/>
          <w:color w:val="auto"/>
          <w:highlight w:val="none"/>
        </w:rPr>
        <w:t>建设项目建筑安装工程费汇总表（表</w:t>
      </w:r>
      <w:r>
        <w:rPr>
          <w:color w:val="auto"/>
          <w:highlight w:val="none"/>
        </w:rPr>
        <w:t>-02</w:t>
      </w:r>
      <w:r>
        <w:rPr>
          <w:rFonts w:hint="eastAsia" w:cs="宋体"/>
          <w:color w:val="auto"/>
          <w:highlight w:val="none"/>
        </w:rPr>
        <w:t>）</w:t>
      </w:r>
    </w:p>
    <w:p w14:paraId="363D31BD">
      <w:pPr>
        <w:spacing w:line="360" w:lineRule="auto"/>
        <w:ind w:firstLine="630" w:firstLineChars="300"/>
        <w:jc w:val="left"/>
        <w:rPr>
          <w:color w:val="auto"/>
          <w:highlight w:val="none"/>
        </w:rPr>
      </w:pPr>
      <w:r>
        <w:rPr>
          <w:color w:val="auto"/>
          <w:highlight w:val="none"/>
        </w:rPr>
        <w:t xml:space="preserve">1.5 </w:t>
      </w:r>
      <w:r>
        <w:rPr>
          <w:rFonts w:hint="eastAsia" w:cs="宋体"/>
          <w:color w:val="auto"/>
          <w:highlight w:val="none"/>
        </w:rPr>
        <w:t>单项工程建筑安装工程费汇总表（表</w:t>
      </w:r>
      <w:r>
        <w:rPr>
          <w:color w:val="auto"/>
          <w:highlight w:val="none"/>
        </w:rPr>
        <w:t>-03</w:t>
      </w:r>
      <w:r>
        <w:rPr>
          <w:rFonts w:hint="eastAsia" w:cs="宋体"/>
          <w:color w:val="auto"/>
          <w:highlight w:val="none"/>
        </w:rPr>
        <w:t>）</w:t>
      </w:r>
    </w:p>
    <w:p w14:paraId="64A9F082">
      <w:pPr>
        <w:spacing w:line="360" w:lineRule="auto"/>
        <w:ind w:firstLine="630" w:firstLineChars="300"/>
        <w:jc w:val="left"/>
        <w:rPr>
          <w:color w:val="auto"/>
          <w:highlight w:val="none"/>
        </w:rPr>
      </w:pPr>
      <w:r>
        <w:rPr>
          <w:color w:val="auto"/>
          <w:highlight w:val="none"/>
        </w:rPr>
        <w:t xml:space="preserve">1.6 </w:t>
      </w:r>
      <w:r>
        <w:rPr>
          <w:rFonts w:hint="eastAsia" w:cs="宋体"/>
          <w:color w:val="auto"/>
          <w:highlight w:val="none"/>
        </w:rPr>
        <w:t>单位工程建筑安装工程费汇总表（表</w:t>
      </w:r>
      <w:r>
        <w:rPr>
          <w:color w:val="auto"/>
          <w:highlight w:val="none"/>
        </w:rPr>
        <w:t>-04</w:t>
      </w:r>
      <w:r>
        <w:rPr>
          <w:rFonts w:hint="eastAsia" w:cs="宋体"/>
          <w:color w:val="auto"/>
          <w:highlight w:val="none"/>
        </w:rPr>
        <w:t>）</w:t>
      </w:r>
    </w:p>
    <w:p w14:paraId="667C84B0">
      <w:pPr>
        <w:spacing w:line="360" w:lineRule="auto"/>
        <w:ind w:firstLine="630" w:firstLineChars="300"/>
        <w:jc w:val="left"/>
        <w:rPr>
          <w:rFonts w:hint="eastAsia" w:cs="宋体"/>
          <w:color w:val="auto"/>
          <w:highlight w:val="none"/>
        </w:rPr>
      </w:pPr>
      <w:r>
        <w:rPr>
          <w:color w:val="auto"/>
          <w:highlight w:val="none"/>
        </w:rPr>
        <w:t xml:space="preserve">1.7 </w:t>
      </w:r>
      <w:r>
        <w:rPr>
          <w:rFonts w:hint="eastAsia" w:cs="宋体"/>
          <w:color w:val="auto"/>
          <w:highlight w:val="none"/>
        </w:rPr>
        <w:t>分部分项工程和单价措施项目费用表（表</w:t>
      </w:r>
      <w:r>
        <w:rPr>
          <w:color w:val="auto"/>
          <w:highlight w:val="none"/>
        </w:rPr>
        <w:t>-08</w:t>
      </w:r>
      <w:r>
        <w:rPr>
          <w:rFonts w:hint="eastAsia" w:cs="宋体"/>
          <w:color w:val="auto"/>
          <w:highlight w:val="none"/>
        </w:rPr>
        <w:t>）</w:t>
      </w:r>
    </w:p>
    <w:p w14:paraId="16760FB3">
      <w:pPr>
        <w:spacing w:line="360" w:lineRule="auto"/>
        <w:ind w:firstLine="630" w:firstLineChars="300"/>
        <w:jc w:val="left"/>
        <w:rPr>
          <w:rFonts w:hint="eastAsia" w:eastAsia="宋体" w:cs="宋体"/>
          <w:color w:val="auto"/>
          <w:highlight w:val="none"/>
          <w:lang w:eastAsia="zh-CN"/>
        </w:rPr>
      </w:pPr>
      <w:r>
        <w:rPr>
          <w:rFonts w:hint="eastAsia" w:cs="宋体"/>
          <w:color w:val="auto"/>
          <w:highlight w:val="none"/>
          <w:lang w:val="en-US" w:eastAsia="zh-CN"/>
        </w:rPr>
        <w:t>1.8</w:t>
      </w:r>
      <w:r>
        <w:rPr>
          <w:rFonts w:hint="eastAsia" w:cs="宋体"/>
          <w:color w:val="auto"/>
          <w:highlight w:val="none"/>
        </w:rPr>
        <w:t>总价措施项目费用表</w:t>
      </w:r>
      <w:r>
        <w:rPr>
          <w:rFonts w:hint="eastAsia" w:cs="宋体"/>
          <w:color w:val="auto"/>
          <w:highlight w:val="none"/>
          <w:lang w:eastAsia="zh-CN"/>
        </w:rPr>
        <w:t>（表-10）</w:t>
      </w:r>
    </w:p>
    <w:p w14:paraId="51FB4F7E">
      <w:pPr>
        <w:spacing w:line="360" w:lineRule="auto"/>
        <w:ind w:firstLine="630" w:firstLineChars="300"/>
        <w:jc w:val="left"/>
        <w:rPr>
          <w:color w:val="auto"/>
          <w:highlight w:val="none"/>
        </w:rPr>
      </w:pPr>
      <w:r>
        <w:rPr>
          <w:color w:val="auto"/>
          <w:highlight w:val="none"/>
        </w:rPr>
        <w:t>1.</w:t>
      </w:r>
      <w:r>
        <w:rPr>
          <w:rFonts w:hint="eastAsia"/>
          <w:color w:val="auto"/>
          <w:highlight w:val="none"/>
          <w:lang w:val="en-US" w:eastAsia="zh-CN"/>
        </w:rPr>
        <w:t>9</w:t>
      </w:r>
      <w:r>
        <w:rPr>
          <w:color w:val="auto"/>
          <w:highlight w:val="none"/>
        </w:rPr>
        <w:t xml:space="preserve"> </w:t>
      </w:r>
      <w:r>
        <w:rPr>
          <w:rFonts w:hint="eastAsia" w:cs="宋体"/>
          <w:color w:val="auto"/>
          <w:highlight w:val="none"/>
        </w:rPr>
        <w:t>其他项目费用汇总表（表</w:t>
      </w:r>
      <w:r>
        <w:rPr>
          <w:color w:val="auto"/>
          <w:highlight w:val="none"/>
        </w:rPr>
        <w:t>-11</w:t>
      </w:r>
      <w:r>
        <w:rPr>
          <w:rFonts w:hint="eastAsia" w:cs="宋体"/>
          <w:color w:val="auto"/>
          <w:highlight w:val="none"/>
        </w:rPr>
        <w:t>）</w:t>
      </w:r>
    </w:p>
    <w:p w14:paraId="2CC1D75D">
      <w:pPr>
        <w:spacing w:line="360" w:lineRule="auto"/>
        <w:ind w:firstLine="630" w:firstLineChars="300"/>
        <w:jc w:val="left"/>
        <w:rPr>
          <w:rFonts w:hint="eastAsia" w:cs="宋体"/>
          <w:color w:val="auto"/>
          <w:highlight w:val="none"/>
        </w:rPr>
      </w:pPr>
      <w:r>
        <w:rPr>
          <w:color w:val="auto"/>
          <w:highlight w:val="none"/>
        </w:rPr>
        <w:t>1.</w:t>
      </w:r>
      <w:r>
        <w:rPr>
          <w:rFonts w:hint="eastAsia"/>
          <w:color w:val="auto"/>
          <w:highlight w:val="none"/>
          <w:lang w:val="en-US" w:eastAsia="zh-CN"/>
        </w:rPr>
        <w:t>10</w:t>
      </w:r>
      <w:r>
        <w:rPr>
          <w:color w:val="auto"/>
          <w:highlight w:val="none"/>
        </w:rPr>
        <w:t xml:space="preserve"> </w:t>
      </w:r>
      <w:r>
        <w:rPr>
          <w:rFonts w:hint="eastAsia" w:cs="宋体"/>
          <w:color w:val="auto"/>
          <w:highlight w:val="none"/>
        </w:rPr>
        <w:t>本工程材料和工程设备一览表（表</w:t>
      </w:r>
      <w:r>
        <w:rPr>
          <w:color w:val="auto"/>
          <w:highlight w:val="none"/>
        </w:rPr>
        <w:t>-</w:t>
      </w:r>
      <w:r>
        <w:rPr>
          <w:rFonts w:hint="eastAsia"/>
          <w:color w:val="auto"/>
          <w:highlight w:val="none"/>
          <w:lang w:val="en-US" w:eastAsia="zh-CN"/>
        </w:rPr>
        <w:t>22</w:t>
      </w:r>
      <w:r>
        <w:rPr>
          <w:rFonts w:hint="eastAsia" w:cs="宋体"/>
          <w:color w:val="auto"/>
          <w:highlight w:val="none"/>
        </w:rPr>
        <w:t>）</w:t>
      </w:r>
    </w:p>
    <w:p w14:paraId="2373A6A9">
      <w:pPr>
        <w:spacing w:line="360" w:lineRule="auto"/>
        <w:ind w:firstLine="630" w:firstLineChars="300"/>
        <w:jc w:val="left"/>
        <w:rPr>
          <w:rFonts w:hint="eastAsia" w:cs="宋体"/>
          <w:color w:val="auto"/>
          <w:highlight w:val="none"/>
        </w:rPr>
      </w:pPr>
    </w:p>
    <w:p w14:paraId="6A1A03D8">
      <w:pPr>
        <w:pStyle w:val="3"/>
        <w:spacing w:before="0" w:after="0" w:line="360" w:lineRule="auto"/>
        <w:rPr>
          <w:color w:val="auto"/>
          <w:highlight w:val="none"/>
        </w:rPr>
      </w:pPr>
      <w:bookmarkStart w:id="77" w:name="_Toc990933621"/>
      <w:bookmarkStart w:id="78" w:name="_Toc78449870"/>
      <w:bookmarkStart w:id="79" w:name="_Toc407135285"/>
      <w:bookmarkStart w:id="80" w:name="_Toc347872619"/>
      <w:r>
        <w:rPr>
          <w:color w:val="auto"/>
          <w:highlight w:val="none"/>
        </w:rPr>
        <w:t>2</w:t>
      </w:r>
      <w:r>
        <w:rPr>
          <w:rFonts w:hint="eastAsia"/>
          <w:color w:val="auto"/>
          <w:highlight w:val="none"/>
        </w:rPr>
        <w:t>.</w:t>
      </w:r>
      <w:r>
        <w:rPr>
          <w:rFonts w:hint="eastAsia" w:cs="黑体"/>
          <w:color w:val="auto"/>
          <w:highlight w:val="none"/>
        </w:rPr>
        <w:t>招标控制价编制说明</w:t>
      </w:r>
      <w:bookmarkEnd w:id="77"/>
      <w:bookmarkEnd w:id="78"/>
      <w:bookmarkEnd w:id="79"/>
      <w:bookmarkEnd w:id="80"/>
    </w:p>
    <w:p w14:paraId="03126737">
      <w:pPr>
        <w:spacing w:line="360" w:lineRule="auto"/>
        <w:ind w:firstLine="420" w:firstLineChars="200"/>
        <w:rPr>
          <w:color w:val="auto"/>
          <w:highlight w:val="none"/>
        </w:rPr>
      </w:pPr>
      <w:r>
        <w:rPr>
          <w:color w:val="auto"/>
          <w:highlight w:val="none"/>
        </w:rPr>
        <w:t xml:space="preserve">2.1 </w:t>
      </w:r>
      <w:r>
        <w:rPr>
          <w:rFonts w:hint="eastAsia" w:hAnsi="宋体" w:cs="宋体"/>
          <w:color w:val="auto"/>
          <w:highlight w:val="none"/>
        </w:rPr>
        <w:t>招标控制价编制依据：</w:t>
      </w:r>
    </w:p>
    <w:p w14:paraId="740E521D">
      <w:pPr>
        <w:spacing w:line="360" w:lineRule="auto"/>
        <w:ind w:firstLine="420" w:firstLineChars="200"/>
        <w:rPr>
          <w:rFonts w:hint="eastAsia" w:hAnsi="宋体"/>
          <w:color w:val="auto"/>
          <w:highlight w:val="none"/>
        </w:rPr>
      </w:pPr>
      <w:r>
        <w:rPr>
          <w:rFonts w:hint="eastAsia" w:cs="宋体"/>
          <w:color w:val="auto"/>
          <w:highlight w:val="none"/>
        </w:rPr>
        <w:t>（1）</w:t>
      </w:r>
      <w:r>
        <w:rPr>
          <w:rFonts w:hint="eastAsia" w:hAnsi="宋体" w:cs="宋体"/>
          <w:color w:val="auto"/>
          <w:highlight w:val="none"/>
        </w:rPr>
        <w:t>《计价规范》及《计算规范》、</w:t>
      </w:r>
      <w:r>
        <w:rPr>
          <w:rFonts w:hint="eastAsia" w:hAnsi="宋体" w:cs="宋体"/>
          <w:color w:val="auto"/>
          <w:kern w:val="0"/>
          <w:highlight w:val="none"/>
        </w:rPr>
        <w:t>《关于建筑业实施营业税改征增值税后广西壮族自治区建设工程计价依据调整的通知》（桂建标〔</w:t>
      </w:r>
      <w:r>
        <w:rPr>
          <w:rFonts w:hAnsi="宋体"/>
          <w:color w:val="auto"/>
          <w:kern w:val="0"/>
          <w:highlight w:val="none"/>
        </w:rPr>
        <w:t>2016</w:t>
      </w:r>
      <w:r>
        <w:rPr>
          <w:rFonts w:hint="eastAsia" w:hAnsi="宋体" w:cs="宋体"/>
          <w:color w:val="auto"/>
          <w:kern w:val="0"/>
          <w:highlight w:val="none"/>
        </w:rPr>
        <w:t>〕</w:t>
      </w:r>
      <w:r>
        <w:rPr>
          <w:rFonts w:hAnsi="宋体"/>
          <w:color w:val="auto"/>
          <w:kern w:val="0"/>
          <w:highlight w:val="none"/>
        </w:rPr>
        <w:t>17</w:t>
      </w:r>
      <w:r>
        <w:rPr>
          <w:rFonts w:hint="eastAsia" w:hAnsi="宋体" w:cs="宋体"/>
          <w:color w:val="auto"/>
          <w:kern w:val="0"/>
          <w:highlight w:val="none"/>
        </w:rPr>
        <w:t>号）等</w:t>
      </w:r>
      <w:r>
        <w:rPr>
          <w:rFonts w:hint="eastAsia" w:hAnsi="宋体" w:cs="宋体"/>
          <w:color w:val="auto"/>
          <w:highlight w:val="none"/>
        </w:rPr>
        <w:t>；</w:t>
      </w:r>
    </w:p>
    <w:p w14:paraId="64711806">
      <w:pPr>
        <w:spacing w:line="360" w:lineRule="auto"/>
        <w:ind w:firstLine="420" w:firstLineChars="200"/>
        <w:rPr>
          <w:color w:val="auto"/>
          <w:highlight w:val="none"/>
        </w:rPr>
      </w:pPr>
      <w:r>
        <w:rPr>
          <w:rFonts w:hint="eastAsia" w:cs="宋体"/>
          <w:color w:val="auto"/>
          <w:highlight w:val="none"/>
        </w:rPr>
        <w:t>（2）自治区住房城乡建设行政主管部门颁发的计价定额及有关规定：</w:t>
      </w:r>
      <w:r>
        <w:rPr>
          <w:rFonts w:hint="eastAsia" w:cs="宋体"/>
          <w:color w:val="auto"/>
          <w:highlight w:val="none"/>
          <w:u w:val="single"/>
        </w:rPr>
        <w:t>2022年《广西壮族自治区市政工程消耗</w:t>
      </w:r>
      <w:r>
        <w:rPr>
          <w:rFonts w:hint="eastAsia" w:cs="宋体"/>
          <w:color w:val="auto"/>
          <w:highlight w:val="none"/>
          <w:u w:val="single"/>
          <w:lang w:eastAsia="zh-CN"/>
        </w:rPr>
        <w:t>量</w:t>
      </w:r>
      <w:r>
        <w:rPr>
          <w:rFonts w:hint="eastAsia" w:cs="宋体"/>
          <w:color w:val="auto"/>
          <w:highlight w:val="none"/>
          <w:u w:val="single"/>
        </w:rPr>
        <w:t>及费用定额》</w:t>
      </w:r>
      <w:r>
        <w:rPr>
          <w:rFonts w:hint="eastAsia" w:cs="宋体"/>
          <w:color w:val="auto"/>
          <w:highlight w:val="none"/>
          <w:u w:val="single"/>
          <w:lang w:eastAsia="zh-CN"/>
        </w:rPr>
        <w:t>、</w:t>
      </w:r>
      <w:r>
        <w:rPr>
          <w:rFonts w:hint="eastAsia" w:cs="宋体"/>
          <w:color w:val="auto"/>
          <w:highlight w:val="none"/>
          <w:u w:val="single"/>
        </w:rPr>
        <w:t>2023年《广西壮族自治区安装工程消耗</w:t>
      </w:r>
      <w:r>
        <w:rPr>
          <w:rFonts w:hint="eastAsia" w:cs="宋体"/>
          <w:color w:val="auto"/>
          <w:highlight w:val="none"/>
          <w:u w:val="single"/>
          <w:lang w:eastAsia="zh-CN"/>
        </w:rPr>
        <w:t>量</w:t>
      </w:r>
      <w:r>
        <w:rPr>
          <w:rFonts w:hint="eastAsia" w:cs="宋体"/>
          <w:color w:val="auto"/>
          <w:highlight w:val="none"/>
          <w:u w:val="single"/>
        </w:rPr>
        <w:t>及费用定额》</w:t>
      </w:r>
      <w:r>
        <w:rPr>
          <w:rFonts w:hint="eastAsia" w:cs="宋体"/>
          <w:color w:val="auto"/>
          <w:highlight w:val="none"/>
          <w:u w:val="single"/>
          <w:lang w:eastAsia="zh-CN"/>
        </w:rPr>
        <w:t>、</w:t>
      </w:r>
      <w:r>
        <w:rPr>
          <w:rFonts w:hint="eastAsia" w:cs="宋体"/>
          <w:color w:val="auto"/>
          <w:highlight w:val="none"/>
          <w:u w:val="single"/>
        </w:rPr>
        <w:t>《广西壮族自治区房屋建筑和市政基础设施工程安全生产责任保险计价规定的通知》</w:t>
      </w:r>
      <w:r>
        <w:rPr>
          <w:rFonts w:hint="eastAsia" w:cs="宋体"/>
          <w:color w:val="auto"/>
          <w:highlight w:val="none"/>
          <w:u w:val="single"/>
          <w:lang w:eastAsia="zh-CN"/>
        </w:rPr>
        <w:t>【</w:t>
      </w:r>
      <w:r>
        <w:rPr>
          <w:rFonts w:hint="eastAsia" w:cs="宋体"/>
          <w:color w:val="auto"/>
          <w:highlight w:val="none"/>
          <w:u w:val="single"/>
        </w:rPr>
        <w:t>桂建发(2023)6号</w:t>
      </w:r>
      <w:r>
        <w:rPr>
          <w:rFonts w:hint="eastAsia" w:cs="宋体"/>
          <w:color w:val="auto"/>
          <w:highlight w:val="none"/>
          <w:u w:val="single"/>
          <w:lang w:eastAsia="zh-CN"/>
        </w:rPr>
        <w:t>】、</w:t>
      </w:r>
      <w:r>
        <w:rPr>
          <w:rFonts w:hint="eastAsia" w:cs="宋体"/>
          <w:color w:val="auto"/>
          <w:highlight w:val="none"/>
          <w:u w:val="single"/>
        </w:rPr>
        <w:t>《自治区住房城乡建设厅关于建筑业实施营业税改征增值税后广西壮族自治区建设工程计价依据调整的通知》</w:t>
      </w:r>
      <w:r>
        <w:rPr>
          <w:rFonts w:hint="eastAsia" w:cs="宋体"/>
          <w:color w:val="auto"/>
          <w:highlight w:val="none"/>
          <w:u w:val="single"/>
          <w:lang w:eastAsia="zh-CN"/>
        </w:rPr>
        <w:t>（</w:t>
      </w:r>
      <w:r>
        <w:rPr>
          <w:rFonts w:hint="eastAsia" w:cs="宋体"/>
          <w:color w:val="auto"/>
          <w:highlight w:val="none"/>
          <w:u w:val="single"/>
        </w:rPr>
        <w:t>桂建标【2016</w:t>
      </w:r>
      <w:r>
        <w:rPr>
          <w:rFonts w:hint="eastAsia" w:cs="宋体"/>
          <w:color w:val="auto"/>
          <w:highlight w:val="none"/>
          <w:u w:val="single"/>
          <w:lang w:eastAsia="zh-CN"/>
        </w:rPr>
        <w:t>】</w:t>
      </w:r>
      <w:r>
        <w:rPr>
          <w:rFonts w:hint="eastAsia" w:cs="宋体"/>
          <w:color w:val="auto"/>
          <w:highlight w:val="none"/>
          <w:u w:val="single"/>
        </w:rPr>
        <w:t>17号</w:t>
      </w:r>
      <w:r>
        <w:rPr>
          <w:rFonts w:hint="eastAsia" w:cs="宋体"/>
          <w:color w:val="auto"/>
          <w:highlight w:val="none"/>
          <w:u w:val="single"/>
          <w:lang w:eastAsia="zh-CN"/>
        </w:rPr>
        <w:t>）、</w:t>
      </w:r>
      <w:r>
        <w:rPr>
          <w:rFonts w:hint="eastAsia" w:cs="宋体"/>
          <w:color w:val="auto"/>
          <w:highlight w:val="none"/>
          <w:u w:val="single"/>
        </w:rPr>
        <w:t>《关于调整除税价计算适用增值税税率的通知》</w:t>
      </w:r>
      <w:r>
        <w:rPr>
          <w:rFonts w:hint="eastAsia" w:cs="宋体"/>
          <w:color w:val="auto"/>
          <w:highlight w:val="none"/>
          <w:u w:val="single"/>
          <w:lang w:eastAsia="zh-CN"/>
        </w:rPr>
        <w:t>（</w:t>
      </w:r>
      <w:r>
        <w:rPr>
          <w:rFonts w:hint="eastAsia" w:cs="宋体"/>
          <w:color w:val="auto"/>
          <w:highlight w:val="none"/>
          <w:u w:val="single"/>
        </w:rPr>
        <w:t>桂造价【2019</w:t>
      </w:r>
      <w:r>
        <w:rPr>
          <w:rFonts w:hint="eastAsia" w:cs="宋体"/>
          <w:color w:val="auto"/>
          <w:highlight w:val="none"/>
          <w:u w:val="single"/>
          <w:lang w:eastAsia="zh-CN"/>
        </w:rPr>
        <w:t>】</w:t>
      </w:r>
      <w:r>
        <w:rPr>
          <w:rFonts w:hint="eastAsia" w:cs="宋体"/>
          <w:color w:val="auto"/>
          <w:highlight w:val="none"/>
          <w:u w:val="single"/>
          <w:lang w:val="en-US" w:eastAsia="zh-CN"/>
        </w:rPr>
        <w:t>1</w:t>
      </w:r>
      <w:r>
        <w:rPr>
          <w:rFonts w:hint="eastAsia" w:cs="宋体"/>
          <w:color w:val="auto"/>
          <w:highlight w:val="none"/>
          <w:u w:val="single"/>
        </w:rPr>
        <w:t>0号</w:t>
      </w:r>
      <w:r>
        <w:rPr>
          <w:rFonts w:hint="eastAsia" w:cs="宋体"/>
          <w:color w:val="auto"/>
          <w:highlight w:val="none"/>
          <w:u w:val="single"/>
          <w:lang w:eastAsia="zh-CN"/>
        </w:rPr>
        <w:t>）</w:t>
      </w:r>
      <w:r>
        <w:rPr>
          <w:rFonts w:hint="eastAsia" w:cs="宋体"/>
          <w:color w:val="auto"/>
          <w:highlight w:val="none"/>
        </w:rPr>
        <w:t>。</w:t>
      </w:r>
      <w:r>
        <w:rPr>
          <w:color w:val="auto"/>
          <w:highlight w:val="none"/>
          <w:u w:val="single"/>
        </w:rPr>
        <w:cr/>
      </w:r>
      <w:r>
        <w:rPr>
          <w:rFonts w:hint="eastAsia"/>
          <w:color w:val="auto"/>
          <w:highlight w:val="none"/>
        </w:rPr>
        <w:t xml:space="preserve">    </w:t>
      </w:r>
      <w:r>
        <w:rPr>
          <w:rFonts w:hint="eastAsia" w:cs="宋体"/>
          <w:color w:val="auto"/>
          <w:highlight w:val="none"/>
        </w:rPr>
        <w:t>（</w:t>
      </w:r>
      <w:r>
        <w:rPr>
          <w:color w:val="auto"/>
          <w:highlight w:val="none"/>
        </w:rPr>
        <w:t>3</w:t>
      </w:r>
      <w:r>
        <w:rPr>
          <w:rFonts w:hint="eastAsia" w:cs="宋体"/>
          <w:color w:val="auto"/>
          <w:highlight w:val="none"/>
        </w:rPr>
        <w:t>）建设工程设计文件及相关资料：</w:t>
      </w:r>
      <w:r>
        <w:rPr>
          <w:rFonts w:hint="eastAsia"/>
          <w:color w:val="auto"/>
          <w:highlight w:val="none"/>
          <w:u w:val="single"/>
          <w:lang w:eastAsia="zh-CN"/>
        </w:rPr>
        <w:t>《建设工程工程量计算规范广西壮族自治区实施细则（修订本）》 （GB50854～50862-2013）、《建设工程工程量清单计价规范》广西壮族自治区实施细则（GB50500-2013）</w:t>
      </w:r>
      <w:r>
        <w:rPr>
          <w:rFonts w:hint="eastAsia" w:cs="宋体"/>
          <w:color w:val="auto"/>
          <w:highlight w:val="none"/>
          <w:u w:val="single"/>
          <w:lang w:eastAsia="zh-CN"/>
        </w:rPr>
        <w:t>、</w:t>
      </w:r>
      <w:r>
        <w:rPr>
          <w:rFonts w:hint="eastAsia" w:cs="宋体"/>
          <w:color w:val="auto"/>
          <w:highlight w:val="none"/>
          <w:u w:val="single"/>
        </w:rPr>
        <w:t>项目单位提供的施工图、送审预算书等</w:t>
      </w:r>
      <w:r>
        <w:rPr>
          <w:rFonts w:hint="eastAsia" w:cs="宋体"/>
          <w:color w:val="auto"/>
          <w:highlight w:val="none"/>
        </w:rPr>
        <w:t>。</w:t>
      </w:r>
      <w:r>
        <w:rPr>
          <w:color w:val="auto"/>
          <w:highlight w:val="none"/>
        </w:rPr>
        <w:t xml:space="preserve"> </w:t>
      </w:r>
    </w:p>
    <w:p w14:paraId="61B387E7">
      <w:pPr>
        <w:spacing w:line="360" w:lineRule="auto"/>
        <w:ind w:firstLine="420" w:firstLineChars="200"/>
        <w:rPr>
          <w:color w:val="auto"/>
          <w:highlight w:val="none"/>
        </w:rPr>
      </w:pPr>
      <w:r>
        <w:rPr>
          <w:rFonts w:hint="eastAsia" w:cs="宋体"/>
          <w:color w:val="auto"/>
          <w:highlight w:val="none"/>
        </w:rPr>
        <w:t>（</w:t>
      </w:r>
      <w:r>
        <w:rPr>
          <w:color w:val="auto"/>
          <w:highlight w:val="none"/>
        </w:rPr>
        <w:t>4</w:t>
      </w:r>
      <w:r>
        <w:rPr>
          <w:rFonts w:hint="eastAsia" w:cs="宋体"/>
          <w:color w:val="auto"/>
          <w:highlight w:val="none"/>
        </w:rPr>
        <w:t>）本工程磋商文件及工程量清单；</w:t>
      </w:r>
    </w:p>
    <w:p w14:paraId="3F718E12">
      <w:pPr>
        <w:spacing w:line="360" w:lineRule="auto"/>
        <w:ind w:firstLine="420" w:firstLineChars="200"/>
        <w:rPr>
          <w:color w:val="auto"/>
          <w:highlight w:val="none"/>
        </w:rPr>
      </w:pPr>
      <w:r>
        <w:rPr>
          <w:rFonts w:hint="eastAsia" w:cs="宋体"/>
          <w:color w:val="auto"/>
          <w:highlight w:val="none"/>
        </w:rPr>
        <w:t>（</w:t>
      </w:r>
      <w:r>
        <w:rPr>
          <w:color w:val="auto"/>
          <w:highlight w:val="none"/>
        </w:rPr>
        <w:t>5</w:t>
      </w:r>
      <w:r>
        <w:rPr>
          <w:rFonts w:hint="eastAsia" w:cs="宋体"/>
          <w:color w:val="auto"/>
          <w:highlight w:val="none"/>
        </w:rPr>
        <w:t>）与建设项目相关的标准、规范、技术资料；</w:t>
      </w:r>
    </w:p>
    <w:p w14:paraId="02642AA0">
      <w:pPr>
        <w:spacing w:line="360" w:lineRule="auto"/>
        <w:ind w:firstLine="420" w:firstLineChars="200"/>
        <w:rPr>
          <w:color w:val="auto"/>
          <w:highlight w:val="none"/>
        </w:rPr>
      </w:pPr>
      <w:r>
        <w:rPr>
          <w:rFonts w:hint="eastAsia" w:cs="宋体"/>
          <w:color w:val="auto"/>
          <w:highlight w:val="none"/>
        </w:rPr>
        <w:t>（</w:t>
      </w:r>
      <w:r>
        <w:rPr>
          <w:color w:val="auto"/>
          <w:highlight w:val="none"/>
        </w:rPr>
        <w:t>6</w:t>
      </w:r>
      <w:r>
        <w:rPr>
          <w:rFonts w:hint="eastAsia" w:cs="宋体"/>
          <w:color w:val="auto"/>
          <w:highlight w:val="none"/>
        </w:rPr>
        <w:t>）施工现场情况、工程特点及常规施工方案；</w:t>
      </w:r>
    </w:p>
    <w:p w14:paraId="57C3E6AF">
      <w:pPr>
        <w:spacing w:line="360" w:lineRule="auto"/>
        <w:ind w:firstLine="420" w:firstLineChars="200"/>
        <w:rPr>
          <w:rFonts w:hint="eastAsia" w:hAnsi="宋体"/>
          <w:color w:val="auto"/>
          <w:highlight w:val="none"/>
        </w:rPr>
      </w:pPr>
      <w:r>
        <w:rPr>
          <w:rFonts w:hint="eastAsia" w:cs="宋体"/>
          <w:color w:val="auto"/>
          <w:highlight w:val="none"/>
        </w:rPr>
        <w:t>（</w:t>
      </w:r>
      <w:r>
        <w:rPr>
          <w:color w:val="auto"/>
          <w:highlight w:val="none"/>
        </w:rPr>
        <w:t>7</w:t>
      </w:r>
      <w:r>
        <w:rPr>
          <w:rFonts w:hint="eastAsia" w:cs="宋体"/>
          <w:color w:val="auto"/>
          <w:highlight w:val="none"/>
        </w:rPr>
        <w:t>）材料价格信息</w:t>
      </w:r>
      <w:r>
        <w:rPr>
          <w:rFonts w:hint="eastAsia" w:hAnsi="宋体" w:cs="宋体"/>
          <w:color w:val="auto"/>
          <w:highlight w:val="none"/>
        </w:rPr>
        <w:t>：</w:t>
      </w:r>
      <w:r>
        <w:rPr>
          <w:rFonts w:hint="eastAsia" w:ascii="宋体" w:hAnsi="宋体" w:eastAsia="宋体" w:cs="宋体"/>
          <w:color w:val="auto"/>
          <w:highlight w:val="none"/>
          <w:u w:val="single"/>
        </w:rPr>
        <w:t>材料价格按《桂林市建设工程信息价》公布的2025年第6期除税信息价，造价信息上没有的材料设备价格按市场询价确定</w:t>
      </w:r>
      <w:r>
        <w:rPr>
          <w:rFonts w:hint="eastAsia" w:cs="宋体"/>
          <w:color w:val="auto"/>
          <w:highlight w:val="none"/>
          <w:u w:val="single"/>
        </w:rPr>
        <w:t>。</w:t>
      </w:r>
    </w:p>
    <w:p w14:paraId="1175A803">
      <w:pPr>
        <w:spacing w:line="360" w:lineRule="auto"/>
        <w:ind w:firstLine="420" w:firstLineChars="200"/>
        <w:rPr>
          <w:color w:val="auto"/>
          <w:highlight w:val="none"/>
        </w:rPr>
      </w:pPr>
      <w:r>
        <w:rPr>
          <w:color w:val="auto"/>
          <w:highlight w:val="none"/>
        </w:rPr>
        <w:t xml:space="preserve">2.2 </w:t>
      </w:r>
      <w:r>
        <w:rPr>
          <w:rFonts w:hint="eastAsia" w:hAnsi="宋体" w:cs="宋体"/>
          <w:color w:val="auto"/>
          <w:highlight w:val="none"/>
        </w:rPr>
        <w:t>分部分项及单价措施项目综合单价应包括磋商文件中采购人要求供应商所承担的风险内容及其范围（幅度）产生的风险费用。</w:t>
      </w:r>
    </w:p>
    <w:p w14:paraId="69BB3CCD">
      <w:pPr>
        <w:spacing w:line="360" w:lineRule="auto"/>
        <w:ind w:firstLine="420"/>
        <w:rPr>
          <w:color w:val="auto"/>
          <w:highlight w:val="none"/>
        </w:rPr>
      </w:pPr>
      <w:r>
        <w:rPr>
          <w:color w:val="auto"/>
          <w:highlight w:val="none"/>
        </w:rPr>
        <w:t xml:space="preserve">2.3 </w:t>
      </w:r>
      <w:r>
        <w:rPr>
          <w:rFonts w:hint="eastAsia" w:hAnsi="宋体" w:cs="宋体"/>
          <w:color w:val="auto"/>
          <w:highlight w:val="none"/>
        </w:rPr>
        <w:t>总价措施项目应根据拟定的磋商文件和常规施工方案按《计价规范》和《计算规范》规定编制。</w:t>
      </w:r>
    </w:p>
    <w:p w14:paraId="4F1869C6">
      <w:pPr>
        <w:spacing w:line="360" w:lineRule="auto"/>
        <w:ind w:firstLine="420" w:firstLineChars="200"/>
        <w:rPr>
          <w:color w:val="auto"/>
          <w:highlight w:val="none"/>
        </w:rPr>
      </w:pPr>
      <w:r>
        <w:rPr>
          <w:color w:val="auto"/>
          <w:highlight w:val="none"/>
        </w:rPr>
        <w:t xml:space="preserve">2.4 </w:t>
      </w:r>
      <w:r>
        <w:rPr>
          <w:rFonts w:hint="eastAsia" w:cs="宋体"/>
          <w:color w:val="auto"/>
          <w:highlight w:val="none"/>
        </w:rPr>
        <w:t>其他项目费应按下列规定报价：</w:t>
      </w:r>
    </w:p>
    <w:p w14:paraId="769EC0F2">
      <w:pPr>
        <w:spacing w:line="360" w:lineRule="auto"/>
        <w:ind w:firstLine="420" w:firstLineChars="200"/>
        <w:rPr>
          <w:color w:val="auto"/>
          <w:highlight w:val="none"/>
        </w:rPr>
      </w:pPr>
      <w:r>
        <w:rPr>
          <w:rFonts w:hint="eastAsia" w:cs="宋体"/>
          <w:color w:val="auto"/>
          <w:highlight w:val="none"/>
        </w:rPr>
        <w:t>（</w:t>
      </w:r>
      <w:r>
        <w:rPr>
          <w:color w:val="auto"/>
          <w:highlight w:val="none"/>
        </w:rPr>
        <w:t>1</w:t>
      </w:r>
      <w:r>
        <w:rPr>
          <w:rFonts w:hint="eastAsia" w:cs="宋体"/>
          <w:color w:val="auto"/>
          <w:highlight w:val="none"/>
        </w:rPr>
        <w:t>）暂列金额应按工程量清单中列出的金额填写；</w:t>
      </w:r>
    </w:p>
    <w:p w14:paraId="435CF2F5">
      <w:pPr>
        <w:pStyle w:val="310"/>
        <w:spacing w:line="360" w:lineRule="auto"/>
        <w:ind w:firstLine="420" w:firstLineChars="200"/>
        <w:rPr>
          <w:color w:val="auto"/>
          <w:highlight w:val="none"/>
        </w:rPr>
      </w:pPr>
      <w:r>
        <w:rPr>
          <w:rFonts w:hint="eastAsia" w:cs="宋体"/>
          <w:color w:val="auto"/>
          <w:highlight w:val="none"/>
        </w:rPr>
        <w:t>（</w:t>
      </w:r>
      <w:r>
        <w:rPr>
          <w:color w:val="auto"/>
          <w:highlight w:val="none"/>
        </w:rPr>
        <w:t>2</w:t>
      </w:r>
      <w:r>
        <w:rPr>
          <w:rFonts w:hint="eastAsia" w:cs="宋体"/>
          <w:color w:val="auto"/>
          <w:highlight w:val="none"/>
        </w:rPr>
        <w:t>）材料、工程设备暂估价应按工程量清单中列出的单价计入综合单价；</w:t>
      </w:r>
    </w:p>
    <w:p w14:paraId="5FE18256">
      <w:pPr>
        <w:spacing w:line="360" w:lineRule="auto"/>
        <w:ind w:firstLine="420" w:firstLineChars="200"/>
        <w:rPr>
          <w:color w:val="auto"/>
          <w:highlight w:val="none"/>
        </w:rPr>
      </w:pPr>
      <w:r>
        <w:rPr>
          <w:rFonts w:hint="eastAsia" w:cs="宋体"/>
          <w:color w:val="auto"/>
          <w:highlight w:val="none"/>
        </w:rPr>
        <w:t>（</w:t>
      </w:r>
      <w:r>
        <w:rPr>
          <w:color w:val="auto"/>
          <w:highlight w:val="none"/>
        </w:rPr>
        <w:t>3</w:t>
      </w:r>
      <w:r>
        <w:rPr>
          <w:rFonts w:hint="eastAsia" w:cs="宋体"/>
          <w:color w:val="auto"/>
          <w:highlight w:val="none"/>
        </w:rPr>
        <w:t>）专业工程暂估价应按工程量清单中列出的金额填写；</w:t>
      </w:r>
    </w:p>
    <w:p w14:paraId="6951F535">
      <w:pPr>
        <w:spacing w:line="360" w:lineRule="auto"/>
        <w:ind w:firstLine="420" w:firstLineChars="200"/>
        <w:rPr>
          <w:color w:val="auto"/>
          <w:highlight w:val="none"/>
        </w:rPr>
      </w:pPr>
      <w:r>
        <w:rPr>
          <w:rFonts w:hint="eastAsia" w:cs="宋体"/>
          <w:color w:val="auto"/>
          <w:highlight w:val="none"/>
        </w:rPr>
        <w:t>（</w:t>
      </w:r>
      <w:r>
        <w:rPr>
          <w:color w:val="auto"/>
          <w:highlight w:val="none"/>
        </w:rPr>
        <w:t>4</w:t>
      </w:r>
      <w:r>
        <w:rPr>
          <w:rFonts w:hint="eastAsia" w:cs="宋体"/>
          <w:color w:val="auto"/>
          <w:highlight w:val="none"/>
        </w:rPr>
        <w:t>）计日工应按工程量清单中列出的项目和数量，根据工程特点和有关计价依据确定的综合单价计算；</w:t>
      </w:r>
    </w:p>
    <w:p w14:paraId="0838D58A">
      <w:pPr>
        <w:spacing w:line="360" w:lineRule="auto"/>
        <w:ind w:firstLine="420" w:firstLineChars="200"/>
        <w:rPr>
          <w:rFonts w:cs="宋体"/>
          <w:color w:val="auto"/>
          <w:highlight w:val="none"/>
        </w:rPr>
      </w:pPr>
      <w:r>
        <w:rPr>
          <w:rFonts w:hint="eastAsia" w:cs="宋体"/>
          <w:color w:val="auto"/>
          <w:highlight w:val="none"/>
        </w:rPr>
        <w:t>（</w:t>
      </w:r>
      <w:r>
        <w:rPr>
          <w:color w:val="auto"/>
          <w:highlight w:val="none"/>
        </w:rPr>
        <w:t>5</w:t>
      </w:r>
      <w:r>
        <w:rPr>
          <w:rFonts w:hint="eastAsia" w:cs="宋体"/>
          <w:color w:val="auto"/>
          <w:highlight w:val="none"/>
        </w:rPr>
        <w:t>）总承包服务费应根据工程量清单列出的内容</w:t>
      </w:r>
      <w:r>
        <w:rPr>
          <w:rFonts w:hint="eastAsia" w:hAnsi="宋体" w:cs="宋体"/>
          <w:color w:val="auto"/>
          <w:highlight w:val="none"/>
        </w:rPr>
        <w:t>和要求，按自治区住房城乡建设行政主管部门颁发的计价定额及有关规定计算</w:t>
      </w:r>
      <w:r>
        <w:rPr>
          <w:rFonts w:hint="eastAsia" w:cs="宋体"/>
          <w:color w:val="auto"/>
          <w:highlight w:val="none"/>
        </w:rPr>
        <w:t>。</w:t>
      </w:r>
    </w:p>
    <w:p w14:paraId="0764B619">
      <w:pPr>
        <w:spacing w:line="360" w:lineRule="auto"/>
        <w:ind w:firstLine="420" w:firstLineChars="200"/>
        <w:rPr>
          <w:color w:val="auto"/>
          <w:highlight w:val="none"/>
        </w:rPr>
      </w:pPr>
      <w:r>
        <w:rPr>
          <w:rFonts w:hint="eastAsia"/>
          <w:color w:val="auto"/>
          <w:highlight w:val="none"/>
        </w:rPr>
        <w:t>（6）对建设单位创建优质工程的，鼓励在招标控制价和预算中按广西区工程建设定额规定计列工程优质费，并明确工程优质费不可竞争。</w:t>
      </w:r>
    </w:p>
    <w:p w14:paraId="5613719E">
      <w:pPr>
        <w:spacing w:line="360" w:lineRule="auto"/>
        <w:ind w:firstLine="420" w:firstLineChars="200"/>
        <w:rPr>
          <w:color w:val="auto"/>
          <w:highlight w:val="none"/>
        </w:rPr>
      </w:pPr>
      <w:r>
        <w:rPr>
          <w:color w:val="auto"/>
          <w:highlight w:val="none"/>
        </w:rPr>
        <w:t>2.</w:t>
      </w:r>
      <w:r>
        <w:rPr>
          <w:rFonts w:hint="eastAsia"/>
          <w:color w:val="auto"/>
          <w:highlight w:val="none"/>
          <w:lang w:val="en-US" w:eastAsia="zh-CN"/>
        </w:rPr>
        <w:t>5</w:t>
      </w:r>
      <w:r>
        <w:rPr>
          <w:color w:val="auto"/>
          <w:highlight w:val="none"/>
        </w:rPr>
        <w:t xml:space="preserve"> </w:t>
      </w:r>
      <w:r>
        <w:rPr>
          <w:rFonts w:hint="eastAsia"/>
          <w:color w:val="auto"/>
          <w:highlight w:val="none"/>
          <w:lang w:eastAsia="zh-CN"/>
        </w:rPr>
        <w:t>其他</w:t>
      </w:r>
      <w:r>
        <w:rPr>
          <w:rFonts w:hint="eastAsia"/>
          <w:color w:val="auto"/>
          <w:highlight w:val="none"/>
        </w:rPr>
        <w:t>需要说明的问题：</w:t>
      </w:r>
      <w:r>
        <w:rPr>
          <w:rFonts w:hint="eastAsia"/>
          <w:color w:val="auto"/>
          <w:highlight w:val="none"/>
          <w:u w:val="single"/>
          <w:lang w:eastAsia="zh-CN"/>
        </w:rPr>
        <w:t>无。</w:t>
      </w:r>
    </w:p>
    <w:p w14:paraId="42FA96C9">
      <w:pPr>
        <w:pStyle w:val="3"/>
        <w:spacing w:before="0" w:after="0" w:line="360" w:lineRule="auto"/>
        <w:rPr>
          <w:color w:val="auto"/>
          <w:highlight w:val="none"/>
        </w:rPr>
      </w:pPr>
      <w:bookmarkStart w:id="81" w:name="_Toc378483916"/>
      <w:bookmarkStart w:id="82" w:name="_Toc879821176"/>
      <w:bookmarkStart w:id="83" w:name="_Toc407135286"/>
      <w:bookmarkStart w:id="84" w:name="_Toc78449871"/>
      <w:r>
        <w:rPr>
          <w:color w:val="auto"/>
          <w:highlight w:val="none"/>
        </w:rPr>
        <w:t>3</w:t>
      </w:r>
      <w:r>
        <w:rPr>
          <w:rFonts w:hint="eastAsia"/>
          <w:color w:val="auto"/>
          <w:highlight w:val="none"/>
        </w:rPr>
        <w:t>.</w:t>
      </w:r>
      <w:r>
        <w:rPr>
          <w:rFonts w:hint="eastAsia" w:cs="黑体"/>
          <w:color w:val="auto"/>
          <w:highlight w:val="none"/>
        </w:rPr>
        <w:t>竞标报价（已标价工程量清单）编制说明</w:t>
      </w:r>
      <w:bookmarkEnd w:id="81"/>
      <w:bookmarkEnd w:id="82"/>
      <w:bookmarkEnd w:id="83"/>
      <w:bookmarkEnd w:id="84"/>
    </w:p>
    <w:p w14:paraId="22777570">
      <w:pPr>
        <w:spacing w:line="360" w:lineRule="auto"/>
        <w:ind w:firstLine="420" w:firstLineChars="200"/>
        <w:rPr>
          <w:color w:val="auto"/>
          <w:highlight w:val="none"/>
        </w:rPr>
      </w:pPr>
      <w:r>
        <w:rPr>
          <w:color w:val="auto"/>
          <w:highlight w:val="none"/>
        </w:rPr>
        <w:t xml:space="preserve">3.1 </w:t>
      </w:r>
      <w:r>
        <w:rPr>
          <w:rFonts w:hint="eastAsia" w:cs="宋体"/>
          <w:color w:val="auto"/>
          <w:highlight w:val="none"/>
        </w:rPr>
        <w:t>供应商应依据磋商文件、工程量清单以及《计价规范》、《计算规范》自主报价，自主报价</w:t>
      </w:r>
      <w:r>
        <w:rPr>
          <w:rFonts w:hint="eastAsia" w:hAnsi="宋体" w:cs="宋体"/>
          <w:color w:val="auto"/>
          <w:highlight w:val="none"/>
        </w:rPr>
        <w:t>不得违反计价规范强制性条文规定。</w:t>
      </w:r>
      <w:r>
        <w:rPr>
          <w:rFonts w:hint="eastAsia" w:cs="宋体"/>
          <w:color w:val="auto"/>
          <w:highlight w:val="none"/>
        </w:rPr>
        <w:t>供应商不得采用总价让利或以百分比让利等形式进行报价，任何优惠（或降价、让利）均应反映在相应清单项目的综合单价中。同时，不得出现任意一项单价重大让利，</w:t>
      </w:r>
      <w:r>
        <w:rPr>
          <w:rFonts w:hint="eastAsia" w:hAnsi="宋体" w:cs="宋体"/>
          <w:color w:val="auto"/>
          <w:highlight w:val="none"/>
        </w:rPr>
        <w:t>不得以自有机械闲置、自有材料等不计成本为由</w:t>
      </w:r>
      <w:r>
        <w:rPr>
          <w:rFonts w:hint="eastAsia" w:cs="宋体"/>
          <w:color w:val="auto"/>
          <w:highlight w:val="none"/>
        </w:rPr>
        <w:t>低于工程成本报价。</w:t>
      </w:r>
    </w:p>
    <w:p w14:paraId="5BE10A0D">
      <w:pPr>
        <w:spacing w:line="360" w:lineRule="auto"/>
        <w:ind w:firstLine="420" w:firstLineChars="200"/>
        <w:rPr>
          <w:rFonts w:hint="eastAsia" w:hAnsi="宋体"/>
          <w:color w:val="auto"/>
          <w:highlight w:val="none"/>
        </w:rPr>
      </w:pPr>
      <w:r>
        <w:rPr>
          <w:color w:val="auto"/>
          <w:highlight w:val="none"/>
        </w:rPr>
        <w:t xml:space="preserve">3.2 </w:t>
      </w:r>
      <w:r>
        <w:rPr>
          <w:rFonts w:hint="eastAsia" w:cs="宋体"/>
          <w:color w:val="auto"/>
          <w:highlight w:val="none"/>
        </w:rPr>
        <w:t>供应商应按工程量清单填报价格。项目编码、项目名称</w:t>
      </w:r>
      <w:r>
        <w:rPr>
          <w:rFonts w:hint="eastAsia" w:cs="宋体"/>
          <w:color w:val="auto"/>
          <w:highlight w:val="none"/>
          <w:lang w:eastAsia="zh-CN"/>
        </w:rPr>
        <w:t>及</w:t>
      </w:r>
      <w:r>
        <w:rPr>
          <w:rFonts w:hint="eastAsia" w:cs="宋体"/>
          <w:color w:val="auto"/>
          <w:highlight w:val="none"/>
        </w:rPr>
        <w:t>项目特征</w:t>
      </w:r>
      <w:r>
        <w:rPr>
          <w:rFonts w:hint="eastAsia" w:cs="宋体"/>
          <w:color w:val="auto"/>
          <w:highlight w:val="none"/>
          <w:lang w:eastAsia="zh-CN"/>
        </w:rPr>
        <w:t>描述</w:t>
      </w:r>
      <w:r>
        <w:rPr>
          <w:rFonts w:hint="eastAsia" w:cs="宋体"/>
          <w:color w:val="auto"/>
          <w:highlight w:val="none"/>
        </w:rPr>
        <w:t>、计量单位、工程量必须与工程量清单一致，</w:t>
      </w:r>
      <w:r>
        <w:rPr>
          <w:rFonts w:hint="eastAsia" w:hAnsi="宋体" w:cs="宋体"/>
          <w:color w:val="auto"/>
          <w:highlight w:val="none"/>
        </w:rPr>
        <w:t>供应商不得对工程量清单项目进行增减调整。</w:t>
      </w:r>
    </w:p>
    <w:p w14:paraId="634B6FAF">
      <w:pPr>
        <w:spacing w:line="360" w:lineRule="auto"/>
        <w:ind w:firstLine="420" w:firstLineChars="200"/>
        <w:rPr>
          <w:color w:val="auto"/>
          <w:highlight w:val="none"/>
        </w:rPr>
      </w:pPr>
      <w:r>
        <w:rPr>
          <w:color w:val="auto"/>
          <w:highlight w:val="none"/>
        </w:rPr>
        <w:t xml:space="preserve">3.3 </w:t>
      </w:r>
      <w:r>
        <w:rPr>
          <w:rFonts w:hint="eastAsia" w:cs="宋体"/>
          <w:color w:val="auto"/>
          <w:highlight w:val="none"/>
        </w:rPr>
        <w:t>综合单价中应包含磋商文件中划分的应由供应商承担的风险范围及其费用。</w:t>
      </w:r>
    </w:p>
    <w:p w14:paraId="60087A0B">
      <w:pPr>
        <w:spacing w:line="360" w:lineRule="auto"/>
        <w:ind w:firstLine="420" w:firstLineChars="200"/>
        <w:rPr>
          <w:rFonts w:hint="eastAsia" w:hAnsi="宋体"/>
          <w:color w:val="auto"/>
          <w:highlight w:val="none"/>
        </w:rPr>
      </w:pPr>
      <w:r>
        <w:rPr>
          <w:color w:val="auto"/>
          <w:highlight w:val="none"/>
        </w:rPr>
        <w:t xml:space="preserve">3.4 </w:t>
      </w:r>
      <w:r>
        <w:rPr>
          <w:rFonts w:hint="eastAsia" w:hAnsi="宋体" w:cs="宋体"/>
          <w:color w:val="auto"/>
          <w:highlight w:val="none"/>
        </w:rPr>
        <w:t>分部分项工程项目和单价措施项目，应根据磋商文件和工程量清单项目中的特征描述确定综合单价计算。如出现工程量清单特征描述与设计图纸不符时，供应商应以工程量清单的项目特征描述为准，确定竞标报价的综合单价。</w:t>
      </w:r>
    </w:p>
    <w:p w14:paraId="403EE04C">
      <w:pPr>
        <w:spacing w:line="360" w:lineRule="auto"/>
        <w:ind w:firstLine="420" w:firstLineChars="200"/>
        <w:rPr>
          <w:color w:val="auto"/>
          <w:highlight w:val="none"/>
        </w:rPr>
      </w:pPr>
      <w:r>
        <w:rPr>
          <w:color w:val="auto"/>
          <w:highlight w:val="none"/>
        </w:rPr>
        <w:t xml:space="preserve">3.5 </w:t>
      </w:r>
      <w:r>
        <w:rPr>
          <w:rFonts w:hint="eastAsia" w:hAnsi="宋体" w:cs="宋体"/>
          <w:color w:val="auto"/>
          <w:highlight w:val="none"/>
        </w:rPr>
        <w:t>总价措施项目的金额应根据磋商文件及竞标时拟定的施工组织设计或施工方案，按计价规范的规定自主确定。但</w:t>
      </w:r>
      <w:r>
        <w:rPr>
          <w:rFonts w:hint="eastAsia" w:cs="宋体"/>
          <w:color w:val="auto"/>
          <w:highlight w:val="none"/>
        </w:rPr>
        <w:t>安全文明施工费按国家、省级或行业建设主管部门的有关规定执行，作为不竞争费用单列。</w:t>
      </w:r>
    </w:p>
    <w:p w14:paraId="472F9774">
      <w:pPr>
        <w:spacing w:line="360" w:lineRule="auto"/>
        <w:ind w:firstLine="420" w:firstLineChars="200"/>
        <w:rPr>
          <w:color w:val="auto"/>
          <w:highlight w:val="none"/>
        </w:rPr>
      </w:pPr>
      <w:r>
        <w:rPr>
          <w:color w:val="auto"/>
          <w:highlight w:val="none"/>
        </w:rPr>
        <w:t xml:space="preserve">3.6 </w:t>
      </w:r>
      <w:r>
        <w:rPr>
          <w:rFonts w:hint="eastAsia" w:cs="宋体"/>
          <w:color w:val="auto"/>
          <w:highlight w:val="none"/>
        </w:rPr>
        <w:t>其他项目费应按下列规定报价：</w:t>
      </w:r>
    </w:p>
    <w:p w14:paraId="07D220CD">
      <w:pPr>
        <w:spacing w:line="360" w:lineRule="auto"/>
        <w:ind w:firstLine="420" w:firstLineChars="200"/>
        <w:rPr>
          <w:color w:val="auto"/>
          <w:highlight w:val="none"/>
        </w:rPr>
      </w:pPr>
      <w:r>
        <w:rPr>
          <w:rFonts w:hint="eastAsia" w:cs="宋体"/>
          <w:color w:val="auto"/>
          <w:highlight w:val="none"/>
        </w:rPr>
        <w:t>（</w:t>
      </w:r>
      <w:r>
        <w:rPr>
          <w:color w:val="auto"/>
          <w:highlight w:val="none"/>
        </w:rPr>
        <w:t>1</w:t>
      </w:r>
      <w:r>
        <w:rPr>
          <w:rFonts w:hint="eastAsia" w:cs="宋体"/>
          <w:color w:val="auto"/>
          <w:highlight w:val="none"/>
        </w:rPr>
        <w:t>）暂列金额应按工程量清单中列出的金额填写；</w:t>
      </w:r>
    </w:p>
    <w:p w14:paraId="2340FBEA">
      <w:pPr>
        <w:pStyle w:val="310"/>
        <w:spacing w:line="360" w:lineRule="auto"/>
        <w:ind w:firstLine="420" w:firstLineChars="200"/>
        <w:rPr>
          <w:color w:val="auto"/>
          <w:highlight w:val="none"/>
        </w:rPr>
      </w:pPr>
      <w:r>
        <w:rPr>
          <w:rFonts w:hint="eastAsia" w:cs="宋体"/>
          <w:color w:val="auto"/>
          <w:highlight w:val="none"/>
        </w:rPr>
        <w:t>（</w:t>
      </w:r>
      <w:r>
        <w:rPr>
          <w:color w:val="auto"/>
          <w:highlight w:val="none"/>
        </w:rPr>
        <w:t>2</w:t>
      </w:r>
      <w:r>
        <w:rPr>
          <w:rFonts w:hint="eastAsia" w:cs="宋体"/>
          <w:color w:val="auto"/>
          <w:highlight w:val="none"/>
        </w:rPr>
        <w:t>）材料、工程设备暂估价应按工程量清单中列出的单价计入综合单价；</w:t>
      </w:r>
    </w:p>
    <w:p w14:paraId="0F0D16A1">
      <w:pPr>
        <w:spacing w:line="360" w:lineRule="auto"/>
        <w:ind w:firstLine="420" w:firstLineChars="200"/>
        <w:rPr>
          <w:color w:val="auto"/>
          <w:highlight w:val="none"/>
        </w:rPr>
      </w:pPr>
      <w:r>
        <w:rPr>
          <w:rFonts w:hint="eastAsia" w:cs="宋体"/>
          <w:color w:val="auto"/>
          <w:highlight w:val="none"/>
        </w:rPr>
        <w:t>（</w:t>
      </w:r>
      <w:r>
        <w:rPr>
          <w:color w:val="auto"/>
          <w:highlight w:val="none"/>
        </w:rPr>
        <w:t>3</w:t>
      </w:r>
      <w:r>
        <w:rPr>
          <w:rFonts w:hint="eastAsia" w:cs="宋体"/>
          <w:color w:val="auto"/>
          <w:highlight w:val="none"/>
        </w:rPr>
        <w:t>）专业工程暂估价应按工程量清单中列出的金额填写；</w:t>
      </w:r>
    </w:p>
    <w:p w14:paraId="0429D112">
      <w:pPr>
        <w:spacing w:line="360" w:lineRule="auto"/>
        <w:ind w:firstLine="420" w:firstLineChars="200"/>
        <w:rPr>
          <w:color w:val="auto"/>
          <w:highlight w:val="none"/>
        </w:rPr>
      </w:pPr>
      <w:r>
        <w:rPr>
          <w:rFonts w:hint="eastAsia" w:cs="宋体"/>
          <w:color w:val="auto"/>
          <w:highlight w:val="none"/>
        </w:rPr>
        <w:t>（</w:t>
      </w:r>
      <w:r>
        <w:rPr>
          <w:color w:val="auto"/>
          <w:highlight w:val="none"/>
        </w:rPr>
        <w:t>4</w:t>
      </w:r>
      <w:r>
        <w:rPr>
          <w:rFonts w:hint="eastAsia" w:cs="宋体"/>
          <w:color w:val="auto"/>
          <w:highlight w:val="none"/>
        </w:rPr>
        <w:t>）计日工应按工程量清单中列出的项目和估算数量，自主确定综合单价并计算计日工总额；计日工单价均不含规费和税金；</w:t>
      </w:r>
    </w:p>
    <w:p w14:paraId="534643F4">
      <w:pPr>
        <w:spacing w:line="360" w:lineRule="auto"/>
        <w:ind w:firstLine="420" w:firstLineChars="200"/>
        <w:rPr>
          <w:rFonts w:cs="宋体"/>
          <w:color w:val="auto"/>
          <w:highlight w:val="none"/>
        </w:rPr>
      </w:pPr>
      <w:r>
        <w:rPr>
          <w:rFonts w:hint="eastAsia" w:cs="宋体"/>
          <w:color w:val="auto"/>
          <w:highlight w:val="none"/>
        </w:rPr>
        <w:t>（</w:t>
      </w:r>
      <w:r>
        <w:rPr>
          <w:color w:val="auto"/>
          <w:highlight w:val="none"/>
        </w:rPr>
        <w:t>5</w:t>
      </w:r>
      <w:r>
        <w:rPr>
          <w:rFonts w:hint="eastAsia" w:cs="宋体"/>
          <w:color w:val="auto"/>
          <w:highlight w:val="none"/>
        </w:rPr>
        <w:t>）总承包服务费应根据工程量清单中列出的内容</w:t>
      </w:r>
      <w:r>
        <w:rPr>
          <w:rFonts w:hint="eastAsia" w:hAnsi="宋体" w:cs="宋体"/>
          <w:color w:val="auto"/>
          <w:highlight w:val="none"/>
        </w:rPr>
        <w:t>和供应材料、设备情况，按照采购人提出的协调、配合与服务要求和施工现场管理需要</w:t>
      </w:r>
      <w:r>
        <w:rPr>
          <w:rFonts w:hint="eastAsia" w:cs="宋体"/>
          <w:color w:val="auto"/>
          <w:highlight w:val="none"/>
        </w:rPr>
        <w:t>自主确定。</w:t>
      </w:r>
    </w:p>
    <w:p w14:paraId="49A9CC1F">
      <w:pPr>
        <w:spacing w:line="360" w:lineRule="auto"/>
        <w:ind w:firstLine="420" w:firstLineChars="200"/>
        <w:rPr>
          <w:color w:val="auto"/>
          <w:highlight w:val="none"/>
        </w:rPr>
      </w:pPr>
      <w:r>
        <w:rPr>
          <w:rFonts w:hint="eastAsia"/>
          <w:color w:val="auto"/>
          <w:highlight w:val="none"/>
        </w:rPr>
        <w:t>（6）对建设单位创建优质工程的，鼓励在招标控制价和预算中按我区工程建设定额规定计列工程优质费，并明确工程优质费不可竞争。</w:t>
      </w:r>
    </w:p>
    <w:p w14:paraId="6CC901EB">
      <w:pPr>
        <w:spacing w:line="360" w:lineRule="auto"/>
        <w:ind w:firstLine="420" w:firstLineChars="200"/>
        <w:rPr>
          <w:color w:val="auto"/>
          <w:highlight w:val="none"/>
        </w:rPr>
      </w:pPr>
      <w:r>
        <w:rPr>
          <w:color w:val="auto"/>
          <w:highlight w:val="none"/>
        </w:rPr>
        <w:t>3.</w:t>
      </w:r>
      <w:r>
        <w:rPr>
          <w:rFonts w:hint="eastAsia"/>
          <w:color w:val="auto"/>
          <w:highlight w:val="none"/>
          <w:lang w:val="en-US" w:eastAsia="zh-CN"/>
        </w:rPr>
        <w:t>7</w:t>
      </w:r>
      <w:r>
        <w:rPr>
          <w:color w:val="auto"/>
          <w:highlight w:val="none"/>
        </w:rPr>
        <w:t xml:space="preserve"> </w:t>
      </w:r>
      <w:r>
        <w:rPr>
          <w:rFonts w:hint="eastAsia" w:cs="宋体"/>
          <w:color w:val="auto"/>
          <w:highlight w:val="none"/>
        </w:rPr>
        <w:t>工程量清单与计价表中列明的所有需要填写的单价和合价的项目，供应商均应填写且只允许有一个报价。未填写单价和合价的项目，视为此项费用已包含在已标价工程量清单中其他项目的单价和合价之中。竣工结算时，此项目不得重新组价予以调整。</w:t>
      </w:r>
    </w:p>
    <w:p w14:paraId="765B97CB">
      <w:pPr>
        <w:spacing w:line="360" w:lineRule="auto"/>
        <w:ind w:firstLine="420" w:firstLineChars="200"/>
        <w:rPr>
          <w:color w:val="auto"/>
          <w:highlight w:val="none"/>
        </w:rPr>
      </w:pPr>
      <w:r>
        <w:rPr>
          <w:color w:val="auto"/>
          <w:highlight w:val="none"/>
        </w:rPr>
        <w:t>3.</w:t>
      </w:r>
      <w:r>
        <w:rPr>
          <w:rFonts w:hint="eastAsia"/>
          <w:color w:val="auto"/>
          <w:highlight w:val="none"/>
          <w:lang w:val="en-US" w:eastAsia="zh-CN"/>
        </w:rPr>
        <w:t>8</w:t>
      </w:r>
      <w:r>
        <w:rPr>
          <w:color w:val="auto"/>
          <w:highlight w:val="none"/>
        </w:rPr>
        <w:t xml:space="preserve"> </w:t>
      </w:r>
      <w:r>
        <w:rPr>
          <w:rFonts w:hint="eastAsia" w:cs="宋体"/>
          <w:color w:val="auto"/>
          <w:highlight w:val="none"/>
        </w:rPr>
        <w:t>竞标总价应当与分部分项工程费、措施项目费、其他项目费和规费、增值税的合计金额一致。</w:t>
      </w:r>
    </w:p>
    <w:p w14:paraId="32DB37AA">
      <w:pPr>
        <w:spacing w:line="360" w:lineRule="auto"/>
        <w:ind w:firstLine="420" w:firstLineChars="200"/>
        <w:rPr>
          <w:color w:val="auto"/>
          <w:highlight w:val="none"/>
        </w:rPr>
      </w:pPr>
      <w:r>
        <w:rPr>
          <w:color w:val="auto"/>
          <w:highlight w:val="none"/>
        </w:rPr>
        <w:t>3.</w:t>
      </w:r>
      <w:r>
        <w:rPr>
          <w:rFonts w:hint="eastAsia"/>
          <w:color w:val="auto"/>
          <w:highlight w:val="none"/>
          <w:lang w:val="en-US" w:eastAsia="zh-CN"/>
        </w:rPr>
        <w:t>9</w:t>
      </w:r>
      <w:r>
        <w:rPr>
          <w:rFonts w:hint="eastAsia" w:cs="宋体"/>
          <w:color w:val="auto"/>
          <w:highlight w:val="none"/>
        </w:rPr>
        <w:t>供应商应按《允许调整价格的主要材料和工程设备一览表》的内容填报</w:t>
      </w:r>
      <w:r>
        <w:rPr>
          <w:rFonts w:hint="eastAsia" w:cs="宋体"/>
          <w:color w:val="auto"/>
          <w:highlight w:val="none"/>
          <w:lang w:eastAsia="zh-CN"/>
        </w:rPr>
        <w:t>（如有，必须填报）</w:t>
      </w:r>
      <w:r>
        <w:rPr>
          <w:rFonts w:hint="eastAsia" w:cs="宋体"/>
          <w:color w:val="auto"/>
          <w:highlight w:val="none"/>
        </w:rPr>
        <w:t>，不得擅自调整材料和设备名称型号规格、单位、风险系数、基准单价。</w:t>
      </w:r>
    </w:p>
    <w:p w14:paraId="1EF34469">
      <w:pPr>
        <w:spacing w:line="360" w:lineRule="auto"/>
        <w:ind w:firstLine="420" w:firstLineChars="200"/>
        <w:rPr>
          <w:rFonts w:hint="eastAsia" w:hAnsi="宋体" w:cs="宋体"/>
          <w:color w:val="auto"/>
          <w:highlight w:val="none"/>
        </w:rPr>
      </w:pPr>
      <w:r>
        <w:rPr>
          <w:color w:val="auto"/>
          <w:highlight w:val="none"/>
        </w:rPr>
        <w:t>3.1</w:t>
      </w:r>
      <w:r>
        <w:rPr>
          <w:rFonts w:hint="eastAsia"/>
          <w:color w:val="auto"/>
          <w:highlight w:val="none"/>
          <w:lang w:val="en-US" w:eastAsia="zh-CN"/>
        </w:rPr>
        <w:t>0</w:t>
      </w:r>
      <w:r>
        <w:rPr>
          <w:rFonts w:hint="eastAsia" w:hAnsi="宋体" w:cs="宋体"/>
          <w:color w:val="auto"/>
          <w:highlight w:val="none"/>
        </w:rPr>
        <w:t>竞标报价</w:t>
      </w:r>
      <w:r>
        <w:rPr>
          <w:rFonts w:hint="eastAsia" w:cs="宋体"/>
          <w:color w:val="auto"/>
          <w:highlight w:val="none"/>
        </w:rPr>
        <w:t>表格按本工程工程量清单表格要求填写，并</w:t>
      </w:r>
      <w:r>
        <w:rPr>
          <w:rFonts w:hint="eastAsia" w:hAnsi="宋体" w:cs="宋体"/>
          <w:color w:val="auto"/>
          <w:highlight w:val="none"/>
        </w:rPr>
        <w:t>应按磋商文件的要求，附上《</w:t>
      </w:r>
      <w:r>
        <w:rPr>
          <w:rFonts w:hint="eastAsia" w:hAnsi="宋体" w:cs="宋体"/>
          <w:color w:val="auto"/>
          <w:highlight w:val="none"/>
          <w:lang w:eastAsia="zh-CN"/>
        </w:rPr>
        <w:t>综合单价分析表</w:t>
      </w:r>
      <w:r>
        <w:rPr>
          <w:rFonts w:hint="eastAsia" w:hAnsi="宋体" w:cs="宋体"/>
          <w:color w:val="auto"/>
          <w:highlight w:val="none"/>
        </w:rPr>
        <w:t>》（表</w:t>
      </w:r>
      <w:r>
        <w:rPr>
          <w:color w:val="auto"/>
          <w:highlight w:val="none"/>
        </w:rPr>
        <w:t>-09</w:t>
      </w:r>
      <w:r>
        <w:rPr>
          <w:rFonts w:hint="eastAsia" w:hAnsi="宋体" w:cs="宋体"/>
          <w:color w:val="auto"/>
          <w:highlight w:val="none"/>
        </w:rPr>
        <w:t>）。</w:t>
      </w:r>
    </w:p>
    <w:p w14:paraId="759426D7">
      <w:pPr>
        <w:spacing w:line="360" w:lineRule="auto"/>
        <w:ind w:firstLine="420" w:firstLineChars="200"/>
        <w:rPr>
          <w:color w:val="auto"/>
          <w:highlight w:val="none"/>
          <w:u w:val="single"/>
        </w:rPr>
      </w:pPr>
      <w:r>
        <w:rPr>
          <w:rFonts w:hint="eastAsia" w:cs="宋体"/>
          <w:color w:val="auto"/>
          <w:highlight w:val="none"/>
        </w:rPr>
        <w:t>未尽事宜详见本工程工程量清单、招标控制价编制说明以及现行《计价规范》等有关规定执行。</w:t>
      </w:r>
    </w:p>
    <w:p w14:paraId="4FA2F6DF">
      <w:pPr>
        <w:spacing w:line="360" w:lineRule="auto"/>
        <w:ind w:firstLine="420" w:firstLineChars="200"/>
        <w:rPr>
          <w:rFonts w:cs="宋体"/>
          <w:color w:val="auto"/>
          <w:highlight w:val="none"/>
        </w:rPr>
      </w:pPr>
      <w:r>
        <w:rPr>
          <w:rFonts w:hint="eastAsia" w:cs="宋体"/>
          <w:color w:val="auto"/>
          <w:highlight w:val="none"/>
        </w:rPr>
        <w:t>注：因2021年《广西壮族自治区园林绿化及仿古建筑工程费用定额》采用全费用综合单价形式，故园林绿化及仿古建筑工程的工程量清单及计价采用《自治区住房和城乡建设厅关于建设工程造价改革试点项目招投标及计价规定调整的通知》（桂建标〔2021〕6号）中附件1《建设工程工程量清单计价规范（GB50500-2013）广西壮族自治区实施细则》（适用于工程造价改革试点项目）相关表格，具体以采购人另册发放的工程量清单及相关说明为准。</w:t>
      </w:r>
    </w:p>
    <w:p w14:paraId="39E5B116">
      <w:pPr>
        <w:pStyle w:val="3"/>
        <w:spacing w:before="0" w:after="0" w:line="360" w:lineRule="auto"/>
        <w:rPr>
          <w:rFonts w:cs="黑体"/>
          <w:color w:val="auto"/>
          <w:highlight w:val="none"/>
        </w:rPr>
      </w:pPr>
      <w:r>
        <w:rPr>
          <w:rFonts w:hint="eastAsia" w:cs="黑体"/>
          <w:color w:val="auto"/>
          <w:highlight w:val="none"/>
        </w:rPr>
        <w:t>4.图纸（另册）</w:t>
      </w:r>
    </w:p>
    <w:p w14:paraId="70B69D2A">
      <w:pPr>
        <w:pStyle w:val="3"/>
        <w:spacing w:before="0" w:after="0" w:line="360" w:lineRule="auto"/>
        <w:rPr>
          <w:rFonts w:hint="eastAsia" w:cs="黑体" w:asciiTheme="minorEastAsia" w:hAnsiTheme="minorEastAsia" w:eastAsiaTheme="minorEastAsia"/>
          <w:color w:val="auto"/>
          <w:highlight w:val="none"/>
        </w:rPr>
      </w:pPr>
    </w:p>
    <w:p w14:paraId="024595C7">
      <w:pPr>
        <w:pStyle w:val="3"/>
        <w:spacing w:before="0" w:after="0" w:line="360" w:lineRule="auto"/>
        <w:jc w:val="center"/>
        <w:rPr>
          <w:color w:val="auto"/>
          <w:highlight w:val="none"/>
        </w:rPr>
      </w:pPr>
      <w:r>
        <w:rPr>
          <w:rFonts w:cs="黑体"/>
          <w:color w:val="auto"/>
          <w:highlight w:val="none"/>
        </w:rPr>
        <w:br w:type="page"/>
      </w:r>
    </w:p>
    <w:p w14:paraId="428F97DC">
      <w:pPr>
        <w:pStyle w:val="4"/>
        <w:spacing w:before="0" w:after="0" w:line="360" w:lineRule="auto"/>
        <w:rPr>
          <w:color w:val="auto"/>
          <w:highlight w:val="none"/>
        </w:rPr>
      </w:pPr>
    </w:p>
    <w:p w14:paraId="19C19EFB">
      <w:pPr>
        <w:rPr>
          <w:color w:val="auto"/>
          <w:highlight w:val="none"/>
        </w:rPr>
      </w:pPr>
    </w:p>
    <w:p w14:paraId="33FCB550">
      <w:pPr>
        <w:rPr>
          <w:color w:val="auto"/>
          <w:highlight w:val="none"/>
        </w:rPr>
      </w:pPr>
    </w:p>
    <w:p w14:paraId="00C48566">
      <w:pPr>
        <w:rPr>
          <w:color w:val="auto"/>
          <w:highlight w:val="none"/>
        </w:rPr>
      </w:pPr>
    </w:p>
    <w:p w14:paraId="0E3E4A89">
      <w:pPr>
        <w:rPr>
          <w:color w:val="auto"/>
          <w:highlight w:val="none"/>
        </w:rPr>
      </w:pPr>
    </w:p>
    <w:p w14:paraId="06BE3142">
      <w:pPr>
        <w:rPr>
          <w:color w:val="auto"/>
          <w:highlight w:val="none"/>
        </w:rPr>
      </w:pPr>
    </w:p>
    <w:p w14:paraId="49745488">
      <w:pPr>
        <w:rPr>
          <w:color w:val="auto"/>
          <w:highlight w:val="none"/>
        </w:rPr>
      </w:pPr>
    </w:p>
    <w:p w14:paraId="0EDBB34C">
      <w:pPr>
        <w:rPr>
          <w:color w:val="auto"/>
          <w:highlight w:val="none"/>
        </w:rPr>
      </w:pPr>
    </w:p>
    <w:p w14:paraId="1D7A2A27">
      <w:pPr>
        <w:rPr>
          <w:color w:val="auto"/>
          <w:highlight w:val="none"/>
        </w:rPr>
      </w:pPr>
    </w:p>
    <w:p w14:paraId="72AFCED7">
      <w:pPr>
        <w:rPr>
          <w:color w:val="auto"/>
          <w:highlight w:val="none"/>
        </w:rPr>
      </w:pPr>
    </w:p>
    <w:p w14:paraId="5D9F028B">
      <w:pPr>
        <w:rPr>
          <w:color w:val="auto"/>
          <w:highlight w:val="none"/>
        </w:rPr>
      </w:pPr>
    </w:p>
    <w:p w14:paraId="383172D3">
      <w:pPr>
        <w:rPr>
          <w:color w:val="auto"/>
          <w:highlight w:val="none"/>
        </w:rPr>
      </w:pPr>
    </w:p>
    <w:p w14:paraId="5C0EEACF">
      <w:pPr>
        <w:pStyle w:val="7"/>
        <w:rPr>
          <w:color w:val="auto"/>
          <w:highlight w:val="none"/>
        </w:rPr>
      </w:pPr>
    </w:p>
    <w:p w14:paraId="4352DF17">
      <w:pPr>
        <w:pStyle w:val="7"/>
        <w:rPr>
          <w:color w:val="auto"/>
          <w:highlight w:val="none"/>
        </w:rPr>
      </w:pPr>
    </w:p>
    <w:p w14:paraId="5D4551AA">
      <w:pPr>
        <w:pStyle w:val="7"/>
        <w:rPr>
          <w:color w:val="auto"/>
          <w:highlight w:val="none"/>
        </w:rPr>
      </w:pPr>
    </w:p>
    <w:p w14:paraId="475ADE91">
      <w:pPr>
        <w:pStyle w:val="7"/>
        <w:rPr>
          <w:color w:val="auto"/>
          <w:highlight w:val="none"/>
        </w:rPr>
      </w:pPr>
    </w:p>
    <w:p w14:paraId="04194B87">
      <w:pPr>
        <w:pStyle w:val="7"/>
        <w:rPr>
          <w:color w:val="auto"/>
          <w:highlight w:val="none"/>
        </w:rPr>
      </w:pPr>
    </w:p>
    <w:p w14:paraId="59732E44">
      <w:pPr>
        <w:pStyle w:val="7"/>
        <w:rPr>
          <w:color w:val="auto"/>
          <w:highlight w:val="none"/>
        </w:rPr>
      </w:pPr>
    </w:p>
    <w:p w14:paraId="32C2D7B2">
      <w:pPr>
        <w:rPr>
          <w:color w:val="auto"/>
          <w:highlight w:val="none"/>
        </w:rPr>
      </w:pPr>
    </w:p>
    <w:p w14:paraId="77D99E34">
      <w:pPr>
        <w:rPr>
          <w:color w:val="auto"/>
          <w:highlight w:val="none"/>
        </w:rPr>
      </w:pPr>
    </w:p>
    <w:p w14:paraId="72972939">
      <w:pPr>
        <w:pStyle w:val="2"/>
        <w:jc w:val="center"/>
        <w:rPr>
          <w:color w:val="auto"/>
          <w:highlight w:val="none"/>
        </w:rPr>
      </w:pPr>
      <w:bookmarkStart w:id="85" w:name="_Toc74323460"/>
      <w:r>
        <w:rPr>
          <w:rFonts w:hint="eastAsia"/>
          <w:color w:val="auto"/>
          <w:highlight w:val="none"/>
        </w:rPr>
        <w:t>第六章 响应文件格式</w:t>
      </w:r>
      <w:bookmarkEnd w:id="85"/>
    </w:p>
    <w:p w14:paraId="2C15651F">
      <w:pPr>
        <w:spacing w:line="240" w:lineRule="atLeast"/>
        <w:rPr>
          <w:rFonts w:hint="eastAsia" w:ascii="宋体" w:hAnsi="宋体"/>
          <w:b/>
          <w:color w:val="auto"/>
          <w:sz w:val="32"/>
          <w:szCs w:val="32"/>
          <w:highlight w:val="none"/>
        </w:rPr>
      </w:pPr>
    </w:p>
    <w:p w14:paraId="4BD52204">
      <w:pPr>
        <w:spacing w:line="240" w:lineRule="atLeast"/>
        <w:rPr>
          <w:rFonts w:hint="eastAsia" w:ascii="宋体" w:hAnsi="宋体"/>
          <w:b/>
          <w:color w:val="auto"/>
          <w:sz w:val="32"/>
          <w:szCs w:val="32"/>
          <w:highlight w:val="none"/>
        </w:rPr>
      </w:pPr>
    </w:p>
    <w:p w14:paraId="4A86BF6E">
      <w:pPr>
        <w:spacing w:line="240" w:lineRule="atLeast"/>
        <w:rPr>
          <w:rFonts w:hint="eastAsia" w:ascii="宋体" w:hAnsi="宋体"/>
          <w:b/>
          <w:color w:val="auto"/>
          <w:sz w:val="32"/>
          <w:szCs w:val="32"/>
          <w:highlight w:val="none"/>
        </w:rPr>
      </w:pPr>
    </w:p>
    <w:p w14:paraId="2E6ABFD8">
      <w:pPr>
        <w:spacing w:line="240" w:lineRule="atLeast"/>
        <w:rPr>
          <w:rFonts w:hint="eastAsia" w:ascii="宋体" w:hAnsi="宋体"/>
          <w:b/>
          <w:color w:val="auto"/>
          <w:sz w:val="32"/>
          <w:szCs w:val="32"/>
          <w:highlight w:val="none"/>
        </w:rPr>
      </w:pPr>
    </w:p>
    <w:p w14:paraId="504E95FD">
      <w:pPr>
        <w:spacing w:line="240" w:lineRule="atLeast"/>
        <w:rPr>
          <w:rFonts w:hint="eastAsia" w:ascii="宋体" w:hAnsi="宋体"/>
          <w:b/>
          <w:color w:val="auto"/>
          <w:sz w:val="32"/>
          <w:szCs w:val="32"/>
          <w:highlight w:val="none"/>
        </w:rPr>
      </w:pPr>
    </w:p>
    <w:p w14:paraId="71DCE08D">
      <w:pPr>
        <w:spacing w:line="240" w:lineRule="atLeast"/>
        <w:rPr>
          <w:rFonts w:hint="eastAsia" w:ascii="宋体" w:hAnsi="宋体"/>
          <w:b/>
          <w:color w:val="auto"/>
          <w:sz w:val="32"/>
          <w:szCs w:val="32"/>
          <w:highlight w:val="none"/>
        </w:rPr>
      </w:pPr>
    </w:p>
    <w:p w14:paraId="419F72AA">
      <w:pPr>
        <w:spacing w:line="240" w:lineRule="atLeast"/>
        <w:rPr>
          <w:rFonts w:hint="eastAsia" w:ascii="宋体" w:hAnsi="宋体"/>
          <w:b/>
          <w:color w:val="auto"/>
          <w:sz w:val="32"/>
          <w:szCs w:val="32"/>
          <w:highlight w:val="none"/>
        </w:rPr>
      </w:pPr>
    </w:p>
    <w:p w14:paraId="1CFEBDE6">
      <w:pPr>
        <w:spacing w:line="240" w:lineRule="atLeast"/>
        <w:rPr>
          <w:rFonts w:hint="eastAsia" w:ascii="宋体" w:hAnsi="宋体"/>
          <w:b/>
          <w:color w:val="auto"/>
          <w:sz w:val="32"/>
          <w:szCs w:val="32"/>
          <w:highlight w:val="none"/>
        </w:rPr>
      </w:pPr>
    </w:p>
    <w:p w14:paraId="73C7E7BC">
      <w:pPr>
        <w:spacing w:line="240" w:lineRule="atLeast"/>
        <w:rPr>
          <w:rFonts w:hint="eastAsia" w:ascii="宋体" w:hAnsi="宋体"/>
          <w:b/>
          <w:color w:val="auto"/>
          <w:sz w:val="32"/>
          <w:szCs w:val="32"/>
          <w:highlight w:val="none"/>
        </w:rPr>
      </w:pPr>
    </w:p>
    <w:p w14:paraId="57120690">
      <w:pPr>
        <w:spacing w:line="240" w:lineRule="atLeast"/>
        <w:rPr>
          <w:rFonts w:hint="eastAsia" w:ascii="宋体" w:hAnsi="宋体"/>
          <w:b/>
          <w:color w:val="auto"/>
          <w:sz w:val="32"/>
          <w:szCs w:val="32"/>
          <w:highlight w:val="none"/>
        </w:rPr>
      </w:pPr>
    </w:p>
    <w:p w14:paraId="6992B879">
      <w:pPr>
        <w:spacing w:line="240" w:lineRule="atLeast"/>
        <w:rPr>
          <w:rFonts w:hint="eastAsia" w:ascii="宋体" w:hAnsi="宋体"/>
          <w:b/>
          <w:color w:val="auto"/>
          <w:sz w:val="32"/>
          <w:szCs w:val="32"/>
          <w:highlight w:val="none"/>
        </w:rPr>
      </w:pPr>
    </w:p>
    <w:p w14:paraId="3CBBE4F5">
      <w:pPr>
        <w:snapToGrid w:val="0"/>
        <w:spacing w:before="50" w:after="50"/>
        <w:outlineLvl w:val="1"/>
        <w:rPr>
          <w:rFonts w:hint="eastAsia" w:ascii="宋体" w:hAnsi="宋体"/>
          <w:b/>
          <w:bCs/>
          <w:color w:val="auto"/>
          <w:sz w:val="24"/>
          <w:highlight w:val="none"/>
        </w:rPr>
      </w:pPr>
    </w:p>
    <w:p w14:paraId="0F4B4D2B">
      <w:pPr>
        <w:snapToGrid w:val="0"/>
        <w:spacing w:before="50" w:after="50"/>
        <w:outlineLvl w:val="1"/>
        <w:rPr>
          <w:rFonts w:hint="eastAsia" w:ascii="宋体" w:hAnsi="宋体"/>
          <w:b/>
          <w:bCs/>
          <w:color w:val="auto"/>
          <w:sz w:val="24"/>
          <w:highlight w:val="none"/>
        </w:rPr>
      </w:pPr>
    </w:p>
    <w:p w14:paraId="56DC2D02">
      <w:pPr>
        <w:snapToGrid w:val="0"/>
        <w:spacing w:before="50" w:after="50"/>
        <w:outlineLvl w:val="1"/>
        <w:rPr>
          <w:rFonts w:hint="eastAsia" w:ascii="宋体" w:hAnsi="宋体"/>
          <w:b/>
          <w:bCs/>
          <w:color w:val="auto"/>
          <w:sz w:val="24"/>
          <w:highlight w:val="none"/>
        </w:rPr>
      </w:pPr>
    </w:p>
    <w:p w14:paraId="57B77D04">
      <w:pPr>
        <w:snapToGrid w:val="0"/>
        <w:spacing w:before="50" w:after="50"/>
        <w:outlineLvl w:val="1"/>
        <w:rPr>
          <w:rFonts w:hint="eastAsia" w:ascii="宋体" w:hAnsi="宋体"/>
          <w:b/>
          <w:bCs/>
          <w:color w:val="auto"/>
          <w:sz w:val="24"/>
          <w:highlight w:val="none"/>
        </w:rPr>
      </w:pPr>
    </w:p>
    <w:p w14:paraId="3543F3BF">
      <w:pPr>
        <w:snapToGrid w:val="0"/>
        <w:spacing w:before="50" w:after="50"/>
        <w:outlineLvl w:val="1"/>
        <w:rPr>
          <w:rFonts w:hint="eastAsia" w:ascii="宋体" w:hAnsi="宋体"/>
          <w:b/>
          <w:bCs/>
          <w:color w:val="auto"/>
          <w:sz w:val="24"/>
          <w:highlight w:val="none"/>
        </w:rPr>
      </w:pPr>
    </w:p>
    <w:p w14:paraId="0AEAB271">
      <w:pPr>
        <w:rPr>
          <w:b/>
          <w:color w:val="auto"/>
          <w:sz w:val="32"/>
          <w:szCs w:val="32"/>
          <w:highlight w:val="none"/>
        </w:rPr>
      </w:pPr>
      <w:bookmarkStart w:id="86" w:name="_Toc35611438"/>
      <w:bookmarkStart w:id="87" w:name="_Toc35611516"/>
      <w:bookmarkStart w:id="88" w:name="_Toc71366186"/>
      <w:bookmarkStart w:id="89" w:name="_Toc44229899"/>
      <w:bookmarkStart w:id="90" w:name="_Toc31728084"/>
      <w:bookmarkStart w:id="91" w:name="_Toc31723070"/>
      <w:r>
        <w:rPr>
          <w:rFonts w:hint="eastAsia"/>
          <w:b/>
          <w:color w:val="auto"/>
          <w:sz w:val="32"/>
          <w:szCs w:val="32"/>
          <w:highlight w:val="none"/>
        </w:rPr>
        <w:t>一、资格证明文件格式</w:t>
      </w:r>
      <w:bookmarkEnd w:id="86"/>
      <w:bookmarkEnd w:id="87"/>
      <w:bookmarkEnd w:id="88"/>
      <w:bookmarkEnd w:id="89"/>
      <w:bookmarkEnd w:id="90"/>
      <w:bookmarkEnd w:id="91"/>
    </w:p>
    <w:p w14:paraId="68CC5A89">
      <w:pPr>
        <w:snapToGrid w:val="0"/>
        <w:spacing w:before="120" w:beforeLines="50" w:after="50" w:line="360" w:lineRule="auto"/>
        <w:jc w:val="left"/>
        <w:rPr>
          <w:rFonts w:hint="eastAsia" w:ascii="宋体" w:hAnsi="宋体"/>
          <w:b/>
          <w:color w:val="auto"/>
          <w:sz w:val="24"/>
          <w:highlight w:val="none"/>
        </w:rPr>
      </w:pPr>
      <w:r>
        <w:rPr>
          <w:rFonts w:hint="eastAsia" w:ascii="宋体" w:hAnsi="宋体"/>
          <w:b/>
          <w:color w:val="auto"/>
          <w:sz w:val="32"/>
          <w:szCs w:val="32"/>
          <w:highlight w:val="none"/>
        </w:rPr>
        <w:t>1.资格证明文件封面格式：</w:t>
      </w:r>
      <w:r>
        <w:rPr>
          <w:rFonts w:hint="eastAsia" w:ascii="宋体" w:hAnsi="宋体"/>
          <w:b/>
          <w:color w:val="auto"/>
          <w:sz w:val="24"/>
          <w:highlight w:val="none"/>
        </w:rPr>
        <w:t xml:space="preserve"> </w:t>
      </w:r>
    </w:p>
    <w:p w14:paraId="02BA3089">
      <w:pPr>
        <w:snapToGrid w:val="0"/>
        <w:spacing w:before="120" w:beforeLines="50" w:after="50"/>
        <w:jc w:val="center"/>
        <w:rPr>
          <w:rFonts w:hint="eastAsia" w:ascii="宋体" w:hAnsi="宋体"/>
          <w:color w:val="auto"/>
          <w:sz w:val="44"/>
          <w:szCs w:val="44"/>
          <w:highlight w:val="none"/>
        </w:rPr>
      </w:pPr>
    </w:p>
    <w:p w14:paraId="3BE4A76D">
      <w:pPr>
        <w:snapToGrid w:val="0"/>
        <w:spacing w:before="120" w:beforeLines="50" w:after="50"/>
        <w:jc w:val="center"/>
        <w:rPr>
          <w:rFonts w:hint="eastAsia" w:ascii="宋体" w:hAnsi="宋体"/>
          <w:color w:val="auto"/>
          <w:sz w:val="44"/>
          <w:szCs w:val="44"/>
          <w:highlight w:val="none"/>
        </w:rPr>
      </w:pPr>
      <w:r>
        <w:rPr>
          <w:rFonts w:hint="eastAsia" w:ascii="宋体" w:hAnsi="宋体"/>
          <w:color w:val="auto"/>
          <w:sz w:val="44"/>
          <w:szCs w:val="44"/>
          <w:highlight w:val="none"/>
        </w:rPr>
        <w:t>电 子 响 应 文 件</w:t>
      </w:r>
    </w:p>
    <w:p w14:paraId="4DF7C828">
      <w:pPr>
        <w:snapToGrid w:val="0"/>
        <w:spacing w:before="120" w:beforeLines="50" w:after="50"/>
        <w:rPr>
          <w:rFonts w:hint="eastAsia" w:ascii="宋体" w:hAnsi="宋体"/>
          <w:color w:val="auto"/>
          <w:sz w:val="24"/>
          <w:szCs w:val="20"/>
          <w:highlight w:val="none"/>
        </w:rPr>
      </w:pPr>
    </w:p>
    <w:p w14:paraId="35C682EB">
      <w:pPr>
        <w:snapToGrid w:val="0"/>
        <w:spacing w:before="120"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资  格  证  明  文  件</w:t>
      </w:r>
    </w:p>
    <w:p w14:paraId="1B9949CA">
      <w:pPr>
        <w:snapToGrid w:val="0"/>
        <w:spacing w:before="120" w:beforeLines="50" w:after="50"/>
        <w:rPr>
          <w:rFonts w:hint="eastAsia" w:ascii="宋体" w:hAnsi="宋体"/>
          <w:bCs/>
          <w:color w:val="auto"/>
          <w:sz w:val="24"/>
          <w:szCs w:val="20"/>
          <w:highlight w:val="none"/>
        </w:rPr>
      </w:pPr>
    </w:p>
    <w:p w14:paraId="62B08ABF">
      <w:pPr>
        <w:snapToGrid w:val="0"/>
        <w:spacing w:before="120" w:beforeLines="50" w:after="50"/>
        <w:rPr>
          <w:rFonts w:hint="eastAsia" w:ascii="宋体" w:hAnsi="宋体"/>
          <w:bCs/>
          <w:color w:val="auto"/>
          <w:sz w:val="24"/>
          <w:szCs w:val="20"/>
          <w:highlight w:val="none"/>
        </w:rPr>
      </w:pPr>
    </w:p>
    <w:p w14:paraId="29C79C5A">
      <w:pPr>
        <w:snapToGrid w:val="0"/>
        <w:spacing w:before="120" w:beforeLines="50" w:after="50"/>
        <w:rPr>
          <w:rFonts w:hint="eastAsia" w:ascii="宋体" w:hAnsi="宋体"/>
          <w:bCs/>
          <w:color w:val="auto"/>
          <w:sz w:val="24"/>
          <w:szCs w:val="20"/>
          <w:highlight w:val="none"/>
        </w:rPr>
      </w:pPr>
    </w:p>
    <w:p w14:paraId="69C5EFCD">
      <w:pPr>
        <w:snapToGrid w:val="0"/>
        <w:spacing w:before="120" w:beforeLines="50" w:after="50"/>
        <w:rPr>
          <w:rFonts w:hint="eastAsia" w:ascii="宋体" w:hAnsi="宋体"/>
          <w:bCs/>
          <w:color w:val="auto"/>
          <w:sz w:val="24"/>
          <w:szCs w:val="20"/>
          <w:highlight w:val="none"/>
        </w:rPr>
      </w:pPr>
    </w:p>
    <w:p w14:paraId="698D73C5">
      <w:pPr>
        <w:snapToGrid w:val="0"/>
        <w:spacing w:before="120" w:beforeLines="50" w:after="50"/>
        <w:rPr>
          <w:rFonts w:hint="eastAsia" w:ascii="宋体" w:hAnsi="宋体"/>
          <w:bCs/>
          <w:color w:val="auto"/>
          <w:sz w:val="24"/>
          <w:szCs w:val="20"/>
          <w:highlight w:val="none"/>
        </w:rPr>
      </w:pPr>
    </w:p>
    <w:p w14:paraId="729F46C6">
      <w:pPr>
        <w:snapToGrid w:val="0"/>
        <w:spacing w:before="120"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636AFD95">
      <w:pPr>
        <w:snapToGrid w:val="0"/>
        <w:spacing w:before="120" w:beforeLines="50" w:after="50"/>
        <w:ind w:firstLine="720" w:firstLineChars="225"/>
        <w:rPr>
          <w:rFonts w:hint="eastAsia" w:ascii="宋体" w:hAnsi="宋体" w:cs="仿宋_GB2312"/>
          <w:bCs/>
          <w:color w:val="auto"/>
          <w:sz w:val="32"/>
          <w:szCs w:val="32"/>
          <w:highlight w:val="none"/>
        </w:rPr>
      </w:pPr>
    </w:p>
    <w:p w14:paraId="1A8F2D73">
      <w:pPr>
        <w:snapToGrid w:val="0"/>
        <w:spacing w:before="120" w:beforeLines="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01CF52F9">
      <w:pPr>
        <w:snapToGrid w:val="0"/>
        <w:spacing w:before="120" w:beforeLines="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14:paraId="09AEC4CC">
      <w:pPr>
        <w:snapToGrid w:val="0"/>
        <w:spacing w:before="120" w:beforeLines="50" w:after="50"/>
        <w:ind w:firstLine="720" w:firstLineChars="225"/>
        <w:rPr>
          <w:rFonts w:hint="eastAsia" w:ascii="宋体" w:hAnsi="宋体" w:cs="仿宋_GB2312"/>
          <w:bCs/>
          <w:color w:val="auto"/>
          <w:sz w:val="32"/>
          <w:szCs w:val="32"/>
          <w:highlight w:val="none"/>
        </w:rPr>
      </w:pPr>
    </w:p>
    <w:p w14:paraId="10C06B48">
      <w:pPr>
        <w:pStyle w:val="7"/>
        <w:snapToGrid w:val="0"/>
        <w:spacing w:before="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40E050DC">
      <w:pPr>
        <w:snapToGrid w:val="0"/>
        <w:spacing w:before="120" w:beforeLines="50" w:after="50"/>
        <w:ind w:firstLine="640" w:firstLineChars="200"/>
        <w:rPr>
          <w:rFonts w:hint="eastAsia" w:ascii="宋体" w:hAnsi="宋体" w:cs="仿宋_GB2312"/>
          <w:bCs/>
          <w:color w:val="auto"/>
          <w:sz w:val="32"/>
          <w:szCs w:val="32"/>
          <w:highlight w:val="none"/>
        </w:rPr>
      </w:pPr>
    </w:p>
    <w:p w14:paraId="788ADCDA">
      <w:pPr>
        <w:pStyle w:val="7"/>
        <w:snapToGrid w:val="0"/>
        <w:spacing w:before="50" w:after="50"/>
        <w:ind w:firstLine="720" w:firstLineChars="225"/>
        <w:rPr>
          <w:rFonts w:hint="eastAsia" w:ascii="宋体" w:hAnsi="宋体" w:cs="仿宋_GB2312"/>
          <w:bCs/>
          <w:color w:val="auto"/>
          <w:sz w:val="32"/>
          <w:szCs w:val="32"/>
          <w:highlight w:val="none"/>
        </w:rPr>
      </w:pPr>
    </w:p>
    <w:p w14:paraId="02477FF3">
      <w:pPr>
        <w:pStyle w:val="7"/>
        <w:snapToGrid w:val="0"/>
        <w:spacing w:before="50" w:after="50"/>
        <w:ind w:firstLine="720" w:firstLineChars="225"/>
        <w:rPr>
          <w:rFonts w:hint="eastAsia" w:ascii="宋体" w:hAnsi="宋体" w:cs="仿宋_GB2312"/>
          <w:bCs/>
          <w:color w:val="auto"/>
          <w:sz w:val="32"/>
          <w:szCs w:val="32"/>
          <w:highlight w:val="none"/>
        </w:rPr>
      </w:pPr>
    </w:p>
    <w:p w14:paraId="0C043E5C">
      <w:pPr>
        <w:pStyle w:val="7"/>
        <w:snapToGrid w:val="0"/>
        <w:spacing w:before="50" w:after="50"/>
        <w:ind w:firstLine="1280" w:firstLineChars="400"/>
        <w:rPr>
          <w:rFonts w:hint="eastAsia" w:ascii="宋体" w:hAnsi="宋体" w:cs="仿宋_GB2312"/>
          <w:bCs/>
          <w:color w:val="auto"/>
          <w:sz w:val="32"/>
          <w:szCs w:val="32"/>
          <w:highlight w:val="none"/>
        </w:rPr>
      </w:pPr>
    </w:p>
    <w:p w14:paraId="19D901EE">
      <w:pPr>
        <w:snapToGrid w:val="0"/>
        <w:spacing w:before="120" w:beforeLines="50" w:after="50"/>
        <w:jc w:val="center"/>
        <w:rPr>
          <w:rFonts w:hint="eastAsia"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352BBBE7">
      <w:pPr>
        <w:snapToGrid w:val="0"/>
        <w:spacing w:before="120" w:beforeLines="50" w:after="50" w:line="360" w:lineRule="auto"/>
        <w:ind w:left="142"/>
        <w:jc w:val="left"/>
        <w:rPr>
          <w:rFonts w:hint="eastAsia" w:ascii="宋体" w:hAnsi="宋体"/>
          <w:b/>
          <w:bCs/>
          <w:color w:val="auto"/>
          <w:sz w:val="32"/>
          <w:szCs w:val="32"/>
          <w:highlight w:val="none"/>
        </w:rPr>
      </w:pPr>
      <w:r>
        <w:rPr>
          <w:rFonts w:ascii="宋体" w:hAnsi="宋体"/>
          <w:color w:val="auto"/>
          <w:sz w:val="24"/>
          <w:highlight w:val="none"/>
        </w:rPr>
        <w:br w:type="page"/>
      </w:r>
      <w:r>
        <w:rPr>
          <w:rFonts w:hint="eastAsia" w:ascii="宋体" w:hAnsi="宋体"/>
          <w:b/>
          <w:bCs/>
          <w:color w:val="auto"/>
          <w:sz w:val="32"/>
          <w:szCs w:val="32"/>
          <w:highlight w:val="none"/>
        </w:rPr>
        <w:t>2.资格证明文件目录</w:t>
      </w:r>
    </w:p>
    <w:p w14:paraId="69D45D34">
      <w:pPr>
        <w:snapToGrid w:val="0"/>
        <w:spacing w:before="120" w:beforeLines="50" w:after="50" w:line="360" w:lineRule="auto"/>
        <w:ind w:firstLine="645"/>
        <w:rPr>
          <w:rFonts w:hint="eastAsia" w:ascii="宋体" w:hAnsi="宋体"/>
          <w:color w:val="auto"/>
          <w:sz w:val="32"/>
          <w:szCs w:val="32"/>
          <w:highlight w:val="none"/>
        </w:rPr>
      </w:pPr>
      <w:r>
        <w:rPr>
          <w:rFonts w:hint="eastAsia" w:ascii="宋体" w:hAnsi="宋体"/>
          <w:color w:val="auto"/>
          <w:sz w:val="32"/>
          <w:szCs w:val="32"/>
          <w:highlight w:val="none"/>
        </w:rPr>
        <w:t>根据磋商文件规定及供应商提供的材料自行编写目录（部分格式后附）。</w:t>
      </w:r>
    </w:p>
    <w:p w14:paraId="130872A4">
      <w:pPr>
        <w:snapToGrid w:val="0"/>
        <w:spacing w:before="120" w:beforeLines="50" w:after="50"/>
        <w:rPr>
          <w:rFonts w:hint="eastAsia" w:ascii="宋体" w:hAnsi="宋体"/>
          <w:color w:val="auto"/>
          <w:sz w:val="24"/>
          <w:szCs w:val="20"/>
          <w:highlight w:val="none"/>
        </w:rPr>
      </w:pPr>
      <w:r>
        <w:rPr>
          <w:rFonts w:ascii="宋体" w:hAnsi="宋体"/>
          <w:color w:val="auto"/>
          <w:sz w:val="24"/>
          <w:szCs w:val="20"/>
          <w:highlight w:val="none"/>
        </w:rPr>
        <w:t xml:space="preserve"> </w:t>
      </w:r>
    </w:p>
    <w:p w14:paraId="4622B82C">
      <w:pPr>
        <w:spacing w:line="300" w:lineRule="auto"/>
        <w:rPr>
          <w:rFonts w:hint="eastAsia" w:ascii="宋体" w:hAnsi="宋体"/>
          <w:color w:val="auto"/>
          <w:szCs w:val="21"/>
          <w:highlight w:val="none"/>
        </w:rPr>
      </w:pPr>
    </w:p>
    <w:p w14:paraId="3D004B79">
      <w:pPr>
        <w:spacing w:line="300" w:lineRule="auto"/>
        <w:rPr>
          <w:rFonts w:hint="eastAsia" w:ascii="宋体" w:hAnsi="宋体"/>
          <w:color w:val="auto"/>
          <w:szCs w:val="21"/>
          <w:highlight w:val="none"/>
        </w:rPr>
      </w:pPr>
    </w:p>
    <w:p w14:paraId="4F5C327A">
      <w:pPr>
        <w:spacing w:line="300" w:lineRule="auto"/>
        <w:rPr>
          <w:rFonts w:hint="eastAsia" w:ascii="宋体" w:hAnsi="宋体"/>
          <w:color w:val="auto"/>
          <w:szCs w:val="21"/>
          <w:highlight w:val="none"/>
        </w:rPr>
      </w:pPr>
    </w:p>
    <w:p w14:paraId="1F096424">
      <w:pPr>
        <w:spacing w:line="300" w:lineRule="auto"/>
        <w:rPr>
          <w:rFonts w:hint="eastAsia" w:ascii="宋体" w:hAnsi="宋体"/>
          <w:color w:val="auto"/>
          <w:szCs w:val="21"/>
          <w:highlight w:val="none"/>
        </w:rPr>
      </w:pPr>
    </w:p>
    <w:p w14:paraId="4653692F">
      <w:pPr>
        <w:spacing w:line="300" w:lineRule="auto"/>
        <w:rPr>
          <w:rFonts w:hint="eastAsia" w:ascii="宋体" w:hAnsi="宋体"/>
          <w:color w:val="auto"/>
          <w:szCs w:val="21"/>
          <w:highlight w:val="none"/>
        </w:rPr>
      </w:pPr>
    </w:p>
    <w:p w14:paraId="08F6FB15">
      <w:pPr>
        <w:spacing w:line="300" w:lineRule="auto"/>
        <w:rPr>
          <w:rFonts w:hint="eastAsia" w:ascii="宋体" w:hAnsi="宋体"/>
          <w:color w:val="auto"/>
          <w:szCs w:val="21"/>
          <w:highlight w:val="none"/>
        </w:rPr>
      </w:pPr>
    </w:p>
    <w:p w14:paraId="060B014A">
      <w:pPr>
        <w:spacing w:line="300" w:lineRule="auto"/>
        <w:rPr>
          <w:rFonts w:hint="eastAsia" w:ascii="宋体" w:hAnsi="宋体"/>
          <w:color w:val="auto"/>
          <w:szCs w:val="21"/>
          <w:highlight w:val="none"/>
        </w:rPr>
      </w:pPr>
    </w:p>
    <w:p w14:paraId="6F3D313F">
      <w:pPr>
        <w:spacing w:line="300" w:lineRule="auto"/>
        <w:rPr>
          <w:rFonts w:hint="eastAsia" w:ascii="宋体" w:hAnsi="宋体"/>
          <w:color w:val="auto"/>
          <w:szCs w:val="21"/>
          <w:highlight w:val="none"/>
        </w:rPr>
      </w:pPr>
    </w:p>
    <w:p w14:paraId="19973506">
      <w:pPr>
        <w:spacing w:line="300" w:lineRule="auto"/>
        <w:rPr>
          <w:rFonts w:hint="eastAsia" w:ascii="宋体" w:hAnsi="宋体"/>
          <w:color w:val="auto"/>
          <w:szCs w:val="21"/>
          <w:highlight w:val="none"/>
        </w:rPr>
      </w:pPr>
    </w:p>
    <w:p w14:paraId="58D9F9D3">
      <w:pPr>
        <w:spacing w:line="300" w:lineRule="auto"/>
        <w:rPr>
          <w:rFonts w:hint="eastAsia" w:ascii="宋体" w:hAnsi="宋体"/>
          <w:color w:val="auto"/>
          <w:szCs w:val="21"/>
          <w:highlight w:val="none"/>
        </w:rPr>
      </w:pPr>
    </w:p>
    <w:p w14:paraId="3D51FAE7">
      <w:pPr>
        <w:spacing w:line="300" w:lineRule="auto"/>
        <w:rPr>
          <w:rFonts w:hint="eastAsia" w:ascii="宋体" w:hAnsi="宋体"/>
          <w:color w:val="auto"/>
          <w:szCs w:val="21"/>
          <w:highlight w:val="none"/>
        </w:rPr>
      </w:pPr>
    </w:p>
    <w:p w14:paraId="0D13554D">
      <w:pPr>
        <w:spacing w:line="300" w:lineRule="auto"/>
        <w:rPr>
          <w:rFonts w:hint="eastAsia" w:ascii="宋体" w:hAnsi="宋体"/>
          <w:color w:val="auto"/>
          <w:szCs w:val="21"/>
          <w:highlight w:val="none"/>
        </w:rPr>
      </w:pPr>
    </w:p>
    <w:p w14:paraId="39BC153C">
      <w:pPr>
        <w:spacing w:line="300" w:lineRule="auto"/>
        <w:rPr>
          <w:rFonts w:hint="eastAsia" w:ascii="宋体" w:hAnsi="宋体"/>
          <w:color w:val="auto"/>
          <w:szCs w:val="21"/>
          <w:highlight w:val="none"/>
        </w:rPr>
      </w:pPr>
    </w:p>
    <w:p w14:paraId="7F87635A">
      <w:pPr>
        <w:spacing w:line="300" w:lineRule="auto"/>
        <w:rPr>
          <w:rFonts w:hint="eastAsia" w:ascii="宋体" w:hAnsi="宋体"/>
          <w:color w:val="auto"/>
          <w:szCs w:val="21"/>
          <w:highlight w:val="none"/>
        </w:rPr>
      </w:pPr>
    </w:p>
    <w:p w14:paraId="07FB7B9E">
      <w:pPr>
        <w:spacing w:line="300" w:lineRule="auto"/>
        <w:rPr>
          <w:rFonts w:hint="eastAsia" w:ascii="宋体" w:hAnsi="宋体"/>
          <w:color w:val="auto"/>
          <w:szCs w:val="21"/>
          <w:highlight w:val="none"/>
        </w:rPr>
      </w:pPr>
    </w:p>
    <w:p w14:paraId="55C2230E">
      <w:pPr>
        <w:spacing w:line="320" w:lineRule="exact"/>
        <w:jc w:val="left"/>
        <w:rPr>
          <w:rFonts w:hint="eastAsia" w:ascii="宋体" w:hAnsi="宋体"/>
          <w:color w:val="auto"/>
          <w:szCs w:val="21"/>
          <w:highlight w:val="none"/>
        </w:rPr>
      </w:pPr>
      <w:r>
        <w:rPr>
          <w:rFonts w:ascii="宋体" w:hAnsi="宋体"/>
          <w:color w:val="auto"/>
          <w:szCs w:val="21"/>
          <w:highlight w:val="none"/>
        </w:rPr>
        <w:br w:type="page"/>
      </w:r>
      <w:r>
        <w:rPr>
          <w:rFonts w:hint="eastAsia" w:ascii="宋体" w:hAnsi="宋体"/>
          <w:color w:val="auto"/>
          <w:szCs w:val="21"/>
          <w:highlight w:val="none"/>
        </w:rPr>
        <w:t xml:space="preserve"> </w:t>
      </w:r>
    </w:p>
    <w:p w14:paraId="13C7B4F1">
      <w:pPr>
        <w:spacing w:line="32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供应商直接控股、管理关系信息表</w:t>
      </w:r>
    </w:p>
    <w:p w14:paraId="6F7547C2">
      <w:pPr>
        <w:snapToGrid w:val="0"/>
        <w:spacing w:before="120" w:beforeLines="50" w:after="50" w:line="360" w:lineRule="auto"/>
        <w:jc w:val="center"/>
        <w:rPr>
          <w:rFonts w:hint="eastAsia" w:ascii="宋体" w:hAnsi="宋体"/>
          <w:b/>
          <w:color w:val="auto"/>
          <w:sz w:val="24"/>
          <w:highlight w:val="none"/>
        </w:rPr>
      </w:pPr>
    </w:p>
    <w:p w14:paraId="014EBEE3">
      <w:pPr>
        <w:spacing w:line="360" w:lineRule="auto"/>
        <w:contextualSpacing/>
        <w:jc w:val="center"/>
        <w:rPr>
          <w:rFonts w:hint="eastAsia" w:ascii="宋体" w:hAnsi="宋体"/>
          <w:b/>
          <w:color w:val="auto"/>
          <w:sz w:val="32"/>
          <w:szCs w:val="32"/>
          <w:highlight w:val="none"/>
        </w:rPr>
      </w:pPr>
      <w:r>
        <w:rPr>
          <w:rFonts w:hint="eastAsia" w:ascii="宋体" w:hAnsi="宋体"/>
          <w:b/>
          <w:color w:val="auto"/>
          <w:sz w:val="32"/>
          <w:szCs w:val="32"/>
          <w:highlight w:val="none"/>
        </w:rPr>
        <w:t>供应商直接控股股东信息表</w:t>
      </w:r>
    </w:p>
    <w:p w14:paraId="44FDC309">
      <w:pPr>
        <w:spacing w:line="360" w:lineRule="auto"/>
        <w:contextualSpacing/>
        <w:jc w:val="center"/>
        <w:rPr>
          <w:rFonts w:hint="eastAsia" w:ascii="宋体" w:hAnsi="宋体"/>
          <w:b/>
          <w:color w:val="auto"/>
          <w:sz w:val="24"/>
          <w:highlight w:val="none"/>
        </w:rPr>
      </w:pPr>
    </w:p>
    <w:tbl>
      <w:tblPr>
        <w:tblStyle w:val="47"/>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74C726BD">
        <w:tblPrEx>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6300F6E">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CCCC821">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726534F">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456D5D2">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2557DC8">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69C6F461">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7260CA2">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9BF72F4">
            <w:pPr>
              <w:widowControl/>
              <w:spacing w:line="360" w:lineRule="auto"/>
              <w:contextualSpacing/>
              <w:jc w:val="center"/>
              <w:rPr>
                <w:rFonts w:hint="eastAsia"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0A9B4C9">
            <w:pPr>
              <w:widowControl/>
              <w:spacing w:line="360" w:lineRule="auto"/>
              <w:contextualSpacing/>
              <w:jc w:val="center"/>
              <w:rPr>
                <w:rFonts w:hint="eastAsia"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9895B0F">
            <w:pPr>
              <w:widowControl/>
              <w:spacing w:line="360" w:lineRule="auto"/>
              <w:contextualSpacing/>
              <w:jc w:val="center"/>
              <w:rPr>
                <w:rFonts w:hint="eastAsia"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57738B3">
            <w:pPr>
              <w:widowControl/>
              <w:spacing w:line="360" w:lineRule="auto"/>
              <w:contextualSpacing/>
              <w:jc w:val="center"/>
              <w:rPr>
                <w:rFonts w:hint="eastAsia" w:ascii="宋体" w:hAnsi="宋体" w:cs="宋体"/>
                <w:color w:val="auto"/>
                <w:kern w:val="0"/>
                <w:sz w:val="24"/>
                <w:highlight w:val="none"/>
              </w:rPr>
            </w:pPr>
          </w:p>
        </w:tc>
      </w:tr>
      <w:tr w14:paraId="5DBA9FD0">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09A26C6">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4CE453D">
            <w:pPr>
              <w:widowControl/>
              <w:spacing w:line="360" w:lineRule="auto"/>
              <w:contextualSpacing/>
              <w:jc w:val="center"/>
              <w:rPr>
                <w:rFonts w:hint="eastAsia"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842D753">
            <w:pPr>
              <w:widowControl/>
              <w:spacing w:line="360" w:lineRule="auto"/>
              <w:contextualSpacing/>
              <w:jc w:val="center"/>
              <w:rPr>
                <w:rFonts w:hint="eastAsia"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74B84C3">
            <w:pPr>
              <w:widowControl/>
              <w:spacing w:line="360" w:lineRule="auto"/>
              <w:contextualSpacing/>
              <w:jc w:val="center"/>
              <w:rPr>
                <w:rFonts w:hint="eastAsia"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730FF2F">
            <w:pPr>
              <w:widowControl/>
              <w:spacing w:line="360" w:lineRule="auto"/>
              <w:contextualSpacing/>
              <w:jc w:val="center"/>
              <w:rPr>
                <w:rFonts w:hint="eastAsia" w:ascii="宋体" w:hAnsi="宋体" w:cs="宋体"/>
                <w:color w:val="auto"/>
                <w:kern w:val="0"/>
                <w:sz w:val="24"/>
                <w:highlight w:val="none"/>
              </w:rPr>
            </w:pPr>
          </w:p>
        </w:tc>
      </w:tr>
      <w:tr w14:paraId="54EB9F1C">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B91E46C">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6F4F8BA">
            <w:pPr>
              <w:widowControl/>
              <w:spacing w:line="360" w:lineRule="auto"/>
              <w:contextualSpacing/>
              <w:jc w:val="center"/>
              <w:rPr>
                <w:rFonts w:hint="eastAsia"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EF6A3D9">
            <w:pPr>
              <w:widowControl/>
              <w:spacing w:line="360" w:lineRule="auto"/>
              <w:contextualSpacing/>
              <w:jc w:val="center"/>
              <w:rPr>
                <w:rFonts w:hint="eastAsia"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6F8C972">
            <w:pPr>
              <w:widowControl/>
              <w:spacing w:line="360" w:lineRule="auto"/>
              <w:contextualSpacing/>
              <w:jc w:val="center"/>
              <w:rPr>
                <w:rFonts w:hint="eastAsia"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154FFF2">
            <w:pPr>
              <w:widowControl/>
              <w:spacing w:line="360" w:lineRule="auto"/>
              <w:contextualSpacing/>
              <w:jc w:val="center"/>
              <w:rPr>
                <w:rFonts w:hint="eastAsia" w:ascii="宋体" w:hAnsi="宋体" w:cs="宋体"/>
                <w:color w:val="auto"/>
                <w:kern w:val="0"/>
                <w:sz w:val="24"/>
                <w:highlight w:val="none"/>
              </w:rPr>
            </w:pPr>
          </w:p>
        </w:tc>
      </w:tr>
      <w:tr w14:paraId="1455A5BF">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E43D7DA">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BBCA880">
            <w:pPr>
              <w:widowControl/>
              <w:spacing w:line="360" w:lineRule="auto"/>
              <w:contextualSpacing/>
              <w:jc w:val="center"/>
              <w:rPr>
                <w:rFonts w:hint="eastAsia"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F991C54">
            <w:pPr>
              <w:widowControl/>
              <w:spacing w:line="360" w:lineRule="auto"/>
              <w:contextualSpacing/>
              <w:jc w:val="center"/>
              <w:rPr>
                <w:rFonts w:hint="eastAsia"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FE09696">
            <w:pPr>
              <w:widowControl/>
              <w:spacing w:line="360" w:lineRule="auto"/>
              <w:contextualSpacing/>
              <w:jc w:val="center"/>
              <w:rPr>
                <w:rFonts w:hint="eastAsia"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5FDCAB1">
            <w:pPr>
              <w:widowControl/>
              <w:spacing w:line="360" w:lineRule="auto"/>
              <w:contextualSpacing/>
              <w:jc w:val="center"/>
              <w:rPr>
                <w:rFonts w:hint="eastAsia" w:ascii="宋体" w:hAnsi="宋体" w:cs="宋体"/>
                <w:color w:val="auto"/>
                <w:kern w:val="0"/>
                <w:sz w:val="24"/>
                <w:highlight w:val="none"/>
              </w:rPr>
            </w:pPr>
          </w:p>
        </w:tc>
      </w:tr>
    </w:tbl>
    <w:p w14:paraId="34C441C4">
      <w:pPr>
        <w:spacing w:line="360" w:lineRule="auto"/>
        <w:contextualSpacing/>
        <w:jc w:val="left"/>
        <w:rPr>
          <w:rFonts w:hint="eastAsia" w:ascii="宋体" w:hAnsi="宋体" w:cs="宋体"/>
          <w:color w:val="auto"/>
          <w:sz w:val="24"/>
          <w:highlight w:val="none"/>
        </w:rPr>
      </w:pPr>
      <w:r>
        <w:rPr>
          <w:rFonts w:hint="eastAsia" w:ascii="宋体" w:hAnsi="宋体" w:cs="宋体"/>
          <w:color w:val="auto"/>
          <w:sz w:val="24"/>
          <w:highlight w:val="none"/>
        </w:rPr>
        <w:t>注：</w:t>
      </w:r>
    </w:p>
    <w:p w14:paraId="681BCA93">
      <w:pPr>
        <w:spacing w:line="360" w:lineRule="auto"/>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0D376975">
      <w:pPr>
        <w:spacing w:line="360" w:lineRule="auto"/>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2.本表所指的控股关系仅限于直接控股关系，不包括间接的控股关系。公司实际控制人与公司之间的关系不属于本表所指的直接控股关系。</w:t>
      </w:r>
    </w:p>
    <w:p w14:paraId="21D5713E">
      <w:pPr>
        <w:spacing w:line="360" w:lineRule="auto"/>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3.供应商不存在直接控股股东的，</w:t>
      </w:r>
      <w:r>
        <w:rPr>
          <w:rFonts w:hint="eastAsia" w:ascii="宋体" w:hAnsi="宋体"/>
          <w:color w:val="auto"/>
          <w:sz w:val="24"/>
          <w:highlight w:val="none"/>
        </w:rPr>
        <w:t>则在“直接控股股东名称”填“无”</w:t>
      </w:r>
      <w:r>
        <w:rPr>
          <w:rFonts w:hint="eastAsia" w:ascii="宋体" w:hAnsi="宋体" w:cs="宋体"/>
          <w:color w:val="auto"/>
          <w:sz w:val="24"/>
          <w:highlight w:val="none"/>
        </w:rPr>
        <w:t>。</w:t>
      </w:r>
    </w:p>
    <w:p w14:paraId="146612CB">
      <w:pPr>
        <w:spacing w:line="360" w:lineRule="auto"/>
        <w:ind w:firstLine="420" w:firstLineChars="200"/>
        <w:contextualSpacing/>
        <w:jc w:val="left"/>
        <w:rPr>
          <w:rFonts w:hint="eastAsia" w:ascii="宋体" w:hAnsi="宋体" w:cs="宋体"/>
          <w:color w:val="auto"/>
          <w:szCs w:val="21"/>
          <w:highlight w:val="none"/>
        </w:rPr>
      </w:pPr>
    </w:p>
    <w:p w14:paraId="2AEBC339">
      <w:pPr>
        <w:spacing w:line="360" w:lineRule="auto"/>
        <w:ind w:firstLine="560" w:firstLineChars="200"/>
        <w:contextualSpacing/>
        <w:jc w:val="left"/>
        <w:rPr>
          <w:rFonts w:hint="eastAsia" w:ascii="宋体" w:hAnsi="宋体" w:cs="宋体"/>
          <w:color w:val="auto"/>
          <w:sz w:val="28"/>
          <w:szCs w:val="28"/>
          <w:highlight w:val="none"/>
        </w:rPr>
      </w:pPr>
    </w:p>
    <w:p w14:paraId="31AD3481">
      <w:pPr>
        <w:spacing w:line="360" w:lineRule="auto"/>
        <w:ind w:right="480"/>
        <w:contextualSpacing/>
        <w:jc w:val="center"/>
        <w:rPr>
          <w:rFonts w:hint="eastAsia" w:ascii="宋体" w:hAnsi="宋体" w:cs="宋体"/>
          <w:color w:val="auto"/>
          <w:sz w:val="24"/>
          <w:highlight w:val="none"/>
          <w:u w:val="single"/>
        </w:rPr>
      </w:pPr>
      <w:r>
        <w:rPr>
          <w:rFonts w:hint="eastAsia" w:ascii="宋体" w:hAnsi="宋体" w:cs="宋体"/>
          <w:color w:val="auto"/>
          <w:sz w:val="24"/>
          <w:highlight w:val="none"/>
        </w:rPr>
        <w:t xml:space="preserve"> </w:t>
      </w:r>
      <w:r>
        <w:rPr>
          <w:rFonts w:ascii="宋体" w:hAnsi="宋体" w:cs="宋体"/>
          <w:color w:val="auto"/>
          <w:sz w:val="24"/>
          <w:highlight w:val="none"/>
        </w:rPr>
        <w:t xml:space="preserve">       </w:t>
      </w:r>
      <w:r>
        <w:rPr>
          <w:rFonts w:hint="eastAsia" w:ascii="宋体" w:hAnsi="宋体" w:cs="宋体"/>
          <w:color w:val="auto"/>
          <w:sz w:val="24"/>
          <w:highlight w:val="none"/>
        </w:rPr>
        <w:t>法定代表人或者委托代理人</w:t>
      </w:r>
      <w:r>
        <w:rPr>
          <w:rFonts w:hint="eastAsia" w:ascii="宋体" w:hAnsi="宋体"/>
          <w:color w:val="auto"/>
          <w:sz w:val="24"/>
          <w:highlight w:val="none"/>
        </w:rPr>
        <w:t>（签字或者电子签名）</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p>
    <w:p w14:paraId="5CC407B0">
      <w:pPr>
        <w:spacing w:line="360" w:lineRule="auto"/>
        <w:ind w:right="480" w:firstLine="3000" w:firstLineChars="1250"/>
        <w:contextualSpacing/>
        <w:rPr>
          <w:rFonts w:hint="eastAsia" w:ascii="宋体" w:hAnsi="宋体" w:cs="宋体"/>
          <w:color w:val="auto"/>
          <w:sz w:val="24"/>
          <w:highlight w:val="none"/>
          <w:u w:val="single"/>
        </w:rPr>
      </w:pPr>
      <w:r>
        <w:rPr>
          <w:rFonts w:hint="eastAsia" w:ascii="宋体" w:hAnsi="宋体" w:cs="宋体"/>
          <w:color w:val="auto"/>
          <w:sz w:val="24"/>
          <w:highlight w:val="none"/>
        </w:rPr>
        <w:t>供应商</w:t>
      </w:r>
      <w:r>
        <w:rPr>
          <w:rFonts w:hint="eastAsia" w:ascii="宋体" w:hAnsi="宋体"/>
          <w:color w:val="auto"/>
          <w:sz w:val="24"/>
          <w:highlight w:val="none"/>
        </w:rPr>
        <w:t>（电子签章）</w:t>
      </w: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w:t>
      </w:r>
    </w:p>
    <w:p w14:paraId="6767C812">
      <w:pPr>
        <w:spacing w:line="360" w:lineRule="auto"/>
        <w:ind w:firstLine="480" w:firstLineChars="200"/>
        <w:contextualSpacing/>
        <w:jc w:val="right"/>
        <w:rPr>
          <w:rFonts w:hint="eastAsia" w:ascii="宋体" w:hAnsi="宋体" w:cs="宋体"/>
          <w:color w:val="auto"/>
          <w:sz w:val="28"/>
          <w:szCs w:val="28"/>
          <w:highlight w:val="none"/>
        </w:rPr>
      </w:pPr>
      <w:r>
        <w:rPr>
          <w:rFonts w:hint="eastAsia" w:ascii="宋体" w:hAnsi="宋体" w:cs="宋体"/>
          <w:color w:val="auto"/>
          <w:sz w:val="24"/>
          <w:highlight w:val="none"/>
        </w:rPr>
        <w:t>年    月    日</w:t>
      </w:r>
    </w:p>
    <w:p w14:paraId="13735247">
      <w:pPr>
        <w:snapToGrid w:val="0"/>
        <w:jc w:val="center"/>
        <w:rPr>
          <w:rFonts w:hint="eastAsia" w:ascii="宋体" w:hAnsi="宋体"/>
          <w:b/>
          <w:color w:val="auto"/>
          <w:sz w:val="28"/>
          <w:szCs w:val="28"/>
          <w:highlight w:val="none"/>
        </w:rPr>
      </w:pPr>
      <w:r>
        <w:rPr>
          <w:rFonts w:ascii="宋体" w:hAnsi="宋体"/>
          <w:b/>
          <w:color w:val="auto"/>
          <w:sz w:val="28"/>
          <w:szCs w:val="28"/>
          <w:highlight w:val="none"/>
        </w:rPr>
        <w:br w:type="page"/>
      </w:r>
    </w:p>
    <w:p w14:paraId="4A282B4F">
      <w:pPr>
        <w:spacing w:line="32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供应商直接管理关系信息表</w:t>
      </w:r>
    </w:p>
    <w:p w14:paraId="0212546A">
      <w:pPr>
        <w:snapToGrid w:val="0"/>
        <w:spacing w:line="360" w:lineRule="auto"/>
        <w:jc w:val="center"/>
        <w:rPr>
          <w:rFonts w:hint="eastAsia" w:ascii="宋体" w:hAnsi="宋体"/>
          <w:b/>
          <w:color w:val="auto"/>
          <w:sz w:val="24"/>
          <w:highlight w:val="none"/>
        </w:rPr>
      </w:pPr>
    </w:p>
    <w:tbl>
      <w:tblPr>
        <w:tblStyle w:val="47"/>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74ECE91D">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43D0A67">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4C4C520">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BCB0D7B">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7D0EBA6">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相互关系</w:t>
            </w:r>
          </w:p>
        </w:tc>
      </w:tr>
      <w:tr w14:paraId="72B8316E">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FB7E503">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CD97817">
            <w:pPr>
              <w:widowControl/>
              <w:spacing w:line="360" w:lineRule="auto"/>
              <w:contextualSpacing/>
              <w:jc w:val="center"/>
              <w:rPr>
                <w:rFonts w:hint="eastAsia"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DE0AF39">
            <w:pPr>
              <w:widowControl/>
              <w:spacing w:line="360" w:lineRule="auto"/>
              <w:contextualSpacing/>
              <w:jc w:val="center"/>
              <w:rPr>
                <w:rFonts w:hint="eastAsia"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FAEDF44">
            <w:pPr>
              <w:widowControl/>
              <w:spacing w:line="360" w:lineRule="auto"/>
              <w:contextualSpacing/>
              <w:jc w:val="center"/>
              <w:rPr>
                <w:rFonts w:hint="eastAsia" w:ascii="宋体" w:hAnsi="宋体" w:cs="宋体"/>
                <w:color w:val="auto"/>
                <w:kern w:val="0"/>
                <w:sz w:val="24"/>
                <w:highlight w:val="none"/>
              </w:rPr>
            </w:pPr>
          </w:p>
        </w:tc>
      </w:tr>
      <w:tr w14:paraId="4317818E">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F4D415F">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1D1AF74">
            <w:pPr>
              <w:widowControl/>
              <w:spacing w:line="360" w:lineRule="auto"/>
              <w:contextualSpacing/>
              <w:jc w:val="center"/>
              <w:rPr>
                <w:rFonts w:hint="eastAsia"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444DC18">
            <w:pPr>
              <w:widowControl/>
              <w:spacing w:line="360" w:lineRule="auto"/>
              <w:contextualSpacing/>
              <w:jc w:val="center"/>
              <w:rPr>
                <w:rFonts w:hint="eastAsia"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0BC4E60">
            <w:pPr>
              <w:widowControl/>
              <w:spacing w:line="360" w:lineRule="auto"/>
              <w:contextualSpacing/>
              <w:jc w:val="center"/>
              <w:rPr>
                <w:rFonts w:hint="eastAsia" w:ascii="宋体" w:hAnsi="宋体" w:cs="宋体"/>
                <w:color w:val="auto"/>
                <w:kern w:val="0"/>
                <w:sz w:val="24"/>
                <w:highlight w:val="none"/>
              </w:rPr>
            </w:pPr>
          </w:p>
        </w:tc>
      </w:tr>
      <w:tr w14:paraId="35D552D9">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7D205C4">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F342098">
            <w:pPr>
              <w:widowControl/>
              <w:spacing w:line="360" w:lineRule="auto"/>
              <w:contextualSpacing/>
              <w:jc w:val="center"/>
              <w:rPr>
                <w:rFonts w:hint="eastAsia"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DD352BE">
            <w:pPr>
              <w:widowControl/>
              <w:spacing w:line="360" w:lineRule="auto"/>
              <w:contextualSpacing/>
              <w:jc w:val="center"/>
              <w:rPr>
                <w:rFonts w:hint="eastAsia"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F1A0F99">
            <w:pPr>
              <w:widowControl/>
              <w:spacing w:line="360" w:lineRule="auto"/>
              <w:contextualSpacing/>
              <w:jc w:val="center"/>
              <w:rPr>
                <w:rFonts w:hint="eastAsia" w:ascii="宋体" w:hAnsi="宋体" w:cs="宋体"/>
                <w:color w:val="auto"/>
                <w:kern w:val="0"/>
                <w:sz w:val="24"/>
                <w:highlight w:val="none"/>
              </w:rPr>
            </w:pPr>
          </w:p>
        </w:tc>
      </w:tr>
      <w:tr w14:paraId="1E4B8E7E">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3D828BF">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6A00007">
            <w:pPr>
              <w:widowControl/>
              <w:spacing w:line="360" w:lineRule="auto"/>
              <w:contextualSpacing/>
              <w:jc w:val="center"/>
              <w:rPr>
                <w:rFonts w:hint="eastAsia"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32DE1CF">
            <w:pPr>
              <w:widowControl/>
              <w:spacing w:line="360" w:lineRule="auto"/>
              <w:contextualSpacing/>
              <w:jc w:val="center"/>
              <w:rPr>
                <w:rFonts w:hint="eastAsia"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23CB729">
            <w:pPr>
              <w:widowControl/>
              <w:spacing w:line="360" w:lineRule="auto"/>
              <w:contextualSpacing/>
              <w:jc w:val="center"/>
              <w:rPr>
                <w:rFonts w:hint="eastAsia" w:ascii="宋体" w:hAnsi="宋体" w:cs="宋体"/>
                <w:color w:val="auto"/>
                <w:kern w:val="0"/>
                <w:sz w:val="24"/>
                <w:highlight w:val="none"/>
              </w:rPr>
            </w:pPr>
          </w:p>
        </w:tc>
      </w:tr>
    </w:tbl>
    <w:p w14:paraId="53A62F25">
      <w:pPr>
        <w:spacing w:line="360" w:lineRule="auto"/>
        <w:contextualSpacing/>
        <w:jc w:val="left"/>
        <w:rPr>
          <w:rFonts w:hint="eastAsia" w:ascii="宋体" w:hAnsi="宋体"/>
          <w:color w:val="auto"/>
          <w:sz w:val="24"/>
          <w:highlight w:val="none"/>
        </w:rPr>
      </w:pPr>
      <w:r>
        <w:rPr>
          <w:rFonts w:hint="eastAsia" w:ascii="宋体" w:hAnsi="宋体"/>
          <w:color w:val="auto"/>
          <w:sz w:val="24"/>
          <w:highlight w:val="none"/>
        </w:rPr>
        <w:t>注：</w:t>
      </w:r>
    </w:p>
    <w:p w14:paraId="296B8133">
      <w:pPr>
        <w:spacing w:line="360" w:lineRule="auto"/>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1.管理关系：是指不具有出资持股关系的其他单位之间存在的管理与被管理关系，如一些上下级关系的事业单位和团体组织。</w:t>
      </w:r>
    </w:p>
    <w:p w14:paraId="1C484471">
      <w:pPr>
        <w:spacing w:line="360" w:lineRule="auto"/>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2.</w:t>
      </w:r>
      <w:r>
        <w:rPr>
          <w:rFonts w:hint="eastAsia" w:ascii="宋体" w:hAnsi="宋体"/>
          <w:color w:val="auto"/>
          <w:spacing w:val="-6"/>
          <w:sz w:val="24"/>
          <w:highlight w:val="none"/>
        </w:rPr>
        <w:t>本表所指的管理关系仅限于直接管理关系，不包括间接的管理关系。</w:t>
      </w:r>
    </w:p>
    <w:p w14:paraId="1B765E66">
      <w:pPr>
        <w:spacing w:line="360" w:lineRule="auto"/>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3.供应商不存在直接管理关系的，则在“直接管理关系单位名称”填“无”。</w:t>
      </w:r>
    </w:p>
    <w:p w14:paraId="27101D23">
      <w:pPr>
        <w:spacing w:line="360" w:lineRule="auto"/>
        <w:contextualSpacing/>
        <w:jc w:val="left"/>
        <w:rPr>
          <w:rFonts w:hint="eastAsia" w:ascii="宋体" w:hAnsi="宋体"/>
          <w:color w:val="auto"/>
          <w:sz w:val="28"/>
          <w:szCs w:val="28"/>
          <w:highlight w:val="none"/>
        </w:rPr>
      </w:pPr>
    </w:p>
    <w:p w14:paraId="303A9664">
      <w:pPr>
        <w:spacing w:line="360" w:lineRule="auto"/>
        <w:contextualSpacing/>
        <w:jc w:val="left"/>
        <w:rPr>
          <w:rFonts w:hint="eastAsia" w:ascii="宋体" w:hAnsi="宋体"/>
          <w:color w:val="auto"/>
          <w:sz w:val="28"/>
          <w:szCs w:val="28"/>
          <w:highlight w:val="none"/>
        </w:rPr>
      </w:pPr>
    </w:p>
    <w:p w14:paraId="52A84987">
      <w:pPr>
        <w:spacing w:line="360" w:lineRule="auto"/>
        <w:contextualSpacing/>
        <w:jc w:val="left"/>
        <w:rPr>
          <w:color w:val="auto"/>
          <w:sz w:val="28"/>
          <w:szCs w:val="28"/>
          <w:highlight w:val="none"/>
        </w:rPr>
      </w:pPr>
    </w:p>
    <w:p w14:paraId="1D1999A9">
      <w:pPr>
        <w:spacing w:line="360" w:lineRule="auto"/>
        <w:contextualSpacing/>
        <w:jc w:val="left"/>
        <w:rPr>
          <w:color w:val="auto"/>
          <w:sz w:val="28"/>
          <w:szCs w:val="28"/>
          <w:highlight w:val="none"/>
        </w:rPr>
      </w:pPr>
    </w:p>
    <w:p w14:paraId="7A28A528">
      <w:pPr>
        <w:spacing w:line="360" w:lineRule="auto"/>
        <w:contextualSpacing/>
        <w:jc w:val="left"/>
        <w:rPr>
          <w:color w:val="auto"/>
          <w:sz w:val="28"/>
          <w:szCs w:val="28"/>
          <w:highlight w:val="none"/>
        </w:rPr>
      </w:pPr>
    </w:p>
    <w:p w14:paraId="0454FBA7">
      <w:pPr>
        <w:spacing w:line="360" w:lineRule="auto"/>
        <w:contextualSpacing/>
        <w:jc w:val="left"/>
        <w:rPr>
          <w:rFonts w:hint="eastAsia" w:ascii="宋体" w:hAnsi="宋体"/>
          <w:color w:val="auto"/>
          <w:sz w:val="28"/>
          <w:szCs w:val="28"/>
          <w:highlight w:val="none"/>
        </w:rPr>
      </w:pPr>
    </w:p>
    <w:p w14:paraId="4B46DC8E">
      <w:pPr>
        <w:spacing w:line="360" w:lineRule="auto"/>
        <w:ind w:right="480"/>
        <w:contextualSpacing/>
        <w:jc w:val="center"/>
        <w:rPr>
          <w:rFonts w:hint="eastAsia" w:ascii="宋体" w:hAnsi="宋体"/>
          <w:color w:val="auto"/>
          <w:sz w:val="24"/>
          <w:highlight w:val="none"/>
          <w:u w:val="single"/>
        </w:rPr>
      </w:pPr>
      <w:r>
        <w:rPr>
          <w:rFonts w:hint="eastAsia" w:ascii="宋体" w:hAnsi="宋体"/>
          <w:color w:val="auto"/>
          <w:sz w:val="24"/>
          <w:highlight w:val="none"/>
        </w:rPr>
        <w:t xml:space="preserve"> </w:t>
      </w:r>
      <w:r>
        <w:rPr>
          <w:rFonts w:ascii="宋体" w:hAnsi="宋体"/>
          <w:color w:val="auto"/>
          <w:sz w:val="24"/>
          <w:highlight w:val="none"/>
        </w:rPr>
        <w:t xml:space="preserve">             </w:t>
      </w:r>
      <w:r>
        <w:rPr>
          <w:rFonts w:hint="eastAsia" w:ascii="宋体" w:hAnsi="宋体"/>
          <w:color w:val="auto"/>
          <w:sz w:val="24"/>
          <w:highlight w:val="none"/>
        </w:rPr>
        <w:t>法定代表人或者委托代理人（签字或者电子签名）：</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p>
    <w:p w14:paraId="788817D6">
      <w:pPr>
        <w:spacing w:line="360" w:lineRule="auto"/>
        <w:ind w:right="480" w:firstLine="3360" w:firstLineChars="1400"/>
        <w:contextualSpacing/>
        <w:rPr>
          <w:rFonts w:hint="eastAsia" w:ascii="宋体" w:hAnsi="宋体"/>
          <w:color w:val="auto"/>
          <w:sz w:val="24"/>
          <w:highlight w:val="none"/>
        </w:rPr>
      </w:pPr>
      <w:r>
        <w:rPr>
          <w:rFonts w:hint="eastAsia" w:ascii="宋体" w:hAnsi="宋体"/>
          <w:color w:val="auto"/>
          <w:sz w:val="24"/>
          <w:highlight w:val="none"/>
        </w:rPr>
        <w:t>供应商（电子签章）：</w:t>
      </w:r>
      <w:r>
        <w:rPr>
          <w:rFonts w:hint="eastAsia" w:ascii="宋体" w:hAnsi="宋体"/>
          <w:color w:val="auto"/>
          <w:sz w:val="24"/>
          <w:highlight w:val="none"/>
          <w:u w:val="single"/>
        </w:rPr>
        <w:t xml:space="preserve">                </w:t>
      </w:r>
    </w:p>
    <w:p w14:paraId="18076E4C">
      <w:pPr>
        <w:spacing w:line="360" w:lineRule="auto"/>
        <w:ind w:firstLine="480" w:firstLineChars="200"/>
        <w:contextualSpacing/>
        <w:jc w:val="left"/>
        <w:rPr>
          <w:rFonts w:hint="eastAsia" w:ascii="宋体" w:hAnsi="宋体"/>
          <w:color w:val="auto"/>
          <w:sz w:val="28"/>
          <w:szCs w:val="28"/>
          <w:highlight w:val="none"/>
        </w:rPr>
      </w:pPr>
      <w:r>
        <w:rPr>
          <w:rFonts w:hint="eastAsia" w:ascii="宋体" w:hAnsi="宋体"/>
          <w:color w:val="auto"/>
          <w:sz w:val="24"/>
          <w:highlight w:val="none"/>
        </w:rPr>
        <w:t xml:space="preserve">                                        年    月    日</w:t>
      </w:r>
    </w:p>
    <w:p w14:paraId="701F0F55">
      <w:pPr>
        <w:spacing w:line="320" w:lineRule="exact"/>
        <w:jc w:val="center"/>
        <w:rPr>
          <w:rFonts w:hint="eastAsia" w:ascii="宋体" w:hAnsi="宋体"/>
          <w:b/>
          <w:color w:val="auto"/>
          <w:sz w:val="32"/>
          <w:szCs w:val="32"/>
          <w:highlight w:val="none"/>
        </w:rPr>
      </w:pPr>
      <w:r>
        <w:rPr>
          <w:rFonts w:ascii="宋体" w:hAnsi="宋体"/>
          <w:color w:val="auto"/>
          <w:sz w:val="28"/>
          <w:szCs w:val="28"/>
          <w:highlight w:val="none"/>
        </w:rPr>
        <w:br w:type="page"/>
      </w:r>
      <w:r>
        <w:rPr>
          <w:rFonts w:hint="eastAsia" w:ascii="宋体" w:hAnsi="宋体"/>
          <w:b/>
          <w:color w:val="auto"/>
          <w:sz w:val="32"/>
          <w:szCs w:val="32"/>
          <w:highlight w:val="none"/>
        </w:rPr>
        <w:t>竞标声明</w:t>
      </w:r>
    </w:p>
    <w:p w14:paraId="729C12C8">
      <w:pPr>
        <w:spacing w:line="320" w:lineRule="exact"/>
        <w:jc w:val="center"/>
        <w:rPr>
          <w:rFonts w:hint="eastAsia" w:ascii="宋体" w:hAnsi="宋体"/>
          <w:color w:val="auto"/>
          <w:sz w:val="24"/>
          <w:szCs w:val="20"/>
          <w:highlight w:val="none"/>
        </w:rPr>
      </w:pPr>
    </w:p>
    <w:p w14:paraId="688979DD">
      <w:pPr>
        <w:spacing w:line="360" w:lineRule="auto"/>
        <w:contextualSpacing/>
        <w:rPr>
          <w:rFonts w:hint="eastAsia"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7D15132F">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w:t>
      </w:r>
      <w:r>
        <w:rPr>
          <w:rFonts w:hint="eastAsia" w:ascii="宋体" w:hAnsi="宋体" w:cs="宋体"/>
          <w:color w:val="auto"/>
          <w:sz w:val="24"/>
          <w:highlight w:val="none"/>
          <w:u w:val="single"/>
        </w:rPr>
        <w:t>（供应商名称）</w:t>
      </w:r>
      <w:r>
        <w:rPr>
          <w:rFonts w:hint="eastAsia" w:ascii="宋体" w:hAnsi="宋体" w:cs="宋体"/>
          <w:color w:val="auto"/>
          <w:sz w:val="24"/>
          <w:highlight w:val="none"/>
        </w:rPr>
        <w:t>系中华人民共和国合法供应商，经营地址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2C8DF49A">
      <w:pPr>
        <w:spacing w:line="380" w:lineRule="exact"/>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我方愿意参加贵方组织的</w:t>
      </w:r>
      <w:r>
        <w:rPr>
          <w:rFonts w:hint="eastAsia" w:ascii="宋体" w:hAnsi="宋体" w:cs="宋体"/>
          <w:color w:val="auto"/>
          <w:sz w:val="24"/>
          <w:highlight w:val="none"/>
          <w:u w:val="single"/>
        </w:rPr>
        <w:t>（项目名称）（项目编号）</w:t>
      </w:r>
      <w:r>
        <w:rPr>
          <w:rFonts w:hint="eastAsia" w:ascii="宋体" w:hAnsi="宋体" w:cs="宋体"/>
          <w:color w:val="auto"/>
          <w:sz w:val="24"/>
          <w:highlight w:val="none"/>
        </w:rPr>
        <w:t>项目的竞标，为便于贵方公正、择优地确定成交供应商及其服务，我方就本次竞标有关事项郑重声明如下：</w:t>
      </w:r>
    </w:p>
    <w:p w14:paraId="5CED7B9B">
      <w:pPr>
        <w:spacing w:line="380" w:lineRule="exact"/>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1.我方向贵方提交的所有响应文件、资料都是准确的和真实的。</w:t>
      </w:r>
    </w:p>
    <w:p w14:paraId="1DABC3F9">
      <w:pPr>
        <w:spacing w:line="380" w:lineRule="exact"/>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olor w:val="auto"/>
          <w:sz w:val="24"/>
          <w:highlight w:val="none"/>
        </w:rPr>
        <w:t>我方不是为本次采购项目提供整体设计、规范编制或者项目管理、监理、检测等服务的供应商</w:t>
      </w:r>
      <w:r>
        <w:rPr>
          <w:rFonts w:hint="eastAsia" w:ascii="宋体" w:hAnsi="宋体" w:cs="宋体"/>
          <w:color w:val="auto"/>
          <w:sz w:val="24"/>
          <w:highlight w:val="none"/>
        </w:rPr>
        <w:t>。</w:t>
      </w:r>
    </w:p>
    <w:p w14:paraId="6189F90D">
      <w:pPr>
        <w:spacing w:line="380" w:lineRule="exact"/>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3.在此，我方宣布同意如下：</w:t>
      </w:r>
    </w:p>
    <w:p w14:paraId="05246083">
      <w:pPr>
        <w:spacing w:line="380" w:lineRule="exact"/>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（1）将按磋商文件的约定履行合同责任和义务；</w:t>
      </w:r>
    </w:p>
    <w:p w14:paraId="5F972D92">
      <w:pPr>
        <w:spacing w:line="380" w:lineRule="exact"/>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（2）已详细审查全部磋商文件，包括澄清或者更正公告（如有）；</w:t>
      </w:r>
    </w:p>
    <w:p w14:paraId="45BC2BC8">
      <w:pPr>
        <w:spacing w:line="380" w:lineRule="exact"/>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（3）同意提供按照贵方可能要求的与磋商有关的一切数据或者资料；</w:t>
      </w:r>
    </w:p>
    <w:p w14:paraId="5EE86727">
      <w:pPr>
        <w:spacing w:line="380" w:lineRule="exact"/>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（4）响应磋商文件规定的竞标有效期。</w:t>
      </w:r>
    </w:p>
    <w:p w14:paraId="14CA38A9">
      <w:pPr>
        <w:spacing w:line="380" w:lineRule="exact"/>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4.我方承诺符合《中华人民共和国政府采购法》第二十二条规定：</w:t>
      </w:r>
    </w:p>
    <w:p w14:paraId="2CEC57AE">
      <w:pPr>
        <w:spacing w:line="380" w:lineRule="exact"/>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（1）具有独立承担民事责任的能力；</w:t>
      </w:r>
    </w:p>
    <w:p w14:paraId="01EC6F1A">
      <w:pPr>
        <w:spacing w:line="380" w:lineRule="exact"/>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（2）具有良好的商业信誉和健全的财务会计制度；</w:t>
      </w:r>
    </w:p>
    <w:p w14:paraId="666EF775">
      <w:pPr>
        <w:spacing w:line="380" w:lineRule="exact"/>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14:paraId="4A183A7E">
      <w:pPr>
        <w:spacing w:line="380" w:lineRule="exact"/>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14:paraId="1E88CF57">
      <w:pPr>
        <w:spacing w:line="380" w:lineRule="exact"/>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0186EEBD">
      <w:pPr>
        <w:spacing w:line="380" w:lineRule="exact"/>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（6）法律、行政法规规定的其他条件。</w:t>
      </w:r>
    </w:p>
    <w:p w14:paraId="308169A1">
      <w:pPr>
        <w:spacing w:line="380" w:lineRule="exact"/>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6FBE1C54">
      <w:pPr>
        <w:spacing w:line="380" w:lineRule="exact"/>
        <w:ind w:firstLine="420"/>
        <w:rPr>
          <w:rFonts w:hint="eastAsia" w:ascii="宋体" w:hAnsi="宋体" w:cs="宋体"/>
          <w:color w:val="auto"/>
          <w:kern w:val="0"/>
          <w:sz w:val="24"/>
          <w:highlight w:val="none"/>
        </w:rPr>
      </w:pPr>
      <w:r>
        <w:rPr>
          <w:rFonts w:hint="eastAsia" w:ascii="宋体" w:hAnsi="宋体"/>
          <w:color w:val="auto"/>
          <w:sz w:val="24"/>
          <w:highlight w:val="none"/>
        </w:rPr>
        <w:t>6.</w:t>
      </w:r>
      <w:r>
        <w:rPr>
          <w:rFonts w:hint="eastAsia" w:ascii="宋体" w:hAnsi="宋体" w:cs="宋体"/>
          <w:color w:val="auto"/>
          <w:kern w:val="0"/>
          <w:sz w:val="24"/>
          <w:highlight w:val="none"/>
        </w:rPr>
        <w:t>如我方成交，我方保证在领取成交通知书前，按本项目竞争性磋商文件的规定及标准向贵单位一次性足额支付代理服务费。代理服务费发票我方选择开具：□</w:t>
      </w:r>
      <w:r>
        <w:rPr>
          <w:rFonts w:hint="eastAsia" w:ascii="宋体" w:hAnsi="宋体" w:cs="宋体"/>
          <w:color w:val="auto"/>
          <w:kern w:val="0"/>
          <w:sz w:val="24"/>
          <w:highlight w:val="none"/>
          <w:u w:val="single"/>
        </w:rPr>
        <w:t>增值税普通发票</w:t>
      </w:r>
      <w:r>
        <w:rPr>
          <w:rFonts w:hint="eastAsia" w:ascii="宋体" w:hAnsi="宋体" w:cs="宋体"/>
          <w:color w:val="auto"/>
          <w:kern w:val="0"/>
          <w:sz w:val="24"/>
          <w:highlight w:val="none"/>
        </w:rPr>
        <w:t>、□</w:t>
      </w:r>
      <w:r>
        <w:rPr>
          <w:rFonts w:hint="eastAsia" w:ascii="宋体" w:hAnsi="宋体" w:cs="宋体"/>
          <w:color w:val="auto"/>
          <w:kern w:val="0"/>
          <w:sz w:val="24"/>
          <w:highlight w:val="none"/>
          <w:u w:val="single"/>
        </w:rPr>
        <w:t>增值税专用发票</w:t>
      </w:r>
      <w:r>
        <w:rPr>
          <w:rFonts w:hint="eastAsia" w:ascii="宋体" w:hAnsi="宋体" w:cs="宋体"/>
          <w:color w:val="auto"/>
          <w:kern w:val="0"/>
          <w:sz w:val="24"/>
          <w:highlight w:val="none"/>
        </w:rPr>
        <w:t>，开票信息如下：</w:t>
      </w:r>
    </w:p>
    <w:p w14:paraId="6B51BBDC">
      <w:pPr>
        <w:spacing w:line="380" w:lineRule="exact"/>
        <w:ind w:firstLine="420"/>
        <w:rPr>
          <w:rFonts w:hint="eastAsia" w:ascii="宋体" w:hAnsi="宋体" w:cs="宋体"/>
          <w:color w:val="auto"/>
          <w:kern w:val="0"/>
          <w:sz w:val="24"/>
          <w:highlight w:val="none"/>
        </w:rPr>
      </w:pPr>
      <w:r>
        <w:rPr>
          <w:rFonts w:hint="eastAsia" w:ascii="宋体" w:hAnsi="宋体" w:cs="宋体"/>
          <w:color w:val="auto"/>
          <w:kern w:val="0"/>
          <w:sz w:val="24"/>
          <w:highlight w:val="none"/>
        </w:rPr>
        <w:t>①公司名称：</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 </w:t>
      </w:r>
    </w:p>
    <w:p w14:paraId="39A0DA63">
      <w:pPr>
        <w:spacing w:line="380" w:lineRule="exact"/>
        <w:ind w:firstLine="420"/>
        <w:rPr>
          <w:rFonts w:hint="eastAsia" w:ascii="宋体" w:hAnsi="宋体" w:cs="宋体"/>
          <w:color w:val="auto"/>
          <w:kern w:val="0"/>
          <w:sz w:val="24"/>
          <w:highlight w:val="none"/>
        </w:rPr>
      </w:pPr>
      <w:r>
        <w:rPr>
          <w:rFonts w:hint="eastAsia" w:ascii="宋体" w:hAnsi="宋体" w:cs="宋体"/>
          <w:color w:val="auto"/>
          <w:kern w:val="0"/>
          <w:sz w:val="24"/>
          <w:highlight w:val="none"/>
        </w:rPr>
        <w:t>②纳税人识别号：</w:t>
      </w:r>
      <w:r>
        <w:rPr>
          <w:rFonts w:hint="eastAsia" w:ascii="宋体" w:hAnsi="宋体" w:cs="宋体"/>
          <w:color w:val="auto"/>
          <w:kern w:val="0"/>
          <w:sz w:val="24"/>
          <w:highlight w:val="none"/>
          <w:u w:val="single"/>
        </w:rPr>
        <w:t xml:space="preserve">               </w:t>
      </w:r>
    </w:p>
    <w:p w14:paraId="6AE6DE5B">
      <w:pPr>
        <w:spacing w:line="380" w:lineRule="exact"/>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7.根据《中华人民共和国政府采购法实施条例》第五十条要求对政府采购合同进行公告，但政府采购合同中涉及国家秘密、商业秘密的内容除外。我方就对本次响应文件进行注明如下：（两项内容中必须选择一项）</w:t>
      </w:r>
    </w:p>
    <w:p w14:paraId="35ED3375">
      <w:pPr>
        <w:spacing w:line="380" w:lineRule="exact"/>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内容中</w:t>
      </w:r>
      <w:r>
        <w:rPr>
          <w:rFonts w:hint="eastAsia" w:ascii="宋体" w:hAnsi="宋体" w:cs="宋体"/>
          <w:color w:val="auto"/>
          <w:sz w:val="24"/>
          <w:highlight w:val="none"/>
        </w:rPr>
        <w:t>未</w:t>
      </w:r>
      <w:r>
        <w:rPr>
          <w:rFonts w:hint="eastAsia" w:ascii="宋体" w:hAnsi="宋体" w:cs="宋体"/>
          <w:color w:val="auto"/>
          <w:kern w:val="0"/>
          <w:sz w:val="24"/>
          <w:highlight w:val="none"/>
        </w:rPr>
        <w:t>涉及商业秘密；</w:t>
      </w:r>
    </w:p>
    <w:p w14:paraId="67DBE6A5">
      <w:pPr>
        <w:spacing w:line="380" w:lineRule="exact"/>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涉及商业秘密的内容有：</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7A2C2B4B">
      <w:pPr>
        <w:pStyle w:val="27"/>
        <w:spacing w:line="380" w:lineRule="exact"/>
        <w:ind w:firstLine="480" w:firstLineChars="200"/>
        <w:contextualSpacing/>
        <w:rPr>
          <w:rFonts w:hint="eastAsia" w:hAnsi="宋体" w:cs="宋体"/>
          <w:color w:val="auto"/>
          <w:sz w:val="24"/>
          <w:szCs w:val="24"/>
          <w:highlight w:val="none"/>
          <w:u w:val="single"/>
        </w:rPr>
      </w:pPr>
      <w:r>
        <w:rPr>
          <w:rFonts w:hint="eastAsia" w:hAnsi="宋体" w:cs="宋体"/>
          <w:color w:val="auto"/>
          <w:sz w:val="24"/>
          <w:szCs w:val="24"/>
          <w:highlight w:val="none"/>
        </w:rPr>
        <w:t>8.与本磋商有关的一切正式往来信函请寄：</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邮政编号：</w:t>
      </w:r>
      <w:r>
        <w:rPr>
          <w:rFonts w:hint="eastAsia" w:hAnsi="宋体" w:cs="宋体"/>
          <w:color w:val="auto"/>
          <w:sz w:val="24"/>
          <w:szCs w:val="24"/>
          <w:highlight w:val="none"/>
          <w:u w:val="single"/>
        </w:rPr>
        <w:t xml:space="preserve">        </w:t>
      </w:r>
    </w:p>
    <w:p w14:paraId="0B85D6E8">
      <w:pPr>
        <w:pStyle w:val="27"/>
        <w:spacing w:line="380" w:lineRule="exact"/>
        <w:ind w:firstLine="480" w:firstLineChars="200"/>
        <w:contextualSpacing/>
        <w:rPr>
          <w:rFonts w:hint="eastAsia" w:hAnsi="宋体" w:cs="宋体"/>
          <w:color w:val="auto"/>
          <w:sz w:val="24"/>
          <w:szCs w:val="24"/>
          <w:highlight w:val="none"/>
        </w:rPr>
      </w:pPr>
      <w:r>
        <w:rPr>
          <w:rFonts w:hint="eastAsia" w:hAnsi="宋体" w:cs="宋体"/>
          <w:color w:val="auto"/>
          <w:sz w:val="24"/>
          <w:szCs w:val="24"/>
          <w:highlight w:val="none"/>
        </w:rPr>
        <w:t>电话/传真：</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电子邮箱：</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w:t>
      </w:r>
    </w:p>
    <w:p w14:paraId="28924319">
      <w:pPr>
        <w:pStyle w:val="22"/>
        <w:tabs>
          <w:tab w:val="left" w:pos="939"/>
        </w:tabs>
        <w:spacing w:line="380" w:lineRule="exact"/>
        <w:ind w:left="141" w:leftChars="67" w:firstLine="360" w:firstLineChars="150"/>
        <w:rPr>
          <w:rFonts w:hint="eastAsia" w:ascii="宋体" w:hAnsi="宋体" w:cs="宋体"/>
          <w:color w:val="auto"/>
          <w:sz w:val="24"/>
          <w:highlight w:val="none"/>
        </w:rPr>
      </w:pPr>
      <w:r>
        <w:rPr>
          <w:rFonts w:hint="eastAsia" w:ascii="宋体" w:hAnsi="宋体" w:cs="宋体"/>
          <w:color w:val="auto"/>
          <w:sz w:val="24"/>
          <w:highlight w:val="none"/>
        </w:rPr>
        <w:t>开户银行：</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账号：</w:t>
      </w:r>
      <w:r>
        <w:rPr>
          <w:rFonts w:hint="eastAsia" w:ascii="宋体" w:hAnsi="宋体" w:cs="宋体"/>
          <w:color w:val="auto"/>
          <w:sz w:val="24"/>
          <w:highlight w:val="none"/>
          <w:u w:val="single"/>
        </w:rPr>
        <w:t xml:space="preserve">                               </w:t>
      </w:r>
    </w:p>
    <w:p w14:paraId="0E24CE22">
      <w:pPr>
        <w:pStyle w:val="22"/>
        <w:tabs>
          <w:tab w:val="left" w:pos="939"/>
        </w:tabs>
        <w:spacing w:line="380" w:lineRule="exact"/>
        <w:ind w:left="0" w:leftChars="0" w:firstLine="480" w:firstLineChars="200"/>
        <w:rPr>
          <w:rFonts w:hint="eastAsia" w:ascii="宋体" w:hAnsi="宋体" w:cs="宋体"/>
          <w:color w:val="auto"/>
          <w:sz w:val="24"/>
          <w:highlight w:val="none"/>
        </w:rPr>
      </w:pPr>
      <w:r>
        <w:rPr>
          <w:rFonts w:hint="eastAsia" w:ascii="宋体" w:hAnsi="宋体" w:cs="宋体"/>
          <w:color w:val="auto"/>
          <w:sz w:val="24"/>
          <w:highlight w:val="none"/>
        </w:rPr>
        <w:t>9.以上事项如有虚假或者隐瞒，我方愿意承担一切后果，并不再寻求任何旨在减轻或者免除法律责任的辩解。</w:t>
      </w:r>
    </w:p>
    <w:p w14:paraId="35049CBC">
      <w:pPr>
        <w:pStyle w:val="22"/>
        <w:tabs>
          <w:tab w:val="left" w:pos="939"/>
        </w:tabs>
        <w:spacing w:line="380" w:lineRule="exact"/>
        <w:ind w:left="141" w:leftChars="67" w:firstLine="360" w:firstLineChars="150"/>
        <w:rPr>
          <w:rFonts w:hint="eastAsia" w:ascii="宋体" w:hAnsi="宋体" w:cs="宋体"/>
          <w:color w:val="auto"/>
          <w:sz w:val="24"/>
          <w:highlight w:val="none"/>
        </w:rPr>
      </w:pPr>
      <w:r>
        <w:rPr>
          <w:rFonts w:hint="eastAsia" w:ascii="宋体" w:hAnsi="宋体" w:cs="宋体"/>
          <w:color w:val="auto"/>
          <w:sz w:val="24"/>
          <w:highlight w:val="none"/>
        </w:rPr>
        <w:t>特此承诺。</w:t>
      </w:r>
    </w:p>
    <w:p w14:paraId="0CFD9C7C">
      <w:pPr>
        <w:spacing w:line="360" w:lineRule="auto"/>
        <w:ind w:firstLine="482" w:firstLineChars="200"/>
        <w:contextualSpacing/>
        <w:jc w:val="left"/>
        <w:rPr>
          <w:rFonts w:hint="eastAsia" w:ascii="宋体" w:hAnsi="宋体"/>
          <w:b/>
          <w:color w:val="auto"/>
          <w:sz w:val="24"/>
          <w:highlight w:val="none"/>
        </w:rPr>
      </w:pPr>
    </w:p>
    <w:p w14:paraId="7868FFC2">
      <w:pPr>
        <w:spacing w:line="360" w:lineRule="auto"/>
        <w:contextualSpacing/>
        <w:jc w:val="left"/>
        <w:rPr>
          <w:rFonts w:hint="eastAsia" w:ascii="宋体" w:hAnsi="宋体" w:cs="宋体"/>
          <w:color w:val="auto"/>
          <w:szCs w:val="21"/>
          <w:highlight w:val="none"/>
        </w:rPr>
      </w:pPr>
    </w:p>
    <w:p w14:paraId="6F28B6F3">
      <w:pPr>
        <w:spacing w:line="360" w:lineRule="auto"/>
        <w:ind w:firstLine="1800" w:firstLineChars="750"/>
        <w:contextualSpacing/>
        <w:rPr>
          <w:color w:val="auto"/>
          <w:sz w:val="24"/>
          <w:highlight w:val="none"/>
        </w:rPr>
      </w:pPr>
      <w:r>
        <w:rPr>
          <w:rFonts w:hint="eastAsia"/>
          <w:color w:val="auto"/>
          <w:sz w:val="24"/>
          <w:highlight w:val="none"/>
        </w:rPr>
        <w:t>法定代表人（</w:t>
      </w:r>
      <w:r>
        <w:rPr>
          <w:rFonts w:hint="eastAsia" w:ascii="宋体" w:hAnsi="宋体"/>
          <w:color w:val="auto"/>
          <w:sz w:val="24"/>
          <w:highlight w:val="none"/>
        </w:rPr>
        <w:t>签字或者盖章或者电子签名</w:t>
      </w:r>
      <w:r>
        <w:rPr>
          <w:rFonts w:hint="eastAsia"/>
          <w:color w:val="auto"/>
          <w:sz w:val="24"/>
          <w:highlight w:val="none"/>
        </w:rPr>
        <w:t>）：</w:t>
      </w:r>
      <w:r>
        <w:rPr>
          <w:rFonts w:hint="eastAsia"/>
          <w:color w:val="auto"/>
          <w:sz w:val="24"/>
          <w:highlight w:val="none"/>
          <w:u w:val="single"/>
        </w:rPr>
        <w:t xml:space="preserve">               </w:t>
      </w:r>
      <w:r>
        <w:rPr>
          <w:rFonts w:hint="eastAsia"/>
          <w:color w:val="auto"/>
          <w:sz w:val="24"/>
          <w:highlight w:val="none"/>
        </w:rPr>
        <w:t xml:space="preserve">                                     </w:t>
      </w:r>
    </w:p>
    <w:p w14:paraId="07FF83B0">
      <w:pPr>
        <w:spacing w:line="360" w:lineRule="auto"/>
        <w:ind w:firstLine="4320" w:firstLineChars="1800"/>
        <w:contextualSpacing/>
        <w:rPr>
          <w:rFonts w:hint="eastAsia" w:ascii="宋体" w:hAnsi="宋体" w:cs="宋体"/>
          <w:color w:val="auto"/>
          <w:sz w:val="24"/>
          <w:highlight w:val="none"/>
          <w:u w:val="single"/>
        </w:rPr>
      </w:pPr>
      <w:r>
        <w:rPr>
          <w:rFonts w:hint="eastAsia"/>
          <w:color w:val="auto"/>
          <w:sz w:val="24"/>
          <w:highlight w:val="none"/>
        </w:rPr>
        <w:t>供应商（电子签章）：</w:t>
      </w:r>
      <w:r>
        <w:rPr>
          <w:rFonts w:hint="eastAsia"/>
          <w:color w:val="auto"/>
          <w:sz w:val="24"/>
          <w:highlight w:val="none"/>
          <w:u w:val="single"/>
        </w:rPr>
        <w:t xml:space="preserve">                               </w:t>
      </w:r>
      <w:r>
        <w:rPr>
          <w:rFonts w:hint="eastAsia"/>
          <w:color w:val="auto"/>
          <w:sz w:val="24"/>
          <w:highlight w:val="none"/>
        </w:rPr>
        <w:t xml:space="preserve">       </w:t>
      </w:r>
      <w:r>
        <w:rPr>
          <w:rFonts w:hint="eastAsia" w:ascii="宋体" w:hAnsi="宋体" w:cs="宋体"/>
          <w:color w:val="auto"/>
          <w:sz w:val="24"/>
          <w:highlight w:val="none"/>
        </w:rPr>
        <w:t xml:space="preserve">    </w:t>
      </w:r>
    </w:p>
    <w:p w14:paraId="706BB0B4">
      <w:pPr>
        <w:pStyle w:val="22"/>
        <w:tabs>
          <w:tab w:val="left" w:pos="939"/>
        </w:tabs>
        <w:spacing w:line="360" w:lineRule="auto"/>
        <w:ind w:left="0" w:leftChars="0" w:firstLine="480" w:firstLineChars="200"/>
        <w:rPr>
          <w:color w:val="auto"/>
          <w:sz w:val="24"/>
          <w:highlight w:val="none"/>
        </w:rPr>
      </w:pPr>
      <w:r>
        <w:rPr>
          <w:rFonts w:hint="eastAsia" w:ascii="宋体" w:hAnsi="宋体" w:cs="宋体"/>
          <w:color w:val="auto"/>
          <w:sz w:val="24"/>
          <w:highlight w:val="none"/>
        </w:rPr>
        <w:t xml:space="preserve">                                            </w:t>
      </w:r>
      <w:r>
        <w:rPr>
          <w:rFonts w:hint="eastAsia"/>
          <w:color w:val="auto"/>
          <w:sz w:val="24"/>
          <w:highlight w:val="none"/>
        </w:rPr>
        <w:t>年    月    日</w:t>
      </w:r>
    </w:p>
    <w:p w14:paraId="6E66EB50">
      <w:pPr>
        <w:pStyle w:val="7"/>
        <w:overflowPunct w:val="0"/>
        <w:spacing w:line="520" w:lineRule="exact"/>
        <w:ind w:firstLine="0"/>
        <w:jc w:val="center"/>
        <w:rPr>
          <w:color w:val="auto"/>
          <w:sz w:val="24"/>
          <w:highlight w:val="none"/>
        </w:rPr>
      </w:pPr>
      <w:r>
        <w:rPr>
          <w:rFonts w:hint="eastAsia"/>
          <w:color w:val="auto"/>
          <w:sz w:val="24"/>
          <w:highlight w:val="none"/>
        </w:rPr>
        <w:br w:type="page"/>
      </w:r>
    </w:p>
    <w:p w14:paraId="7D5E5B10">
      <w:pPr>
        <w:spacing w:line="360" w:lineRule="auto"/>
        <w:ind w:firstLine="562" w:firstLineChars="200"/>
        <w:jc w:val="center"/>
        <w:rPr>
          <w:rFonts w:cs="宋体"/>
          <w:b/>
          <w:bCs/>
          <w:color w:val="auto"/>
          <w:sz w:val="28"/>
          <w:szCs w:val="28"/>
          <w:highlight w:val="none"/>
        </w:rPr>
      </w:pPr>
    </w:p>
    <w:p w14:paraId="27D87085">
      <w:pPr>
        <w:spacing w:line="360" w:lineRule="auto"/>
        <w:ind w:firstLine="643" w:firstLineChars="200"/>
        <w:jc w:val="center"/>
        <w:rPr>
          <w:rFonts w:cs="宋体"/>
          <w:b/>
          <w:bCs/>
          <w:color w:val="auto"/>
          <w:sz w:val="32"/>
          <w:szCs w:val="32"/>
          <w:highlight w:val="none"/>
        </w:rPr>
      </w:pPr>
      <w:r>
        <w:rPr>
          <w:rFonts w:hint="eastAsia" w:cs="宋体"/>
          <w:b/>
          <w:bCs/>
          <w:color w:val="auto"/>
          <w:sz w:val="32"/>
          <w:szCs w:val="32"/>
          <w:highlight w:val="none"/>
        </w:rPr>
        <w:t>供应商在人员、设备、资金等方面具有相应的履约能力</w:t>
      </w:r>
    </w:p>
    <w:p w14:paraId="356173F6">
      <w:pPr>
        <w:spacing w:line="360" w:lineRule="auto"/>
        <w:ind w:firstLine="643" w:firstLineChars="200"/>
        <w:jc w:val="center"/>
        <w:rPr>
          <w:rFonts w:cs="宋体"/>
          <w:b/>
          <w:bCs/>
          <w:color w:val="auto"/>
          <w:sz w:val="32"/>
          <w:szCs w:val="32"/>
          <w:highlight w:val="none"/>
        </w:rPr>
      </w:pPr>
      <w:r>
        <w:rPr>
          <w:rFonts w:hint="eastAsia" w:cs="宋体"/>
          <w:b/>
          <w:bCs/>
          <w:color w:val="auto"/>
          <w:sz w:val="32"/>
          <w:szCs w:val="32"/>
          <w:highlight w:val="none"/>
        </w:rPr>
        <w:t>承诺函</w:t>
      </w:r>
    </w:p>
    <w:p w14:paraId="76AA6F71">
      <w:pPr>
        <w:spacing w:line="520" w:lineRule="exact"/>
        <w:ind w:left="-10" w:firstLine="520" w:firstLineChars="217"/>
        <w:jc w:val="left"/>
        <w:rPr>
          <w:rFonts w:cs="宋体"/>
          <w:bCs/>
          <w:color w:val="auto"/>
          <w:sz w:val="24"/>
          <w:highlight w:val="none"/>
        </w:rPr>
      </w:pPr>
      <w:r>
        <w:rPr>
          <w:rFonts w:hint="eastAsia" w:cs="宋体"/>
          <w:bCs/>
          <w:color w:val="auto"/>
          <w:sz w:val="24"/>
          <w:highlight w:val="none"/>
        </w:rPr>
        <w:t>我公司郑重承诺：在参加本次</w:t>
      </w:r>
      <w:r>
        <w:rPr>
          <w:rFonts w:hint="eastAsia" w:cs="宋体"/>
          <w:bCs/>
          <w:color w:val="auto"/>
          <w:sz w:val="24"/>
          <w:highlight w:val="none"/>
          <w:u w:val="single"/>
        </w:rPr>
        <w:t>（项目名称）</w:t>
      </w:r>
      <w:r>
        <w:rPr>
          <w:rFonts w:hint="eastAsia" w:cs="宋体"/>
          <w:bCs/>
          <w:color w:val="auto"/>
          <w:sz w:val="24"/>
          <w:highlight w:val="none"/>
        </w:rPr>
        <w:t>（项目编号</w:t>
      </w:r>
      <w:r>
        <w:rPr>
          <w:rFonts w:hint="eastAsia" w:cs="宋体"/>
          <w:bCs/>
          <w:color w:val="auto"/>
          <w:sz w:val="24"/>
          <w:highlight w:val="none"/>
          <w:u w:val="single"/>
        </w:rPr>
        <w:t xml:space="preserve">            </w:t>
      </w:r>
      <w:r>
        <w:rPr>
          <w:rFonts w:hint="eastAsia" w:cs="宋体"/>
          <w:bCs/>
          <w:color w:val="auto"/>
          <w:sz w:val="24"/>
          <w:highlight w:val="none"/>
        </w:rPr>
        <w:t>）竞争性磋商项目中，在人员、设备、资金等方面具有相应的履约能力。</w:t>
      </w:r>
    </w:p>
    <w:p w14:paraId="03824268">
      <w:pPr>
        <w:spacing w:line="520" w:lineRule="exact"/>
        <w:ind w:left="-10" w:firstLine="520" w:firstLineChars="217"/>
        <w:jc w:val="left"/>
        <w:rPr>
          <w:color w:val="auto"/>
          <w:sz w:val="24"/>
          <w:highlight w:val="none"/>
        </w:rPr>
      </w:pPr>
      <w:r>
        <w:rPr>
          <w:rFonts w:hint="eastAsia" w:ascii="宋体" w:hAnsi="宋体" w:cs="仿宋_GB2312"/>
          <w:color w:val="auto"/>
          <w:sz w:val="24"/>
          <w:highlight w:val="none"/>
        </w:rPr>
        <w:t>本单位对上述承诺的真实性负责。如有虚假，将依法承担相应责任。</w:t>
      </w:r>
    </w:p>
    <w:p w14:paraId="373A491A">
      <w:pPr>
        <w:spacing w:line="520" w:lineRule="exact"/>
        <w:ind w:left="-10" w:firstLine="455" w:firstLineChars="217"/>
        <w:jc w:val="left"/>
        <w:rPr>
          <w:color w:val="auto"/>
          <w:szCs w:val="21"/>
          <w:highlight w:val="none"/>
        </w:rPr>
      </w:pPr>
    </w:p>
    <w:p w14:paraId="5213428F">
      <w:pPr>
        <w:spacing w:line="520" w:lineRule="exact"/>
        <w:jc w:val="left"/>
        <w:rPr>
          <w:color w:val="auto"/>
          <w:highlight w:val="none"/>
        </w:rPr>
      </w:pPr>
    </w:p>
    <w:p w14:paraId="47ED592A">
      <w:pPr>
        <w:spacing w:line="360" w:lineRule="auto"/>
        <w:ind w:firstLine="4410" w:firstLineChars="2100"/>
        <w:jc w:val="left"/>
        <w:rPr>
          <w:rFonts w:cs="宋体"/>
          <w:color w:val="auto"/>
          <w:highlight w:val="none"/>
        </w:rPr>
      </w:pPr>
    </w:p>
    <w:p w14:paraId="77828BB4">
      <w:pPr>
        <w:spacing w:line="480" w:lineRule="auto"/>
        <w:ind w:left="2699"/>
        <w:rPr>
          <w:color w:val="auto"/>
          <w:highlight w:val="none"/>
        </w:rPr>
      </w:pPr>
      <w:r>
        <w:rPr>
          <w:rFonts w:hint="eastAsia" w:cs="宋体"/>
          <w:color w:val="auto"/>
          <w:highlight w:val="none"/>
        </w:rPr>
        <w:t>供应商：</w:t>
      </w:r>
      <w:r>
        <w:rPr>
          <w:color w:val="auto"/>
          <w:highlight w:val="none"/>
          <w:u w:val="single"/>
        </w:rPr>
        <w:t xml:space="preserve">                              </w:t>
      </w:r>
      <w:r>
        <w:rPr>
          <w:rFonts w:hint="eastAsia" w:cs="宋体"/>
          <w:color w:val="auto"/>
          <w:highlight w:val="none"/>
          <w:u w:val="single"/>
        </w:rPr>
        <w:t>（盖供应商电子签章）</w:t>
      </w:r>
    </w:p>
    <w:p w14:paraId="6636645C">
      <w:pPr>
        <w:spacing w:line="480" w:lineRule="auto"/>
        <w:ind w:left="2699"/>
        <w:rPr>
          <w:color w:val="auto"/>
          <w:highlight w:val="none"/>
        </w:rPr>
      </w:pPr>
      <w:r>
        <w:rPr>
          <w:rFonts w:hint="eastAsia" w:cs="宋体"/>
          <w:color w:val="auto"/>
          <w:highlight w:val="none"/>
        </w:rPr>
        <w:t>法定代表人（或委托代理人）：</w:t>
      </w:r>
      <w:r>
        <w:rPr>
          <w:color w:val="auto"/>
          <w:highlight w:val="none"/>
          <w:u w:val="single"/>
        </w:rPr>
        <w:t xml:space="preserve">         </w:t>
      </w:r>
      <w:r>
        <w:rPr>
          <w:rFonts w:hint="eastAsia"/>
          <w:color w:val="auto"/>
          <w:highlight w:val="none"/>
          <w:u w:val="single"/>
        </w:rPr>
        <w:t>（签字或者电子签名）</w:t>
      </w:r>
    </w:p>
    <w:p w14:paraId="4FB513E2">
      <w:pPr>
        <w:spacing w:line="360" w:lineRule="auto"/>
        <w:ind w:firstLine="2730" w:firstLineChars="1300"/>
        <w:rPr>
          <w:rFonts w:cs="宋体"/>
          <w:color w:val="auto"/>
          <w:highlight w:val="none"/>
        </w:rPr>
      </w:pPr>
      <w:r>
        <w:rPr>
          <w:rFonts w:hint="eastAsia" w:cs="宋体"/>
          <w:color w:val="auto"/>
          <w:highlight w:val="none"/>
        </w:rPr>
        <w:t>日期：</w:t>
      </w:r>
      <w:r>
        <w:rPr>
          <w:color w:val="auto"/>
          <w:highlight w:val="none"/>
          <w:u w:val="single"/>
        </w:rPr>
        <w:t xml:space="preserve">       </w:t>
      </w:r>
      <w:r>
        <w:rPr>
          <w:rFonts w:hint="eastAsia" w:cs="宋体"/>
          <w:color w:val="auto"/>
          <w:highlight w:val="none"/>
        </w:rPr>
        <w:t>年</w:t>
      </w:r>
      <w:r>
        <w:rPr>
          <w:color w:val="auto"/>
          <w:highlight w:val="none"/>
          <w:u w:val="single"/>
        </w:rPr>
        <w:t xml:space="preserve">     </w:t>
      </w:r>
      <w:r>
        <w:rPr>
          <w:rFonts w:hint="eastAsia" w:cs="宋体"/>
          <w:color w:val="auto"/>
          <w:highlight w:val="none"/>
        </w:rPr>
        <w:t>月</w:t>
      </w:r>
      <w:r>
        <w:rPr>
          <w:color w:val="auto"/>
          <w:highlight w:val="none"/>
          <w:u w:val="single"/>
        </w:rPr>
        <w:t xml:space="preserve">     </w:t>
      </w:r>
      <w:r>
        <w:rPr>
          <w:rFonts w:hint="eastAsia" w:cs="宋体"/>
          <w:color w:val="auto"/>
          <w:highlight w:val="none"/>
        </w:rPr>
        <w:t>日</w:t>
      </w:r>
    </w:p>
    <w:p w14:paraId="70C8A59B">
      <w:pPr>
        <w:spacing w:line="360" w:lineRule="auto"/>
        <w:ind w:firstLine="2730" w:firstLineChars="1300"/>
        <w:rPr>
          <w:rFonts w:cs="宋体"/>
          <w:color w:val="auto"/>
          <w:highlight w:val="none"/>
        </w:rPr>
      </w:pPr>
    </w:p>
    <w:p w14:paraId="5C8629B6">
      <w:pPr>
        <w:spacing w:line="360" w:lineRule="auto"/>
        <w:ind w:firstLine="2730" w:firstLineChars="1300"/>
        <w:rPr>
          <w:rFonts w:cs="宋体"/>
          <w:color w:val="auto"/>
          <w:highlight w:val="none"/>
        </w:rPr>
      </w:pPr>
    </w:p>
    <w:p w14:paraId="21FB1571">
      <w:pPr>
        <w:spacing w:line="360" w:lineRule="auto"/>
        <w:ind w:firstLine="2730" w:firstLineChars="1300"/>
        <w:rPr>
          <w:rFonts w:cs="宋体"/>
          <w:color w:val="auto"/>
          <w:highlight w:val="none"/>
        </w:rPr>
      </w:pPr>
    </w:p>
    <w:p w14:paraId="3872603A">
      <w:pPr>
        <w:spacing w:line="360" w:lineRule="auto"/>
        <w:ind w:firstLine="2730" w:firstLineChars="1300"/>
        <w:rPr>
          <w:rFonts w:cs="宋体"/>
          <w:color w:val="auto"/>
          <w:highlight w:val="none"/>
        </w:rPr>
      </w:pPr>
    </w:p>
    <w:p w14:paraId="16E25230">
      <w:pPr>
        <w:spacing w:line="360" w:lineRule="auto"/>
        <w:ind w:firstLine="2730" w:firstLineChars="1300"/>
        <w:rPr>
          <w:rFonts w:cs="宋体"/>
          <w:color w:val="auto"/>
          <w:highlight w:val="none"/>
        </w:rPr>
      </w:pPr>
    </w:p>
    <w:p w14:paraId="0377A8FF">
      <w:pPr>
        <w:spacing w:line="360" w:lineRule="auto"/>
        <w:ind w:firstLine="2730" w:firstLineChars="1300"/>
        <w:rPr>
          <w:rFonts w:cs="宋体"/>
          <w:color w:val="auto"/>
          <w:highlight w:val="none"/>
        </w:rPr>
      </w:pPr>
    </w:p>
    <w:p w14:paraId="209B02E6">
      <w:pPr>
        <w:spacing w:line="360" w:lineRule="auto"/>
        <w:ind w:firstLine="2730" w:firstLineChars="1300"/>
        <w:rPr>
          <w:rFonts w:cs="宋体"/>
          <w:color w:val="auto"/>
          <w:highlight w:val="none"/>
        </w:rPr>
      </w:pPr>
    </w:p>
    <w:p w14:paraId="75CAF73C">
      <w:pPr>
        <w:spacing w:line="360" w:lineRule="auto"/>
        <w:ind w:firstLine="2730" w:firstLineChars="1300"/>
        <w:rPr>
          <w:rFonts w:cs="宋体"/>
          <w:color w:val="auto"/>
          <w:highlight w:val="none"/>
        </w:rPr>
      </w:pPr>
    </w:p>
    <w:p w14:paraId="067BB628">
      <w:pPr>
        <w:spacing w:line="360" w:lineRule="auto"/>
        <w:ind w:firstLine="2730" w:firstLineChars="1300"/>
        <w:rPr>
          <w:rFonts w:cs="宋体"/>
          <w:color w:val="auto"/>
          <w:highlight w:val="none"/>
        </w:rPr>
      </w:pPr>
    </w:p>
    <w:p w14:paraId="5307CBA9">
      <w:pPr>
        <w:spacing w:line="360" w:lineRule="auto"/>
        <w:ind w:firstLine="2730" w:firstLineChars="1300"/>
        <w:rPr>
          <w:rFonts w:cs="宋体"/>
          <w:color w:val="auto"/>
          <w:highlight w:val="none"/>
        </w:rPr>
      </w:pPr>
    </w:p>
    <w:p w14:paraId="6D1CF5E6">
      <w:pPr>
        <w:spacing w:line="360" w:lineRule="auto"/>
        <w:ind w:firstLine="2730" w:firstLineChars="1300"/>
        <w:rPr>
          <w:rFonts w:cs="宋体"/>
          <w:color w:val="auto"/>
          <w:highlight w:val="none"/>
        </w:rPr>
      </w:pPr>
    </w:p>
    <w:p w14:paraId="0B125ACA">
      <w:pPr>
        <w:spacing w:line="360" w:lineRule="auto"/>
        <w:ind w:firstLine="2730" w:firstLineChars="1300"/>
        <w:rPr>
          <w:rFonts w:cs="宋体"/>
          <w:color w:val="auto"/>
          <w:highlight w:val="none"/>
        </w:rPr>
      </w:pPr>
    </w:p>
    <w:p w14:paraId="5A31AFF4">
      <w:pPr>
        <w:spacing w:line="360" w:lineRule="auto"/>
        <w:ind w:firstLine="2730" w:firstLineChars="1300"/>
        <w:rPr>
          <w:rFonts w:cs="宋体"/>
          <w:color w:val="auto"/>
          <w:highlight w:val="none"/>
        </w:rPr>
      </w:pPr>
    </w:p>
    <w:p w14:paraId="3F3802CD">
      <w:pPr>
        <w:spacing w:line="360" w:lineRule="auto"/>
        <w:ind w:firstLine="2730" w:firstLineChars="1300"/>
        <w:rPr>
          <w:rFonts w:cs="宋体"/>
          <w:color w:val="auto"/>
          <w:highlight w:val="none"/>
        </w:rPr>
      </w:pPr>
    </w:p>
    <w:p w14:paraId="62D0402C">
      <w:pPr>
        <w:spacing w:line="360" w:lineRule="auto"/>
        <w:ind w:firstLine="2730" w:firstLineChars="1300"/>
        <w:rPr>
          <w:rFonts w:cs="宋体"/>
          <w:color w:val="auto"/>
          <w:highlight w:val="none"/>
        </w:rPr>
      </w:pPr>
    </w:p>
    <w:p w14:paraId="6A3ABFAF">
      <w:pPr>
        <w:spacing w:line="360" w:lineRule="auto"/>
        <w:ind w:firstLine="2730" w:firstLineChars="1300"/>
        <w:rPr>
          <w:rFonts w:cs="宋体"/>
          <w:color w:val="auto"/>
          <w:highlight w:val="none"/>
        </w:rPr>
      </w:pPr>
    </w:p>
    <w:p w14:paraId="6AD88566">
      <w:pPr>
        <w:spacing w:line="360" w:lineRule="auto"/>
        <w:ind w:firstLine="2730" w:firstLineChars="1300"/>
        <w:rPr>
          <w:rFonts w:cs="宋体"/>
          <w:color w:val="auto"/>
          <w:highlight w:val="none"/>
        </w:rPr>
      </w:pPr>
    </w:p>
    <w:p w14:paraId="0F827851">
      <w:pPr>
        <w:spacing w:line="360" w:lineRule="auto"/>
        <w:ind w:firstLine="2730" w:firstLineChars="1300"/>
        <w:rPr>
          <w:rFonts w:cs="宋体"/>
          <w:color w:val="auto"/>
          <w:highlight w:val="none"/>
        </w:rPr>
      </w:pPr>
    </w:p>
    <w:p w14:paraId="1B4E8263">
      <w:pPr>
        <w:spacing w:line="360" w:lineRule="auto"/>
        <w:ind w:firstLine="2730" w:firstLineChars="1300"/>
        <w:rPr>
          <w:rFonts w:cs="宋体"/>
          <w:color w:val="auto"/>
          <w:highlight w:val="none"/>
        </w:rPr>
      </w:pPr>
    </w:p>
    <w:p w14:paraId="2DECC3F7">
      <w:pPr>
        <w:spacing w:line="360" w:lineRule="auto"/>
        <w:ind w:firstLine="2730" w:firstLineChars="1300"/>
        <w:rPr>
          <w:rFonts w:cs="宋体"/>
          <w:color w:val="auto"/>
          <w:highlight w:val="none"/>
        </w:rPr>
      </w:pPr>
    </w:p>
    <w:p w14:paraId="6F26B6D1">
      <w:pPr>
        <w:spacing w:line="360" w:lineRule="auto"/>
        <w:ind w:firstLine="2730" w:firstLineChars="1300"/>
        <w:rPr>
          <w:rFonts w:cs="宋体"/>
          <w:color w:val="auto"/>
          <w:highlight w:val="none"/>
        </w:rPr>
      </w:pPr>
    </w:p>
    <w:p w14:paraId="3B4052D5">
      <w:pPr>
        <w:spacing w:line="360" w:lineRule="auto"/>
        <w:ind w:firstLine="2730" w:firstLineChars="1300"/>
        <w:rPr>
          <w:rFonts w:cs="宋体"/>
          <w:color w:val="auto"/>
          <w:highlight w:val="none"/>
        </w:rPr>
      </w:pPr>
    </w:p>
    <w:p w14:paraId="2DB6863A">
      <w:pPr>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中小企业声明函（工程）</w:t>
      </w:r>
    </w:p>
    <w:p w14:paraId="4E483889">
      <w:pPr>
        <w:spacing w:before="2" w:line="500" w:lineRule="exact"/>
        <w:ind w:firstLine="708" w:firstLineChars="294"/>
        <w:rPr>
          <w:rFonts w:hint="eastAsia" w:ascii="宋体" w:hAnsi="宋体" w:cs="宋体"/>
          <w:b/>
          <w:bCs/>
          <w:color w:val="auto"/>
          <w:sz w:val="24"/>
          <w:highlight w:val="none"/>
        </w:rPr>
      </w:pPr>
    </w:p>
    <w:p w14:paraId="43ADB4F7">
      <w:pPr>
        <w:pStyle w:val="18"/>
        <w:spacing w:line="500" w:lineRule="exact"/>
        <w:ind w:right="142" w:firstLine="705" w:firstLineChars="294"/>
        <w:rPr>
          <w:rFonts w:hint="eastAsia" w:ascii="宋体" w:hAnsi="宋体"/>
          <w:color w:val="auto"/>
          <w:sz w:val="24"/>
          <w:highlight w:val="none"/>
        </w:rPr>
      </w:pPr>
      <w:r>
        <w:rPr>
          <w:rFonts w:ascii="宋体" w:hAnsi="宋体"/>
          <w:color w:val="auto"/>
          <w:sz w:val="24"/>
          <w:highlight w:val="none"/>
        </w:rPr>
        <w:t>本公司郑重声明，根据《政府采购促进中小企业发展管理办法》（财库﹝2020</w:t>
      </w:r>
      <w:r>
        <w:rPr>
          <w:rFonts w:hint="eastAsia" w:ascii="宋体" w:hAnsi="宋体"/>
          <w:color w:val="auto"/>
          <w:sz w:val="24"/>
          <w:highlight w:val="none"/>
        </w:rPr>
        <w:t>）</w:t>
      </w:r>
      <w:r>
        <w:rPr>
          <w:rFonts w:ascii="宋体" w:hAnsi="宋体"/>
          <w:color w:val="auto"/>
          <w:sz w:val="24"/>
          <w:highlight w:val="none"/>
        </w:rPr>
        <w:t>46号）的规定，本公司参加</w:t>
      </w:r>
      <w:r>
        <w:rPr>
          <w:rFonts w:ascii="宋体" w:hAnsi="宋体"/>
          <w:color w:val="auto"/>
          <w:sz w:val="24"/>
          <w:highlight w:val="none"/>
          <w:u w:val="single"/>
        </w:rPr>
        <w:t>（单位名称）</w:t>
      </w:r>
      <w:r>
        <w:rPr>
          <w:rFonts w:ascii="宋体" w:hAnsi="宋体"/>
          <w:color w:val="auto"/>
          <w:sz w:val="24"/>
          <w:highlight w:val="none"/>
        </w:rPr>
        <w:t>的</w:t>
      </w:r>
      <w:r>
        <w:rPr>
          <w:rFonts w:ascii="宋体" w:hAnsi="宋体"/>
          <w:color w:val="auto"/>
          <w:sz w:val="24"/>
          <w:highlight w:val="none"/>
          <w:u w:val="single"/>
        </w:rPr>
        <w:t>（项目名称）</w:t>
      </w:r>
      <w:r>
        <w:rPr>
          <w:rFonts w:ascii="宋体" w:hAnsi="宋体"/>
          <w:color w:val="auto"/>
          <w:sz w:val="24"/>
          <w:highlight w:val="none"/>
        </w:rPr>
        <w:t>采购活动，</w:t>
      </w:r>
      <w:r>
        <w:rPr>
          <w:rFonts w:hint="eastAsia" w:ascii="宋体" w:hAnsi="宋体"/>
          <w:color w:val="auto"/>
          <w:sz w:val="24"/>
          <w:highlight w:val="none"/>
        </w:rPr>
        <w:t>工程的施工单位全部为符合政策要求的中小企业。相关企业的具体情况如下：</w:t>
      </w:r>
    </w:p>
    <w:p w14:paraId="7A042F5C">
      <w:pPr>
        <w:tabs>
          <w:tab w:val="left" w:pos="1384"/>
          <w:tab w:val="left" w:pos="4562"/>
          <w:tab w:val="left" w:pos="6803"/>
        </w:tabs>
        <w:spacing w:before="13" w:line="500" w:lineRule="exact"/>
        <w:ind w:right="142" w:firstLine="772" w:firstLineChars="322"/>
        <w:rPr>
          <w:rFonts w:hint="eastAsia" w:ascii="宋体" w:hAnsi="宋体"/>
          <w:color w:val="auto"/>
          <w:sz w:val="24"/>
          <w:highlight w:val="none"/>
        </w:rPr>
      </w:pPr>
      <w:r>
        <w:rPr>
          <w:rFonts w:ascii="宋体" w:hAnsi="宋体"/>
          <w:color w:val="auto"/>
          <w:sz w:val="24"/>
          <w:highlight w:val="none"/>
          <w:u w:val="single"/>
        </w:rPr>
        <w:t>（标的名称）</w:t>
      </w:r>
      <w:r>
        <w:rPr>
          <w:rFonts w:ascii="宋体" w:hAnsi="宋体"/>
          <w:color w:val="auto"/>
          <w:sz w:val="24"/>
          <w:highlight w:val="none"/>
        </w:rPr>
        <w:t>，属于</w:t>
      </w:r>
      <w:r>
        <w:rPr>
          <w:rFonts w:hint="eastAsia" w:ascii="宋体" w:hAnsi="宋体"/>
          <w:color w:val="auto"/>
          <w:sz w:val="24"/>
          <w:highlight w:val="none"/>
          <w:u w:val="single"/>
        </w:rPr>
        <w:t>建筑业</w:t>
      </w:r>
      <w:r>
        <w:rPr>
          <w:rFonts w:ascii="宋体" w:hAnsi="宋体"/>
          <w:color w:val="auto"/>
          <w:sz w:val="24"/>
          <w:highlight w:val="none"/>
        </w:rPr>
        <w:t>；</w:t>
      </w:r>
      <w:r>
        <w:rPr>
          <w:rFonts w:hint="eastAsia" w:ascii="宋体" w:hAnsi="宋体"/>
          <w:color w:val="auto"/>
          <w:sz w:val="24"/>
          <w:highlight w:val="none"/>
        </w:rPr>
        <w:t>承建企业为</w:t>
      </w:r>
      <w:r>
        <w:rPr>
          <w:rFonts w:hint="eastAsia" w:ascii="宋体" w:hAnsi="宋体"/>
          <w:color w:val="auto"/>
          <w:sz w:val="24"/>
          <w:highlight w:val="none"/>
          <w:u w:val="single"/>
        </w:rPr>
        <w:t>（企业名称）</w:t>
      </w:r>
      <w:r>
        <w:rPr>
          <w:rFonts w:hint="eastAsia" w:ascii="宋体" w:hAnsi="宋体"/>
          <w:color w:val="auto"/>
          <w:sz w:val="24"/>
          <w:highlight w:val="none"/>
        </w:rPr>
        <w:t>，从业人员</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人，营业收入为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万元，资产总额为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w:t>
      </w:r>
      <w:r>
        <w:rPr>
          <w:rFonts w:ascii="宋体" w:hAnsi="宋体"/>
          <w:color w:val="auto"/>
          <w:sz w:val="24"/>
          <w:highlight w:val="none"/>
        </w:rPr>
        <w:t>，属于</w:t>
      </w:r>
      <w:r>
        <w:rPr>
          <w:rFonts w:ascii="宋体" w:hAnsi="宋体"/>
          <w:color w:val="auto"/>
          <w:sz w:val="24"/>
          <w:highlight w:val="none"/>
          <w:u w:val="single"/>
        </w:rPr>
        <w:t>（</w:t>
      </w:r>
      <w:r>
        <w:rPr>
          <w:rFonts w:hint="eastAsia" w:ascii="宋体" w:hAnsi="宋体"/>
          <w:color w:val="auto"/>
          <w:sz w:val="24"/>
          <w:highlight w:val="none"/>
          <w:u w:val="single"/>
        </w:rPr>
        <w:t>中型企业、小型企业、微型企业）</w:t>
      </w:r>
      <w:r>
        <w:rPr>
          <w:rFonts w:hint="eastAsia" w:ascii="宋体" w:hAnsi="宋体"/>
          <w:color w:val="auto"/>
          <w:sz w:val="24"/>
          <w:highlight w:val="none"/>
        </w:rPr>
        <w:t>；</w:t>
      </w:r>
    </w:p>
    <w:p w14:paraId="0D99CF24">
      <w:pPr>
        <w:pStyle w:val="18"/>
        <w:spacing w:before="34" w:line="500" w:lineRule="exact"/>
        <w:ind w:right="142" w:firstLine="705" w:firstLineChars="294"/>
        <w:rPr>
          <w:rFonts w:hint="eastAsia" w:ascii="宋体" w:hAnsi="宋体"/>
          <w:color w:val="auto"/>
          <w:sz w:val="24"/>
          <w:highlight w:val="none"/>
        </w:rPr>
      </w:pPr>
      <w:r>
        <w:rPr>
          <w:rFonts w:ascii="宋体" w:hAnsi="宋体"/>
          <w:color w:val="auto"/>
          <w:sz w:val="24"/>
          <w:highlight w:val="none"/>
        </w:rPr>
        <w:t>以上企业，不属于大企业的分支机构，不存在控股股东为大企业的情形，也不存在与大企业的负责人为同一人的情形。</w:t>
      </w:r>
    </w:p>
    <w:p w14:paraId="60AC4F26">
      <w:pPr>
        <w:pStyle w:val="18"/>
        <w:spacing w:before="25" w:line="500" w:lineRule="exact"/>
        <w:ind w:right="142" w:firstLine="705" w:firstLineChars="294"/>
        <w:rPr>
          <w:rFonts w:hint="eastAsia" w:ascii="宋体" w:hAnsi="宋体"/>
          <w:color w:val="auto"/>
          <w:sz w:val="24"/>
          <w:highlight w:val="none"/>
        </w:rPr>
      </w:pPr>
      <w:r>
        <w:rPr>
          <w:rFonts w:ascii="宋体" w:hAnsi="宋体"/>
          <w:color w:val="auto"/>
          <w:sz w:val="24"/>
          <w:highlight w:val="none"/>
        </w:rPr>
        <w:t>本企业对上述声明内容的真实性负责。如有虚假，将依法承担相应责任。</w:t>
      </w:r>
    </w:p>
    <w:p w14:paraId="4D65520D">
      <w:pPr>
        <w:pStyle w:val="18"/>
        <w:spacing w:before="56" w:line="500" w:lineRule="exact"/>
        <w:ind w:right="1808" w:firstLine="705" w:firstLineChars="294"/>
        <w:rPr>
          <w:rFonts w:hint="eastAsia" w:ascii="宋体" w:hAnsi="宋体"/>
          <w:color w:val="auto"/>
          <w:sz w:val="24"/>
          <w:highlight w:val="none"/>
        </w:rPr>
      </w:pPr>
    </w:p>
    <w:p w14:paraId="4309901E">
      <w:pPr>
        <w:pStyle w:val="18"/>
        <w:spacing w:before="56" w:line="500" w:lineRule="exact"/>
        <w:ind w:right="650" w:firstLine="5625" w:firstLineChars="2344"/>
        <w:rPr>
          <w:rFonts w:hint="eastAsia" w:ascii="宋体" w:hAnsi="宋体"/>
          <w:color w:val="auto"/>
          <w:sz w:val="24"/>
          <w:highlight w:val="none"/>
        </w:rPr>
      </w:pPr>
      <w:r>
        <w:rPr>
          <w:rFonts w:ascii="宋体" w:hAnsi="宋体"/>
          <w:color w:val="auto"/>
          <w:sz w:val="24"/>
          <w:highlight w:val="none"/>
        </w:rPr>
        <w:t xml:space="preserve">企业名称（章）： </w:t>
      </w:r>
    </w:p>
    <w:p w14:paraId="60EAAF1B">
      <w:pPr>
        <w:pStyle w:val="18"/>
        <w:spacing w:before="56" w:line="500" w:lineRule="exact"/>
        <w:ind w:right="1808" w:firstLine="5625" w:firstLineChars="2344"/>
        <w:rPr>
          <w:rFonts w:hint="eastAsia" w:ascii="宋体" w:hAnsi="宋体"/>
          <w:color w:val="auto"/>
          <w:sz w:val="24"/>
          <w:highlight w:val="none"/>
        </w:rPr>
      </w:pPr>
      <w:r>
        <w:rPr>
          <w:rFonts w:ascii="宋体" w:hAnsi="宋体"/>
          <w:color w:val="auto"/>
          <w:sz w:val="24"/>
          <w:highlight w:val="none"/>
        </w:rPr>
        <w:t>日 期：</w:t>
      </w:r>
    </w:p>
    <w:p w14:paraId="264C8157">
      <w:pPr>
        <w:spacing w:line="520" w:lineRule="exact"/>
        <w:jc w:val="left"/>
        <w:rPr>
          <w:rFonts w:hint="eastAsia" w:ascii="宋体" w:hAnsi="宋体" w:cs="仿宋_GB2312"/>
          <w:color w:val="auto"/>
          <w:sz w:val="24"/>
          <w:highlight w:val="none"/>
        </w:rPr>
      </w:pPr>
      <w:r>
        <w:rPr>
          <w:rFonts w:hint="eastAsia" w:ascii="宋体" w:hAnsi="宋体" w:cs="仿宋_GB2312"/>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600ABAF9">
      <w:pPr>
        <w:spacing w:line="520" w:lineRule="exact"/>
        <w:jc w:val="center"/>
        <w:rPr>
          <w:rFonts w:hint="eastAsia" w:ascii="宋体" w:hAnsi="宋体"/>
          <w:color w:val="auto"/>
          <w:sz w:val="24"/>
          <w:highlight w:val="none"/>
        </w:rPr>
      </w:pPr>
      <w:r>
        <w:rPr>
          <w:rFonts w:ascii="宋体" w:hAnsi="宋体"/>
          <w:color w:val="auto"/>
          <w:sz w:val="24"/>
          <w:highlight w:val="none"/>
        </w:rPr>
        <w:br w:type="page"/>
      </w:r>
    </w:p>
    <w:p w14:paraId="16B3D088">
      <w:pPr>
        <w:spacing w:line="520" w:lineRule="exact"/>
        <w:jc w:val="center"/>
        <w:rPr>
          <w:rFonts w:hint="eastAsia" w:ascii="宋体" w:hAnsi="宋体"/>
          <w:color w:val="auto"/>
          <w:sz w:val="24"/>
          <w:highlight w:val="none"/>
        </w:rPr>
      </w:pPr>
    </w:p>
    <w:p w14:paraId="0B539E5E">
      <w:pPr>
        <w:spacing w:line="520" w:lineRule="exact"/>
        <w:jc w:val="center"/>
        <w:rPr>
          <w:rFonts w:hint="eastAsia" w:ascii="仿宋_GB2312" w:hAnsi="仿宋_GB2312" w:eastAsia="仿宋_GB2312" w:cs="仿宋_GB2312"/>
          <w:color w:val="auto"/>
          <w:sz w:val="32"/>
          <w:szCs w:val="32"/>
          <w:highlight w:val="none"/>
        </w:rPr>
      </w:pPr>
      <w:r>
        <w:rPr>
          <w:rFonts w:hint="eastAsia" w:ascii="方正小标宋简体" w:hAnsi="方正小标宋简体" w:eastAsia="方正小标宋简体" w:cs="方正小标宋简体"/>
          <w:color w:val="auto"/>
          <w:sz w:val="44"/>
          <w:szCs w:val="44"/>
          <w:highlight w:val="none"/>
        </w:rPr>
        <w:t>残疾人福利性单位声明函</w:t>
      </w:r>
    </w:p>
    <w:p w14:paraId="21EF2F07">
      <w:pPr>
        <w:spacing w:line="360" w:lineRule="auto"/>
        <w:contextualSpacing/>
        <w:rPr>
          <w:rFonts w:hint="eastAsia" w:ascii="仿宋_GB2312" w:hAnsi="仿宋_GB2312" w:eastAsia="仿宋_GB2312" w:cs="仿宋_GB2312"/>
          <w:color w:val="auto"/>
          <w:sz w:val="32"/>
          <w:szCs w:val="32"/>
          <w:highlight w:val="none"/>
        </w:rPr>
      </w:pPr>
    </w:p>
    <w:p w14:paraId="6FEBDFD4">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单位的</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项目采购活动提供本单位制造的货物（由本单位承担工程/提供服务），或者提供其他残疾人福利性单位制造的货物（不包括使用非残疾人福利性单位注册商标的货物）。</w:t>
      </w:r>
    </w:p>
    <w:p w14:paraId="46F6C260">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本单位对上述声明的真实性负责。如有虚假，将依法承担相应责任。</w:t>
      </w:r>
    </w:p>
    <w:p w14:paraId="038BA82F">
      <w:pPr>
        <w:spacing w:line="360" w:lineRule="auto"/>
        <w:contextualSpacing/>
        <w:rPr>
          <w:rFonts w:hint="eastAsia" w:ascii="宋体" w:hAnsi="宋体" w:cs="仿宋_GB2312"/>
          <w:color w:val="auto"/>
          <w:sz w:val="24"/>
          <w:highlight w:val="none"/>
        </w:rPr>
      </w:pPr>
    </w:p>
    <w:p w14:paraId="1FBFB53E">
      <w:pPr>
        <w:spacing w:line="360" w:lineRule="auto"/>
        <w:contextualSpacing/>
        <w:rPr>
          <w:rFonts w:hint="eastAsia" w:ascii="宋体" w:hAnsi="宋体" w:cs="仿宋_GB2312"/>
          <w:color w:val="auto"/>
          <w:sz w:val="24"/>
          <w:highlight w:val="none"/>
        </w:rPr>
      </w:pPr>
    </w:p>
    <w:p w14:paraId="1898DEC6">
      <w:pPr>
        <w:spacing w:line="360" w:lineRule="auto"/>
        <w:contextualSpacing/>
        <w:rPr>
          <w:rFonts w:hint="eastAsia" w:ascii="宋体" w:hAnsi="宋体" w:cs="仿宋_GB2312"/>
          <w:color w:val="auto"/>
          <w:sz w:val="24"/>
          <w:highlight w:val="none"/>
        </w:rPr>
      </w:pPr>
    </w:p>
    <w:p w14:paraId="3BA6FDD7">
      <w:pPr>
        <w:spacing w:line="360" w:lineRule="auto"/>
        <w:ind w:firstLine="2400" w:firstLineChars="1000"/>
        <w:contextualSpacing/>
        <w:rPr>
          <w:rFonts w:hint="eastAsia" w:ascii="宋体" w:hAnsi="宋体" w:cs="仿宋_GB2312"/>
          <w:color w:val="auto"/>
          <w:sz w:val="24"/>
          <w:highlight w:val="none"/>
        </w:rPr>
      </w:pPr>
      <w:r>
        <w:rPr>
          <w:rFonts w:hint="eastAsia" w:ascii="宋体" w:hAnsi="宋体" w:cs="仿宋_GB2312"/>
          <w:color w:val="auto"/>
          <w:sz w:val="24"/>
          <w:highlight w:val="none"/>
        </w:rPr>
        <w:t>单位名称（盖章）：</w:t>
      </w:r>
    </w:p>
    <w:p w14:paraId="1064E585">
      <w:pPr>
        <w:spacing w:line="360" w:lineRule="auto"/>
        <w:ind w:firstLine="3600" w:firstLineChars="1500"/>
        <w:contextualSpacing/>
        <w:rPr>
          <w:rFonts w:hint="eastAsia" w:ascii="宋体" w:hAnsi="宋体" w:cs="仿宋_GB2312"/>
          <w:color w:val="auto"/>
          <w:sz w:val="24"/>
          <w:highlight w:val="none"/>
        </w:rPr>
      </w:pPr>
      <w:r>
        <w:rPr>
          <w:rFonts w:hint="eastAsia" w:ascii="宋体" w:hAnsi="宋体" w:cs="仿宋_GB2312"/>
          <w:color w:val="auto"/>
          <w:sz w:val="24"/>
          <w:highlight w:val="none"/>
        </w:rPr>
        <w:t>日  期：</w:t>
      </w:r>
    </w:p>
    <w:p w14:paraId="09C5CC94">
      <w:pPr>
        <w:spacing w:line="360" w:lineRule="auto"/>
        <w:contextualSpacing/>
        <w:rPr>
          <w:rFonts w:hint="eastAsia" w:ascii="宋体" w:hAnsi="宋体" w:cs="仿宋_GB2312"/>
          <w:color w:val="auto"/>
          <w:sz w:val="24"/>
          <w:highlight w:val="none"/>
        </w:rPr>
      </w:pPr>
    </w:p>
    <w:p w14:paraId="0445F228">
      <w:pPr>
        <w:spacing w:line="360" w:lineRule="auto"/>
        <w:contextualSpacing/>
        <w:rPr>
          <w:rFonts w:hint="eastAsia" w:ascii="宋体" w:hAnsi="宋体" w:cs="仿宋_GB2312"/>
          <w:color w:val="auto"/>
          <w:sz w:val="24"/>
          <w:highlight w:val="none"/>
        </w:rPr>
      </w:pPr>
    </w:p>
    <w:p w14:paraId="0A679857">
      <w:pPr>
        <w:spacing w:line="360" w:lineRule="auto"/>
        <w:contextualSpacing/>
        <w:rPr>
          <w:rFonts w:hint="eastAsia" w:ascii="宋体" w:hAnsi="宋体" w:cs="仿宋_GB2312"/>
          <w:color w:val="auto"/>
          <w:sz w:val="24"/>
          <w:highlight w:val="none"/>
        </w:rPr>
      </w:pPr>
    </w:p>
    <w:p w14:paraId="434BF0BC">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注：请根据自己的真实情况出具《残疾人福利性单位声明函》。依法享受中小企业优惠政策的，采购人或者采购代理机构在公告成交结果时，同时公告其《残疾人福利性单位声明函》，接受社会监督。</w:t>
      </w:r>
    </w:p>
    <w:p w14:paraId="535F3FCD">
      <w:pPr>
        <w:pStyle w:val="30"/>
        <w:tabs>
          <w:tab w:val="left" w:pos="7575"/>
        </w:tabs>
        <w:rPr>
          <w:rFonts w:hint="eastAsia" w:ascii="宋体" w:hAnsi="宋体"/>
          <w:b/>
          <w:bCs/>
          <w:color w:val="auto"/>
          <w:sz w:val="32"/>
          <w:szCs w:val="32"/>
          <w:highlight w:val="none"/>
        </w:rPr>
      </w:pPr>
      <w:r>
        <w:rPr>
          <w:rFonts w:hint="eastAsia" w:ascii="宋体" w:hAnsi="宋体"/>
          <w:b/>
          <w:bCs/>
          <w:color w:val="auto"/>
          <w:sz w:val="32"/>
          <w:szCs w:val="32"/>
          <w:highlight w:val="none"/>
        </w:rPr>
        <w:tab/>
      </w:r>
    </w:p>
    <w:p w14:paraId="081F7DB5">
      <w:pPr>
        <w:spacing w:line="360" w:lineRule="auto"/>
        <w:ind w:firstLine="2730" w:firstLineChars="1300"/>
        <w:rPr>
          <w:rFonts w:cs="宋体"/>
          <w:color w:val="auto"/>
          <w:highlight w:val="none"/>
        </w:rPr>
      </w:pPr>
    </w:p>
    <w:p w14:paraId="3B264140">
      <w:pPr>
        <w:spacing w:line="360" w:lineRule="auto"/>
        <w:ind w:firstLine="2730" w:firstLineChars="1300"/>
        <w:rPr>
          <w:rFonts w:cs="宋体"/>
          <w:color w:val="auto"/>
          <w:highlight w:val="none"/>
        </w:rPr>
      </w:pPr>
    </w:p>
    <w:p w14:paraId="45A20C71">
      <w:pPr>
        <w:spacing w:line="360" w:lineRule="auto"/>
        <w:ind w:firstLine="2730" w:firstLineChars="1300"/>
        <w:rPr>
          <w:rFonts w:cs="宋体"/>
          <w:color w:val="auto"/>
          <w:highlight w:val="none"/>
        </w:rPr>
      </w:pPr>
    </w:p>
    <w:p w14:paraId="74C41CDF">
      <w:pPr>
        <w:spacing w:line="360" w:lineRule="auto"/>
        <w:ind w:firstLine="2730" w:firstLineChars="1300"/>
        <w:rPr>
          <w:rFonts w:cs="宋体"/>
          <w:color w:val="auto"/>
          <w:highlight w:val="none"/>
        </w:rPr>
      </w:pPr>
    </w:p>
    <w:p w14:paraId="22947E57">
      <w:pPr>
        <w:spacing w:line="360" w:lineRule="auto"/>
        <w:ind w:firstLine="2730" w:firstLineChars="1300"/>
        <w:rPr>
          <w:rFonts w:cs="宋体"/>
          <w:color w:val="auto"/>
          <w:highlight w:val="none"/>
        </w:rPr>
      </w:pPr>
    </w:p>
    <w:p w14:paraId="35BF95AA">
      <w:pPr>
        <w:widowControl/>
        <w:jc w:val="left"/>
        <w:rPr>
          <w:rFonts w:hint="eastAsia" w:ascii="宋体" w:hAnsi="宋体"/>
          <w:b/>
          <w:bCs/>
          <w:color w:val="auto"/>
          <w:sz w:val="32"/>
          <w:szCs w:val="32"/>
          <w:highlight w:val="none"/>
        </w:rPr>
      </w:pPr>
      <w:r>
        <w:rPr>
          <w:rFonts w:ascii="宋体" w:hAnsi="宋体"/>
          <w:b/>
          <w:bCs/>
          <w:color w:val="auto"/>
          <w:sz w:val="32"/>
          <w:szCs w:val="32"/>
          <w:highlight w:val="none"/>
        </w:rPr>
        <w:br w:type="page"/>
      </w:r>
    </w:p>
    <w:p w14:paraId="11DD6E3B">
      <w:pPr>
        <w:spacing w:line="360" w:lineRule="auto"/>
        <w:ind w:right="420"/>
        <w:contextualSpacing/>
        <w:jc w:val="left"/>
        <w:rPr>
          <w:rFonts w:hint="eastAsia" w:ascii="宋体" w:hAnsi="宋体"/>
          <w:b/>
          <w:color w:val="auto"/>
          <w:sz w:val="32"/>
          <w:szCs w:val="32"/>
          <w:highlight w:val="none"/>
        </w:rPr>
      </w:pPr>
      <w:r>
        <w:rPr>
          <w:rFonts w:hint="eastAsia" w:ascii="宋体" w:hAnsi="宋体"/>
          <w:b/>
          <w:bCs/>
          <w:color w:val="auto"/>
          <w:sz w:val="32"/>
          <w:szCs w:val="32"/>
          <w:highlight w:val="none"/>
        </w:rPr>
        <w:t>二、</w:t>
      </w:r>
      <w:r>
        <w:rPr>
          <w:rFonts w:hint="eastAsia" w:ascii="宋体" w:hAnsi="宋体"/>
          <w:b/>
          <w:color w:val="auto"/>
          <w:sz w:val="32"/>
          <w:szCs w:val="32"/>
          <w:highlight w:val="none"/>
        </w:rPr>
        <w:t xml:space="preserve">报价文件格式 </w:t>
      </w:r>
    </w:p>
    <w:p w14:paraId="76DA8E3E">
      <w:pPr>
        <w:snapToGrid w:val="0"/>
        <w:spacing w:before="120" w:beforeLines="50" w:after="50" w:line="360" w:lineRule="auto"/>
        <w:jc w:val="left"/>
        <w:rPr>
          <w:rFonts w:hint="eastAsia" w:ascii="宋体" w:hAnsi="宋体"/>
          <w:b/>
          <w:color w:val="auto"/>
          <w:sz w:val="32"/>
          <w:szCs w:val="32"/>
          <w:highlight w:val="none"/>
        </w:rPr>
      </w:pPr>
      <w:r>
        <w:rPr>
          <w:rFonts w:hint="eastAsia" w:ascii="宋体" w:hAnsi="宋体"/>
          <w:b/>
          <w:color w:val="auto"/>
          <w:sz w:val="32"/>
          <w:szCs w:val="32"/>
          <w:highlight w:val="none"/>
        </w:rPr>
        <w:t>1.报价文件封面格式</w:t>
      </w:r>
    </w:p>
    <w:p w14:paraId="398FE54C">
      <w:pPr>
        <w:snapToGrid w:val="0"/>
        <w:spacing w:before="120" w:beforeLines="50" w:after="50"/>
        <w:rPr>
          <w:rFonts w:hint="eastAsia" w:ascii="宋体" w:hAnsi="宋体"/>
          <w:bCs/>
          <w:color w:val="auto"/>
          <w:sz w:val="32"/>
          <w:szCs w:val="20"/>
          <w:highlight w:val="none"/>
        </w:rPr>
      </w:pPr>
      <w:r>
        <w:rPr>
          <w:rFonts w:hint="eastAsia" w:ascii="宋体" w:hAnsi="宋体"/>
          <w:color w:val="auto"/>
          <w:sz w:val="24"/>
          <w:highlight w:val="none"/>
        </w:rPr>
        <w:t xml:space="preserve">                                                    </w:t>
      </w:r>
    </w:p>
    <w:p w14:paraId="605C695A">
      <w:pPr>
        <w:snapToGrid w:val="0"/>
        <w:spacing w:before="120" w:beforeLines="50" w:after="50"/>
        <w:jc w:val="center"/>
        <w:rPr>
          <w:rFonts w:hint="eastAsia" w:ascii="宋体" w:hAnsi="宋体"/>
          <w:color w:val="auto"/>
          <w:sz w:val="24"/>
          <w:szCs w:val="20"/>
          <w:highlight w:val="none"/>
        </w:rPr>
      </w:pPr>
      <w:r>
        <w:rPr>
          <w:rFonts w:hint="eastAsia" w:ascii="宋体" w:hAnsi="宋体"/>
          <w:color w:val="auto"/>
          <w:sz w:val="44"/>
          <w:szCs w:val="44"/>
          <w:highlight w:val="none"/>
        </w:rPr>
        <w:t>电 子 响 应 文 件</w:t>
      </w:r>
    </w:p>
    <w:p w14:paraId="54428C3E">
      <w:pPr>
        <w:snapToGrid w:val="0"/>
        <w:spacing w:before="120" w:beforeLines="50" w:after="50"/>
        <w:rPr>
          <w:rFonts w:hint="eastAsia" w:ascii="宋体" w:hAnsi="宋体"/>
          <w:color w:val="auto"/>
          <w:sz w:val="24"/>
          <w:szCs w:val="20"/>
          <w:highlight w:val="none"/>
        </w:rPr>
      </w:pPr>
    </w:p>
    <w:p w14:paraId="180B0B9B">
      <w:pPr>
        <w:snapToGrid w:val="0"/>
        <w:spacing w:before="120" w:beforeLines="50" w:after="50"/>
        <w:rPr>
          <w:rFonts w:hint="eastAsia" w:ascii="宋体" w:hAnsi="宋体"/>
          <w:color w:val="auto"/>
          <w:sz w:val="24"/>
          <w:szCs w:val="20"/>
          <w:highlight w:val="none"/>
        </w:rPr>
      </w:pPr>
    </w:p>
    <w:p w14:paraId="7AC8EE0E">
      <w:pPr>
        <w:snapToGrid w:val="0"/>
        <w:spacing w:before="120"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报  价  文  件</w:t>
      </w:r>
    </w:p>
    <w:p w14:paraId="09618A7F">
      <w:pPr>
        <w:snapToGrid w:val="0"/>
        <w:spacing w:before="120" w:beforeLines="50" w:after="50"/>
        <w:rPr>
          <w:rFonts w:hint="eastAsia" w:ascii="宋体" w:hAnsi="宋体"/>
          <w:bCs/>
          <w:color w:val="auto"/>
          <w:sz w:val="24"/>
          <w:szCs w:val="20"/>
          <w:highlight w:val="none"/>
        </w:rPr>
      </w:pPr>
    </w:p>
    <w:p w14:paraId="7E0AE3E7">
      <w:pPr>
        <w:snapToGrid w:val="0"/>
        <w:spacing w:before="120" w:beforeLines="50" w:after="50"/>
        <w:rPr>
          <w:rFonts w:hint="eastAsia" w:ascii="宋体" w:hAnsi="宋体"/>
          <w:bCs/>
          <w:color w:val="auto"/>
          <w:sz w:val="24"/>
          <w:szCs w:val="20"/>
          <w:highlight w:val="none"/>
        </w:rPr>
      </w:pPr>
    </w:p>
    <w:p w14:paraId="02D616D9">
      <w:pPr>
        <w:snapToGrid w:val="0"/>
        <w:spacing w:before="120" w:beforeLines="50" w:after="50"/>
        <w:rPr>
          <w:rFonts w:hint="eastAsia" w:ascii="宋体" w:hAnsi="宋体"/>
          <w:bCs/>
          <w:color w:val="auto"/>
          <w:sz w:val="24"/>
          <w:szCs w:val="20"/>
          <w:highlight w:val="none"/>
        </w:rPr>
      </w:pPr>
    </w:p>
    <w:p w14:paraId="6A37351B">
      <w:pPr>
        <w:snapToGrid w:val="0"/>
        <w:spacing w:before="120" w:beforeLines="50" w:after="50"/>
        <w:rPr>
          <w:rFonts w:hint="eastAsia" w:ascii="宋体" w:hAnsi="宋体"/>
          <w:bCs/>
          <w:color w:val="auto"/>
          <w:sz w:val="24"/>
          <w:szCs w:val="20"/>
          <w:highlight w:val="none"/>
        </w:rPr>
      </w:pPr>
    </w:p>
    <w:p w14:paraId="62FD4871">
      <w:pPr>
        <w:snapToGrid w:val="0"/>
        <w:spacing w:before="120" w:beforeLines="50" w:after="50"/>
        <w:rPr>
          <w:rFonts w:hint="eastAsia" w:ascii="宋体" w:hAnsi="宋体"/>
          <w:bCs/>
          <w:color w:val="auto"/>
          <w:sz w:val="24"/>
          <w:szCs w:val="20"/>
          <w:highlight w:val="none"/>
        </w:rPr>
      </w:pPr>
    </w:p>
    <w:p w14:paraId="29D0FCA8">
      <w:pPr>
        <w:snapToGrid w:val="0"/>
        <w:spacing w:before="120"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51797832">
      <w:pPr>
        <w:snapToGrid w:val="0"/>
        <w:spacing w:before="120" w:beforeLines="50" w:after="50"/>
        <w:ind w:firstLine="720" w:firstLineChars="225"/>
        <w:rPr>
          <w:rFonts w:hint="eastAsia" w:ascii="宋体" w:hAnsi="宋体" w:cs="仿宋_GB2312"/>
          <w:bCs/>
          <w:color w:val="auto"/>
          <w:sz w:val="32"/>
          <w:szCs w:val="32"/>
          <w:highlight w:val="none"/>
        </w:rPr>
      </w:pPr>
    </w:p>
    <w:p w14:paraId="3C04F4B9">
      <w:pPr>
        <w:snapToGrid w:val="0"/>
        <w:spacing w:before="120"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252D3FE4">
      <w:pPr>
        <w:snapToGrid w:val="0"/>
        <w:spacing w:before="120" w:beforeLines="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14:paraId="53F8C9C5">
      <w:pPr>
        <w:snapToGrid w:val="0"/>
        <w:spacing w:before="120" w:beforeLines="50" w:after="50"/>
        <w:ind w:firstLine="720" w:firstLineChars="225"/>
        <w:rPr>
          <w:rFonts w:hint="eastAsia" w:ascii="宋体" w:hAnsi="宋体" w:cs="仿宋_GB2312"/>
          <w:bCs/>
          <w:color w:val="auto"/>
          <w:sz w:val="32"/>
          <w:szCs w:val="32"/>
          <w:highlight w:val="none"/>
        </w:rPr>
      </w:pPr>
    </w:p>
    <w:p w14:paraId="0A617066">
      <w:pPr>
        <w:pStyle w:val="7"/>
        <w:snapToGrid w:val="0"/>
        <w:spacing w:before="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5721A6C3">
      <w:pPr>
        <w:pStyle w:val="7"/>
        <w:snapToGrid w:val="0"/>
        <w:spacing w:before="50" w:after="50"/>
        <w:ind w:firstLine="640" w:firstLineChars="200"/>
        <w:rPr>
          <w:rFonts w:hint="eastAsia" w:ascii="宋体" w:hAnsi="宋体" w:cs="仿宋_GB2312"/>
          <w:bCs/>
          <w:color w:val="auto"/>
          <w:sz w:val="32"/>
          <w:szCs w:val="32"/>
          <w:highlight w:val="none"/>
        </w:rPr>
      </w:pPr>
    </w:p>
    <w:p w14:paraId="41075909">
      <w:pPr>
        <w:pStyle w:val="7"/>
        <w:snapToGrid w:val="0"/>
        <w:spacing w:before="50" w:after="50"/>
        <w:ind w:firstLine="720" w:firstLineChars="225"/>
        <w:rPr>
          <w:rFonts w:hint="eastAsia" w:ascii="宋体" w:hAnsi="宋体" w:cs="仿宋_GB2312"/>
          <w:bCs/>
          <w:color w:val="auto"/>
          <w:sz w:val="32"/>
          <w:szCs w:val="32"/>
          <w:highlight w:val="none"/>
        </w:rPr>
      </w:pPr>
    </w:p>
    <w:p w14:paraId="51EF9213">
      <w:pPr>
        <w:pStyle w:val="7"/>
        <w:snapToGrid w:val="0"/>
        <w:spacing w:before="50" w:after="50"/>
        <w:ind w:firstLine="0"/>
        <w:rPr>
          <w:rFonts w:hint="eastAsia" w:ascii="宋体" w:hAnsi="宋体" w:cs="仿宋_GB2312"/>
          <w:bCs/>
          <w:color w:val="auto"/>
          <w:sz w:val="32"/>
          <w:szCs w:val="32"/>
          <w:highlight w:val="none"/>
        </w:rPr>
      </w:pPr>
    </w:p>
    <w:p w14:paraId="6EC3BAA4">
      <w:pPr>
        <w:pStyle w:val="7"/>
        <w:snapToGrid w:val="0"/>
        <w:spacing w:before="50" w:after="50"/>
        <w:ind w:firstLine="1280" w:firstLineChars="400"/>
        <w:rPr>
          <w:rFonts w:hint="eastAsia" w:ascii="宋体" w:hAnsi="宋体" w:cs="仿宋_GB2312"/>
          <w:bCs/>
          <w:color w:val="auto"/>
          <w:sz w:val="32"/>
          <w:szCs w:val="32"/>
          <w:highlight w:val="none"/>
        </w:rPr>
      </w:pPr>
    </w:p>
    <w:p w14:paraId="65DC1A50">
      <w:pPr>
        <w:snapToGrid w:val="0"/>
        <w:spacing w:before="120" w:beforeLines="50" w:after="50"/>
        <w:jc w:val="center"/>
        <w:rPr>
          <w:rFonts w:hint="eastAsia"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47EA6F44">
      <w:pPr>
        <w:snapToGrid w:val="0"/>
        <w:spacing w:before="120" w:beforeLines="50" w:after="50" w:line="360" w:lineRule="auto"/>
        <w:ind w:left="142"/>
        <w:jc w:val="left"/>
        <w:rPr>
          <w:rFonts w:hint="eastAsia" w:ascii="宋体" w:hAnsi="宋体"/>
          <w:b/>
          <w:bCs/>
          <w:color w:val="auto"/>
          <w:sz w:val="24"/>
          <w:highlight w:val="none"/>
        </w:rPr>
      </w:pPr>
      <w:r>
        <w:rPr>
          <w:rFonts w:hint="eastAsia" w:ascii="宋体" w:hAnsi="宋体"/>
          <w:color w:val="auto"/>
          <w:szCs w:val="21"/>
          <w:highlight w:val="none"/>
        </w:rPr>
        <w:br w:type="page"/>
      </w:r>
      <w:r>
        <w:rPr>
          <w:rFonts w:hint="eastAsia" w:ascii="宋体" w:hAnsi="宋体"/>
          <w:b/>
          <w:bCs/>
          <w:color w:val="auto"/>
          <w:sz w:val="32"/>
          <w:szCs w:val="32"/>
          <w:highlight w:val="none"/>
        </w:rPr>
        <w:t>2.报价文件目录</w:t>
      </w:r>
    </w:p>
    <w:p w14:paraId="07BB5561">
      <w:pPr>
        <w:spacing w:line="520" w:lineRule="exact"/>
        <w:jc w:val="center"/>
        <w:rPr>
          <w:rFonts w:hint="eastAsia" w:ascii="宋体" w:hAnsi="宋体" w:cs="方正小标宋简体"/>
          <w:b/>
          <w:bCs/>
          <w:color w:val="auto"/>
          <w:sz w:val="32"/>
          <w:szCs w:val="32"/>
          <w:highlight w:val="none"/>
        </w:rPr>
      </w:pPr>
      <w:r>
        <w:rPr>
          <w:rFonts w:hint="eastAsia" w:ascii="宋体" w:hAnsi="宋体"/>
          <w:color w:val="auto"/>
          <w:sz w:val="32"/>
          <w:szCs w:val="32"/>
          <w:highlight w:val="none"/>
        </w:rPr>
        <w:t>根据磋商文件规定及供应商提供的材料自行编写目录（部分格式后附）。</w:t>
      </w:r>
      <w:r>
        <w:rPr>
          <w:rFonts w:ascii="宋体" w:hAnsi="宋体"/>
          <w:b/>
          <w:bCs/>
          <w:color w:val="auto"/>
          <w:sz w:val="32"/>
          <w:szCs w:val="32"/>
          <w:highlight w:val="none"/>
        </w:rPr>
        <w:br w:type="page"/>
      </w:r>
      <w:r>
        <w:rPr>
          <w:rFonts w:hint="eastAsia" w:ascii="宋体" w:hAnsi="宋体" w:cs="方正小标宋简体"/>
          <w:b/>
          <w:bCs/>
          <w:color w:val="auto"/>
          <w:sz w:val="32"/>
          <w:szCs w:val="32"/>
          <w:highlight w:val="none"/>
        </w:rPr>
        <w:t>竞标函及竞标函附录</w:t>
      </w:r>
    </w:p>
    <w:p w14:paraId="38C71D44">
      <w:pPr>
        <w:spacing w:line="520" w:lineRule="exact"/>
        <w:jc w:val="center"/>
        <w:rPr>
          <w:rFonts w:hint="eastAsia" w:ascii="宋体" w:hAnsi="宋体" w:cs="方正小标宋简体"/>
          <w:b/>
          <w:bCs/>
          <w:color w:val="auto"/>
          <w:sz w:val="32"/>
          <w:szCs w:val="32"/>
          <w:highlight w:val="none"/>
        </w:rPr>
      </w:pPr>
    </w:p>
    <w:p w14:paraId="49BA87EE">
      <w:pPr>
        <w:spacing w:line="520" w:lineRule="exact"/>
        <w:jc w:val="center"/>
        <w:rPr>
          <w:rFonts w:hint="eastAsia" w:ascii="宋体" w:hAnsi="宋体" w:cs="方正小标宋简体"/>
          <w:b/>
          <w:bCs/>
          <w:color w:val="auto"/>
          <w:sz w:val="32"/>
          <w:szCs w:val="32"/>
          <w:highlight w:val="none"/>
        </w:rPr>
      </w:pPr>
      <w:r>
        <w:rPr>
          <w:rFonts w:hint="eastAsia" w:ascii="宋体" w:hAnsi="宋体" w:cs="方正小标宋简体"/>
          <w:b/>
          <w:bCs/>
          <w:color w:val="auto"/>
          <w:sz w:val="32"/>
          <w:szCs w:val="32"/>
          <w:highlight w:val="none"/>
        </w:rPr>
        <w:t>（一）竞标函</w:t>
      </w:r>
    </w:p>
    <w:p w14:paraId="13FD8137">
      <w:pPr>
        <w:spacing w:line="520" w:lineRule="exact"/>
        <w:jc w:val="center"/>
        <w:rPr>
          <w:rFonts w:hint="eastAsia" w:ascii="宋体" w:hAnsi="宋体" w:cs="方正小标宋简体"/>
          <w:b/>
          <w:bCs/>
          <w:color w:val="auto"/>
          <w:sz w:val="32"/>
          <w:szCs w:val="32"/>
          <w:highlight w:val="none"/>
        </w:rPr>
      </w:pPr>
    </w:p>
    <w:p w14:paraId="7F52E6F4">
      <w:pPr>
        <w:spacing w:line="360" w:lineRule="auto"/>
        <w:rPr>
          <w:color w:val="auto"/>
          <w:szCs w:val="21"/>
          <w:highlight w:val="none"/>
        </w:rPr>
      </w:pP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w:t>
      </w:r>
      <w:r>
        <w:rPr>
          <w:rFonts w:hint="eastAsia"/>
          <w:color w:val="auto"/>
          <w:szCs w:val="21"/>
          <w:highlight w:val="none"/>
          <w:lang w:val="zh-CN" w:bidi="zh-CN"/>
        </w:rPr>
        <w:t>采购人</w:t>
      </w:r>
      <w:r>
        <w:rPr>
          <w:color w:val="auto"/>
          <w:szCs w:val="21"/>
          <w:highlight w:val="none"/>
          <w:lang w:val="zh-CN" w:bidi="zh-CN"/>
        </w:rPr>
        <w:t>名称</w:t>
      </w:r>
      <w:r>
        <w:rPr>
          <w:color w:val="auto"/>
          <w:szCs w:val="21"/>
          <w:highlight w:val="none"/>
        </w:rPr>
        <w:t>）：</w:t>
      </w:r>
    </w:p>
    <w:p w14:paraId="2A7325E3">
      <w:pPr>
        <w:pStyle w:val="218"/>
        <w:numPr>
          <w:ilvl w:val="0"/>
          <w:numId w:val="1"/>
        </w:numPr>
        <w:tabs>
          <w:tab w:val="left" w:pos="762"/>
          <w:tab w:val="left" w:pos="2074"/>
          <w:tab w:val="left" w:pos="3430"/>
          <w:tab w:val="left" w:pos="4687"/>
          <w:tab w:val="left" w:pos="7898"/>
        </w:tabs>
        <w:ind w:firstLine="440"/>
        <w:rPr>
          <w:rFonts w:hint="eastAsia" w:cs="Times New Roman" w:asciiTheme="minorEastAsia" w:hAnsiTheme="minorEastAsia" w:eastAsiaTheme="minorEastAsia"/>
          <w:color w:val="auto"/>
          <w:szCs w:val="21"/>
          <w:highlight w:val="none"/>
        </w:rPr>
      </w:pPr>
      <w:bookmarkStart w:id="92" w:name="bookmark2065"/>
      <w:bookmarkEnd w:id="92"/>
      <w:r>
        <w:rPr>
          <w:rFonts w:cs="Times New Roman" w:asciiTheme="minorEastAsia" w:hAnsiTheme="minorEastAsia" w:eastAsiaTheme="minorEastAsia"/>
          <w:color w:val="auto"/>
          <w:szCs w:val="21"/>
          <w:highlight w:val="none"/>
        </w:rPr>
        <w:t>我方已仔细研究了</w:t>
      </w:r>
      <w:r>
        <w:rPr>
          <w:rFonts w:hint="eastAsia" w:cs="Times New Roman" w:asciiTheme="minorEastAsia" w:hAnsiTheme="minorEastAsia" w:eastAsiaTheme="minorEastAsia"/>
          <w:color w:val="auto"/>
          <w:szCs w:val="21"/>
          <w:highlight w:val="none"/>
          <w:u w:val="single"/>
          <w:lang w:val="en-US"/>
        </w:rPr>
        <w:t xml:space="preserve">           </w:t>
      </w:r>
      <w:r>
        <w:rPr>
          <w:rFonts w:cs="Times New Roman" w:asciiTheme="minorEastAsia" w:hAnsiTheme="minorEastAsia" w:eastAsiaTheme="minorEastAsia"/>
          <w:color w:val="auto"/>
          <w:szCs w:val="21"/>
          <w:highlight w:val="none"/>
          <w:u w:val="single"/>
        </w:rPr>
        <w:t>（项目名称</w:t>
      </w:r>
      <w:r>
        <w:rPr>
          <w:rFonts w:hint="eastAsia" w:cs="Times New Roman" w:asciiTheme="minorEastAsia" w:hAnsiTheme="minorEastAsia" w:eastAsiaTheme="minorEastAsia"/>
          <w:color w:val="auto"/>
          <w:szCs w:val="21"/>
          <w:highlight w:val="none"/>
          <w:u w:val="single"/>
        </w:rPr>
        <w:t>、项目编号</w:t>
      </w:r>
      <w:r>
        <w:rPr>
          <w:rFonts w:cs="Times New Roman" w:asciiTheme="minorEastAsia" w:hAnsiTheme="minorEastAsia" w:eastAsiaTheme="minorEastAsia"/>
          <w:color w:val="auto"/>
          <w:szCs w:val="21"/>
          <w:highlight w:val="none"/>
          <w:u w:val="single"/>
        </w:rPr>
        <w:t>）</w:t>
      </w:r>
      <w:r>
        <w:rPr>
          <w:rFonts w:hint="eastAsia" w:cs="Times New Roman" w:asciiTheme="minorEastAsia" w:hAnsiTheme="minorEastAsia" w:eastAsiaTheme="minorEastAsia"/>
          <w:color w:val="auto"/>
          <w:szCs w:val="21"/>
          <w:highlight w:val="none"/>
          <w:u w:val="single"/>
          <w:lang w:val="en-US"/>
        </w:rPr>
        <w:t xml:space="preserve">          </w:t>
      </w:r>
      <w:r>
        <w:rPr>
          <w:rFonts w:hint="eastAsia" w:cs="Times New Roman" w:asciiTheme="minorEastAsia" w:hAnsiTheme="minorEastAsia" w:eastAsiaTheme="minorEastAsia"/>
          <w:color w:val="auto"/>
          <w:szCs w:val="21"/>
          <w:highlight w:val="none"/>
        </w:rPr>
        <w:t>磋商</w:t>
      </w:r>
      <w:r>
        <w:rPr>
          <w:rFonts w:cs="Times New Roman" w:asciiTheme="minorEastAsia" w:hAnsiTheme="minorEastAsia" w:eastAsiaTheme="minorEastAsia"/>
          <w:color w:val="auto"/>
          <w:szCs w:val="21"/>
          <w:highlight w:val="none"/>
        </w:rPr>
        <w:t>文件的全部内容，愿意以人民币（大写）</w:t>
      </w:r>
      <w:r>
        <w:rPr>
          <w:rFonts w:hint="eastAsia" w:cs="Times New Roman" w:asciiTheme="minorEastAsia" w:hAnsiTheme="minorEastAsia" w:eastAsiaTheme="minorEastAsia"/>
          <w:color w:val="auto"/>
          <w:szCs w:val="21"/>
          <w:highlight w:val="none"/>
          <w:u w:val="single"/>
          <w:lang w:val="en-US"/>
        </w:rPr>
        <w:t xml:space="preserve">            </w:t>
      </w:r>
      <w:r>
        <w:rPr>
          <w:rFonts w:cs="Times New Roman" w:asciiTheme="minorEastAsia" w:hAnsiTheme="minorEastAsia" w:eastAsiaTheme="minorEastAsia"/>
          <w:color w:val="auto"/>
          <w:szCs w:val="21"/>
          <w:highlight w:val="none"/>
        </w:rPr>
        <w:t>元（¥</w:t>
      </w:r>
      <w:r>
        <w:rPr>
          <w:rFonts w:hint="eastAsia" w:cs="Times New Roman" w:asciiTheme="minorEastAsia" w:hAnsiTheme="minorEastAsia" w:eastAsiaTheme="minorEastAsia"/>
          <w:color w:val="auto"/>
          <w:szCs w:val="21"/>
          <w:highlight w:val="none"/>
          <w:u w:val="single"/>
          <w:lang w:val="en-US"/>
        </w:rPr>
        <w:t xml:space="preserve">        </w:t>
      </w:r>
      <w:r>
        <w:rPr>
          <w:rFonts w:cs="Times New Roman" w:asciiTheme="minorEastAsia" w:hAnsiTheme="minorEastAsia" w:eastAsiaTheme="minorEastAsia"/>
          <w:color w:val="auto"/>
          <w:szCs w:val="21"/>
          <w:highlight w:val="none"/>
        </w:rPr>
        <w:t>）的</w:t>
      </w:r>
      <w:r>
        <w:rPr>
          <w:rFonts w:hint="eastAsia" w:cs="Times New Roman" w:asciiTheme="minorEastAsia" w:hAnsiTheme="minorEastAsia" w:eastAsiaTheme="minorEastAsia"/>
          <w:color w:val="auto"/>
          <w:szCs w:val="21"/>
          <w:highlight w:val="none"/>
        </w:rPr>
        <w:t>竞</w:t>
      </w:r>
      <w:r>
        <w:rPr>
          <w:rFonts w:cs="Times New Roman" w:asciiTheme="minorEastAsia" w:hAnsiTheme="minorEastAsia" w:eastAsiaTheme="minorEastAsia"/>
          <w:color w:val="auto"/>
          <w:szCs w:val="21"/>
          <w:highlight w:val="none"/>
        </w:rPr>
        <w:t>标报价，工期</w:t>
      </w:r>
      <w:r>
        <w:rPr>
          <w:rFonts w:hint="eastAsia" w:cs="Times New Roman" w:asciiTheme="minorEastAsia" w:hAnsiTheme="minorEastAsia" w:eastAsiaTheme="minorEastAsia"/>
          <w:color w:val="auto"/>
          <w:szCs w:val="21"/>
          <w:highlight w:val="none"/>
          <w:u w:val="single"/>
          <w:lang w:val="en-US"/>
        </w:rPr>
        <w:t xml:space="preserve">                </w:t>
      </w:r>
      <w:r>
        <w:rPr>
          <w:rFonts w:cs="Times New Roman" w:asciiTheme="minorEastAsia" w:hAnsiTheme="minorEastAsia" w:eastAsiaTheme="minorEastAsia"/>
          <w:color w:val="auto"/>
          <w:szCs w:val="21"/>
          <w:highlight w:val="none"/>
        </w:rPr>
        <w:t>，按合同约定实施和完成承包工程，修补工程中的任何缺陷，工程质量达到</w:t>
      </w:r>
      <w:r>
        <w:rPr>
          <w:rFonts w:hint="eastAsia" w:cs="Times New Roman" w:asciiTheme="minorEastAsia" w:hAnsiTheme="minorEastAsia" w:eastAsiaTheme="minorEastAsia"/>
          <w:color w:val="auto"/>
          <w:szCs w:val="21"/>
          <w:highlight w:val="none"/>
          <w:u w:val="single"/>
          <w:lang w:val="en-US"/>
        </w:rPr>
        <w:t xml:space="preserve">           </w:t>
      </w:r>
      <w:r>
        <w:rPr>
          <w:rFonts w:cs="Times New Roman" w:asciiTheme="minorEastAsia" w:hAnsiTheme="minorEastAsia" w:eastAsiaTheme="minorEastAsia"/>
          <w:color w:val="auto"/>
          <w:szCs w:val="21"/>
          <w:highlight w:val="none"/>
          <w:u w:val="single"/>
        </w:rPr>
        <w:t xml:space="preserve"> </w:t>
      </w:r>
      <w:r>
        <w:rPr>
          <w:rFonts w:cs="Times New Roman" w:asciiTheme="minorEastAsia" w:hAnsiTheme="minorEastAsia" w:eastAsiaTheme="minorEastAsia"/>
          <w:color w:val="auto"/>
          <w:szCs w:val="21"/>
          <w:highlight w:val="none"/>
          <w:lang w:val="en-US" w:bidi="en-US"/>
        </w:rPr>
        <w:t>。</w:t>
      </w:r>
    </w:p>
    <w:p w14:paraId="1E814A10">
      <w:pPr>
        <w:pStyle w:val="218"/>
        <w:numPr>
          <w:ilvl w:val="0"/>
          <w:numId w:val="1"/>
        </w:numPr>
        <w:tabs>
          <w:tab w:val="left" w:pos="762"/>
        </w:tabs>
        <w:ind w:firstLine="420"/>
        <w:rPr>
          <w:rFonts w:hint="eastAsia" w:cs="Times New Roman" w:asciiTheme="minorEastAsia" w:hAnsiTheme="minorEastAsia" w:eastAsiaTheme="minorEastAsia"/>
          <w:color w:val="auto"/>
          <w:szCs w:val="21"/>
          <w:highlight w:val="none"/>
        </w:rPr>
      </w:pPr>
      <w:bookmarkStart w:id="93" w:name="bookmark2067"/>
      <w:bookmarkEnd w:id="93"/>
      <w:bookmarkStart w:id="94" w:name="bookmark2068"/>
      <w:bookmarkEnd w:id="94"/>
      <w:bookmarkStart w:id="95" w:name="bookmark2066"/>
      <w:bookmarkEnd w:id="95"/>
      <w:r>
        <w:rPr>
          <w:rFonts w:hint="eastAsia" w:asciiTheme="minorEastAsia" w:hAnsiTheme="minorEastAsia" w:eastAsiaTheme="minorEastAsia"/>
          <w:color w:val="auto"/>
          <w:highlight w:val="none"/>
        </w:rPr>
        <w:t>我方承认竞标函附录是我方竞标函的组成部分。</w:t>
      </w:r>
    </w:p>
    <w:p w14:paraId="6102FE0F">
      <w:pPr>
        <w:pStyle w:val="218"/>
        <w:numPr>
          <w:ilvl w:val="0"/>
          <w:numId w:val="1"/>
        </w:numPr>
        <w:tabs>
          <w:tab w:val="left" w:pos="762"/>
        </w:tabs>
        <w:ind w:firstLine="420"/>
        <w:rPr>
          <w:rFonts w:hint="eastAsia" w:cs="Times New Roman" w:asciiTheme="minorEastAsia" w:hAnsiTheme="minorEastAsia" w:eastAsiaTheme="minorEastAsia"/>
          <w:color w:val="auto"/>
          <w:szCs w:val="21"/>
          <w:highlight w:val="none"/>
        </w:rPr>
      </w:pPr>
      <w:r>
        <w:rPr>
          <w:rFonts w:cs="Times New Roman" w:asciiTheme="minorEastAsia" w:hAnsiTheme="minorEastAsia" w:eastAsiaTheme="minorEastAsia"/>
          <w:color w:val="auto"/>
          <w:szCs w:val="21"/>
          <w:highlight w:val="none"/>
        </w:rPr>
        <w:t>如我方</w:t>
      </w:r>
      <w:r>
        <w:rPr>
          <w:rFonts w:hint="eastAsia" w:cs="Times New Roman" w:asciiTheme="minorEastAsia" w:hAnsiTheme="minorEastAsia" w:eastAsiaTheme="minorEastAsia"/>
          <w:color w:val="auto"/>
          <w:szCs w:val="21"/>
          <w:highlight w:val="none"/>
        </w:rPr>
        <w:t>成交</w:t>
      </w:r>
      <w:r>
        <w:rPr>
          <w:rFonts w:cs="Times New Roman" w:asciiTheme="minorEastAsia" w:hAnsiTheme="minorEastAsia" w:eastAsiaTheme="minorEastAsia"/>
          <w:color w:val="auto"/>
          <w:szCs w:val="21"/>
          <w:highlight w:val="none"/>
        </w:rPr>
        <w:t>：</w:t>
      </w:r>
    </w:p>
    <w:p w14:paraId="4AD972C5">
      <w:pPr>
        <w:pStyle w:val="218"/>
        <w:tabs>
          <w:tab w:val="left" w:pos="903"/>
        </w:tabs>
        <w:ind w:firstLine="420"/>
        <w:rPr>
          <w:rFonts w:hint="eastAsia" w:cs="Times New Roman" w:asciiTheme="minorEastAsia" w:hAnsiTheme="minorEastAsia" w:eastAsiaTheme="minorEastAsia"/>
          <w:color w:val="auto"/>
          <w:szCs w:val="21"/>
          <w:highlight w:val="none"/>
        </w:rPr>
      </w:pPr>
      <w:bookmarkStart w:id="96" w:name="bookmark2069"/>
      <w:r>
        <w:rPr>
          <w:rFonts w:cs="Times New Roman" w:asciiTheme="minorEastAsia" w:hAnsiTheme="minorEastAsia" w:eastAsiaTheme="minorEastAsia"/>
          <w:color w:val="auto"/>
          <w:szCs w:val="21"/>
          <w:highlight w:val="none"/>
        </w:rPr>
        <w:t>（</w:t>
      </w:r>
      <w:bookmarkEnd w:id="96"/>
      <w:r>
        <w:rPr>
          <w:rFonts w:cs="Times New Roman" w:asciiTheme="minorEastAsia" w:hAnsiTheme="minorEastAsia" w:eastAsiaTheme="minorEastAsia"/>
          <w:color w:val="auto"/>
          <w:szCs w:val="21"/>
          <w:highlight w:val="none"/>
        </w:rPr>
        <w:t>1）我方承诺在收到</w:t>
      </w:r>
      <w:r>
        <w:rPr>
          <w:rFonts w:hint="eastAsia" w:cs="Times New Roman" w:asciiTheme="minorEastAsia" w:hAnsiTheme="minorEastAsia" w:eastAsiaTheme="minorEastAsia"/>
          <w:color w:val="auto"/>
          <w:szCs w:val="21"/>
          <w:highlight w:val="none"/>
        </w:rPr>
        <w:t>成交</w:t>
      </w:r>
      <w:r>
        <w:rPr>
          <w:rFonts w:cs="Times New Roman" w:asciiTheme="minorEastAsia" w:hAnsiTheme="minorEastAsia" w:eastAsiaTheme="minorEastAsia"/>
          <w:color w:val="auto"/>
          <w:szCs w:val="21"/>
          <w:highlight w:val="none"/>
        </w:rPr>
        <w:t>通知书后，在</w:t>
      </w:r>
      <w:r>
        <w:rPr>
          <w:rFonts w:hint="eastAsia" w:cs="Times New Roman" w:asciiTheme="minorEastAsia" w:hAnsiTheme="minorEastAsia" w:eastAsiaTheme="minorEastAsia"/>
          <w:color w:val="auto"/>
          <w:szCs w:val="21"/>
          <w:highlight w:val="none"/>
        </w:rPr>
        <w:t>成交</w:t>
      </w:r>
      <w:r>
        <w:rPr>
          <w:rFonts w:cs="Times New Roman" w:asciiTheme="minorEastAsia" w:hAnsiTheme="minorEastAsia" w:eastAsiaTheme="minorEastAsia"/>
          <w:color w:val="auto"/>
          <w:szCs w:val="21"/>
          <w:highlight w:val="none"/>
        </w:rPr>
        <w:t>通知书规定的期限内与你方签订合同。</w:t>
      </w:r>
    </w:p>
    <w:p w14:paraId="1314C9EF">
      <w:pPr>
        <w:pStyle w:val="218"/>
        <w:tabs>
          <w:tab w:val="left" w:pos="903"/>
        </w:tabs>
        <w:ind w:firstLine="420"/>
        <w:rPr>
          <w:rFonts w:hint="eastAsia" w:cs="Times New Roman" w:asciiTheme="minorEastAsia" w:hAnsiTheme="minorEastAsia" w:eastAsiaTheme="minorEastAsia"/>
          <w:color w:val="auto"/>
          <w:szCs w:val="21"/>
          <w:highlight w:val="none"/>
        </w:rPr>
      </w:pPr>
      <w:bookmarkStart w:id="97" w:name="bookmark2070"/>
      <w:r>
        <w:rPr>
          <w:rFonts w:cs="Times New Roman" w:asciiTheme="minorEastAsia" w:hAnsiTheme="minorEastAsia" w:eastAsiaTheme="minorEastAsia"/>
          <w:color w:val="auto"/>
          <w:szCs w:val="21"/>
          <w:highlight w:val="none"/>
        </w:rPr>
        <w:t>（</w:t>
      </w:r>
      <w:bookmarkEnd w:id="97"/>
      <w:r>
        <w:rPr>
          <w:rFonts w:cs="Times New Roman" w:asciiTheme="minorEastAsia" w:hAnsiTheme="minorEastAsia" w:eastAsiaTheme="minorEastAsia"/>
          <w:color w:val="auto"/>
          <w:szCs w:val="21"/>
          <w:highlight w:val="none"/>
        </w:rPr>
        <w:t>2）</w:t>
      </w:r>
      <w:r>
        <w:rPr>
          <w:rFonts w:asciiTheme="minorEastAsia" w:hAnsiTheme="minorEastAsia" w:eastAsiaTheme="minorEastAsia"/>
          <w:color w:val="auto"/>
          <w:highlight w:val="none"/>
        </w:rPr>
        <w:t>在签订合同时不向你方提出附加条件</w:t>
      </w:r>
      <w:r>
        <w:rPr>
          <w:rFonts w:cs="Times New Roman" w:asciiTheme="minorEastAsia" w:hAnsiTheme="minorEastAsia" w:eastAsiaTheme="minorEastAsia"/>
          <w:color w:val="auto"/>
          <w:szCs w:val="21"/>
          <w:highlight w:val="none"/>
        </w:rPr>
        <w:t>。</w:t>
      </w:r>
    </w:p>
    <w:p w14:paraId="1F938B8D">
      <w:pPr>
        <w:pStyle w:val="218"/>
        <w:tabs>
          <w:tab w:val="left" w:pos="903"/>
        </w:tabs>
        <w:ind w:firstLine="420"/>
        <w:rPr>
          <w:rFonts w:hint="eastAsia" w:cs="Times New Roman" w:asciiTheme="minorEastAsia" w:hAnsiTheme="minorEastAsia" w:eastAsiaTheme="minorEastAsia"/>
          <w:color w:val="auto"/>
          <w:szCs w:val="21"/>
          <w:highlight w:val="none"/>
        </w:rPr>
      </w:pPr>
      <w:bookmarkStart w:id="98" w:name="bookmark2071"/>
      <w:r>
        <w:rPr>
          <w:rFonts w:cs="Times New Roman" w:asciiTheme="minorEastAsia" w:hAnsiTheme="minorEastAsia" w:eastAsiaTheme="minorEastAsia"/>
          <w:color w:val="auto"/>
          <w:szCs w:val="21"/>
          <w:highlight w:val="none"/>
        </w:rPr>
        <w:t>（</w:t>
      </w:r>
      <w:bookmarkEnd w:id="98"/>
      <w:r>
        <w:rPr>
          <w:rFonts w:cs="Times New Roman" w:asciiTheme="minorEastAsia" w:hAnsiTheme="minorEastAsia" w:eastAsiaTheme="minorEastAsia"/>
          <w:color w:val="auto"/>
          <w:szCs w:val="21"/>
          <w:highlight w:val="none"/>
        </w:rPr>
        <w:t>3）我方承诺按照</w:t>
      </w:r>
      <w:r>
        <w:rPr>
          <w:rFonts w:hint="eastAsia" w:cs="Times New Roman" w:asciiTheme="minorEastAsia" w:hAnsiTheme="minorEastAsia" w:eastAsiaTheme="minorEastAsia"/>
          <w:color w:val="auto"/>
          <w:szCs w:val="21"/>
          <w:highlight w:val="none"/>
        </w:rPr>
        <w:t>磋商</w:t>
      </w:r>
      <w:r>
        <w:rPr>
          <w:rFonts w:cs="Times New Roman" w:asciiTheme="minorEastAsia" w:hAnsiTheme="minorEastAsia" w:eastAsiaTheme="minorEastAsia"/>
          <w:color w:val="auto"/>
          <w:szCs w:val="21"/>
          <w:highlight w:val="none"/>
        </w:rPr>
        <w:t>文件规定向你方递交履约担保。</w:t>
      </w:r>
    </w:p>
    <w:p w14:paraId="7A5D5CC3">
      <w:pPr>
        <w:pStyle w:val="218"/>
        <w:tabs>
          <w:tab w:val="left" w:pos="903"/>
        </w:tabs>
        <w:ind w:firstLine="420"/>
        <w:rPr>
          <w:rFonts w:hint="eastAsia" w:cs="Times New Roman" w:asciiTheme="minorEastAsia" w:hAnsiTheme="minorEastAsia" w:eastAsiaTheme="minorEastAsia"/>
          <w:color w:val="auto"/>
          <w:szCs w:val="21"/>
          <w:highlight w:val="none"/>
        </w:rPr>
      </w:pPr>
      <w:bookmarkStart w:id="99" w:name="bookmark2072"/>
      <w:r>
        <w:rPr>
          <w:rFonts w:cs="Times New Roman" w:asciiTheme="minorEastAsia" w:hAnsiTheme="minorEastAsia" w:eastAsiaTheme="minorEastAsia"/>
          <w:color w:val="auto"/>
          <w:szCs w:val="21"/>
          <w:highlight w:val="none"/>
        </w:rPr>
        <w:t>（</w:t>
      </w:r>
      <w:bookmarkEnd w:id="99"/>
      <w:r>
        <w:rPr>
          <w:rFonts w:cs="Times New Roman" w:asciiTheme="minorEastAsia" w:hAnsiTheme="minorEastAsia" w:eastAsiaTheme="minorEastAsia"/>
          <w:color w:val="auto"/>
          <w:szCs w:val="21"/>
          <w:highlight w:val="none"/>
        </w:rPr>
        <w:t>4）我方承诺在合同约定的期限内完成并移交全部合同工程。</w:t>
      </w:r>
    </w:p>
    <w:p w14:paraId="6ABC9C0C">
      <w:pPr>
        <w:pStyle w:val="218"/>
        <w:numPr>
          <w:ilvl w:val="0"/>
          <w:numId w:val="1"/>
        </w:numPr>
        <w:tabs>
          <w:tab w:val="left" w:pos="762"/>
        </w:tabs>
        <w:ind w:firstLine="440"/>
        <w:rPr>
          <w:rFonts w:hint="eastAsia" w:cs="Times New Roman" w:asciiTheme="minorEastAsia" w:hAnsiTheme="minorEastAsia" w:eastAsiaTheme="minorEastAsia"/>
          <w:color w:val="auto"/>
          <w:szCs w:val="21"/>
          <w:highlight w:val="none"/>
        </w:rPr>
      </w:pPr>
      <w:bookmarkStart w:id="100" w:name="bookmark2073"/>
      <w:bookmarkEnd w:id="100"/>
      <w:r>
        <w:rPr>
          <w:rFonts w:asciiTheme="minorEastAsia" w:hAnsiTheme="minorEastAsia" w:eastAsiaTheme="minorEastAsia"/>
          <w:color w:val="auto"/>
          <w:highlight w:val="none"/>
        </w:rPr>
        <w:t>在合同协议书正式签署生效之前，本</w:t>
      </w:r>
      <w:r>
        <w:rPr>
          <w:rFonts w:hint="eastAsia" w:cs="Times New Roman" w:asciiTheme="minorEastAsia" w:hAnsiTheme="minorEastAsia" w:eastAsiaTheme="minorEastAsia"/>
          <w:color w:val="auto"/>
          <w:szCs w:val="21"/>
          <w:highlight w:val="none"/>
        </w:rPr>
        <w:t>竞</w:t>
      </w:r>
      <w:r>
        <w:rPr>
          <w:rFonts w:cs="Times New Roman" w:asciiTheme="minorEastAsia" w:hAnsiTheme="minorEastAsia" w:eastAsiaTheme="minorEastAsia"/>
          <w:color w:val="auto"/>
          <w:szCs w:val="21"/>
          <w:highlight w:val="none"/>
        </w:rPr>
        <w:t>标</w:t>
      </w:r>
      <w:r>
        <w:rPr>
          <w:rFonts w:asciiTheme="minorEastAsia" w:hAnsiTheme="minorEastAsia" w:eastAsiaTheme="minorEastAsia"/>
          <w:color w:val="auto"/>
          <w:highlight w:val="none"/>
        </w:rPr>
        <w:t>函连同你方的</w:t>
      </w:r>
      <w:r>
        <w:rPr>
          <w:rFonts w:hint="eastAsia" w:asciiTheme="minorEastAsia" w:hAnsiTheme="minorEastAsia" w:eastAsiaTheme="minorEastAsia"/>
          <w:color w:val="auto"/>
          <w:highlight w:val="none"/>
        </w:rPr>
        <w:t>成交</w:t>
      </w:r>
      <w:r>
        <w:rPr>
          <w:rFonts w:asciiTheme="minorEastAsia" w:hAnsiTheme="minorEastAsia" w:eastAsiaTheme="minorEastAsia"/>
          <w:color w:val="auto"/>
          <w:highlight w:val="none"/>
        </w:rPr>
        <w:t>通知书将构成我们双方之间共同遵守的文件，对双方具有约束力</w:t>
      </w:r>
      <w:r>
        <w:rPr>
          <w:rFonts w:cs="Times New Roman" w:asciiTheme="minorEastAsia" w:hAnsiTheme="minorEastAsia" w:eastAsiaTheme="minorEastAsia"/>
          <w:color w:val="auto"/>
          <w:szCs w:val="21"/>
          <w:highlight w:val="none"/>
        </w:rPr>
        <w:t>。</w:t>
      </w:r>
    </w:p>
    <w:p w14:paraId="60BB7843">
      <w:pPr>
        <w:spacing w:line="360" w:lineRule="auto"/>
        <w:ind w:firstLine="420" w:firstLineChars="200"/>
        <w:rPr>
          <w:color w:val="auto"/>
          <w:szCs w:val="21"/>
          <w:highlight w:val="none"/>
        </w:rPr>
      </w:pPr>
      <w:bookmarkStart w:id="101" w:name="bookmark2074"/>
      <w:bookmarkEnd w:id="101"/>
      <w:r>
        <w:rPr>
          <w:rFonts w:hint="eastAsia" w:asciiTheme="minorEastAsia" w:hAnsiTheme="minorEastAsia" w:eastAsiaTheme="minorEastAsia"/>
          <w:color w:val="auto"/>
          <w:szCs w:val="21"/>
          <w:highlight w:val="none"/>
        </w:rPr>
        <w:t>5.</w:t>
      </w:r>
      <w:r>
        <w:rPr>
          <w:rFonts w:hint="eastAsia" w:asciiTheme="minorEastAsia" w:hAnsiTheme="minorEastAsia" w:eastAsiaTheme="minorEastAsia"/>
          <w:color w:val="auto"/>
          <w:szCs w:val="21"/>
          <w:highlight w:val="none"/>
          <w:u w:val="single"/>
        </w:rPr>
        <w:t xml:space="preserve">                        </w:t>
      </w:r>
      <w:r>
        <w:rPr>
          <w:rFonts w:hint="eastAsia"/>
          <w:color w:val="auto"/>
          <w:szCs w:val="21"/>
          <w:highlight w:val="none"/>
          <w:u w:val="single"/>
        </w:rPr>
        <w:t xml:space="preserve">                           </w:t>
      </w:r>
      <w:r>
        <w:rPr>
          <w:color w:val="auto"/>
          <w:szCs w:val="21"/>
          <w:highlight w:val="none"/>
        </w:rPr>
        <w:t>（其他补充说明）。</w:t>
      </w:r>
    </w:p>
    <w:p w14:paraId="13017E81">
      <w:pPr>
        <w:spacing w:line="360" w:lineRule="auto"/>
        <w:jc w:val="center"/>
        <w:rPr>
          <w:rFonts w:hint="eastAsia" w:ascii="宋体" w:hAnsi="宋体" w:cs="方正小标宋简体"/>
          <w:b/>
          <w:bCs/>
          <w:color w:val="auto"/>
          <w:sz w:val="32"/>
          <w:szCs w:val="32"/>
          <w:highlight w:val="none"/>
        </w:rPr>
      </w:pPr>
    </w:p>
    <w:p w14:paraId="3B5EDE60">
      <w:pPr>
        <w:spacing w:line="360" w:lineRule="auto"/>
        <w:ind w:right="-817" w:rightChars="-389" w:firstLine="2640" w:firstLineChars="110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法定代表人或者委托代理人（签字或者电子签名）：                    </w:t>
      </w:r>
    </w:p>
    <w:p w14:paraId="4185D59A">
      <w:pPr>
        <w:spacing w:line="360" w:lineRule="auto"/>
        <w:ind w:right="-817" w:rightChars="-389" w:firstLine="2640" w:firstLineChars="110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供应商（电子签章）：      </w:t>
      </w:r>
    </w:p>
    <w:p w14:paraId="46604EC9">
      <w:pPr>
        <w:spacing w:line="360" w:lineRule="auto"/>
        <w:jc w:val="center"/>
        <w:rPr>
          <w:rFonts w:hint="eastAsia" w:ascii="宋体" w:hAnsi="宋体" w:cs="方正小标宋简体"/>
          <w:b/>
          <w:bCs/>
          <w:color w:val="auto"/>
          <w:sz w:val="32"/>
          <w:szCs w:val="32"/>
          <w:highlight w:val="none"/>
        </w:rPr>
      </w:pPr>
      <w:r>
        <w:rPr>
          <w:rFonts w:hint="eastAsia" w:ascii="宋体" w:hAnsi="宋体" w:cs="仿宋_GB2312"/>
          <w:color w:val="auto"/>
          <w:sz w:val="24"/>
          <w:highlight w:val="none"/>
        </w:rPr>
        <w:t>日期：   年   月   日</w:t>
      </w:r>
      <w:r>
        <w:rPr>
          <w:rFonts w:ascii="宋体" w:hAnsi="宋体" w:cs="方正小标宋简体"/>
          <w:b/>
          <w:bCs/>
          <w:color w:val="auto"/>
          <w:sz w:val="32"/>
          <w:szCs w:val="32"/>
          <w:highlight w:val="none"/>
        </w:rPr>
        <w:br w:type="page"/>
      </w:r>
      <w:r>
        <w:rPr>
          <w:rFonts w:hint="eastAsia" w:ascii="宋体" w:hAnsi="宋体" w:cs="方正小标宋简体"/>
          <w:b/>
          <w:bCs/>
          <w:color w:val="auto"/>
          <w:sz w:val="32"/>
          <w:szCs w:val="32"/>
          <w:highlight w:val="none"/>
        </w:rPr>
        <w:t>（二）竞标函附录</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1985"/>
        <w:gridCol w:w="2126"/>
        <w:gridCol w:w="1984"/>
        <w:gridCol w:w="1843"/>
      </w:tblGrid>
      <w:tr w14:paraId="68F75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77BB46B0">
            <w:pPr>
              <w:jc w:val="center"/>
              <w:rPr>
                <w:color w:val="auto"/>
                <w:highlight w:val="none"/>
              </w:rPr>
            </w:pPr>
            <w:r>
              <w:rPr>
                <w:rFonts w:hint="eastAsia" w:cs="宋体"/>
                <w:color w:val="auto"/>
                <w:highlight w:val="none"/>
              </w:rPr>
              <w:t>序</w:t>
            </w:r>
            <w:r>
              <w:rPr>
                <w:color w:val="auto"/>
                <w:highlight w:val="none"/>
              </w:rPr>
              <w:t xml:space="preserve"> </w:t>
            </w:r>
            <w:r>
              <w:rPr>
                <w:rFonts w:hint="eastAsia" w:cs="宋体"/>
                <w:color w:val="auto"/>
                <w:highlight w:val="none"/>
              </w:rPr>
              <w:t>号</w:t>
            </w:r>
          </w:p>
        </w:tc>
        <w:tc>
          <w:tcPr>
            <w:tcW w:w="1985" w:type="dxa"/>
            <w:vAlign w:val="center"/>
          </w:tcPr>
          <w:p w14:paraId="6693CDB0">
            <w:pPr>
              <w:jc w:val="center"/>
              <w:rPr>
                <w:color w:val="auto"/>
                <w:highlight w:val="none"/>
              </w:rPr>
            </w:pPr>
            <w:r>
              <w:rPr>
                <w:rFonts w:hint="eastAsia" w:cs="宋体"/>
                <w:color w:val="auto"/>
                <w:highlight w:val="none"/>
              </w:rPr>
              <w:t>条款内容</w:t>
            </w:r>
          </w:p>
        </w:tc>
        <w:tc>
          <w:tcPr>
            <w:tcW w:w="2126" w:type="dxa"/>
            <w:vAlign w:val="center"/>
          </w:tcPr>
          <w:p w14:paraId="4F46CD9A">
            <w:pPr>
              <w:jc w:val="center"/>
              <w:rPr>
                <w:color w:val="auto"/>
                <w:highlight w:val="none"/>
              </w:rPr>
            </w:pPr>
            <w:r>
              <w:rPr>
                <w:rFonts w:hint="eastAsia" w:cs="宋体"/>
                <w:color w:val="auto"/>
                <w:highlight w:val="none"/>
              </w:rPr>
              <w:t>合同条款号</w:t>
            </w:r>
          </w:p>
        </w:tc>
        <w:tc>
          <w:tcPr>
            <w:tcW w:w="1984" w:type="dxa"/>
            <w:vAlign w:val="center"/>
          </w:tcPr>
          <w:p w14:paraId="6A4A5FAA">
            <w:pPr>
              <w:jc w:val="center"/>
              <w:rPr>
                <w:color w:val="auto"/>
                <w:highlight w:val="none"/>
              </w:rPr>
            </w:pPr>
            <w:r>
              <w:rPr>
                <w:rFonts w:hint="eastAsia" w:cs="宋体"/>
                <w:color w:val="auto"/>
                <w:highlight w:val="none"/>
              </w:rPr>
              <w:t>约定内容</w:t>
            </w:r>
          </w:p>
        </w:tc>
        <w:tc>
          <w:tcPr>
            <w:tcW w:w="1843" w:type="dxa"/>
            <w:vAlign w:val="center"/>
          </w:tcPr>
          <w:p w14:paraId="4244EAFA">
            <w:pPr>
              <w:jc w:val="center"/>
              <w:rPr>
                <w:color w:val="auto"/>
                <w:highlight w:val="none"/>
              </w:rPr>
            </w:pPr>
            <w:r>
              <w:rPr>
                <w:rFonts w:hint="eastAsia" w:cs="宋体"/>
                <w:color w:val="auto"/>
                <w:highlight w:val="none"/>
              </w:rPr>
              <w:t>供应商响应情况</w:t>
            </w:r>
          </w:p>
        </w:tc>
      </w:tr>
      <w:tr w14:paraId="04400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74478243">
            <w:pPr>
              <w:jc w:val="center"/>
              <w:rPr>
                <w:rFonts w:hint="eastAsia" w:asciiTheme="majorEastAsia" w:hAnsiTheme="majorEastAsia" w:eastAsiaTheme="majorEastAsia"/>
                <w:color w:val="auto"/>
                <w:highlight w:val="none"/>
              </w:rPr>
            </w:pPr>
            <w:r>
              <w:rPr>
                <w:rFonts w:asciiTheme="majorEastAsia" w:hAnsiTheme="majorEastAsia" w:eastAsiaTheme="majorEastAsia"/>
                <w:color w:val="auto"/>
                <w:highlight w:val="none"/>
              </w:rPr>
              <w:t>1</w:t>
            </w:r>
          </w:p>
        </w:tc>
        <w:tc>
          <w:tcPr>
            <w:tcW w:w="1985" w:type="dxa"/>
            <w:vAlign w:val="center"/>
          </w:tcPr>
          <w:p w14:paraId="765D2BBD">
            <w:pPr>
              <w:rPr>
                <w:color w:val="auto"/>
                <w:highlight w:val="none"/>
              </w:rPr>
            </w:pPr>
            <w:r>
              <w:rPr>
                <w:rFonts w:hint="eastAsia" w:cs="宋体"/>
                <w:color w:val="auto"/>
                <w:highlight w:val="none"/>
              </w:rPr>
              <w:t>项目经理</w:t>
            </w:r>
          </w:p>
        </w:tc>
        <w:tc>
          <w:tcPr>
            <w:tcW w:w="2126" w:type="dxa"/>
            <w:tcMar>
              <w:left w:w="170" w:type="dxa"/>
            </w:tcMar>
            <w:vAlign w:val="center"/>
          </w:tcPr>
          <w:p w14:paraId="6F63E4F9">
            <w:pPr>
              <w:jc w:val="center"/>
              <w:rPr>
                <w:color w:val="auto"/>
                <w:highlight w:val="none"/>
              </w:rPr>
            </w:pPr>
            <w:r>
              <w:rPr>
                <w:rFonts w:hint="eastAsia" w:cs="宋体"/>
                <w:color w:val="auto"/>
                <w:highlight w:val="none"/>
              </w:rPr>
              <w:t>专用条款</w:t>
            </w:r>
          </w:p>
        </w:tc>
        <w:tc>
          <w:tcPr>
            <w:tcW w:w="1984" w:type="dxa"/>
            <w:vAlign w:val="center"/>
          </w:tcPr>
          <w:p w14:paraId="66541346">
            <w:pPr>
              <w:rPr>
                <w:color w:val="auto"/>
                <w:highlight w:val="none"/>
              </w:rPr>
            </w:pPr>
            <w:r>
              <w:rPr>
                <w:rFonts w:hint="eastAsia" w:cs="宋体"/>
                <w:color w:val="auto"/>
                <w:highlight w:val="none"/>
              </w:rPr>
              <w:t>姓名：</w:t>
            </w:r>
            <w:r>
              <w:rPr>
                <w:color w:val="auto"/>
                <w:highlight w:val="none"/>
                <w:u w:val="single"/>
              </w:rPr>
              <w:t xml:space="preserve">          </w:t>
            </w:r>
          </w:p>
        </w:tc>
        <w:tc>
          <w:tcPr>
            <w:tcW w:w="1843" w:type="dxa"/>
            <w:vAlign w:val="center"/>
          </w:tcPr>
          <w:p w14:paraId="42745725">
            <w:pPr>
              <w:jc w:val="center"/>
              <w:rPr>
                <w:color w:val="auto"/>
                <w:highlight w:val="none"/>
              </w:rPr>
            </w:pPr>
          </w:p>
        </w:tc>
      </w:tr>
      <w:tr w14:paraId="3484D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26DEB5C0">
            <w:pPr>
              <w:jc w:val="center"/>
              <w:rPr>
                <w:rFonts w:hint="eastAsia" w:asciiTheme="majorEastAsia" w:hAnsiTheme="majorEastAsia" w:eastAsiaTheme="majorEastAsia"/>
                <w:color w:val="auto"/>
                <w:highlight w:val="none"/>
              </w:rPr>
            </w:pPr>
            <w:r>
              <w:rPr>
                <w:rFonts w:asciiTheme="majorEastAsia" w:hAnsiTheme="majorEastAsia" w:eastAsiaTheme="majorEastAsia"/>
                <w:color w:val="auto"/>
                <w:highlight w:val="none"/>
              </w:rPr>
              <w:t>2</w:t>
            </w:r>
          </w:p>
        </w:tc>
        <w:tc>
          <w:tcPr>
            <w:tcW w:w="1985" w:type="dxa"/>
            <w:vAlign w:val="center"/>
          </w:tcPr>
          <w:p w14:paraId="48EF5E44">
            <w:pPr>
              <w:rPr>
                <w:color w:val="auto"/>
                <w:highlight w:val="none"/>
              </w:rPr>
            </w:pPr>
            <w:r>
              <w:rPr>
                <w:rFonts w:hint="eastAsia" w:cs="宋体"/>
                <w:color w:val="auto"/>
                <w:highlight w:val="none"/>
              </w:rPr>
              <w:t>竞标有效期</w:t>
            </w:r>
          </w:p>
        </w:tc>
        <w:tc>
          <w:tcPr>
            <w:tcW w:w="2126" w:type="dxa"/>
            <w:tcMar>
              <w:left w:w="170" w:type="dxa"/>
            </w:tcMar>
            <w:vAlign w:val="center"/>
          </w:tcPr>
          <w:p w14:paraId="2200368A">
            <w:pPr>
              <w:rPr>
                <w:color w:val="auto"/>
                <w:highlight w:val="none"/>
              </w:rPr>
            </w:pPr>
          </w:p>
        </w:tc>
        <w:tc>
          <w:tcPr>
            <w:tcW w:w="1984" w:type="dxa"/>
            <w:vAlign w:val="center"/>
          </w:tcPr>
          <w:p w14:paraId="7D390BD2">
            <w:pPr>
              <w:jc w:val="center"/>
              <w:rPr>
                <w:color w:val="auto"/>
                <w:highlight w:val="none"/>
                <w:u w:val="single"/>
              </w:rPr>
            </w:pPr>
          </w:p>
        </w:tc>
        <w:tc>
          <w:tcPr>
            <w:tcW w:w="1843" w:type="dxa"/>
            <w:vAlign w:val="center"/>
          </w:tcPr>
          <w:p w14:paraId="10876044">
            <w:pPr>
              <w:jc w:val="center"/>
              <w:rPr>
                <w:color w:val="auto"/>
                <w:highlight w:val="none"/>
              </w:rPr>
            </w:pPr>
          </w:p>
        </w:tc>
      </w:tr>
      <w:tr w14:paraId="06063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992" w:type="dxa"/>
            <w:vAlign w:val="center"/>
          </w:tcPr>
          <w:p w14:paraId="672A0A91">
            <w:pPr>
              <w:jc w:val="center"/>
              <w:rPr>
                <w:rFonts w:hint="eastAsia" w:asciiTheme="majorEastAsia" w:hAnsiTheme="majorEastAsia" w:eastAsiaTheme="majorEastAsia"/>
                <w:color w:val="auto"/>
                <w:highlight w:val="none"/>
              </w:rPr>
            </w:pPr>
            <w:r>
              <w:rPr>
                <w:rFonts w:asciiTheme="majorEastAsia" w:hAnsiTheme="majorEastAsia" w:eastAsiaTheme="majorEastAsia"/>
                <w:color w:val="auto"/>
                <w:highlight w:val="none"/>
              </w:rPr>
              <w:t>3</w:t>
            </w:r>
          </w:p>
        </w:tc>
        <w:tc>
          <w:tcPr>
            <w:tcW w:w="1985" w:type="dxa"/>
            <w:vAlign w:val="center"/>
          </w:tcPr>
          <w:p w14:paraId="52E44C18">
            <w:pPr>
              <w:rPr>
                <w:color w:val="auto"/>
                <w:highlight w:val="none"/>
              </w:rPr>
            </w:pPr>
            <w:r>
              <w:rPr>
                <w:rFonts w:hint="eastAsia" w:cs="宋体"/>
                <w:color w:val="auto"/>
                <w:highlight w:val="none"/>
              </w:rPr>
              <w:t>工期</w:t>
            </w:r>
          </w:p>
        </w:tc>
        <w:tc>
          <w:tcPr>
            <w:tcW w:w="2126" w:type="dxa"/>
            <w:tcMar>
              <w:left w:w="170" w:type="dxa"/>
            </w:tcMar>
            <w:vAlign w:val="center"/>
          </w:tcPr>
          <w:p w14:paraId="1B481262">
            <w:pPr>
              <w:jc w:val="center"/>
              <w:rPr>
                <w:color w:val="auto"/>
                <w:highlight w:val="none"/>
              </w:rPr>
            </w:pPr>
            <w:r>
              <w:rPr>
                <w:rFonts w:hint="eastAsia" w:cs="宋体"/>
                <w:color w:val="auto"/>
                <w:highlight w:val="none"/>
              </w:rPr>
              <w:t>专用条款</w:t>
            </w:r>
          </w:p>
        </w:tc>
        <w:tc>
          <w:tcPr>
            <w:tcW w:w="1984" w:type="dxa"/>
            <w:vAlign w:val="center"/>
          </w:tcPr>
          <w:p w14:paraId="36F5EF07">
            <w:pPr>
              <w:jc w:val="center"/>
              <w:rPr>
                <w:color w:val="auto"/>
                <w:highlight w:val="none"/>
              </w:rPr>
            </w:pPr>
            <w:r>
              <w:rPr>
                <w:color w:val="auto"/>
                <w:highlight w:val="none"/>
                <w:u w:val="single"/>
              </w:rPr>
              <w:t xml:space="preserve">          </w:t>
            </w:r>
            <w:r>
              <w:rPr>
                <w:rFonts w:hint="eastAsia" w:cs="宋体"/>
                <w:color w:val="auto"/>
                <w:highlight w:val="none"/>
              </w:rPr>
              <w:t>日历天</w:t>
            </w:r>
          </w:p>
        </w:tc>
        <w:tc>
          <w:tcPr>
            <w:tcW w:w="1843" w:type="dxa"/>
            <w:vAlign w:val="center"/>
          </w:tcPr>
          <w:p w14:paraId="13DFA694">
            <w:pPr>
              <w:jc w:val="center"/>
              <w:rPr>
                <w:color w:val="auto"/>
                <w:highlight w:val="none"/>
              </w:rPr>
            </w:pPr>
          </w:p>
        </w:tc>
      </w:tr>
      <w:tr w14:paraId="5023F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376EA243">
            <w:pPr>
              <w:jc w:val="center"/>
              <w:rPr>
                <w:rFonts w:hint="eastAsia" w:asciiTheme="majorEastAsia" w:hAnsiTheme="majorEastAsia" w:eastAsiaTheme="majorEastAsia"/>
                <w:color w:val="auto"/>
                <w:highlight w:val="none"/>
              </w:rPr>
            </w:pPr>
            <w:r>
              <w:rPr>
                <w:rFonts w:asciiTheme="majorEastAsia" w:hAnsiTheme="majorEastAsia" w:eastAsiaTheme="majorEastAsia"/>
                <w:color w:val="auto"/>
                <w:highlight w:val="none"/>
              </w:rPr>
              <w:t>4</w:t>
            </w:r>
          </w:p>
        </w:tc>
        <w:tc>
          <w:tcPr>
            <w:tcW w:w="1985" w:type="dxa"/>
            <w:vAlign w:val="center"/>
          </w:tcPr>
          <w:p w14:paraId="2A53C79F">
            <w:pPr>
              <w:rPr>
                <w:color w:val="auto"/>
                <w:highlight w:val="none"/>
              </w:rPr>
            </w:pPr>
            <w:r>
              <w:rPr>
                <w:rFonts w:hint="eastAsia" w:cs="宋体"/>
                <w:color w:val="auto"/>
                <w:highlight w:val="none"/>
              </w:rPr>
              <w:t>缺陷责任期</w:t>
            </w:r>
          </w:p>
        </w:tc>
        <w:tc>
          <w:tcPr>
            <w:tcW w:w="2126" w:type="dxa"/>
            <w:tcMar>
              <w:left w:w="170" w:type="dxa"/>
            </w:tcMar>
            <w:vAlign w:val="center"/>
          </w:tcPr>
          <w:p w14:paraId="6B1DEC16">
            <w:pPr>
              <w:jc w:val="center"/>
              <w:rPr>
                <w:color w:val="auto"/>
                <w:highlight w:val="none"/>
              </w:rPr>
            </w:pPr>
            <w:r>
              <w:rPr>
                <w:rFonts w:hint="eastAsia" w:cs="宋体"/>
                <w:color w:val="auto"/>
                <w:highlight w:val="none"/>
              </w:rPr>
              <w:t>专用条款</w:t>
            </w:r>
          </w:p>
        </w:tc>
        <w:tc>
          <w:tcPr>
            <w:tcW w:w="1984" w:type="dxa"/>
            <w:vAlign w:val="center"/>
          </w:tcPr>
          <w:p w14:paraId="75F6F336">
            <w:pPr>
              <w:jc w:val="center"/>
              <w:rPr>
                <w:color w:val="auto"/>
                <w:highlight w:val="none"/>
              </w:rPr>
            </w:pPr>
          </w:p>
        </w:tc>
        <w:tc>
          <w:tcPr>
            <w:tcW w:w="1843" w:type="dxa"/>
            <w:vAlign w:val="center"/>
          </w:tcPr>
          <w:p w14:paraId="1DDD5C20">
            <w:pPr>
              <w:jc w:val="center"/>
              <w:rPr>
                <w:color w:val="auto"/>
                <w:highlight w:val="none"/>
              </w:rPr>
            </w:pPr>
          </w:p>
        </w:tc>
      </w:tr>
      <w:tr w14:paraId="153C3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0E6F0591">
            <w:pPr>
              <w:jc w:val="center"/>
              <w:rPr>
                <w:rFonts w:hint="eastAsia" w:asciiTheme="majorEastAsia" w:hAnsiTheme="majorEastAsia" w:eastAsiaTheme="majorEastAsia"/>
                <w:color w:val="auto"/>
                <w:highlight w:val="none"/>
              </w:rPr>
            </w:pPr>
            <w:r>
              <w:rPr>
                <w:rFonts w:asciiTheme="majorEastAsia" w:hAnsiTheme="majorEastAsia" w:eastAsiaTheme="majorEastAsia"/>
                <w:color w:val="auto"/>
                <w:highlight w:val="none"/>
              </w:rPr>
              <w:t>5</w:t>
            </w:r>
          </w:p>
        </w:tc>
        <w:tc>
          <w:tcPr>
            <w:tcW w:w="1985" w:type="dxa"/>
            <w:vAlign w:val="center"/>
          </w:tcPr>
          <w:p w14:paraId="5435484B">
            <w:pPr>
              <w:rPr>
                <w:color w:val="auto"/>
                <w:highlight w:val="none"/>
              </w:rPr>
            </w:pPr>
            <w:r>
              <w:rPr>
                <w:rFonts w:hint="eastAsia" w:cs="宋体"/>
                <w:color w:val="auto"/>
                <w:highlight w:val="none"/>
              </w:rPr>
              <w:t>发包人支付担保</w:t>
            </w:r>
          </w:p>
        </w:tc>
        <w:tc>
          <w:tcPr>
            <w:tcW w:w="2126" w:type="dxa"/>
            <w:tcMar>
              <w:left w:w="170" w:type="dxa"/>
            </w:tcMar>
            <w:vAlign w:val="center"/>
          </w:tcPr>
          <w:p w14:paraId="1B233D11">
            <w:pPr>
              <w:jc w:val="center"/>
              <w:rPr>
                <w:color w:val="auto"/>
                <w:highlight w:val="none"/>
              </w:rPr>
            </w:pPr>
            <w:r>
              <w:rPr>
                <w:rFonts w:hint="eastAsia" w:cs="宋体"/>
                <w:color w:val="auto"/>
                <w:highlight w:val="none"/>
              </w:rPr>
              <w:t>专用条款</w:t>
            </w:r>
          </w:p>
        </w:tc>
        <w:tc>
          <w:tcPr>
            <w:tcW w:w="1984" w:type="dxa"/>
            <w:vAlign w:val="center"/>
          </w:tcPr>
          <w:p w14:paraId="31EA6428">
            <w:pPr>
              <w:jc w:val="center"/>
              <w:rPr>
                <w:color w:val="auto"/>
                <w:highlight w:val="none"/>
              </w:rPr>
            </w:pPr>
          </w:p>
        </w:tc>
        <w:tc>
          <w:tcPr>
            <w:tcW w:w="1843" w:type="dxa"/>
            <w:vAlign w:val="center"/>
          </w:tcPr>
          <w:p w14:paraId="0811281A">
            <w:pPr>
              <w:jc w:val="center"/>
              <w:rPr>
                <w:color w:val="auto"/>
                <w:highlight w:val="none"/>
              </w:rPr>
            </w:pPr>
          </w:p>
        </w:tc>
      </w:tr>
      <w:tr w14:paraId="000CA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992" w:type="dxa"/>
            <w:vAlign w:val="center"/>
          </w:tcPr>
          <w:p w14:paraId="4145F2B2">
            <w:pPr>
              <w:jc w:val="center"/>
              <w:rPr>
                <w:rFonts w:hint="eastAsia" w:asciiTheme="majorEastAsia" w:hAnsiTheme="majorEastAsia" w:eastAsiaTheme="majorEastAsia"/>
                <w:color w:val="auto"/>
                <w:highlight w:val="none"/>
              </w:rPr>
            </w:pPr>
            <w:r>
              <w:rPr>
                <w:rFonts w:asciiTheme="majorEastAsia" w:hAnsiTheme="majorEastAsia" w:eastAsiaTheme="majorEastAsia"/>
                <w:color w:val="auto"/>
                <w:highlight w:val="none"/>
              </w:rPr>
              <w:t>6</w:t>
            </w:r>
          </w:p>
        </w:tc>
        <w:tc>
          <w:tcPr>
            <w:tcW w:w="1985" w:type="dxa"/>
            <w:vAlign w:val="center"/>
          </w:tcPr>
          <w:p w14:paraId="337C75E6">
            <w:pPr>
              <w:rPr>
                <w:color w:val="auto"/>
                <w:highlight w:val="none"/>
              </w:rPr>
            </w:pPr>
            <w:r>
              <w:rPr>
                <w:rFonts w:hint="eastAsia" w:cs="宋体"/>
                <w:color w:val="auto"/>
                <w:highlight w:val="none"/>
              </w:rPr>
              <w:t>承包人履约担保金额</w:t>
            </w:r>
          </w:p>
        </w:tc>
        <w:tc>
          <w:tcPr>
            <w:tcW w:w="2126" w:type="dxa"/>
            <w:tcMar>
              <w:left w:w="170" w:type="dxa"/>
            </w:tcMar>
            <w:vAlign w:val="center"/>
          </w:tcPr>
          <w:p w14:paraId="48C3CD39">
            <w:pPr>
              <w:jc w:val="center"/>
              <w:rPr>
                <w:color w:val="auto"/>
                <w:highlight w:val="none"/>
              </w:rPr>
            </w:pPr>
            <w:r>
              <w:rPr>
                <w:rFonts w:hint="eastAsia" w:cs="宋体"/>
                <w:color w:val="auto"/>
                <w:highlight w:val="none"/>
              </w:rPr>
              <w:t>专用条款</w:t>
            </w:r>
          </w:p>
        </w:tc>
        <w:tc>
          <w:tcPr>
            <w:tcW w:w="1984" w:type="dxa"/>
            <w:vAlign w:val="center"/>
          </w:tcPr>
          <w:p w14:paraId="1AA4E74A">
            <w:pPr>
              <w:jc w:val="center"/>
              <w:rPr>
                <w:color w:val="auto"/>
                <w:highlight w:val="none"/>
              </w:rPr>
            </w:pPr>
          </w:p>
        </w:tc>
        <w:tc>
          <w:tcPr>
            <w:tcW w:w="1843" w:type="dxa"/>
            <w:vAlign w:val="center"/>
          </w:tcPr>
          <w:p w14:paraId="4349C4B8">
            <w:pPr>
              <w:jc w:val="center"/>
              <w:rPr>
                <w:color w:val="auto"/>
                <w:highlight w:val="none"/>
              </w:rPr>
            </w:pPr>
          </w:p>
        </w:tc>
      </w:tr>
      <w:tr w14:paraId="7F140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7F9FA9B1">
            <w:pPr>
              <w:jc w:val="center"/>
              <w:rPr>
                <w:rFonts w:hint="eastAsia" w:asciiTheme="majorEastAsia" w:hAnsiTheme="majorEastAsia" w:eastAsiaTheme="majorEastAsia"/>
                <w:color w:val="auto"/>
                <w:highlight w:val="none"/>
              </w:rPr>
            </w:pPr>
            <w:r>
              <w:rPr>
                <w:rFonts w:asciiTheme="majorEastAsia" w:hAnsiTheme="majorEastAsia" w:eastAsiaTheme="majorEastAsia"/>
                <w:color w:val="auto"/>
                <w:highlight w:val="none"/>
              </w:rPr>
              <w:t>7</w:t>
            </w:r>
          </w:p>
        </w:tc>
        <w:tc>
          <w:tcPr>
            <w:tcW w:w="1985" w:type="dxa"/>
            <w:vAlign w:val="center"/>
          </w:tcPr>
          <w:p w14:paraId="2B3DDFF8">
            <w:pPr>
              <w:rPr>
                <w:color w:val="auto"/>
                <w:highlight w:val="none"/>
              </w:rPr>
            </w:pPr>
            <w:r>
              <w:rPr>
                <w:rFonts w:hint="eastAsia" w:cs="宋体"/>
                <w:color w:val="auto"/>
                <w:highlight w:val="none"/>
              </w:rPr>
              <w:t>分包</w:t>
            </w:r>
          </w:p>
        </w:tc>
        <w:tc>
          <w:tcPr>
            <w:tcW w:w="2126" w:type="dxa"/>
            <w:tcMar>
              <w:left w:w="170" w:type="dxa"/>
            </w:tcMar>
            <w:vAlign w:val="center"/>
          </w:tcPr>
          <w:p w14:paraId="7FC5E729">
            <w:pPr>
              <w:jc w:val="center"/>
              <w:rPr>
                <w:color w:val="auto"/>
                <w:highlight w:val="none"/>
              </w:rPr>
            </w:pPr>
            <w:r>
              <w:rPr>
                <w:rFonts w:hint="eastAsia" w:cs="宋体"/>
                <w:color w:val="auto"/>
                <w:highlight w:val="none"/>
              </w:rPr>
              <w:t>专用条款</w:t>
            </w:r>
          </w:p>
        </w:tc>
        <w:tc>
          <w:tcPr>
            <w:tcW w:w="1984" w:type="dxa"/>
            <w:vAlign w:val="center"/>
          </w:tcPr>
          <w:p w14:paraId="66420754">
            <w:pPr>
              <w:jc w:val="center"/>
              <w:rPr>
                <w:color w:val="auto"/>
                <w:highlight w:val="none"/>
              </w:rPr>
            </w:pPr>
            <w:r>
              <w:rPr>
                <w:rFonts w:hint="eastAsia" w:cs="宋体"/>
                <w:color w:val="auto"/>
                <w:highlight w:val="none"/>
              </w:rPr>
              <w:t>见分包项目情况表</w:t>
            </w:r>
          </w:p>
        </w:tc>
        <w:tc>
          <w:tcPr>
            <w:tcW w:w="1843" w:type="dxa"/>
            <w:vAlign w:val="center"/>
          </w:tcPr>
          <w:p w14:paraId="0E20100A">
            <w:pPr>
              <w:jc w:val="center"/>
              <w:rPr>
                <w:color w:val="auto"/>
                <w:highlight w:val="none"/>
              </w:rPr>
            </w:pPr>
          </w:p>
        </w:tc>
      </w:tr>
      <w:tr w14:paraId="15282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3D524026">
            <w:pPr>
              <w:jc w:val="center"/>
              <w:rPr>
                <w:rFonts w:hint="eastAsia" w:asciiTheme="majorEastAsia" w:hAnsiTheme="majorEastAsia" w:eastAsiaTheme="majorEastAsia"/>
                <w:color w:val="auto"/>
                <w:highlight w:val="none"/>
              </w:rPr>
            </w:pPr>
            <w:r>
              <w:rPr>
                <w:rFonts w:asciiTheme="majorEastAsia" w:hAnsiTheme="majorEastAsia" w:eastAsiaTheme="majorEastAsia"/>
                <w:color w:val="auto"/>
                <w:highlight w:val="none"/>
              </w:rPr>
              <w:t>8</w:t>
            </w:r>
          </w:p>
        </w:tc>
        <w:tc>
          <w:tcPr>
            <w:tcW w:w="1985" w:type="dxa"/>
            <w:vAlign w:val="center"/>
          </w:tcPr>
          <w:p w14:paraId="1773B46B">
            <w:pPr>
              <w:rPr>
                <w:color w:val="auto"/>
                <w:highlight w:val="none"/>
              </w:rPr>
            </w:pPr>
            <w:r>
              <w:rPr>
                <w:rFonts w:hint="eastAsia" w:cs="宋体"/>
                <w:color w:val="auto"/>
                <w:highlight w:val="none"/>
              </w:rPr>
              <w:t>逾期竣工违约金</w:t>
            </w:r>
          </w:p>
        </w:tc>
        <w:tc>
          <w:tcPr>
            <w:tcW w:w="2126" w:type="dxa"/>
            <w:tcMar>
              <w:left w:w="170" w:type="dxa"/>
            </w:tcMar>
            <w:vAlign w:val="center"/>
          </w:tcPr>
          <w:p w14:paraId="4CDD32B4">
            <w:pPr>
              <w:jc w:val="center"/>
              <w:rPr>
                <w:color w:val="auto"/>
                <w:highlight w:val="none"/>
              </w:rPr>
            </w:pPr>
            <w:r>
              <w:rPr>
                <w:rFonts w:hint="eastAsia" w:cs="宋体"/>
                <w:color w:val="auto"/>
                <w:highlight w:val="none"/>
              </w:rPr>
              <w:t>专用条款</w:t>
            </w:r>
          </w:p>
        </w:tc>
        <w:tc>
          <w:tcPr>
            <w:tcW w:w="1984" w:type="dxa"/>
            <w:vAlign w:val="center"/>
          </w:tcPr>
          <w:p w14:paraId="5CEF0851">
            <w:pPr>
              <w:rPr>
                <w:color w:val="auto"/>
                <w:highlight w:val="none"/>
              </w:rPr>
            </w:pPr>
          </w:p>
        </w:tc>
        <w:tc>
          <w:tcPr>
            <w:tcW w:w="1843" w:type="dxa"/>
            <w:vAlign w:val="center"/>
          </w:tcPr>
          <w:p w14:paraId="591EFEF7">
            <w:pPr>
              <w:jc w:val="center"/>
              <w:rPr>
                <w:color w:val="auto"/>
                <w:highlight w:val="none"/>
              </w:rPr>
            </w:pPr>
          </w:p>
        </w:tc>
      </w:tr>
      <w:tr w14:paraId="4A39A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992" w:type="dxa"/>
            <w:vAlign w:val="center"/>
          </w:tcPr>
          <w:p w14:paraId="406DA3C3">
            <w:pPr>
              <w:jc w:val="center"/>
              <w:rPr>
                <w:rFonts w:hint="eastAsia" w:asciiTheme="majorEastAsia" w:hAnsiTheme="majorEastAsia" w:eastAsiaTheme="majorEastAsia"/>
                <w:color w:val="auto"/>
                <w:highlight w:val="none"/>
              </w:rPr>
            </w:pPr>
            <w:r>
              <w:rPr>
                <w:rFonts w:asciiTheme="majorEastAsia" w:hAnsiTheme="majorEastAsia" w:eastAsiaTheme="majorEastAsia"/>
                <w:color w:val="auto"/>
                <w:highlight w:val="none"/>
              </w:rPr>
              <w:t>9</w:t>
            </w:r>
          </w:p>
        </w:tc>
        <w:tc>
          <w:tcPr>
            <w:tcW w:w="1985" w:type="dxa"/>
            <w:vAlign w:val="center"/>
          </w:tcPr>
          <w:p w14:paraId="49304B7A">
            <w:pPr>
              <w:rPr>
                <w:color w:val="auto"/>
                <w:highlight w:val="none"/>
              </w:rPr>
            </w:pPr>
            <w:r>
              <w:rPr>
                <w:rFonts w:hint="eastAsia" w:cs="宋体"/>
                <w:color w:val="auto"/>
                <w:highlight w:val="none"/>
              </w:rPr>
              <w:t>逾期竣工违约金最高限额</w:t>
            </w:r>
          </w:p>
        </w:tc>
        <w:tc>
          <w:tcPr>
            <w:tcW w:w="2126" w:type="dxa"/>
            <w:tcMar>
              <w:left w:w="170" w:type="dxa"/>
            </w:tcMar>
            <w:vAlign w:val="center"/>
          </w:tcPr>
          <w:p w14:paraId="5CCC66C7">
            <w:pPr>
              <w:jc w:val="center"/>
              <w:rPr>
                <w:color w:val="auto"/>
                <w:highlight w:val="none"/>
              </w:rPr>
            </w:pPr>
            <w:r>
              <w:rPr>
                <w:rFonts w:hint="eastAsia" w:cs="宋体"/>
                <w:color w:val="auto"/>
                <w:highlight w:val="none"/>
              </w:rPr>
              <w:t>专用条款</w:t>
            </w:r>
          </w:p>
        </w:tc>
        <w:tc>
          <w:tcPr>
            <w:tcW w:w="1984" w:type="dxa"/>
            <w:vAlign w:val="center"/>
          </w:tcPr>
          <w:p w14:paraId="288FC9DE">
            <w:pPr>
              <w:rPr>
                <w:color w:val="auto"/>
                <w:highlight w:val="none"/>
              </w:rPr>
            </w:pPr>
          </w:p>
        </w:tc>
        <w:tc>
          <w:tcPr>
            <w:tcW w:w="1843" w:type="dxa"/>
            <w:vAlign w:val="center"/>
          </w:tcPr>
          <w:p w14:paraId="2F4020DE">
            <w:pPr>
              <w:jc w:val="center"/>
              <w:rPr>
                <w:color w:val="auto"/>
                <w:highlight w:val="none"/>
              </w:rPr>
            </w:pPr>
          </w:p>
        </w:tc>
      </w:tr>
      <w:tr w14:paraId="05821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992" w:type="dxa"/>
            <w:vAlign w:val="center"/>
          </w:tcPr>
          <w:p w14:paraId="210638D9">
            <w:pPr>
              <w:jc w:val="center"/>
              <w:rPr>
                <w:rFonts w:hint="eastAsia" w:asciiTheme="majorEastAsia" w:hAnsiTheme="majorEastAsia" w:eastAsiaTheme="majorEastAsia"/>
                <w:color w:val="auto"/>
                <w:highlight w:val="none"/>
              </w:rPr>
            </w:pPr>
            <w:r>
              <w:rPr>
                <w:rFonts w:asciiTheme="majorEastAsia" w:hAnsiTheme="majorEastAsia" w:eastAsiaTheme="majorEastAsia"/>
                <w:color w:val="auto"/>
                <w:highlight w:val="none"/>
              </w:rPr>
              <w:t>10</w:t>
            </w:r>
          </w:p>
        </w:tc>
        <w:tc>
          <w:tcPr>
            <w:tcW w:w="1985" w:type="dxa"/>
            <w:vAlign w:val="center"/>
          </w:tcPr>
          <w:p w14:paraId="06BF9DF3">
            <w:pPr>
              <w:rPr>
                <w:color w:val="auto"/>
                <w:highlight w:val="none"/>
              </w:rPr>
            </w:pPr>
            <w:r>
              <w:rPr>
                <w:rFonts w:hint="eastAsia" w:cs="宋体"/>
                <w:color w:val="auto"/>
                <w:highlight w:val="none"/>
              </w:rPr>
              <w:t>质量标准</w:t>
            </w:r>
          </w:p>
        </w:tc>
        <w:tc>
          <w:tcPr>
            <w:tcW w:w="2126" w:type="dxa"/>
            <w:tcMar>
              <w:left w:w="170" w:type="dxa"/>
            </w:tcMar>
            <w:vAlign w:val="center"/>
          </w:tcPr>
          <w:p w14:paraId="001B20D7">
            <w:pPr>
              <w:jc w:val="center"/>
              <w:rPr>
                <w:color w:val="auto"/>
                <w:highlight w:val="none"/>
              </w:rPr>
            </w:pPr>
            <w:r>
              <w:rPr>
                <w:rFonts w:hint="eastAsia" w:cs="宋体"/>
                <w:color w:val="auto"/>
                <w:highlight w:val="none"/>
              </w:rPr>
              <w:t>专用条款</w:t>
            </w:r>
          </w:p>
        </w:tc>
        <w:tc>
          <w:tcPr>
            <w:tcW w:w="1984" w:type="dxa"/>
            <w:vAlign w:val="center"/>
          </w:tcPr>
          <w:p w14:paraId="2BC77601">
            <w:pPr>
              <w:jc w:val="center"/>
              <w:rPr>
                <w:color w:val="auto"/>
                <w:highlight w:val="none"/>
              </w:rPr>
            </w:pPr>
          </w:p>
        </w:tc>
        <w:tc>
          <w:tcPr>
            <w:tcW w:w="1843" w:type="dxa"/>
            <w:vAlign w:val="center"/>
          </w:tcPr>
          <w:p w14:paraId="1E06CA0D">
            <w:pPr>
              <w:jc w:val="center"/>
              <w:rPr>
                <w:color w:val="auto"/>
                <w:highlight w:val="none"/>
              </w:rPr>
            </w:pPr>
          </w:p>
        </w:tc>
      </w:tr>
      <w:tr w14:paraId="4D29D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6A3C0A48">
            <w:pPr>
              <w:jc w:val="center"/>
              <w:rPr>
                <w:rFonts w:hint="eastAsia" w:asciiTheme="majorEastAsia" w:hAnsiTheme="majorEastAsia" w:eastAsiaTheme="majorEastAsia"/>
                <w:color w:val="auto"/>
                <w:highlight w:val="none"/>
              </w:rPr>
            </w:pPr>
            <w:r>
              <w:rPr>
                <w:rFonts w:asciiTheme="majorEastAsia" w:hAnsiTheme="majorEastAsia" w:eastAsiaTheme="majorEastAsia"/>
                <w:color w:val="auto"/>
                <w:highlight w:val="none"/>
              </w:rPr>
              <w:t>11</w:t>
            </w:r>
          </w:p>
        </w:tc>
        <w:tc>
          <w:tcPr>
            <w:tcW w:w="1985" w:type="dxa"/>
            <w:vAlign w:val="center"/>
          </w:tcPr>
          <w:p w14:paraId="1C635715">
            <w:pPr>
              <w:rPr>
                <w:color w:val="auto"/>
                <w:highlight w:val="none"/>
              </w:rPr>
            </w:pPr>
            <w:r>
              <w:rPr>
                <w:rFonts w:hint="eastAsia" w:cs="宋体"/>
                <w:color w:val="auto"/>
                <w:highlight w:val="none"/>
              </w:rPr>
              <w:t>预付款额度</w:t>
            </w:r>
          </w:p>
        </w:tc>
        <w:tc>
          <w:tcPr>
            <w:tcW w:w="2126" w:type="dxa"/>
            <w:tcMar>
              <w:left w:w="170" w:type="dxa"/>
            </w:tcMar>
            <w:vAlign w:val="center"/>
          </w:tcPr>
          <w:p w14:paraId="2A107BD3">
            <w:pPr>
              <w:jc w:val="center"/>
              <w:rPr>
                <w:color w:val="auto"/>
                <w:highlight w:val="none"/>
              </w:rPr>
            </w:pPr>
            <w:r>
              <w:rPr>
                <w:rFonts w:hint="eastAsia" w:cs="宋体"/>
                <w:color w:val="auto"/>
                <w:highlight w:val="none"/>
              </w:rPr>
              <w:t>专用条款</w:t>
            </w:r>
          </w:p>
        </w:tc>
        <w:tc>
          <w:tcPr>
            <w:tcW w:w="1984" w:type="dxa"/>
            <w:vAlign w:val="center"/>
          </w:tcPr>
          <w:p w14:paraId="556B1429">
            <w:pPr>
              <w:jc w:val="center"/>
              <w:rPr>
                <w:color w:val="auto"/>
                <w:highlight w:val="none"/>
              </w:rPr>
            </w:pPr>
          </w:p>
        </w:tc>
        <w:tc>
          <w:tcPr>
            <w:tcW w:w="1843" w:type="dxa"/>
            <w:vAlign w:val="center"/>
          </w:tcPr>
          <w:p w14:paraId="07F13FD1">
            <w:pPr>
              <w:jc w:val="center"/>
              <w:rPr>
                <w:color w:val="auto"/>
                <w:highlight w:val="none"/>
              </w:rPr>
            </w:pPr>
          </w:p>
        </w:tc>
      </w:tr>
      <w:tr w14:paraId="7EEF5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5A109CBF">
            <w:pPr>
              <w:jc w:val="center"/>
              <w:rPr>
                <w:rFonts w:hint="eastAsia" w:asciiTheme="majorEastAsia" w:hAnsiTheme="majorEastAsia" w:eastAsiaTheme="majorEastAsia"/>
                <w:color w:val="auto"/>
                <w:highlight w:val="none"/>
              </w:rPr>
            </w:pPr>
            <w:r>
              <w:rPr>
                <w:rFonts w:asciiTheme="majorEastAsia" w:hAnsiTheme="majorEastAsia" w:eastAsiaTheme="majorEastAsia"/>
                <w:color w:val="auto"/>
                <w:highlight w:val="none"/>
              </w:rPr>
              <w:t>12</w:t>
            </w:r>
          </w:p>
        </w:tc>
        <w:tc>
          <w:tcPr>
            <w:tcW w:w="1985" w:type="dxa"/>
            <w:vAlign w:val="center"/>
          </w:tcPr>
          <w:p w14:paraId="4A5A315D">
            <w:pPr>
              <w:rPr>
                <w:color w:val="auto"/>
                <w:highlight w:val="none"/>
              </w:rPr>
            </w:pPr>
            <w:r>
              <w:rPr>
                <w:rFonts w:hint="eastAsia" w:cs="宋体"/>
                <w:color w:val="auto"/>
                <w:highlight w:val="none"/>
              </w:rPr>
              <w:t>预付款保函金额</w:t>
            </w:r>
          </w:p>
        </w:tc>
        <w:tc>
          <w:tcPr>
            <w:tcW w:w="2126" w:type="dxa"/>
            <w:tcMar>
              <w:left w:w="170" w:type="dxa"/>
            </w:tcMar>
            <w:vAlign w:val="center"/>
          </w:tcPr>
          <w:p w14:paraId="01249ECC">
            <w:pPr>
              <w:jc w:val="center"/>
              <w:rPr>
                <w:color w:val="auto"/>
                <w:highlight w:val="none"/>
              </w:rPr>
            </w:pPr>
            <w:r>
              <w:rPr>
                <w:rFonts w:hint="eastAsia" w:cs="宋体"/>
                <w:color w:val="auto"/>
                <w:highlight w:val="none"/>
              </w:rPr>
              <w:t>专用条款</w:t>
            </w:r>
          </w:p>
        </w:tc>
        <w:tc>
          <w:tcPr>
            <w:tcW w:w="1984" w:type="dxa"/>
            <w:vAlign w:val="center"/>
          </w:tcPr>
          <w:p w14:paraId="74EC9BB3">
            <w:pPr>
              <w:jc w:val="center"/>
              <w:rPr>
                <w:color w:val="auto"/>
                <w:highlight w:val="none"/>
              </w:rPr>
            </w:pPr>
          </w:p>
        </w:tc>
        <w:tc>
          <w:tcPr>
            <w:tcW w:w="1843" w:type="dxa"/>
            <w:vAlign w:val="center"/>
          </w:tcPr>
          <w:p w14:paraId="341E0695">
            <w:pPr>
              <w:jc w:val="center"/>
              <w:rPr>
                <w:color w:val="auto"/>
                <w:highlight w:val="none"/>
              </w:rPr>
            </w:pPr>
          </w:p>
        </w:tc>
      </w:tr>
      <w:tr w14:paraId="402B0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400406A1">
            <w:pPr>
              <w:jc w:val="center"/>
              <w:rPr>
                <w:rFonts w:hint="eastAsia" w:asciiTheme="majorEastAsia" w:hAnsiTheme="majorEastAsia" w:eastAsiaTheme="majorEastAsia"/>
                <w:color w:val="auto"/>
                <w:highlight w:val="none"/>
              </w:rPr>
            </w:pPr>
          </w:p>
        </w:tc>
        <w:tc>
          <w:tcPr>
            <w:tcW w:w="1985" w:type="dxa"/>
            <w:vAlign w:val="center"/>
          </w:tcPr>
          <w:p w14:paraId="757F173E">
            <w:pPr>
              <w:rPr>
                <w:color w:val="auto"/>
                <w:highlight w:val="none"/>
              </w:rPr>
            </w:pPr>
          </w:p>
        </w:tc>
        <w:tc>
          <w:tcPr>
            <w:tcW w:w="2126" w:type="dxa"/>
            <w:tcMar>
              <w:left w:w="170" w:type="dxa"/>
            </w:tcMar>
            <w:vAlign w:val="center"/>
          </w:tcPr>
          <w:p w14:paraId="27AB8DAD">
            <w:pPr>
              <w:jc w:val="center"/>
              <w:rPr>
                <w:color w:val="auto"/>
                <w:highlight w:val="none"/>
              </w:rPr>
            </w:pPr>
          </w:p>
        </w:tc>
        <w:tc>
          <w:tcPr>
            <w:tcW w:w="1984" w:type="dxa"/>
            <w:vAlign w:val="center"/>
          </w:tcPr>
          <w:p w14:paraId="7B66EBE7">
            <w:pPr>
              <w:jc w:val="center"/>
              <w:rPr>
                <w:color w:val="auto"/>
                <w:highlight w:val="none"/>
              </w:rPr>
            </w:pPr>
          </w:p>
        </w:tc>
        <w:tc>
          <w:tcPr>
            <w:tcW w:w="1843" w:type="dxa"/>
            <w:vAlign w:val="center"/>
          </w:tcPr>
          <w:p w14:paraId="3674F6C1">
            <w:pPr>
              <w:jc w:val="center"/>
              <w:rPr>
                <w:color w:val="auto"/>
                <w:highlight w:val="none"/>
              </w:rPr>
            </w:pPr>
          </w:p>
        </w:tc>
      </w:tr>
      <w:tr w14:paraId="7C1A9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4E54C440">
            <w:pPr>
              <w:jc w:val="center"/>
              <w:rPr>
                <w:color w:val="auto"/>
                <w:highlight w:val="none"/>
              </w:rPr>
            </w:pPr>
            <w:r>
              <w:rPr>
                <w:color w:val="auto"/>
                <w:highlight w:val="none"/>
              </w:rPr>
              <w:t>……</w:t>
            </w:r>
          </w:p>
        </w:tc>
        <w:tc>
          <w:tcPr>
            <w:tcW w:w="1985" w:type="dxa"/>
            <w:vAlign w:val="center"/>
          </w:tcPr>
          <w:p w14:paraId="24F997C1">
            <w:pPr>
              <w:jc w:val="center"/>
              <w:rPr>
                <w:color w:val="auto"/>
                <w:highlight w:val="none"/>
              </w:rPr>
            </w:pPr>
            <w:r>
              <w:rPr>
                <w:color w:val="auto"/>
                <w:highlight w:val="none"/>
              </w:rPr>
              <w:t>……</w:t>
            </w:r>
          </w:p>
        </w:tc>
        <w:tc>
          <w:tcPr>
            <w:tcW w:w="2126" w:type="dxa"/>
            <w:tcMar>
              <w:left w:w="170" w:type="dxa"/>
            </w:tcMar>
            <w:vAlign w:val="center"/>
          </w:tcPr>
          <w:p w14:paraId="163F8C0D">
            <w:pPr>
              <w:rPr>
                <w:color w:val="auto"/>
                <w:highlight w:val="none"/>
              </w:rPr>
            </w:pPr>
          </w:p>
        </w:tc>
        <w:tc>
          <w:tcPr>
            <w:tcW w:w="1984" w:type="dxa"/>
            <w:vAlign w:val="center"/>
          </w:tcPr>
          <w:p w14:paraId="1EEC8666">
            <w:pPr>
              <w:jc w:val="center"/>
              <w:rPr>
                <w:color w:val="auto"/>
                <w:highlight w:val="none"/>
              </w:rPr>
            </w:pPr>
          </w:p>
        </w:tc>
        <w:tc>
          <w:tcPr>
            <w:tcW w:w="1843" w:type="dxa"/>
            <w:vAlign w:val="center"/>
          </w:tcPr>
          <w:p w14:paraId="72ECA8F4">
            <w:pPr>
              <w:jc w:val="center"/>
              <w:rPr>
                <w:color w:val="auto"/>
                <w:highlight w:val="none"/>
              </w:rPr>
            </w:pPr>
          </w:p>
        </w:tc>
      </w:tr>
      <w:tr w14:paraId="22DF1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8930" w:type="dxa"/>
            <w:gridSpan w:val="5"/>
            <w:vAlign w:val="center"/>
          </w:tcPr>
          <w:p w14:paraId="233E2A07">
            <w:pPr>
              <w:spacing w:line="360" w:lineRule="auto"/>
              <w:rPr>
                <w:color w:val="auto"/>
                <w:highlight w:val="none"/>
              </w:rPr>
            </w:pPr>
            <w:r>
              <w:rPr>
                <w:rFonts w:hint="eastAsia" w:cs="宋体"/>
                <w:color w:val="auto"/>
                <w:highlight w:val="none"/>
              </w:rPr>
              <w:t>说明：供应商在响应磋商文件中规定的实质性要求和条件的基础上，可做出其他有利于采购人的承诺。此类承诺可在本表中予以补充填写。</w:t>
            </w:r>
          </w:p>
        </w:tc>
      </w:tr>
    </w:tbl>
    <w:p w14:paraId="643FDEBD">
      <w:pPr>
        <w:spacing w:line="360" w:lineRule="auto"/>
        <w:ind w:right="-817" w:rightChars="-389" w:firstLine="2640" w:firstLineChars="1100"/>
        <w:contextualSpacing/>
        <w:rPr>
          <w:rFonts w:hint="eastAsia" w:ascii="宋体" w:hAnsi="宋体" w:cs="仿宋_GB2312"/>
          <w:color w:val="auto"/>
          <w:sz w:val="24"/>
          <w:highlight w:val="none"/>
        </w:rPr>
      </w:pPr>
    </w:p>
    <w:p w14:paraId="0150F1F9">
      <w:pPr>
        <w:spacing w:line="360" w:lineRule="auto"/>
        <w:ind w:right="-817" w:rightChars="-389" w:firstLine="2640" w:firstLineChars="110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法定代表人或者委托代理人（签字或者电子签名）：                    </w:t>
      </w:r>
    </w:p>
    <w:p w14:paraId="195F93DC">
      <w:pPr>
        <w:spacing w:line="360" w:lineRule="auto"/>
        <w:ind w:right="-817" w:rightChars="-389" w:firstLine="2640" w:firstLineChars="110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供应商（电子签章）：      </w:t>
      </w:r>
    </w:p>
    <w:p w14:paraId="02B80D75">
      <w:pPr>
        <w:spacing w:line="360" w:lineRule="auto"/>
        <w:jc w:val="center"/>
        <w:rPr>
          <w:rFonts w:hint="eastAsia" w:ascii="宋体" w:hAnsi="宋体" w:cs="仿宋_GB2312"/>
          <w:color w:val="auto"/>
          <w:sz w:val="24"/>
          <w:highlight w:val="none"/>
        </w:rPr>
      </w:pPr>
      <w:r>
        <w:rPr>
          <w:rFonts w:hint="eastAsia" w:ascii="宋体" w:hAnsi="宋体" w:cs="仿宋_GB2312"/>
          <w:color w:val="auto"/>
          <w:sz w:val="24"/>
          <w:highlight w:val="none"/>
        </w:rPr>
        <w:t>日期：   年   月   日</w:t>
      </w:r>
    </w:p>
    <w:p w14:paraId="69E8F8C3">
      <w:pPr>
        <w:spacing w:line="360" w:lineRule="auto"/>
        <w:contextualSpacing/>
        <w:jc w:val="center"/>
        <w:rPr>
          <w:rFonts w:hint="eastAsia" w:ascii="宋体" w:hAnsi="宋体" w:cs="仿宋_GB2312"/>
          <w:b/>
          <w:color w:val="auto"/>
          <w:sz w:val="32"/>
          <w:szCs w:val="32"/>
          <w:highlight w:val="none"/>
        </w:rPr>
      </w:pPr>
      <w:r>
        <w:rPr>
          <w:rFonts w:ascii="宋体" w:hAnsi="宋体" w:cs="仿宋_GB2312"/>
          <w:color w:val="auto"/>
          <w:sz w:val="24"/>
          <w:highlight w:val="none"/>
        </w:rPr>
        <w:br w:type="page"/>
      </w:r>
      <w:r>
        <w:rPr>
          <w:rFonts w:hint="eastAsia" w:ascii="宋体" w:hAnsi="宋体" w:cs="宋体"/>
          <w:b/>
          <w:color w:val="auto"/>
          <w:sz w:val="32"/>
          <w:szCs w:val="32"/>
          <w:highlight w:val="none"/>
        </w:rPr>
        <w:t>已标价工程量清单</w:t>
      </w:r>
    </w:p>
    <w:p w14:paraId="299C3C54">
      <w:pPr>
        <w:spacing w:line="360" w:lineRule="auto"/>
        <w:ind w:firstLine="420" w:firstLineChars="200"/>
        <w:rPr>
          <w:rFonts w:hint="eastAsia" w:asciiTheme="minorEastAsia" w:hAnsiTheme="minorEastAsia" w:eastAsiaTheme="minorEastAsia"/>
          <w:color w:val="auto"/>
          <w:highlight w:val="none"/>
        </w:rPr>
      </w:pPr>
      <w:r>
        <w:rPr>
          <w:rFonts w:asciiTheme="minorEastAsia" w:hAnsiTheme="minorEastAsia" w:eastAsiaTheme="minorEastAsia"/>
          <w:color w:val="auto"/>
          <w:highlight w:val="none"/>
        </w:rPr>
        <w:t>1.</w:t>
      </w:r>
      <w:r>
        <w:rPr>
          <w:rFonts w:hint="eastAsia" w:cs="宋体" w:asciiTheme="minorEastAsia" w:hAnsiTheme="minorEastAsia" w:eastAsiaTheme="minorEastAsia"/>
          <w:color w:val="auto"/>
          <w:highlight w:val="none"/>
        </w:rPr>
        <w:t>已标价工程量清单应按第五章</w:t>
      </w:r>
      <w:r>
        <w:rPr>
          <w:rFonts w:hint="eastAsia" w:asciiTheme="minorEastAsia" w:hAnsiTheme="minorEastAsia" w:eastAsiaTheme="minorEastAsia"/>
          <w:color w:val="auto"/>
          <w:highlight w:val="none"/>
        </w:rPr>
        <w:t>“工程量清单及图纸”</w:t>
      </w:r>
      <w:r>
        <w:rPr>
          <w:rFonts w:hint="eastAsia" w:cs="宋体" w:asciiTheme="minorEastAsia" w:hAnsiTheme="minorEastAsia" w:eastAsiaTheme="minorEastAsia"/>
          <w:color w:val="auto"/>
          <w:highlight w:val="none"/>
        </w:rPr>
        <w:t>中的相关表格及竞标报价说明填写。构成合同文件的已标价工程量清单包括第五章</w:t>
      </w:r>
      <w:r>
        <w:rPr>
          <w:rFonts w:hint="eastAsia" w:asciiTheme="minorEastAsia" w:hAnsiTheme="minorEastAsia" w:eastAsiaTheme="minorEastAsia"/>
          <w:color w:val="auto"/>
          <w:highlight w:val="none"/>
        </w:rPr>
        <w:t>“工程量清单及图纸”</w:t>
      </w:r>
      <w:r>
        <w:rPr>
          <w:rFonts w:hint="eastAsia" w:cs="宋体" w:asciiTheme="minorEastAsia" w:hAnsiTheme="minorEastAsia" w:eastAsiaTheme="minorEastAsia"/>
          <w:color w:val="auto"/>
          <w:highlight w:val="none"/>
        </w:rPr>
        <w:t>有关工程量清单、竞标报价以及其他说明的内容。</w:t>
      </w:r>
    </w:p>
    <w:p w14:paraId="69C32F64">
      <w:pPr>
        <w:spacing w:line="360" w:lineRule="auto"/>
        <w:ind w:firstLine="420" w:firstLineChars="200"/>
        <w:rPr>
          <w:rFonts w:hint="eastAsia" w:asciiTheme="minorEastAsia" w:hAnsiTheme="minorEastAsia" w:eastAsiaTheme="minorEastAsia"/>
          <w:color w:val="auto"/>
          <w:highlight w:val="none"/>
        </w:rPr>
      </w:pPr>
      <w:r>
        <w:rPr>
          <w:rFonts w:asciiTheme="minorEastAsia" w:hAnsiTheme="minorEastAsia" w:eastAsiaTheme="minorEastAsia"/>
          <w:color w:val="auto"/>
          <w:highlight w:val="none"/>
        </w:rPr>
        <w:t>2.</w:t>
      </w:r>
      <w:r>
        <w:rPr>
          <w:rFonts w:hint="eastAsia" w:cs="宋体" w:asciiTheme="minorEastAsia" w:hAnsiTheme="minorEastAsia" w:eastAsiaTheme="minorEastAsia"/>
          <w:color w:val="auto"/>
          <w:highlight w:val="none"/>
        </w:rPr>
        <w:t>一般计税法建设工程已标价工程量清单表格按</w:t>
      </w:r>
      <w:r>
        <w:rPr>
          <w:rFonts w:hint="eastAsia" w:cs="宋体" w:asciiTheme="minorEastAsia" w:hAnsiTheme="minorEastAsia" w:eastAsiaTheme="minorEastAsia"/>
          <w:color w:val="auto"/>
          <w:kern w:val="0"/>
          <w:highlight w:val="none"/>
        </w:rPr>
        <w:t>《关于建筑业实施营业税改征增值税后广西壮族自治区建设工程计价依据调整的通知》（桂建标〔</w:t>
      </w:r>
      <w:r>
        <w:rPr>
          <w:rFonts w:asciiTheme="minorEastAsia" w:hAnsiTheme="minorEastAsia" w:eastAsiaTheme="minorEastAsia"/>
          <w:color w:val="auto"/>
          <w:kern w:val="0"/>
          <w:highlight w:val="none"/>
        </w:rPr>
        <w:t>2016</w:t>
      </w:r>
      <w:r>
        <w:rPr>
          <w:rFonts w:hint="eastAsia" w:cs="宋体" w:asciiTheme="minorEastAsia" w:hAnsiTheme="minorEastAsia" w:eastAsiaTheme="minorEastAsia"/>
          <w:color w:val="auto"/>
          <w:kern w:val="0"/>
          <w:highlight w:val="none"/>
        </w:rPr>
        <w:t>〕</w:t>
      </w:r>
      <w:r>
        <w:rPr>
          <w:rFonts w:asciiTheme="minorEastAsia" w:hAnsiTheme="minorEastAsia" w:eastAsiaTheme="minorEastAsia"/>
          <w:color w:val="auto"/>
          <w:kern w:val="0"/>
          <w:highlight w:val="none"/>
        </w:rPr>
        <w:t>17</w:t>
      </w:r>
      <w:r>
        <w:rPr>
          <w:rFonts w:hint="eastAsia" w:cs="宋体" w:asciiTheme="minorEastAsia" w:hAnsiTheme="minorEastAsia" w:eastAsiaTheme="minorEastAsia"/>
          <w:color w:val="auto"/>
          <w:kern w:val="0"/>
          <w:highlight w:val="none"/>
        </w:rPr>
        <w:t>号）</w:t>
      </w:r>
      <w:r>
        <w:rPr>
          <w:rFonts w:hint="eastAsia" w:cs="宋体" w:asciiTheme="minorEastAsia" w:hAnsiTheme="minorEastAsia" w:eastAsiaTheme="minorEastAsia"/>
          <w:color w:val="auto"/>
          <w:highlight w:val="none"/>
        </w:rPr>
        <w:t>附件“增值税一般计税方法工程计价表”要求提供，简易计税法表格按《</w:t>
      </w:r>
      <w:r>
        <w:rPr>
          <w:rFonts w:asciiTheme="minorEastAsia" w:hAnsiTheme="minorEastAsia" w:eastAsiaTheme="minorEastAsia"/>
          <w:color w:val="auto"/>
          <w:highlight w:val="none"/>
        </w:rPr>
        <w:t>&lt;</w:t>
      </w:r>
      <w:r>
        <w:rPr>
          <w:rFonts w:hint="eastAsia" w:cs="宋体" w:asciiTheme="minorEastAsia" w:hAnsiTheme="minorEastAsia" w:eastAsiaTheme="minorEastAsia"/>
          <w:color w:val="auto"/>
          <w:highlight w:val="none"/>
        </w:rPr>
        <w:t>建设工程工程量清单计价规范</w:t>
      </w:r>
      <w:r>
        <w:rPr>
          <w:rFonts w:asciiTheme="minorEastAsia" w:hAnsiTheme="minorEastAsia" w:eastAsiaTheme="minorEastAsia"/>
          <w:color w:val="auto"/>
          <w:highlight w:val="none"/>
        </w:rPr>
        <w:t>&gt;</w:t>
      </w:r>
      <w:r>
        <w:rPr>
          <w:rFonts w:hint="eastAsia" w:cs="宋体" w:asciiTheme="minorEastAsia" w:hAnsiTheme="minorEastAsia" w:eastAsiaTheme="minorEastAsia"/>
          <w:color w:val="auto"/>
          <w:highlight w:val="none"/>
        </w:rPr>
        <w:t>（</w:t>
      </w:r>
      <w:r>
        <w:rPr>
          <w:rFonts w:asciiTheme="minorEastAsia" w:hAnsiTheme="minorEastAsia" w:eastAsiaTheme="minorEastAsia"/>
          <w:color w:val="auto"/>
          <w:highlight w:val="none"/>
        </w:rPr>
        <w:t>GB5050-2013</w:t>
      </w:r>
      <w:r>
        <w:rPr>
          <w:rFonts w:hint="eastAsia" w:cs="宋体" w:asciiTheme="minorEastAsia" w:hAnsiTheme="minorEastAsia" w:eastAsiaTheme="minorEastAsia"/>
          <w:color w:val="auto"/>
          <w:highlight w:val="none"/>
        </w:rPr>
        <w:t>）广西壮族自治区实施细则》要求的表格提供，但规费和税费按照</w:t>
      </w:r>
      <w:r>
        <w:rPr>
          <w:rFonts w:hint="eastAsia" w:cs="宋体" w:asciiTheme="minorEastAsia" w:hAnsiTheme="minorEastAsia" w:eastAsiaTheme="minorEastAsia"/>
          <w:color w:val="auto"/>
          <w:kern w:val="0"/>
          <w:highlight w:val="none"/>
        </w:rPr>
        <w:t>《关于建筑业实施营业税改征增值税后广西壮族自治区建设工程计价依据调整的通知》（桂建标〔</w:t>
      </w:r>
      <w:r>
        <w:rPr>
          <w:rFonts w:asciiTheme="minorEastAsia" w:hAnsiTheme="minorEastAsia" w:eastAsiaTheme="minorEastAsia"/>
          <w:color w:val="auto"/>
          <w:kern w:val="0"/>
          <w:highlight w:val="none"/>
        </w:rPr>
        <w:t>2016</w:t>
      </w:r>
      <w:r>
        <w:rPr>
          <w:rFonts w:hint="eastAsia" w:cs="宋体" w:asciiTheme="minorEastAsia" w:hAnsiTheme="minorEastAsia" w:eastAsiaTheme="minorEastAsia"/>
          <w:color w:val="auto"/>
          <w:kern w:val="0"/>
          <w:highlight w:val="none"/>
        </w:rPr>
        <w:t>〕</w:t>
      </w:r>
      <w:r>
        <w:rPr>
          <w:rFonts w:asciiTheme="minorEastAsia" w:hAnsiTheme="minorEastAsia" w:eastAsiaTheme="minorEastAsia"/>
          <w:color w:val="auto"/>
          <w:kern w:val="0"/>
          <w:highlight w:val="none"/>
        </w:rPr>
        <w:t>17</w:t>
      </w:r>
      <w:r>
        <w:rPr>
          <w:rFonts w:hint="eastAsia" w:cs="宋体" w:asciiTheme="minorEastAsia" w:hAnsiTheme="minorEastAsia" w:eastAsiaTheme="minorEastAsia"/>
          <w:color w:val="auto"/>
          <w:kern w:val="0"/>
          <w:highlight w:val="none"/>
        </w:rPr>
        <w:t>号）、《自治区住房城乡建设厅关于调整建设工程计价增值税税率的通知》（桂建标〔2018〕14号）、《自治区住房城乡建设厅关于调整建设工程计价增值税税率的通知》（桂建标〔2019〕12号）</w:t>
      </w:r>
      <w:r>
        <w:rPr>
          <w:rFonts w:hint="eastAsia" w:cs="宋体" w:asciiTheme="minorEastAsia" w:hAnsiTheme="minorEastAsia" w:eastAsiaTheme="minorEastAsia"/>
          <w:color w:val="auto"/>
          <w:highlight w:val="none"/>
        </w:rPr>
        <w:t>调整，具体内容包括：</w:t>
      </w:r>
    </w:p>
    <w:p w14:paraId="6B099936">
      <w:pPr>
        <w:spacing w:line="360" w:lineRule="auto"/>
        <w:ind w:firstLine="420" w:firstLineChars="200"/>
        <w:rPr>
          <w:rFonts w:hint="eastAsia" w:cs="宋体" w:asciiTheme="minorEastAsia" w:hAnsiTheme="minorEastAsia" w:eastAsiaTheme="minorEastAsia"/>
          <w:color w:val="auto"/>
          <w:kern w:val="0"/>
          <w:highlight w:val="none"/>
        </w:rPr>
      </w:pPr>
      <w:r>
        <w:rPr>
          <w:rFonts w:hint="eastAsia" w:cs="宋体" w:asciiTheme="minorEastAsia" w:hAnsiTheme="minorEastAsia" w:eastAsiaTheme="minorEastAsia"/>
          <w:color w:val="auto"/>
          <w:kern w:val="0"/>
          <w:highlight w:val="none"/>
        </w:rPr>
        <w:t>1.1 投标总价（封-3）</w:t>
      </w:r>
    </w:p>
    <w:p w14:paraId="6A479C55">
      <w:pPr>
        <w:spacing w:line="360" w:lineRule="auto"/>
        <w:ind w:firstLine="420" w:firstLineChars="200"/>
        <w:rPr>
          <w:rFonts w:hint="eastAsia" w:cs="宋体" w:asciiTheme="minorEastAsia" w:hAnsiTheme="minorEastAsia" w:eastAsiaTheme="minorEastAsia"/>
          <w:color w:val="auto"/>
          <w:kern w:val="0"/>
          <w:highlight w:val="none"/>
        </w:rPr>
      </w:pPr>
      <w:r>
        <w:rPr>
          <w:rFonts w:hint="eastAsia" w:cs="宋体" w:asciiTheme="minorEastAsia" w:hAnsiTheme="minorEastAsia" w:eastAsiaTheme="minorEastAsia"/>
          <w:color w:val="auto"/>
          <w:kern w:val="0"/>
          <w:highlight w:val="none"/>
        </w:rPr>
        <w:t>1.2 投标总价（扉-3）</w:t>
      </w:r>
    </w:p>
    <w:p w14:paraId="5845627D">
      <w:pPr>
        <w:spacing w:line="360" w:lineRule="auto"/>
        <w:ind w:firstLine="420" w:firstLineChars="200"/>
        <w:rPr>
          <w:rFonts w:hint="eastAsia" w:cs="宋体" w:asciiTheme="minorEastAsia" w:hAnsiTheme="minorEastAsia" w:eastAsiaTheme="minorEastAsia"/>
          <w:color w:val="auto"/>
          <w:kern w:val="0"/>
          <w:highlight w:val="none"/>
        </w:rPr>
      </w:pPr>
      <w:r>
        <w:rPr>
          <w:rFonts w:hint="eastAsia" w:cs="宋体" w:asciiTheme="minorEastAsia" w:hAnsiTheme="minorEastAsia" w:eastAsiaTheme="minorEastAsia"/>
          <w:color w:val="auto"/>
          <w:kern w:val="0"/>
          <w:highlight w:val="none"/>
        </w:rPr>
        <w:t>1.3 总说明（表-01）</w:t>
      </w:r>
    </w:p>
    <w:p w14:paraId="78E027AE">
      <w:pPr>
        <w:spacing w:line="360" w:lineRule="auto"/>
        <w:ind w:firstLine="420" w:firstLineChars="200"/>
        <w:rPr>
          <w:rFonts w:hint="eastAsia" w:cs="宋体" w:asciiTheme="minorEastAsia" w:hAnsiTheme="minorEastAsia" w:eastAsiaTheme="minorEastAsia"/>
          <w:color w:val="auto"/>
          <w:kern w:val="0"/>
          <w:highlight w:val="none"/>
        </w:rPr>
      </w:pPr>
      <w:r>
        <w:rPr>
          <w:rFonts w:hint="eastAsia" w:cs="宋体" w:asciiTheme="minorEastAsia" w:hAnsiTheme="minorEastAsia" w:eastAsiaTheme="minorEastAsia"/>
          <w:color w:val="auto"/>
          <w:kern w:val="0"/>
          <w:highlight w:val="none"/>
        </w:rPr>
        <w:t>1.4 建设项目建筑安装工程费汇总表（表-02）</w:t>
      </w:r>
    </w:p>
    <w:p w14:paraId="4A5F28FC">
      <w:pPr>
        <w:spacing w:line="360" w:lineRule="auto"/>
        <w:ind w:firstLine="420" w:firstLineChars="200"/>
        <w:rPr>
          <w:rFonts w:hint="eastAsia" w:cs="宋体" w:asciiTheme="minorEastAsia" w:hAnsiTheme="minorEastAsia" w:eastAsiaTheme="minorEastAsia"/>
          <w:color w:val="auto"/>
          <w:kern w:val="0"/>
          <w:highlight w:val="none"/>
        </w:rPr>
      </w:pPr>
      <w:r>
        <w:rPr>
          <w:rFonts w:hint="eastAsia" w:cs="宋体" w:asciiTheme="minorEastAsia" w:hAnsiTheme="minorEastAsia" w:eastAsiaTheme="minorEastAsia"/>
          <w:color w:val="auto"/>
          <w:kern w:val="0"/>
          <w:highlight w:val="none"/>
        </w:rPr>
        <w:t>1.5 单项工程建筑安装工程费汇总表（表-03）</w:t>
      </w:r>
    </w:p>
    <w:p w14:paraId="3FB41F3E">
      <w:pPr>
        <w:spacing w:line="360" w:lineRule="auto"/>
        <w:ind w:firstLine="420" w:firstLineChars="200"/>
        <w:rPr>
          <w:rFonts w:hint="eastAsia" w:cs="宋体" w:asciiTheme="minorEastAsia" w:hAnsiTheme="minorEastAsia" w:eastAsiaTheme="minorEastAsia"/>
          <w:color w:val="auto"/>
          <w:kern w:val="0"/>
          <w:highlight w:val="none"/>
        </w:rPr>
      </w:pPr>
      <w:r>
        <w:rPr>
          <w:rFonts w:hint="eastAsia" w:cs="宋体" w:asciiTheme="minorEastAsia" w:hAnsiTheme="minorEastAsia" w:eastAsiaTheme="minorEastAsia"/>
          <w:color w:val="auto"/>
          <w:kern w:val="0"/>
          <w:highlight w:val="none"/>
        </w:rPr>
        <w:t>1.6 单位工程建筑安装工程费汇总表（表-04）</w:t>
      </w:r>
    </w:p>
    <w:p w14:paraId="7C1F633D">
      <w:pPr>
        <w:spacing w:line="360" w:lineRule="auto"/>
        <w:ind w:firstLine="420" w:firstLineChars="200"/>
        <w:rPr>
          <w:rFonts w:hint="eastAsia" w:cs="宋体" w:asciiTheme="minorEastAsia" w:hAnsiTheme="minorEastAsia" w:eastAsiaTheme="minorEastAsia"/>
          <w:color w:val="auto"/>
          <w:kern w:val="0"/>
          <w:highlight w:val="none"/>
        </w:rPr>
      </w:pPr>
      <w:r>
        <w:rPr>
          <w:rFonts w:hint="eastAsia" w:cs="宋体" w:asciiTheme="minorEastAsia" w:hAnsiTheme="minorEastAsia" w:eastAsiaTheme="minorEastAsia"/>
          <w:color w:val="auto"/>
          <w:kern w:val="0"/>
          <w:highlight w:val="none"/>
        </w:rPr>
        <w:t>1.7 分部分项工程和单价措施项目费用表（表-08）</w:t>
      </w:r>
    </w:p>
    <w:p w14:paraId="5B2F1392">
      <w:pPr>
        <w:spacing w:line="360" w:lineRule="auto"/>
        <w:ind w:firstLine="420" w:firstLineChars="200"/>
        <w:rPr>
          <w:rFonts w:hint="eastAsia" w:cs="宋体" w:asciiTheme="minorEastAsia" w:hAnsiTheme="minorEastAsia" w:eastAsiaTheme="minorEastAsia"/>
          <w:color w:val="auto"/>
          <w:kern w:val="0"/>
          <w:highlight w:val="none"/>
        </w:rPr>
      </w:pPr>
      <w:r>
        <w:rPr>
          <w:rFonts w:hint="eastAsia" w:cs="宋体" w:asciiTheme="minorEastAsia" w:hAnsiTheme="minorEastAsia" w:eastAsiaTheme="minorEastAsia"/>
          <w:color w:val="auto"/>
          <w:kern w:val="0"/>
          <w:highlight w:val="none"/>
        </w:rPr>
        <w:t>1.8 综合单价分析表（表-09）</w:t>
      </w:r>
    </w:p>
    <w:p w14:paraId="04A3CE3D">
      <w:pPr>
        <w:spacing w:line="360" w:lineRule="auto"/>
        <w:ind w:firstLine="420" w:firstLineChars="200"/>
        <w:rPr>
          <w:rFonts w:hint="eastAsia" w:cs="宋体" w:asciiTheme="minorEastAsia" w:hAnsiTheme="minorEastAsia" w:eastAsiaTheme="minorEastAsia"/>
          <w:color w:val="auto"/>
          <w:kern w:val="0"/>
          <w:highlight w:val="none"/>
        </w:rPr>
      </w:pPr>
      <w:r>
        <w:rPr>
          <w:rFonts w:hint="eastAsia" w:cs="宋体" w:asciiTheme="minorEastAsia" w:hAnsiTheme="minorEastAsia" w:eastAsiaTheme="minorEastAsia"/>
          <w:color w:val="auto"/>
          <w:kern w:val="0"/>
          <w:highlight w:val="none"/>
        </w:rPr>
        <w:t>1.9 总价措施项目费用表（表-</w:t>
      </w:r>
      <w:r>
        <w:rPr>
          <w:rFonts w:hint="eastAsia" w:cs="宋体" w:asciiTheme="minorEastAsia" w:hAnsiTheme="minorEastAsia" w:eastAsiaTheme="minorEastAsia"/>
          <w:color w:val="auto"/>
          <w:kern w:val="0"/>
          <w:highlight w:val="none"/>
          <w:lang w:val="en-US" w:eastAsia="zh-CN"/>
        </w:rPr>
        <w:t>10</w:t>
      </w:r>
      <w:r>
        <w:rPr>
          <w:rFonts w:hint="eastAsia" w:cs="宋体" w:asciiTheme="minorEastAsia" w:hAnsiTheme="minorEastAsia" w:eastAsiaTheme="minorEastAsia"/>
          <w:color w:val="auto"/>
          <w:kern w:val="0"/>
          <w:highlight w:val="none"/>
        </w:rPr>
        <w:t>）</w:t>
      </w:r>
    </w:p>
    <w:p w14:paraId="23CF8D23">
      <w:pPr>
        <w:spacing w:line="360" w:lineRule="auto"/>
        <w:ind w:firstLine="420" w:firstLineChars="200"/>
        <w:rPr>
          <w:rFonts w:hint="eastAsia" w:cs="宋体" w:asciiTheme="minorEastAsia" w:hAnsiTheme="minorEastAsia" w:eastAsiaTheme="minorEastAsia"/>
          <w:color w:val="auto"/>
          <w:kern w:val="0"/>
          <w:highlight w:val="none"/>
        </w:rPr>
      </w:pPr>
      <w:r>
        <w:rPr>
          <w:rFonts w:hint="eastAsia" w:cs="宋体" w:asciiTheme="minorEastAsia" w:hAnsiTheme="minorEastAsia" w:eastAsiaTheme="minorEastAsia"/>
          <w:color w:val="auto"/>
          <w:kern w:val="0"/>
          <w:highlight w:val="none"/>
        </w:rPr>
        <w:t>1.10 其他项目费用汇总表（表-11）</w:t>
      </w:r>
    </w:p>
    <w:p w14:paraId="5E7DC712">
      <w:pPr>
        <w:spacing w:line="360" w:lineRule="auto"/>
        <w:ind w:firstLine="420" w:firstLineChars="200"/>
        <w:rPr>
          <w:rFonts w:hint="eastAsia" w:cs="宋体" w:asciiTheme="minorEastAsia" w:hAnsiTheme="minorEastAsia" w:eastAsiaTheme="minorEastAsia"/>
          <w:color w:val="auto"/>
          <w:kern w:val="0"/>
          <w:highlight w:val="none"/>
        </w:rPr>
      </w:pPr>
      <w:r>
        <w:rPr>
          <w:rFonts w:hint="eastAsia" w:cs="宋体" w:asciiTheme="minorEastAsia" w:hAnsiTheme="minorEastAsia" w:eastAsiaTheme="minorEastAsia"/>
          <w:color w:val="auto"/>
          <w:kern w:val="0"/>
          <w:highlight w:val="none"/>
        </w:rPr>
        <w:t>1.11 本工程材料和工程设备一览表（表-22）</w:t>
      </w:r>
    </w:p>
    <w:p w14:paraId="782A0421">
      <w:pPr>
        <w:spacing w:line="360" w:lineRule="auto"/>
        <w:rPr>
          <w:rFonts w:hint="eastAsia"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备注：</w:t>
      </w:r>
    </w:p>
    <w:p w14:paraId="67AB33E6">
      <w:pPr>
        <w:spacing w:line="360" w:lineRule="auto"/>
        <w:ind w:firstLine="420" w:firstLineChars="200"/>
        <w:rPr>
          <w:rFonts w:hint="eastAsia" w:cs="宋体" w:asciiTheme="minorEastAsia" w:hAnsiTheme="minorEastAsia" w:eastAsiaTheme="minorEastAsia"/>
          <w:color w:val="auto"/>
          <w:kern w:val="0"/>
          <w:highlight w:val="none"/>
        </w:rPr>
      </w:pPr>
      <w:r>
        <w:rPr>
          <w:rFonts w:hint="eastAsia" w:cs="宋体" w:asciiTheme="minorEastAsia" w:hAnsiTheme="minorEastAsia" w:eastAsiaTheme="minorEastAsia"/>
          <w:color w:val="auto"/>
          <w:kern w:val="0"/>
          <w:highlight w:val="none"/>
        </w:rPr>
        <w:t>（1）供应商在上传竞标报价文件时应上传纸质投标总价封面的原件扫描件。竞标总价封面必须经供应商盖章，并由法定代表人（或其授权人）签字（或盖章），同时由编制人签字盖专用章。</w:t>
      </w:r>
    </w:p>
    <w:p w14:paraId="684AD1E1">
      <w:pPr>
        <w:spacing w:line="360" w:lineRule="auto"/>
        <w:ind w:firstLine="420" w:firstLineChars="200"/>
        <w:rPr>
          <w:rFonts w:hint="eastAsia" w:cs="宋体" w:asciiTheme="minorEastAsia" w:hAnsiTheme="minorEastAsia" w:eastAsiaTheme="minorEastAsia"/>
          <w:color w:val="auto"/>
          <w:kern w:val="0"/>
          <w:highlight w:val="none"/>
        </w:rPr>
      </w:pPr>
      <w:r>
        <w:rPr>
          <w:rFonts w:hint="eastAsia" w:cs="宋体" w:asciiTheme="minorEastAsia" w:hAnsiTheme="minorEastAsia" w:eastAsiaTheme="minorEastAsia"/>
          <w:color w:val="auto"/>
          <w:kern w:val="0"/>
          <w:highlight w:val="none"/>
        </w:rPr>
        <w:t>（</w:t>
      </w:r>
      <w:r>
        <w:rPr>
          <w:rFonts w:hint="eastAsia" w:cs="宋体" w:asciiTheme="minorEastAsia" w:hAnsiTheme="minorEastAsia" w:eastAsiaTheme="minorEastAsia"/>
          <w:color w:val="auto"/>
          <w:kern w:val="0"/>
          <w:highlight w:val="none"/>
          <w:lang w:val="en-US" w:eastAsia="zh-CN"/>
        </w:rPr>
        <w:t>2</w:t>
      </w:r>
      <w:r>
        <w:rPr>
          <w:rFonts w:hint="eastAsia" w:cs="宋体" w:asciiTheme="minorEastAsia" w:hAnsiTheme="minorEastAsia" w:eastAsiaTheme="minorEastAsia"/>
          <w:color w:val="auto"/>
          <w:kern w:val="0"/>
          <w:highlight w:val="none"/>
        </w:rPr>
        <w:t>）已标价工程量清单表格要严格按照招标工程量清单给出的表格要求和内容填报。</w:t>
      </w:r>
    </w:p>
    <w:p w14:paraId="1962A638">
      <w:pPr>
        <w:spacing w:line="360" w:lineRule="auto"/>
        <w:ind w:firstLine="420" w:firstLineChars="200"/>
        <w:rPr>
          <w:rFonts w:hint="eastAsia" w:cs="宋体" w:asciiTheme="minorEastAsia" w:hAnsiTheme="minorEastAsia" w:eastAsiaTheme="minorEastAsia"/>
          <w:color w:val="auto"/>
          <w:kern w:val="0"/>
          <w:highlight w:val="none"/>
        </w:rPr>
      </w:pPr>
      <w:r>
        <w:rPr>
          <w:rFonts w:hint="eastAsia" w:cs="宋体" w:asciiTheme="minorEastAsia" w:hAnsiTheme="minorEastAsia" w:eastAsiaTheme="minorEastAsia"/>
          <w:color w:val="auto"/>
          <w:kern w:val="0"/>
          <w:highlight w:val="none"/>
        </w:rPr>
        <w:t>注：因2021年《广西壮族自治区园林绿化及仿古建筑工程费用定额》采用全费用综合单价形式，故园林绿化及仿古建筑工程的已标价工程量清单采用《自治区住房和城乡建设厅关于建设工程造价改革试点项目招投标及计价规定调整的通知》（桂建标〔2021〕6号）中附件1《建设工程工程量清单计价规范（GB50500-2013）广西壮族自治区实施细则》（适用于工程造价改革试点项目）相关表格，具体以采购人另册发放的工程量清单及相关说明为准。</w:t>
      </w:r>
    </w:p>
    <w:p w14:paraId="6FEFFBAF">
      <w:pPr>
        <w:spacing w:line="360" w:lineRule="auto"/>
        <w:ind w:right="420"/>
        <w:contextualSpacing/>
        <w:jc w:val="center"/>
        <w:rPr>
          <w:rFonts w:hint="eastAsia" w:ascii="宋体" w:hAnsi="宋体"/>
          <w:b/>
          <w:color w:val="auto"/>
          <w:sz w:val="32"/>
          <w:szCs w:val="32"/>
          <w:highlight w:val="none"/>
        </w:rPr>
      </w:pPr>
      <w:r>
        <w:rPr>
          <w:rFonts w:asciiTheme="minorEastAsia" w:hAnsiTheme="minorEastAsia" w:eastAsiaTheme="minorEastAsia"/>
          <w:b/>
          <w:bCs/>
          <w:color w:val="auto"/>
          <w:sz w:val="32"/>
          <w:szCs w:val="32"/>
          <w:highlight w:val="none"/>
        </w:rPr>
        <w:br w:type="page"/>
      </w:r>
      <w:r>
        <w:rPr>
          <w:rFonts w:hint="eastAsia" w:ascii="宋体" w:hAnsi="宋体"/>
          <w:b/>
          <w:bCs/>
          <w:color w:val="auto"/>
          <w:sz w:val="32"/>
          <w:szCs w:val="32"/>
          <w:highlight w:val="none"/>
        </w:rPr>
        <w:t>三、</w:t>
      </w:r>
      <w:r>
        <w:rPr>
          <w:rFonts w:hint="eastAsia" w:ascii="宋体" w:hAnsi="宋体"/>
          <w:b/>
          <w:color w:val="auto"/>
          <w:sz w:val="32"/>
          <w:szCs w:val="32"/>
          <w:highlight w:val="none"/>
        </w:rPr>
        <w:t>商务技术文件格式</w:t>
      </w:r>
    </w:p>
    <w:p w14:paraId="64976900">
      <w:pPr>
        <w:snapToGrid w:val="0"/>
        <w:spacing w:before="120" w:beforeLines="50" w:after="50" w:line="360" w:lineRule="auto"/>
        <w:jc w:val="left"/>
        <w:rPr>
          <w:rFonts w:hint="eastAsia" w:ascii="宋体" w:hAnsi="宋体"/>
          <w:b/>
          <w:color w:val="auto"/>
          <w:sz w:val="32"/>
          <w:szCs w:val="32"/>
          <w:highlight w:val="none"/>
        </w:rPr>
      </w:pPr>
      <w:r>
        <w:rPr>
          <w:rFonts w:hint="eastAsia" w:ascii="宋体" w:hAnsi="宋体"/>
          <w:b/>
          <w:color w:val="auto"/>
          <w:sz w:val="32"/>
          <w:szCs w:val="32"/>
          <w:highlight w:val="none"/>
        </w:rPr>
        <w:t>1.商务技术文件封面格式</w:t>
      </w:r>
    </w:p>
    <w:p w14:paraId="1FA40BBB">
      <w:pPr>
        <w:snapToGrid w:val="0"/>
        <w:spacing w:before="120" w:beforeLines="50" w:after="50"/>
        <w:rPr>
          <w:rFonts w:hint="eastAsia" w:ascii="宋体" w:hAnsi="宋体"/>
          <w:bCs/>
          <w:color w:val="auto"/>
          <w:sz w:val="32"/>
          <w:szCs w:val="20"/>
          <w:highlight w:val="none"/>
        </w:rPr>
      </w:pPr>
      <w:r>
        <w:rPr>
          <w:rFonts w:hint="eastAsia" w:ascii="宋体" w:hAnsi="宋体"/>
          <w:color w:val="auto"/>
          <w:sz w:val="24"/>
          <w:highlight w:val="none"/>
        </w:rPr>
        <w:t xml:space="preserve">                                                    </w:t>
      </w:r>
    </w:p>
    <w:p w14:paraId="7362B988">
      <w:pPr>
        <w:snapToGrid w:val="0"/>
        <w:spacing w:before="120" w:beforeLines="50" w:after="50"/>
        <w:jc w:val="center"/>
        <w:rPr>
          <w:rFonts w:hint="eastAsia" w:ascii="宋体" w:hAnsi="宋体"/>
          <w:color w:val="auto"/>
          <w:sz w:val="24"/>
          <w:szCs w:val="20"/>
          <w:highlight w:val="none"/>
        </w:rPr>
      </w:pPr>
      <w:r>
        <w:rPr>
          <w:rFonts w:hint="eastAsia" w:ascii="宋体" w:hAnsi="宋体"/>
          <w:color w:val="auto"/>
          <w:sz w:val="44"/>
          <w:szCs w:val="44"/>
          <w:highlight w:val="none"/>
        </w:rPr>
        <w:t>电 子 响 应 文 件</w:t>
      </w:r>
    </w:p>
    <w:p w14:paraId="2D7483E1">
      <w:pPr>
        <w:snapToGrid w:val="0"/>
        <w:spacing w:before="120" w:beforeLines="50" w:after="50"/>
        <w:rPr>
          <w:rFonts w:hint="eastAsia" w:ascii="宋体" w:hAnsi="宋体"/>
          <w:color w:val="auto"/>
          <w:sz w:val="24"/>
          <w:szCs w:val="20"/>
          <w:highlight w:val="none"/>
        </w:rPr>
      </w:pPr>
    </w:p>
    <w:p w14:paraId="69F410BF">
      <w:pPr>
        <w:snapToGrid w:val="0"/>
        <w:spacing w:before="120" w:beforeLines="50" w:after="50"/>
        <w:rPr>
          <w:rFonts w:hint="eastAsia" w:ascii="宋体" w:hAnsi="宋体"/>
          <w:color w:val="auto"/>
          <w:sz w:val="24"/>
          <w:szCs w:val="20"/>
          <w:highlight w:val="none"/>
        </w:rPr>
      </w:pPr>
    </w:p>
    <w:p w14:paraId="53337090">
      <w:pPr>
        <w:snapToGrid w:val="0"/>
        <w:spacing w:before="120"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商  务  技  术  文  件</w:t>
      </w:r>
    </w:p>
    <w:p w14:paraId="777223D8">
      <w:pPr>
        <w:snapToGrid w:val="0"/>
        <w:spacing w:before="120" w:beforeLines="50" w:after="50"/>
        <w:rPr>
          <w:rFonts w:hint="eastAsia" w:ascii="宋体" w:hAnsi="宋体"/>
          <w:bCs/>
          <w:color w:val="auto"/>
          <w:sz w:val="24"/>
          <w:szCs w:val="20"/>
          <w:highlight w:val="none"/>
        </w:rPr>
      </w:pPr>
    </w:p>
    <w:p w14:paraId="70D60602">
      <w:pPr>
        <w:snapToGrid w:val="0"/>
        <w:spacing w:before="120" w:beforeLines="50" w:after="50"/>
        <w:rPr>
          <w:rFonts w:hint="eastAsia" w:ascii="宋体" w:hAnsi="宋体"/>
          <w:bCs/>
          <w:color w:val="auto"/>
          <w:sz w:val="24"/>
          <w:szCs w:val="20"/>
          <w:highlight w:val="none"/>
        </w:rPr>
      </w:pPr>
    </w:p>
    <w:p w14:paraId="5DB17455">
      <w:pPr>
        <w:snapToGrid w:val="0"/>
        <w:spacing w:before="120" w:beforeLines="50" w:after="50"/>
        <w:rPr>
          <w:rFonts w:hint="eastAsia" w:ascii="宋体" w:hAnsi="宋体"/>
          <w:bCs/>
          <w:color w:val="auto"/>
          <w:sz w:val="24"/>
          <w:szCs w:val="20"/>
          <w:highlight w:val="none"/>
        </w:rPr>
      </w:pPr>
    </w:p>
    <w:p w14:paraId="7BC8D996">
      <w:pPr>
        <w:snapToGrid w:val="0"/>
        <w:spacing w:before="120" w:beforeLines="50" w:after="50"/>
        <w:rPr>
          <w:rFonts w:hint="eastAsia" w:ascii="宋体" w:hAnsi="宋体"/>
          <w:bCs/>
          <w:color w:val="auto"/>
          <w:sz w:val="24"/>
          <w:szCs w:val="20"/>
          <w:highlight w:val="none"/>
        </w:rPr>
      </w:pPr>
    </w:p>
    <w:p w14:paraId="6350413B">
      <w:pPr>
        <w:snapToGrid w:val="0"/>
        <w:spacing w:before="120" w:beforeLines="50" w:after="50"/>
        <w:rPr>
          <w:rFonts w:hint="eastAsia" w:ascii="宋体" w:hAnsi="宋体"/>
          <w:bCs/>
          <w:color w:val="auto"/>
          <w:sz w:val="24"/>
          <w:szCs w:val="20"/>
          <w:highlight w:val="none"/>
        </w:rPr>
      </w:pPr>
    </w:p>
    <w:p w14:paraId="18E36A73">
      <w:pPr>
        <w:snapToGrid w:val="0"/>
        <w:spacing w:before="120"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67777479">
      <w:pPr>
        <w:snapToGrid w:val="0"/>
        <w:spacing w:before="120" w:beforeLines="50" w:after="50"/>
        <w:ind w:firstLine="720" w:firstLineChars="225"/>
        <w:rPr>
          <w:rFonts w:hint="eastAsia" w:ascii="宋体" w:hAnsi="宋体" w:cs="仿宋_GB2312"/>
          <w:bCs/>
          <w:color w:val="auto"/>
          <w:sz w:val="32"/>
          <w:szCs w:val="32"/>
          <w:highlight w:val="none"/>
        </w:rPr>
      </w:pPr>
    </w:p>
    <w:p w14:paraId="6CBC36B9">
      <w:pPr>
        <w:snapToGrid w:val="0"/>
        <w:spacing w:before="120"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0B8C3F36">
      <w:pPr>
        <w:snapToGrid w:val="0"/>
        <w:spacing w:before="120" w:beforeLines="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14:paraId="1E61B297">
      <w:pPr>
        <w:snapToGrid w:val="0"/>
        <w:spacing w:before="120" w:beforeLines="50" w:after="50"/>
        <w:ind w:firstLine="720" w:firstLineChars="225"/>
        <w:rPr>
          <w:rFonts w:hint="eastAsia" w:ascii="宋体" w:hAnsi="宋体" w:cs="仿宋_GB2312"/>
          <w:bCs/>
          <w:color w:val="auto"/>
          <w:sz w:val="32"/>
          <w:szCs w:val="32"/>
          <w:highlight w:val="none"/>
        </w:rPr>
      </w:pPr>
    </w:p>
    <w:p w14:paraId="250D18A2">
      <w:pPr>
        <w:pStyle w:val="7"/>
        <w:snapToGrid w:val="0"/>
        <w:spacing w:before="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0276C729">
      <w:pPr>
        <w:pStyle w:val="7"/>
        <w:snapToGrid w:val="0"/>
        <w:spacing w:before="50" w:after="50"/>
        <w:ind w:firstLine="640" w:firstLineChars="200"/>
        <w:rPr>
          <w:rFonts w:hint="eastAsia" w:ascii="宋体" w:hAnsi="宋体" w:cs="仿宋_GB2312"/>
          <w:bCs/>
          <w:color w:val="auto"/>
          <w:sz w:val="32"/>
          <w:szCs w:val="32"/>
          <w:highlight w:val="none"/>
        </w:rPr>
      </w:pPr>
    </w:p>
    <w:p w14:paraId="21C32E3D">
      <w:pPr>
        <w:pStyle w:val="7"/>
        <w:snapToGrid w:val="0"/>
        <w:spacing w:before="50" w:after="50"/>
        <w:ind w:firstLine="720" w:firstLineChars="225"/>
        <w:rPr>
          <w:rFonts w:hint="eastAsia" w:ascii="宋体" w:hAnsi="宋体" w:cs="仿宋_GB2312"/>
          <w:bCs/>
          <w:color w:val="auto"/>
          <w:sz w:val="32"/>
          <w:szCs w:val="32"/>
          <w:highlight w:val="none"/>
        </w:rPr>
      </w:pPr>
    </w:p>
    <w:p w14:paraId="57D1926F">
      <w:pPr>
        <w:pStyle w:val="7"/>
        <w:snapToGrid w:val="0"/>
        <w:spacing w:before="50" w:after="50"/>
        <w:ind w:firstLine="0"/>
        <w:rPr>
          <w:rFonts w:hint="eastAsia" w:ascii="宋体" w:hAnsi="宋体" w:cs="仿宋_GB2312"/>
          <w:bCs/>
          <w:color w:val="auto"/>
          <w:sz w:val="32"/>
          <w:szCs w:val="32"/>
          <w:highlight w:val="none"/>
        </w:rPr>
      </w:pPr>
    </w:p>
    <w:p w14:paraId="1DEB869D">
      <w:pPr>
        <w:pStyle w:val="7"/>
        <w:snapToGrid w:val="0"/>
        <w:spacing w:before="50" w:after="50"/>
        <w:ind w:firstLine="1280" w:firstLineChars="400"/>
        <w:rPr>
          <w:rFonts w:hint="eastAsia" w:ascii="宋体" w:hAnsi="宋体" w:cs="仿宋_GB2312"/>
          <w:bCs/>
          <w:color w:val="auto"/>
          <w:sz w:val="32"/>
          <w:szCs w:val="32"/>
          <w:highlight w:val="none"/>
        </w:rPr>
      </w:pPr>
    </w:p>
    <w:p w14:paraId="6F980A27">
      <w:pPr>
        <w:snapToGrid w:val="0"/>
        <w:spacing w:before="120" w:beforeLines="50" w:after="50"/>
        <w:jc w:val="center"/>
        <w:rPr>
          <w:rFonts w:hint="eastAsia"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36CA6132">
      <w:pPr>
        <w:snapToGrid w:val="0"/>
        <w:spacing w:before="120" w:beforeLines="50" w:after="50" w:line="360" w:lineRule="auto"/>
        <w:ind w:right="480" w:firstLine="240" w:firstLineChars="100"/>
        <w:jc w:val="left"/>
        <w:rPr>
          <w:rFonts w:hint="eastAsia" w:ascii="宋体" w:hAnsi="宋体"/>
          <w:b/>
          <w:bCs/>
          <w:color w:val="auto"/>
          <w:sz w:val="24"/>
          <w:highlight w:val="none"/>
        </w:rPr>
      </w:pPr>
      <w:r>
        <w:rPr>
          <w:rFonts w:ascii="宋体" w:hAnsi="宋体"/>
          <w:color w:val="auto"/>
          <w:sz w:val="24"/>
          <w:highlight w:val="none"/>
        </w:rPr>
        <w:br w:type="page"/>
      </w:r>
      <w:r>
        <w:rPr>
          <w:rFonts w:hint="eastAsia" w:ascii="宋体" w:hAnsi="宋体"/>
          <w:b/>
          <w:bCs/>
          <w:color w:val="auto"/>
          <w:sz w:val="32"/>
          <w:szCs w:val="32"/>
          <w:highlight w:val="none"/>
        </w:rPr>
        <w:t>2.商务技术文件目录</w:t>
      </w:r>
    </w:p>
    <w:p w14:paraId="0CFF8BB7">
      <w:pPr>
        <w:snapToGrid w:val="0"/>
        <w:spacing w:before="120" w:beforeLines="50" w:after="50" w:line="360" w:lineRule="auto"/>
        <w:ind w:firstLine="640" w:firstLineChars="200"/>
        <w:rPr>
          <w:rFonts w:hint="eastAsia" w:ascii="宋体" w:hAnsi="宋体"/>
          <w:color w:val="auto"/>
          <w:sz w:val="32"/>
          <w:szCs w:val="32"/>
          <w:highlight w:val="none"/>
        </w:rPr>
      </w:pPr>
      <w:r>
        <w:rPr>
          <w:rFonts w:hint="eastAsia" w:ascii="宋体" w:hAnsi="宋体"/>
          <w:color w:val="auto"/>
          <w:sz w:val="32"/>
          <w:szCs w:val="32"/>
          <w:highlight w:val="none"/>
        </w:rPr>
        <w:t>根据磋商文件规定及供应商提供的材料自行编写目录（部分格式后附）。</w:t>
      </w:r>
    </w:p>
    <w:p w14:paraId="429FA912">
      <w:pPr>
        <w:spacing w:line="400" w:lineRule="exact"/>
        <w:rPr>
          <w:rFonts w:hint="eastAsia" w:ascii="仿宋_GB2312" w:hAnsi="仿宋_GB2312" w:eastAsia="仿宋_GB2312" w:cs="仿宋_GB2312"/>
          <w:color w:val="auto"/>
          <w:sz w:val="32"/>
          <w:szCs w:val="32"/>
          <w:highlight w:val="none"/>
        </w:rPr>
      </w:pPr>
    </w:p>
    <w:p w14:paraId="0225FD39">
      <w:pPr>
        <w:spacing w:line="520" w:lineRule="exact"/>
        <w:jc w:val="center"/>
        <w:rPr>
          <w:rFonts w:hint="eastAsia" w:ascii="仿宋_GB2312" w:hAnsi="仿宋_GB2312" w:eastAsia="仿宋_GB2312" w:cs="仿宋_GB2312"/>
          <w:color w:val="auto"/>
          <w:sz w:val="32"/>
          <w:szCs w:val="32"/>
          <w:highlight w:val="none"/>
        </w:rPr>
      </w:pPr>
      <w:r>
        <w:rPr>
          <w:rFonts w:hint="eastAsia" w:ascii="方正小标宋简体" w:hAnsi="方正小标宋简体" w:eastAsia="方正小标宋简体" w:cs="方正小标宋简体"/>
          <w:color w:val="auto"/>
          <w:sz w:val="44"/>
          <w:szCs w:val="44"/>
          <w:highlight w:val="none"/>
        </w:rPr>
        <w:br w:type="page"/>
      </w:r>
      <w:r>
        <w:rPr>
          <w:rFonts w:hint="eastAsia" w:ascii="方正小标宋简体" w:hAnsi="方正小标宋简体" w:eastAsia="方正小标宋简体" w:cs="方正小标宋简体"/>
          <w:color w:val="auto"/>
          <w:sz w:val="44"/>
          <w:szCs w:val="44"/>
          <w:highlight w:val="none"/>
        </w:rPr>
        <w:t>无串通竞标行为的承诺函</w:t>
      </w:r>
    </w:p>
    <w:p w14:paraId="0670137B">
      <w:pPr>
        <w:spacing w:line="360" w:lineRule="auto"/>
        <w:ind w:firstLine="640" w:firstLineChars="200"/>
        <w:contextualSpacing/>
        <w:rPr>
          <w:rFonts w:hint="eastAsia" w:ascii="仿宋_GB2312" w:hAnsi="仿宋_GB2312" w:eastAsia="仿宋_GB2312" w:cs="仿宋_GB2312"/>
          <w:color w:val="auto"/>
          <w:sz w:val="32"/>
          <w:szCs w:val="32"/>
          <w:highlight w:val="none"/>
        </w:rPr>
      </w:pPr>
    </w:p>
    <w:p w14:paraId="14A809C4">
      <w:pPr>
        <w:spacing w:line="360" w:lineRule="auto"/>
        <w:ind w:firstLine="482" w:firstLineChars="200"/>
        <w:contextualSpacing/>
        <w:rPr>
          <w:rFonts w:hint="eastAsia" w:ascii="宋体" w:hAnsi="宋体" w:cs="仿宋_GB2312"/>
          <w:b/>
          <w:bCs/>
          <w:color w:val="auto"/>
          <w:sz w:val="24"/>
          <w:highlight w:val="none"/>
        </w:rPr>
      </w:pPr>
      <w:r>
        <w:rPr>
          <w:rFonts w:hint="eastAsia" w:ascii="宋体" w:hAnsi="宋体" w:cs="仿宋_GB2312"/>
          <w:b/>
          <w:bCs/>
          <w:color w:val="auto"/>
          <w:sz w:val="24"/>
          <w:highlight w:val="none"/>
        </w:rPr>
        <w:t>一、我方承诺无下列相互串通竞标的情形：</w:t>
      </w:r>
    </w:p>
    <w:p w14:paraId="0D8B5187">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1.不同供应商的响应文件由同一单位或者个人编制； </w:t>
      </w:r>
    </w:p>
    <w:p w14:paraId="34C36E84">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2.不同供应商委托同一单位或者个人办理竞标事宜；</w:t>
      </w:r>
    </w:p>
    <w:p w14:paraId="48737E34">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3.不同供应商的响应文件载明的项目管理员为同一个人；</w:t>
      </w:r>
    </w:p>
    <w:p w14:paraId="11BD7496">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4.不</w:t>
      </w:r>
      <w:r>
        <w:rPr>
          <w:rFonts w:hint="eastAsia" w:ascii="宋体" w:hAnsi="宋体" w:cs="仿宋_GB2312"/>
          <w:color w:val="auto"/>
          <w:spacing w:val="-6"/>
          <w:sz w:val="24"/>
          <w:highlight w:val="none"/>
        </w:rPr>
        <w:t>同供应商的响应文件异常一致或者竞标报价呈规律性差异；</w:t>
      </w:r>
    </w:p>
    <w:p w14:paraId="2C2E58A3">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5.不同供应商的响应文件相互混装；</w:t>
      </w:r>
    </w:p>
    <w:p w14:paraId="090B3D42">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6.不同供应商的磋商保证金从同一单位或者个人账户转出。</w:t>
      </w:r>
    </w:p>
    <w:p w14:paraId="0F39D0DD">
      <w:pPr>
        <w:spacing w:line="360" w:lineRule="auto"/>
        <w:ind w:firstLine="482" w:firstLineChars="200"/>
        <w:contextualSpacing/>
        <w:rPr>
          <w:rFonts w:hint="eastAsia" w:ascii="宋体" w:hAnsi="宋体" w:cs="仿宋_GB2312"/>
          <w:b/>
          <w:bCs/>
          <w:color w:val="auto"/>
          <w:sz w:val="24"/>
          <w:highlight w:val="none"/>
        </w:rPr>
      </w:pPr>
      <w:r>
        <w:rPr>
          <w:rFonts w:hint="eastAsia" w:ascii="宋体" w:hAnsi="宋体" w:cs="仿宋_GB2312"/>
          <w:b/>
          <w:bCs/>
          <w:color w:val="auto"/>
          <w:sz w:val="24"/>
          <w:highlight w:val="none"/>
        </w:rPr>
        <w:t>二、我方承诺无下列恶意串通的情形：</w:t>
      </w:r>
    </w:p>
    <w:p w14:paraId="380E777E">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1.供应商直接或者间接从采购人或者采购代理机构处获得其他供应商的相关信息并修改其响应文件；</w:t>
      </w:r>
    </w:p>
    <w:p w14:paraId="1E0AE202">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2.供应商按照采购人或者采购代理机构的授意撤换、修改响应文件；</w:t>
      </w:r>
    </w:p>
    <w:p w14:paraId="228D3A46">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3.供</w:t>
      </w:r>
      <w:r>
        <w:rPr>
          <w:rFonts w:hint="eastAsia" w:ascii="宋体" w:hAnsi="宋体" w:cs="仿宋_GB2312"/>
          <w:color w:val="auto"/>
          <w:spacing w:val="-6"/>
          <w:sz w:val="24"/>
          <w:highlight w:val="none"/>
        </w:rPr>
        <w:t>应商之间协商报价、技术方案等响应文件的实质性内容；</w:t>
      </w:r>
    </w:p>
    <w:p w14:paraId="1F015737">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4.属于同一集团、协会、商会等组织成员的供应商按照该组织要求协同参加政府采购活动；</w:t>
      </w:r>
    </w:p>
    <w:p w14:paraId="117B8CE9">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5.供应商之间事先约定一致抬高或者压低竞标报价，或者在竞争性磋商项目中事先约定轮流以高价位或者低价位成交，或者事先约定由某一特定供应商成交，然后再参加竞标；</w:t>
      </w:r>
    </w:p>
    <w:p w14:paraId="4BD97566">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6.供应商之间商定部分供应商放弃参加政府采购活动或者放弃成交；</w:t>
      </w:r>
    </w:p>
    <w:p w14:paraId="7079B114">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7.供应商与采购人或者采购代理机构之间、供应商相互之间，为</w:t>
      </w:r>
      <w:r>
        <w:rPr>
          <w:rFonts w:hint="eastAsia" w:ascii="宋体" w:hAnsi="宋体" w:cs="仿宋_GB2312"/>
          <w:color w:val="auto"/>
          <w:spacing w:val="-6"/>
          <w:sz w:val="24"/>
          <w:highlight w:val="none"/>
        </w:rPr>
        <w:t>谋求特定供应商成交或者排斥其他供应商的其他串通行为。</w:t>
      </w:r>
    </w:p>
    <w:p w14:paraId="078B431B">
      <w:pPr>
        <w:spacing w:line="360" w:lineRule="auto"/>
        <w:ind w:firstLine="480" w:firstLineChars="200"/>
        <w:contextualSpacing/>
        <w:rPr>
          <w:rFonts w:hint="eastAsia" w:ascii="宋体" w:hAnsi="宋体" w:cs="仿宋_GB2312"/>
          <w:color w:val="auto"/>
          <w:sz w:val="24"/>
          <w:highlight w:val="none"/>
        </w:rPr>
      </w:pPr>
    </w:p>
    <w:p w14:paraId="049A1996">
      <w:pPr>
        <w:spacing w:line="360" w:lineRule="auto"/>
        <w:ind w:firstLine="482" w:firstLineChars="200"/>
        <w:contextualSpacing/>
        <w:rPr>
          <w:rFonts w:hint="eastAsia" w:ascii="宋体" w:hAnsi="宋体" w:cs="仿宋_GB2312"/>
          <w:b/>
          <w:bCs/>
          <w:color w:val="auto"/>
          <w:sz w:val="24"/>
          <w:highlight w:val="none"/>
        </w:rPr>
      </w:pPr>
      <w:r>
        <w:rPr>
          <w:rFonts w:hint="eastAsia" w:ascii="宋体" w:hAnsi="宋体" w:cs="仿宋_GB2312"/>
          <w:b/>
          <w:bCs/>
          <w:color w:val="auto"/>
          <w:sz w:val="24"/>
          <w:highlight w:val="none"/>
        </w:rPr>
        <w:t>以上情形一经核查属实，我方愿意承担一切后果，并不再寻求任何旨在减轻或者免除法律责任的辩解。</w:t>
      </w:r>
    </w:p>
    <w:p w14:paraId="26D43A81">
      <w:pPr>
        <w:spacing w:line="360" w:lineRule="auto"/>
        <w:contextualSpacing/>
        <w:rPr>
          <w:rFonts w:hint="eastAsia" w:ascii="宋体" w:hAnsi="宋体" w:cs="仿宋_GB2312"/>
          <w:color w:val="auto"/>
          <w:sz w:val="24"/>
          <w:highlight w:val="none"/>
        </w:rPr>
      </w:pPr>
    </w:p>
    <w:p w14:paraId="36D52461">
      <w:pPr>
        <w:spacing w:line="360" w:lineRule="auto"/>
        <w:ind w:firstLine="3600" w:firstLineChars="1500"/>
        <w:contextualSpacing/>
        <w:rPr>
          <w:rFonts w:hint="eastAsia" w:ascii="宋体" w:hAnsi="宋体" w:cs="仿宋_GB2312"/>
          <w:color w:val="auto"/>
          <w:sz w:val="24"/>
          <w:highlight w:val="none"/>
        </w:rPr>
      </w:pPr>
      <w:r>
        <w:rPr>
          <w:rFonts w:hint="eastAsia" w:ascii="宋体" w:hAnsi="宋体" w:cs="仿宋_GB2312"/>
          <w:color w:val="auto"/>
          <w:sz w:val="24"/>
          <w:highlight w:val="none"/>
        </w:rPr>
        <w:t>供应商（电子签章）：</w:t>
      </w:r>
    </w:p>
    <w:p w14:paraId="29E17BF3">
      <w:pPr>
        <w:spacing w:line="360" w:lineRule="auto"/>
        <w:ind w:firstLine="480" w:firstLineChars="200"/>
        <w:contextualSpacing/>
        <w:jc w:val="center"/>
        <w:rPr>
          <w:rFonts w:hint="eastAsia" w:ascii="仿宋_GB2312" w:hAnsi="仿宋_GB2312" w:eastAsia="仿宋_GB2312" w:cs="仿宋_GB2312"/>
          <w:color w:val="auto"/>
          <w:sz w:val="32"/>
          <w:szCs w:val="32"/>
          <w:highlight w:val="none"/>
        </w:rPr>
      </w:pPr>
      <w:r>
        <w:rPr>
          <w:rFonts w:hint="eastAsia" w:ascii="宋体" w:hAnsi="宋体" w:cs="仿宋_GB2312"/>
          <w:color w:val="auto"/>
          <w:sz w:val="24"/>
          <w:highlight w:val="none"/>
        </w:rPr>
        <w:t xml:space="preserve">                               年   月   日</w:t>
      </w:r>
    </w:p>
    <w:p w14:paraId="4A5CE388">
      <w:pPr>
        <w:spacing w:line="520" w:lineRule="exact"/>
        <w:jc w:val="center"/>
        <w:rPr>
          <w:rFonts w:hint="eastAsia" w:ascii="仿宋_GB2312" w:hAnsi="仿宋_GB2312" w:eastAsia="仿宋_GB2312" w:cs="仿宋_GB2312"/>
          <w:color w:val="auto"/>
          <w:sz w:val="32"/>
          <w:szCs w:val="32"/>
          <w:highlight w:val="none"/>
        </w:rPr>
      </w:pPr>
      <w:r>
        <w:rPr>
          <w:rFonts w:hint="eastAsia" w:ascii="方正小标宋简体" w:hAnsi="方正小标宋简体" w:eastAsia="方正小标宋简体" w:cs="方正小标宋简体"/>
          <w:bCs/>
          <w:color w:val="auto"/>
          <w:sz w:val="44"/>
          <w:szCs w:val="44"/>
          <w:highlight w:val="none"/>
        </w:rPr>
        <w:br w:type="page"/>
      </w:r>
      <w:r>
        <w:rPr>
          <w:rFonts w:hint="eastAsia" w:ascii="方正小标宋简体" w:hAnsi="方正小标宋简体" w:eastAsia="方正小标宋简体" w:cs="方正小标宋简体"/>
          <w:bCs/>
          <w:color w:val="auto"/>
          <w:sz w:val="44"/>
          <w:szCs w:val="44"/>
          <w:highlight w:val="none"/>
        </w:rPr>
        <w:t>法定代表人证明书</w:t>
      </w:r>
    </w:p>
    <w:p w14:paraId="6891B278">
      <w:pPr>
        <w:spacing w:line="360" w:lineRule="auto"/>
        <w:ind w:left="540"/>
        <w:contextualSpacing/>
        <w:rPr>
          <w:rFonts w:hint="eastAsia" w:ascii="仿宋_GB2312" w:hAnsi="仿宋_GB2312" w:eastAsia="仿宋_GB2312" w:cs="仿宋_GB2312"/>
          <w:color w:val="auto"/>
          <w:sz w:val="32"/>
          <w:szCs w:val="32"/>
          <w:highlight w:val="none"/>
        </w:rPr>
      </w:pPr>
    </w:p>
    <w:p w14:paraId="38788C2C">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供应商名称：</w:t>
      </w:r>
      <w:r>
        <w:rPr>
          <w:rFonts w:hint="eastAsia" w:ascii="宋体" w:hAnsi="宋体" w:cs="仿宋_GB2312"/>
          <w:color w:val="auto"/>
          <w:sz w:val="24"/>
          <w:highlight w:val="none"/>
          <w:u w:val="single"/>
        </w:rPr>
        <w:t xml:space="preserve">                                                        </w:t>
      </w:r>
    </w:p>
    <w:p w14:paraId="03A64104">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地    址：</w:t>
      </w:r>
      <w:r>
        <w:rPr>
          <w:rFonts w:hint="eastAsia" w:ascii="宋体" w:hAnsi="宋体" w:cs="仿宋_GB2312"/>
          <w:color w:val="auto"/>
          <w:sz w:val="24"/>
          <w:highlight w:val="none"/>
          <w:u w:val="single"/>
        </w:rPr>
        <w:t xml:space="preserve">                                                        </w:t>
      </w:r>
    </w:p>
    <w:p w14:paraId="1C18DF71">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姓    名：</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性     别：</w:t>
      </w:r>
      <w:r>
        <w:rPr>
          <w:rFonts w:hint="eastAsia" w:ascii="宋体" w:hAnsi="宋体" w:cs="仿宋_GB2312"/>
          <w:color w:val="auto"/>
          <w:sz w:val="24"/>
          <w:highlight w:val="none"/>
          <w:u w:val="single"/>
        </w:rPr>
        <w:t xml:space="preserve">                </w:t>
      </w:r>
    </w:p>
    <w:p w14:paraId="0140B33E">
      <w:pPr>
        <w:spacing w:line="360" w:lineRule="auto"/>
        <w:ind w:left="540"/>
        <w:contextualSpacing/>
        <w:rPr>
          <w:rFonts w:hint="eastAsia" w:ascii="宋体" w:hAnsi="宋体" w:cs="仿宋_GB2312"/>
          <w:color w:val="auto"/>
          <w:sz w:val="24"/>
          <w:highlight w:val="none"/>
          <w:u w:val="single"/>
        </w:rPr>
      </w:pPr>
      <w:r>
        <w:rPr>
          <w:rFonts w:hint="eastAsia" w:ascii="宋体" w:hAnsi="宋体" w:cs="仿宋_GB2312"/>
          <w:color w:val="auto"/>
          <w:sz w:val="24"/>
          <w:highlight w:val="none"/>
        </w:rPr>
        <w:t>年    龄：</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职     务：</w:t>
      </w:r>
      <w:r>
        <w:rPr>
          <w:rFonts w:hint="eastAsia" w:ascii="宋体" w:hAnsi="宋体" w:cs="仿宋_GB2312"/>
          <w:color w:val="auto"/>
          <w:sz w:val="24"/>
          <w:highlight w:val="none"/>
          <w:u w:val="single"/>
        </w:rPr>
        <w:t xml:space="preserve">                </w:t>
      </w:r>
    </w:p>
    <w:p w14:paraId="2A29060D">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身份证号码：</w:t>
      </w:r>
      <w:r>
        <w:rPr>
          <w:rFonts w:hint="eastAsia" w:ascii="宋体" w:hAnsi="宋体" w:cs="仿宋_GB2312"/>
          <w:color w:val="auto"/>
          <w:sz w:val="24"/>
          <w:highlight w:val="none"/>
          <w:u w:val="single"/>
        </w:rPr>
        <w:t xml:space="preserve">                                        </w:t>
      </w:r>
    </w:p>
    <w:p w14:paraId="02D9E0DE">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系</w:t>
      </w:r>
      <w:r>
        <w:rPr>
          <w:rFonts w:hint="eastAsia" w:ascii="宋体" w:hAnsi="宋体" w:cs="仿宋_GB2312"/>
          <w:color w:val="auto"/>
          <w:sz w:val="24"/>
          <w:highlight w:val="none"/>
          <w:u w:val="single"/>
        </w:rPr>
        <w:t>（供应商名称）</w:t>
      </w:r>
      <w:r>
        <w:rPr>
          <w:rFonts w:hint="eastAsia" w:ascii="宋体" w:hAnsi="宋体" w:cs="仿宋_GB2312"/>
          <w:color w:val="auto"/>
          <w:sz w:val="24"/>
          <w:highlight w:val="none"/>
        </w:rPr>
        <w:t>的法定代表人。</w:t>
      </w:r>
    </w:p>
    <w:p w14:paraId="7B944FD7">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特此证明。</w:t>
      </w:r>
    </w:p>
    <w:p w14:paraId="03C7F398">
      <w:pPr>
        <w:spacing w:line="360" w:lineRule="auto"/>
        <w:ind w:left="540"/>
        <w:contextualSpacing/>
        <w:rPr>
          <w:rFonts w:hint="eastAsia" w:ascii="宋体" w:hAnsi="宋体" w:cs="仿宋_GB2312"/>
          <w:color w:val="auto"/>
          <w:sz w:val="24"/>
          <w:highlight w:val="none"/>
        </w:rPr>
      </w:pPr>
    </w:p>
    <w:p w14:paraId="28D8C033">
      <w:pPr>
        <w:spacing w:line="360" w:lineRule="auto"/>
        <w:ind w:left="540"/>
        <w:contextualSpacing/>
        <w:rPr>
          <w:rFonts w:hint="eastAsia" w:ascii="宋体" w:hAnsi="宋体" w:cs="仿宋_GB2312"/>
          <w:color w:val="auto"/>
          <w:sz w:val="24"/>
          <w:highlight w:val="none"/>
        </w:rPr>
      </w:pPr>
    </w:p>
    <w:p w14:paraId="1E521DED">
      <w:pPr>
        <w:spacing w:line="360" w:lineRule="auto"/>
        <w:ind w:left="540"/>
        <w:contextualSpacing/>
        <w:rPr>
          <w:rFonts w:hint="eastAsia" w:ascii="宋体" w:hAnsi="宋体" w:cs="仿宋_GB2312"/>
          <w:color w:val="auto"/>
          <w:sz w:val="24"/>
          <w:highlight w:val="none"/>
        </w:rPr>
      </w:pPr>
    </w:p>
    <w:p w14:paraId="4F52C5D1">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附件：法定代表人有效身份证正反面复印件</w:t>
      </w:r>
    </w:p>
    <w:p w14:paraId="357BD006">
      <w:pPr>
        <w:spacing w:line="360" w:lineRule="auto"/>
        <w:ind w:left="540"/>
        <w:contextualSpacing/>
        <w:rPr>
          <w:rFonts w:hint="eastAsia" w:ascii="宋体" w:hAnsi="宋体" w:cs="仿宋_GB2312"/>
          <w:color w:val="auto"/>
          <w:sz w:val="24"/>
          <w:highlight w:val="none"/>
        </w:rPr>
      </w:pPr>
    </w:p>
    <w:p w14:paraId="69E83BA3">
      <w:pPr>
        <w:spacing w:line="360" w:lineRule="auto"/>
        <w:ind w:left="540" w:firstLine="3000" w:firstLineChars="1250"/>
        <w:contextualSpacing/>
        <w:jc w:val="left"/>
        <w:rPr>
          <w:rFonts w:hint="eastAsia" w:ascii="宋体" w:hAnsi="宋体" w:cs="仿宋_GB2312"/>
          <w:color w:val="auto"/>
          <w:sz w:val="24"/>
          <w:highlight w:val="none"/>
        </w:rPr>
      </w:pPr>
      <w:r>
        <w:rPr>
          <w:rFonts w:hint="eastAsia" w:ascii="宋体" w:hAnsi="宋体" w:cs="仿宋_GB2312"/>
          <w:color w:val="auto"/>
          <w:sz w:val="24"/>
          <w:highlight w:val="none"/>
        </w:rPr>
        <w:t>供应商（电子签章）：</w:t>
      </w:r>
      <w:r>
        <w:rPr>
          <w:rFonts w:hint="eastAsia" w:ascii="宋体" w:hAnsi="宋体" w:cs="仿宋_GB2312"/>
          <w:color w:val="auto"/>
          <w:sz w:val="24"/>
          <w:highlight w:val="none"/>
          <w:u w:val="single"/>
        </w:rPr>
        <w:t xml:space="preserve">               </w:t>
      </w:r>
    </w:p>
    <w:p w14:paraId="0D44C4AB">
      <w:pPr>
        <w:spacing w:line="360" w:lineRule="auto"/>
        <w:ind w:firstLine="4080" w:firstLineChars="1700"/>
        <w:contextualSpacing/>
        <w:rPr>
          <w:rFonts w:hint="eastAsia" w:ascii="宋体" w:hAnsi="宋体" w:cs="仿宋_GB2312"/>
          <w:color w:val="auto"/>
          <w:sz w:val="24"/>
          <w:highlight w:val="none"/>
        </w:rPr>
      </w:pP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年</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月</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日</w:t>
      </w:r>
    </w:p>
    <w:p w14:paraId="22398F8B">
      <w:pPr>
        <w:spacing w:line="360" w:lineRule="auto"/>
        <w:contextualSpacing/>
        <w:jc w:val="center"/>
        <w:rPr>
          <w:rFonts w:hint="eastAsia" w:ascii="宋体" w:hAnsi="宋体" w:cs="仿宋_GB2312"/>
          <w:b/>
          <w:color w:val="auto"/>
          <w:sz w:val="24"/>
          <w:highlight w:val="none"/>
        </w:rPr>
      </w:pPr>
    </w:p>
    <w:p w14:paraId="15447C8C">
      <w:pPr>
        <w:spacing w:line="360" w:lineRule="auto"/>
        <w:contextualSpacing/>
        <w:jc w:val="left"/>
        <w:rPr>
          <w:rFonts w:hint="eastAsia" w:ascii="宋体" w:hAnsi="宋体" w:cs="仿宋_GB2312"/>
          <w:color w:val="auto"/>
          <w:sz w:val="24"/>
          <w:highlight w:val="none"/>
        </w:rPr>
      </w:pPr>
    </w:p>
    <w:p w14:paraId="7F6AD169">
      <w:pPr>
        <w:spacing w:line="360" w:lineRule="auto"/>
        <w:contextualSpacing/>
        <w:jc w:val="left"/>
        <w:rPr>
          <w:rFonts w:hint="eastAsia" w:ascii="宋体" w:hAnsi="宋体" w:cs="仿宋_GB2312"/>
          <w:color w:val="auto"/>
          <w:sz w:val="24"/>
          <w:highlight w:val="none"/>
        </w:rPr>
      </w:pPr>
    </w:p>
    <w:p w14:paraId="3FF09F15">
      <w:pPr>
        <w:adjustRightInd w:val="0"/>
        <w:snapToGrid w:val="0"/>
        <w:spacing w:line="300" w:lineRule="auto"/>
        <w:jc w:val="left"/>
        <w:rPr>
          <w:rFonts w:hint="eastAsia" w:ascii="宋体" w:hAnsi="宋体"/>
          <w:b/>
          <w:color w:val="auto"/>
          <w:szCs w:val="21"/>
          <w:highlight w:val="none"/>
        </w:rPr>
      </w:pPr>
    </w:p>
    <w:p w14:paraId="0D13BEE0">
      <w:pPr>
        <w:spacing w:line="500" w:lineRule="exac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br w:type="page"/>
      </w:r>
      <w:r>
        <w:rPr>
          <w:rFonts w:ascii="方正小标宋简体" w:hAnsi="方正小标宋简体" w:eastAsia="方正小标宋简体" w:cs="方正小标宋简体"/>
          <w:color w:val="auto"/>
          <w:sz w:val="44"/>
          <w:szCs w:val="44"/>
          <w:highlight w:val="none"/>
        </w:rPr>
        <w:t xml:space="preserve"> </w:t>
      </w:r>
      <w:bookmarkStart w:id="102" w:name="_Hlk65853643"/>
      <w:r>
        <w:rPr>
          <w:rFonts w:hint="eastAsia" w:ascii="方正小标宋简体" w:hAnsi="方正小标宋简体" w:eastAsia="方正小标宋简体" w:cs="方正小标宋简体"/>
          <w:color w:val="auto"/>
          <w:sz w:val="44"/>
          <w:szCs w:val="44"/>
          <w:highlight w:val="none"/>
        </w:rPr>
        <w:t>授权委托书</w:t>
      </w:r>
    </w:p>
    <w:p w14:paraId="498E4D79">
      <w:pPr>
        <w:spacing w:line="520" w:lineRule="exac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32"/>
          <w:szCs w:val="32"/>
          <w:highlight w:val="none"/>
        </w:rPr>
        <w:t>（如有委托时）</w:t>
      </w:r>
    </w:p>
    <w:p w14:paraId="733EFA57">
      <w:pPr>
        <w:spacing w:line="520" w:lineRule="exact"/>
        <w:rPr>
          <w:rFonts w:hint="eastAsia" w:ascii="仿宋_GB2312" w:hAnsi="仿宋_GB2312" w:eastAsia="仿宋_GB2312" w:cs="仿宋_GB2312"/>
          <w:color w:val="auto"/>
          <w:sz w:val="32"/>
          <w:szCs w:val="32"/>
          <w:highlight w:val="none"/>
        </w:rPr>
      </w:pPr>
    </w:p>
    <w:p w14:paraId="5216BE36">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致：</w:t>
      </w:r>
      <w:r>
        <w:rPr>
          <w:rFonts w:hint="eastAsia" w:ascii="宋体" w:hAnsi="宋体" w:cs="仿宋_GB2312"/>
          <w:color w:val="auto"/>
          <w:sz w:val="24"/>
          <w:highlight w:val="none"/>
          <w:u w:val="single"/>
        </w:rPr>
        <w:t>（采购人名称）</w:t>
      </w:r>
      <w:r>
        <w:rPr>
          <w:rFonts w:hint="eastAsia" w:ascii="宋体" w:hAnsi="宋体" w:cs="仿宋_GB2312"/>
          <w:color w:val="auto"/>
          <w:sz w:val="24"/>
          <w:highlight w:val="none"/>
        </w:rPr>
        <w:t>：</w:t>
      </w:r>
    </w:p>
    <w:p w14:paraId="4D8BF8F4">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我</w:t>
      </w:r>
      <w:r>
        <w:rPr>
          <w:rFonts w:hint="eastAsia" w:ascii="宋体" w:hAnsi="宋体" w:cs="仿宋_GB2312"/>
          <w:color w:val="auto"/>
          <w:sz w:val="24"/>
          <w:highlight w:val="none"/>
          <w:u w:val="single"/>
        </w:rPr>
        <w:t xml:space="preserve">  （姓名）  </w:t>
      </w:r>
      <w:r>
        <w:rPr>
          <w:rFonts w:hint="eastAsia" w:ascii="宋体" w:hAnsi="宋体" w:cs="仿宋_GB2312"/>
          <w:color w:val="auto"/>
          <w:sz w:val="24"/>
          <w:highlight w:val="none"/>
        </w:rPr>
        <w:t>系</w:t>
      </w:r>
      <w:r>
        <w:rPr>
          <w:rFonts w:hint="eastAsia" w:ascii="宋体" w:hAnsi="宋体" w:cs="仿宋_GB2312"/>
          <w:color w:val="auto"/>
          <w:sz w:val="24"/>
          <w:highlight w:val="none"/>
          <w:u w:val="single"/>
        </w:rPr>
        <w:t xml:space="preserve">  （供应商名称）  </w:t>
      </w:r>
      <w:r>
        <w:rPr>
          <w:rFonts w:hint="eastAsia" w:ascii="宋体" w:hAnsi="宋体" w:cs="仿宋_GB2312"/>
          <w:color w:val="auto"/>
          <w:sz w:val="24"/>
          <w:highlight w:val="none"/>
        </w:rPr>
        <w:t>的（</w:t>
      </w:r>
      <w:r>
        <w:rPr>
          <w:rFonts w:hint="eastAsia" w:ascii="宋体" w:hAnsi="宋体" w:cs="仿宋_GB2312"/>
          <w:color w:val="auto"/>
          <w:sz w:val="24"/>
          <w:highlight w:val="none"/>
          <w:u w:val="single"/>
        </w:rPr>
        <w:t>□法定代表人/□负责人</w:t>
      </w:r>
      <w:r>
        <w:rPr>
          <w:rFonts w:hint="eastAsia" w:ascii="宋体" w:hAnsi="宋体" w:cs="仿宋_GB2312"/>
          <w:color w:val="auto"/>
          <w:sz w:val="24"/>
          <w:highlight w:val="none"/>
        </w:rPr>
        <w:t>），现授权</w:t>
      </w:r>
      <w:r>
        <w:rPr>
          <w:rFonts w:hint="eastAsia" w:ascii="宋体" w:hAnsi="宋体" w:cs="仿宋_GB2312"/>
          <w:color w:val="auto"/>
          <w:sz w:val="24"/>
          <w:highlight w:val="none"/>
          <w:u w:val="single"/>
        </w:rPr>
        <w:t xml:space="preserve"> （姓名） </w:t>
      </w:r>
      <w:r>
        <w:rPr>
          <w:rFonts w:hint="eastAsia" w:ascii="宋体" w:hAnsi="宋体" w:cs="仿宋_GB2312"/>
          <w:color w:val="auto"/>
          <w:sz w:val="24"/>
          <w:highlight w:val="none"/>
        </w:rPr>
        <w:t>以我方的名义参加</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项目的竞标活动，并代表我方全权办理针对上述项目的所有采购程序和环节的具体事务和签署相关文件。</w:t>
      </w:r>
    </w:p>
    <w:p w14:paraId="0DDA9298">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 xml:space="preserve">    我方对委托代理人的签字</w:t>
      </w:r>
      <w:r>
        <w:rPr>
          <w:rFonts w:hint="eastAsia" w:ascii="宋体" w:hAnsi="宋体"/>
          <w:color w:val="auto"/>
          <w:sz w:val="24"/>
          <w:highlight w:val="none"/>
        </w:rPr>
        <w:t>或者电子签名</w:t>
      </w:r>
      <w:r>
        <w:rPr>
          <w:rFonts w:hint="eastAsia" w:ascii="宋体" w:hAnsi="宋体" w:cs="仿宋_GB2312"/>
          <w:color w:val="auto"/>
          <w:sz w:val="24"/>
          <w:highlight w:val="none"/>
        </w:rPr>
        <w:t>事项负全部责任。</w:t>
      </w:r>
    </w:p>
    <w:p w14:paraId="15367E8E">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本授权书自签署之日起生效，在撤销授权的书面通知以前，本授权书一直有效。委托代理人在授权书有效期内签署的所有文件不因授权的撤销而失效。</w:t>
      </w:r>
    </w:p>
    <w:p w14:paraId="66A1BCF0">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委托代理人无转委托权，特此委托。</w:t>
      </w:r>
    </w:p>
    <w:p w14:paraId="65DA3B98">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附：法定代表人身份证明书及委托代理人有效身份证正反面复印件</w:t>
      </w:r>
    </w:p>
    <w:p w14:paraId="002D3274">
      <w:pPr>
        <w:spacing w:line="360" w:lineRule="auto"/>
        <w:rPr>
          <w:rFonts w:hint="eastAsia" w:ascii="宋体" w:hAnsi="宋体" w:cs="仿宋_GB2312"/>
          <w:color w:val="auto"/>
          <w:sz w:val="24"/>
          <w:highlight w:val="none"/>
        </w:rPr>
      </w:pPr>
    </w:p>
    <w:p w14:paraId="60F545C2">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委托代理人（</w:t>
      </w:r>
      <w:r>
        <w:rPr>
          <w:rFonts w:hint="eastAsia" w:ascii="宋体" w:hAnsi="宋体"/>
          <w:color w:val="auto"/>
          <w:sz w:val="24"/>
          <w:highlight w:val="none"/>
        </w:rPr>
        <w:t>签字或者电子签名</w:t>
      </w:r>
      <w:r>
        <w:rPr>
          <w:rFonts w:hint="eastAsia" w:ascii="宋体" w:hAnsi="宋体" w:cs="仿宋_GB2312"/>
          <w:color w:val="auto"/>
          <w:sz w:val="24"/>
          <w:highlight w:val="none"/>
        </w:rPr>
        <w:t xml:space="preserve">）：     法定代表人（签字或者盖章或者电子签名）：                    </w:t>
      </w:r>
    </w:p>
    <w:p w14:paraId="3C821778">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委托代理人身份证号码：                              </w:t>
      </w:r>
    </w:p>
    <w:p w14:paraId="65CB1F59">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                                </w:t>
      </w:r>
    </w:p>
    <w:p w14:paraId="3C7E817C">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 xml:space="preserve">                         供应商（电子签章）：                      </w:t>
      </w:r>
    </w:p>
    <w:p w14:paraId="5C3A37F4">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 xml:space="preserve">                                         年    月    日</w:t>
      </w:r>
    </w:p>
    <w:p w14:paraId="4081778A">
      <w:pPr>
        <w:spacing w:line="360" w:lineRule="auto"/>
        <w:rPr>
          <w:rFonts w:hint="eastAsia" w:ascii="宋体" w:hAnsi="宋体" w:cs="仿宋_GB2312"/>
          <w:color w:val="auto"/>
          <w:sz w:val="24"/>
          <w:highlight w:val="none"/>
        </w:rPr>
      </w:pPr>
    </w:p>
    <w:p w14:paraId="41D3B230">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注：法定代表人必须在授权委托书上签字或者盖章</w:t>
      </w:r>
      <w:r>
        <w:rPr>
          <w:rFonts w:hint="eastAsia" w:ascii="宋体" w:hAnsi="宋体"/>
          <w:color w:val="auto"/>
          <w:sz w:val="24"/>
          <w:highlight w:val="none"/>
        </w:rPr>
        <w:t>或者电子签名</w:t>
      </w:r>
      <w:r>
        <w:rPr>
          <w:rFonts w:hint="eastAsia" w:ascii="宋体" w:hAnsi="宋体" w:cs="仿宋_GB2312"/>
          <w:color w:val="auto"/>
          <w:sz w:val="24"/>
          <w:highlight w:val="none"/>
        </w:rPr>
        <w:t>，委托代理人必须在授权委托书上签字或者电子签名，</w:t>
      </w:r>
      <w:r>
        <w:rPr>
          <w:rFonts w:hint="eastAsia" w:ascii="宋体" w:hAnsi="宋体" w:cs="仿宋_GB2312"/>
          <w:b/>
          <w:color w:val="auto"/>
          <w:sz w:val="24"/>
          <w:highlight w:val="none"/>
        </w:rPr>
        <w:t>否则其响应文件按无效处理。</w:t>
      </w:r>
    </w:p>
    <w:p w14:paraId="7167B918">
      <w:pPr>
        <w:spacing w:line="360" w:lineRule="auto"/>
        <w:ind w:firstLine="420" w:firstLineChars="200"/>
        <w:jc w:val="left"/>
        <w:rPr>
          <w:rFonts w:hint="eastAsia" w:ascii="仿宋_GB2312" w:hAnsi="仿宋_GB2312" w:eastAsia="仿宋_GB2312" w:cs="仿宋_GB2312"/>
          <w:color w:val="auto"/>
          <w:szCs w:val="21"/>
          <w:highlight w:val="none"/>
        </w:rPr>
      </w:pPr>
    </w:p>
    <w:p w14:paraId="3334CFDF">
      <w:pPr>
        <w:spacing w:line="500" w:lineRule="exact"/>
        <w:jc w:val="center"/>
        <w:rPr>
          <w:b/>
          <w:bCs/>
          <w:color w:val="auto"/>
          <w:sz w:val="44"/>
          <w:szCs w:val="44"/>
          <w:highlight w:val="none"/>
        </w:rPr>
      </w:pPr>
      <w:r>
        <w:rPr>
          <w:rFonts w:ascii="仿宋_GB2312" w:hAnsi="仿宋_GB2312" w:eastAsia="仿宋_GB2312" w:cs="仿宋_GB2312"/>
          <w:color w:val="auto"/>
          <w:szCs w:val="21"/>
          <w:highlight w:val="none"/>
        </w:rPr>
        <w:br w:type="page"/>
      </w:r>
      <w:bookmarkEnd w:id="102"/>
      <w:r>
        <w:rPr>
          <w:rFonts w:hint="eastAsia"/>
          <w:b/>
          <w:bCs/>
          <w:color w:val="auto"/>
          <w:sz w:val="44"/>
          <w:szCs w:val="44"/>
          <w:highlight w:val="none"/>
        </w:rPr>
        <w:t>技术及其他要求、商务要求响应承诺表格式</w:t>
      </w:r>
    </w:p>
    <w:p w14:paraId="0C17651F">
      <w:pPr>
        <w:pStyle w:val="7"/>
        <w:rPr>
          <w:color w:val="auto"/>
          <w:highlight w:val="none"/>
        </w:rPr>
      </w:pPr>
    </w:p>
    <w:tbl>
      <w:tblPr>
        <w:tblStyle w:val="47"/>
        <w:tblpPr w:leftFromText="180" w:rightFromText="180" w:vertAnchor="text" w:horzAnchor="margin" w:tblpY="221"/>
        <w:tblOverlap w:val="never"/>
        <w:tblW w:w="895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505"/>
        <w:gridCol w:w="6454"/>
      </w:tblGrid>
      <w:tr w14:paraId="306C9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7" w:hRule="atLeast"/>
        </w:trPr>
        <w:tc>
          <w:tcPr>
            <w:tcW w:w="2505" w:type="dxa"/>
            <w:tcBorders>
              <w:top w:val="single" w:color="auto" w:sz="4" w:space="0"/>
              <w:left w:val="single" w:color="auto" w:sz="4" w:space="0"/>
              <w:bottom w:val="single" w:color="auto" w:sz="4" w:space="0"/>
              <w:right w:val="single" w:color="auto" w:sz="4" w:space="0"/>
            </w:tcBorders>
            <w:vAlign w:val="center"/>
          </w:tcPr>
          <w:p w14:paraId="788F1832">
            <w:pPr>
              <w:snapToGrid w:val="0"/>
              <w:spacing w:before="120" w:beforeLines="50" w:line="360" w:lineRule="auto"/>
              <w:jc w:val="center"/>
              <w:rPr>
                <w:color w:val="auto"/>
                <w:sz w:val="24"/>
                <w:highlight w:val="none"/>
              </w:rPr>
            </w:pPr>
            <w:r>
              <w:rPr>
                <w:rFonts w:hint="eastAsia"/>
                <w:color w:val="auto"/>
                <w:sz w:val="24"/>
                <w:highlight w:val="none"/>
              </w:rPr>
              <w:t>项目</w:t>
            </w:r>
          </w:p>
        </w:tc>
        <w:tc>
          <w:tcPr>
            <w:tcW w:w="6454" w:type="dxa"/>
            <w:tcBorders>
              <w:top w:val="single" w:color="auto" w:sz="4" w:space="0"/>
              <w:left w:val="single" w:color="auto" w:sz="4" w:space="0"/>
              <w:bottom w:val="single" w:color="auto" w:sz="4" w:space="0"/>
              <w:right w:val="single" w:color="auto" w:sz="4" w:space="0"/>
            </w:tcBorders>
            <w:vAlign w:val="center"/>
          </w:tcPr>
          <w:p w14:paraId="24A03060">
            <w:pPr>
              <w:snapToGrid w:val="0"/>
              <w:spacing w:before="120" w:beforeLines="50" w:line="320" w:lineRule="exact"/>
              <w:jc w:val="center"/>
              <w:rPr>
                <w:color w:val="auto"/>
                <w:sz w:val="24"/>
                <w:highlight w:val="none"/>
              </w:rPr>
            </w:pPr>
            <w:r>
              <w:rPr>
                <w:rFonts w:hint="eastAsia"/>
                <w:color w:val="auto"/>
                <w:sz w:val="24"/>
                <w:highlight w:val="none"/>
              </w:rPr>
              <w:t>对应第三章</w:t>
            </w:r>
            <w:r>
              <w:rPr>
                <w:color w:val="auto"/>
                <w:sz w:val="24"/>
                <w:highlight w:val="none"/>
              </w:rPr>
              <w:t xml:space="preserve"> </w:t>
            </w:r>
            <w:r>
              <w:rPr>
                <w:rFonts w:hint="eastAsia"/>
                <w:color w:val="auto"/>
                <w:sz w:val="24"/>
                <w:highlight w:val="none"/>
              </w:rPr>
              <w:t>采购需求“技术及其他要求”及</w:t>
            </w:r>
            <w:r>
              <w:rPr>
                <w:color w:val="auto"/>
                <w:sz w:val="24"/>
                <w:highlight w:val="none"/>
              </w:rPr>
              <w:t>“</w:t>
            </w:r>
            <w:r>
              <w:rPr>
                <w:rFonts w:hint="eastAsia"/>
                <w:color w:val="auto"/>
                <w:sz w:val="24"/>
                <w:highlight w:val="none"/>
              </w:rPr>
              <w:t>商务要求</w:t>
            </w:r>
            <w:r>
              <w:rPr>
                <w:color w:val="auto"/>
                <w:sz w:val="24"/>
                <w:highlight w:val="none"/>
              </w:rPr>
              <w:t>”</w:t>
            </w:r>
            <w:r>
              <w:rPr>
                <w:rFonts w:hint="eastAsia"/>
                <w:color w:val="auto"/>
                <w:sz w:val="24"/>
                <w:highlight w:val="none"/>
              </w:rPr>
              <w:t>，</w:t>
            </w:r>
            <w:r>
              <w:rPr>
                <w:color w:val="auto"/>
                <w:sz w:val="24"/>
                <w:highlight w:val="none"/>
              </w:rPr>
              <w:t xml:space="preserve"> </w:t>
            </w:r>
            <w:r>
              <w:rPr>
                <w:rFonts w:hint="eastAsia"/>
                <w:color w:val="auto"/>
                <w:sz w:val="24"/>
                <w:highlight w:val="none"/>
              </w:rPr>
              <w:t>供应商的响应承诺情况</w:t>
            </w:r>
          </w:p>
        </w:tc>
      </w:tr>
      <w:tr w14:paraId="55AF15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959" w:type="dxa"/>
            <w:gridSpan w:val="2"/>
            <w:tcBorders>
              <w:top w:val="single" w:color="auto" w:sz="4" w:space="0"/>
              <w:left w:val="single" w:color="auto" w:sz="4" w:space="0"/>
              <w:bottom w:val="single" w:color="auto" w:sz="4" w:space="0"/>
              <w:right w:val="single" w:color="auto" w:sz="4" w:space="0"/>
            </w:tcBorders>
            <w:vAlign w:val="center"/>
          </w:tcPr>
          <w:p w14:paraId="4FE66B4C">
            <w:pPr>
              <w:snapToGrid w:val="0"/>
              <w:spacing w:before="120" w:beforeLines="50" w:line="360" w:lineRule="auto"/>
              <w:jc w:val="left"/>
              <w:rPr>
                <w:b/>
                <w:color w:val="auto"/>
                <w:sz w:val="24"/>
                <w:highlight w:val="none"/>
              </w:rPr>
            </w:pPr>
            <w:r>
              <w:rPr>
                <w:rFonts w:hint="eastAsia"/>
                <w:b/>
                <w:color w:val="auto"/>
                <w:sz w:val="24"/>
                <w:highlight w:val="none"/>
              </w:rPr>
              <w:t>一、</w:t>
            </w:r>
            <w:r>
              <w:rPr>
                <w:rFonts w:hint="eastAsia"/>
                <w:b/>
                <w:color w:val="auto"/>
                <w:highlight w:val="none"/>
              </w:rPr>
              <w:t>技术及其他要求</w:t>
            </w:r>
          </w:p>
        </w:tc>
      </w:tr>
      <w:tr w14:paraId="6464ED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505" w:type="dxa"/>
            <w:tcBorders>
              <w:top w:val="single" w:color="auto" w:sz="4" w:space="0"/>
              <w:left w:val="single" w:color="auto" w:sz="4" w:space="0"/>
              <w:bottom w:val="single" w:color="auto" w:sz="4" w:space="0"/>
              <w:right w:val="single" w:color="auto" w:sz="4" w:space="0"/>
            </w:tcBorders>
            <w:vAlign w:val="center"/>
          </w:tcPr>
          <w:p w14:paraId="38C98620">
            <w:pPr>
              <w:pStyle w:val="115"/>
              <w:spacing w:line="400" w:lineRule="exact"/>
              <w:ind w:firstLine="0" w:firstLineChars="0"/>
              <w:jc w:val="center"/>
              <w:rPr>
                <w:b/>
                <w:color w:val="auto"/>
                <w:szCs w:val="21"/>
                <w:highlight w:val="none"/>
              </w:rPr>
            </w:pPr>
            <w:r>
              <w:rPr>
                <w:rFonts w:hint="eastAsia" w:ascii="宋体" w:hAnsi="宋体"/>
                <w:color w:val="auto"/>
                <w:highlight w:val="none"/>
              </w:rPr>
              <w:t>（一）工程概况</w:t>
            </w:r>
          </w:p>
        </w:tc>
        <w:tc>
          <w:tcPr>
            <w:tcW w:w="6454" w:type="dxa"/>
            <w:tcBorders>
              <w:top w:val="single" w:color="auto" w:sz="4" w:space="0"/>
              <w:left w:val="single" w:color="auto" w:sz="4" w:space="0"/>
              <w:bottom w:val="single" w:color="auto" w:sz="4" w:space="0"/>
              <w:right w:val="single" w:color="auto" w:sz="4" w:space="0"/>
            </w:tcBorders>
          </w:tcPr>
          <w:p w14:paraId="262B40E2">
            <w:pPr>
              <w:spacing w:line="320" w:lineRule="exact"/>
              <w:jc w:val="left"/>
              <w:rPr>
                <w:b/>
                <w:color w:val="auto"/>
                <w:szCs w:val="21"/>
                <w:highlight w:val="none"/>
              </w:rPr>
            </w:pPr>
          </w:p>
        </w:tc>
      </w:tr>
      <w:tr w14:paraId="1ED7B0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505" w:type="dxa"/>
            <w:tcBorders>
              <w:top w:val="single" w:color="auto" w:sz="4" w:space="0"/>
              <w:left w:val="single" w:color="auto" w:sz="4" w:space="0"/>
              <w:bottom w:val="single" w:color="auto" w:sz="4" w:space="0"/>
              <w:right w:val="single" w:color="auto" w:sz="4" w:space="0"/>
            </w:tcBorders>
            <w:vAlign w:val="center"/>
          </w:tcPr>
          <w:p w14:paraId="0F0A5B6D">
            <w:pPr>
              <w:spacing w:line="320" w:lineRule="exact"/>
              <w:jc w:val="center"/>
              <w:rPr>
                <w:b/>
                <w:color w:val="auto"/>
                <w:szCs w:val="21"/>
                <w:highlight w:val="none"/>
              </w:rPr>
            </w:pPr>
            <w:r>
              <w:rPr>
                <w:rFonts w:hint="eastAsia" w:ascii="宋体" w:hAnsi="宋体"/>
                <w:color w:val="auto"/>
                <w:highlight w:val="none"/>
              </w:rPr>
              <w:t>（二）质量要求</w:t>
            </w:r>
          </w:p>
        </w:tc>
        <w:tc>
          <w:tcPr>
            <w:tcW w:w="6454" w:type="dxa"/>
            <w:tcBorders>
              <w:top w:val="single" w:color="auto" w:sz="4" w:space="0"/>
              <w:left w:val="single" w:color="auto" w:sz="4" w:space="0"/>
              <w:bottom w:val="single" w:color="auto" w:sz="4" w:space="0"/>
              <w:right w:val="single" w:color="auto" w:sz="4" w:space="0"/>
            </w:tcBorders>
          </w:tcPr>
          <w:p w14:paraId="1B6222A4">
            <w:pPr>
              <w:spacing w:line="320" w:lineRule="exact"/>
              <w:jc w:val="left"/>
              <w:rPr>
                <w:b/>
                <w:color w:val="auto"/>
                <w:szCs w:val="21"/>
                <w:highlight w:val="none"/>
              </w:rPr>
            </w:pPr>
          </w:p>
        </w:tc>
      </w:tr>
      <w:tr w14:paraId="6D903A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505" w:type="dxa"/>
            <w:tcBorders>
              <w:top w:val="single" w:color="auto" w:sz="4" w:space="0"/>
              <w:left w:val="single" w:color="auto" w:sz="4" w:space="0"/>
              <w:bottom w:val="single" w:color="auto" w:sz="4" w:space="0"/>
              <w:right w:val="single" w:color="auto" w:sz="4" w:space="0"/>
            </w:tcBorders>
            <w:vAlign w:val="center"/>
          </w:tcPr>
          <w:p w14:paraId="5394CD60">
            <w:pPr>
              <w:spacing w:line="320" w:lineRule="exact"/>
              <w:jc w:val="center"/>
              <w:rPr>
                <w:b/>
                <w:color w:val="auto"/>
                <w:szCs w:val="21"/>
                <w:highlight w:val="none"/>
              </w:rPr>
            </w:pPr>
            <w:r>
              <w:rPr>
                <w:rFonts w:hint="eastAsia" w:ascii="宋体" w:hAnsi="宋体"/>
                <w:color w:val="auto"/>
                <w:highlight w:val="none"/>
              </w:rPr>
              <w:t>（三）安全要求</w:t>
            </w:r>
          </w:p>
        </w:tc>
        <w:tc>
          <w:tcPr>
            <w:tcW w:w="6454" w:type="dxa"/>
            <w:tcBorders>
              <w:top w:val="single" w:color="auto" w:sz="4" w:space="0"/>
              <w:left w:val="single" w:color="auto" w:sz="4" w:space="0"/>
              <w:bottom w:val="single" w:color="auto" w:sz="4" w:space="0"/>
              <w:right w:val="single" w:color="auto" w:sz="4" w:space="0"/>
            </w:tcBorders>
          </w:tcPr>
          <w:p w14:paraId="0E97B891">
            <w:pPr>
              <w:spacing w:line="320" w:lineRule="exact"/>
              <w:jc w:val="left"/>
              <w:rPr>
                <w:b/>
                <w:color w:val="auto"/>
                <w:szCs w:val="21"/>
                <w:highlight w:val="none"/>
              </w:rPr>
            </w:pPr>
          </w:p>
        </w:tc>
      </w:tr>
      <w:tr w14:paraId="4A8F21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505" w:type="dxa"/>
            <w:tcBorders>
              <w:top w:val="single" w:color="auto" w:sz="4" w:space="0"/>
              <w:left w:val="single" w:color="auto" w:sz="4" w:space="0"/>
              <w:bottom w:val="single" w:color="auto" w:sz="4" w:space="0"/>
              <w:right w:val="single" w:color="auto" w:sz="4" w:space="0"/>
            </w:tcBorders>
            <w:vAlign w:val="center"/>
          </w:tcPr>
          <w:p w14:paraId="51170C67">
            <w:pPr>
              <w:spacing w:line="320" w:lineRule="exact"/>
              <w:jc w:val="center"/>
              <w:rPr>
                <w:b/>
                <w:color w:val="auto"/>
                <w:szCs w:val="21"/>
                <w:highlight w:val="none"/>
              </w:rPr>
            </w:pPr>
            <w:r>
              <w:rPr>
                <w:rFonts w:hint="eastAsia" w:ascii="宋体" w:hAnsi="宋体"/>
                <w:color w:val="auto"/>
                <w:highlight w:val="none"/>
              </w:rPr>
              <w:t>（四）技术要求</w:t>
            </w:r>
          </w:p>
        </w:tc>
        <w:tc>
          <w:tcPr>
            <w:tcW w:w="6454" w:type="dxa"/>
            <w:tcBorders>
              <w:top w:val="single" w:color="auto" w:sz="4" w:space="0"/>
              <w:left w:val="single" w:color="auto" w:sz="4" w:space="0"/>
              <w:bottom w:val="single" w:color="auto" w:sz="4" w:space="0"/>
              <w:right w:val="single" w:color="auto" w:sz="4" w:space="0"/>
            </w:tcBorders>
            <w:vAlign w:val="center"/>
          </w:tcPr>
          <w:p w14:paraId="7C43A7F3">
            <w:pPr>
              <w:spacing w:line="320" w:lineRule="exact"/>
              <w:rPr>
                <w:b/>
                <w:color w:val="auto"/>
                <w:szCs w:val="21"/>
                <w:highlight w:val="none"/>
              </w:rPr>
            </w:pPr>
          </w:p>
        </w:tc>
      </w:tr>
      <w:tr w14:paraId="0F76E4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505" w:type="dxa"/>
            <w:tcBorders>
              <w:top w:val="single" w:color="auto" w:sz="4" w:space="0"/>
              <w:left w:val="single" w:color="auto" w:sz="4" w:space="0"/>
              <w:bottom w:val="single" w:color="auto" w:sz="4" w:space="0"/>
              <w:right w:val="single" w:color="auto" w:sz="4" w:space="0"/>
            </w:tcBorders>
            <w:vAlign w:val="center"/>
          </w:tcPr>
          <w:p w14:paraId="7017EBE8">
            <w:pPr>
              <w:spacing w:line="320" w:lineRule="exact"/>
              <w:jc w:val="center"/>
              <w:rPr>
                <w:b/>
                <w:color w:val="auto"/>
                <w:szCs w:val="21"/>
                <w:highlight w:val="none"/>
              </w:rPr>
            </w:pPr>
            <w:r>
              <w:rPr>
                <w:rFonts w:hint="eastAsia" w:ascii="宋体" w:hAnsi="宋体"/>
                <w:color w:val="auto"/>
                <w:highlight w:val="none"/>
              </w:rPr>
              <w:t>（五）报价形式</w:t>
            </w:r>
          </w:p>
        </w:tc>
        <w:tc>
          <w:tcPr>
            <w:tcW w:w="6454" w:type="dxa"/>
            <w:tcBorders>
              <w:top w:val="single" w:color="auto" w:sz="4" w:space="0"/>
              <w:left w:val="single" w:color="auto" w:sz="4" w:space="0"/>
              <w:bottom w:val="single" w:color="auto" w:sz="4" w:space="0"/>
              <w:right w:val="single" w:color="auto" w:sz="4" w:space="0"/>
            </w:tcBorders>
          </w:tcPr>
          <w:p w14:paraId="60C20CEE">
            <w:pPr>
              <w:spacing w:line="320" w:lineRule="exact"/>
              <w:rPr>
                <w:b/>
                <w:color w:val="auto"/>
                <w:szCs w:val="21"/>
                <w:highlight w:val="none"/>
              </w:rPr>
            </w:pPr>
          </w:p>
        </w:tc>
      </w:tr>
      <w:tr w14:paraId="441591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505" w:type="dxa"/>
            <w:tcBorders>
              <w:top w:val="single" w:color="auto" w:sz="4" w:space="0"/>
              <w:left w:val="single" w:color="auto" w:sz="4" w:space="0"/>
              <w:bottom w:val="single" w:color="auto" w:sz="4" w:space="0"/>
              <w:right w:val="single" w:color="auto" w:sz="4" w:space="0"/>
            </w:tcBorders>
            <w:vAlign w:val="center"/>
          </w:tcPr>
          <w:p w14:paraId="5F3433E2">
            <w:pPr>
              <w:spacing w:line="320" w:lineRule="exact"/>
              <w:jc w:val="center"/>
              <w:rPr>
                <w:b/>
                <w:color w:val="auto"/>
                <w:szCs w:val="21"/>
                <w:highlight w:val="none"/>
              </w:rPr>
            </w:pPr>
            <w:r>
              <w:rPr>
                <w:rFonts w:hint="eastAsia" w:ascii="宋体" w:hAnsi="宋体" w:cs="宋体"/>
                <w:color w:val="auto"/>
                <w:szCs w:val="21"/>
                <w:highlight w:val="none"/>
              </w:rPr>
              <w:t>（六）项目管理机构人员</w:t>
            </w:r>
          </w:p>
        </w:tc>
        <w:tc>
          <w:tcPr>
            <w:tcW w:w="6454" w:type="dxa"/>
            <w:tcBorders>
              <w:top w:val="single" w:color="auto" w:sz="4" w:space="0"/>
              <w:left w:val="single" w:color="auto" w:sz="4" w:space="0"/>
              <w:bottom w:val="single" w:color="auto" w:sz="4" w:space="0"/>
              <w:right w:val="single" w:color="auto" w:sz="4" w:space="0"/>
            </w:tcBorders>
          </w:tcPr>
          <w:p w14:paraId="70B753C5">
            <w:pPr>
              <w:pStyle w:val="32"/>
              <w:spacing w:line="320" w:lineRule="exact"/>
              <w:rPr>
                <w:b/>
                <w:color w:val="auto"/>
                <w:kern w:val="2"/>
                <w:sz w:val="21"/>
                <w:highlight w:val="none"/>
              </w:rPr>
            </w:pPr>
          </w:p>
        </w:tc>
      </w:tr>
      <w:tr w14:paraId="746FD6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959" w:type="dxa"/>
            <w:gridSpan w:val="2"/>
            <w:tcBorders>
              <w:top w:val="single" w:color="auto" w:sz="4" w:space="0"/>
              <w:left w:val="single" w:color="auto" w:sz="4" w:space="0"/>
              <w:bottom w:val="single" w:color="auto" w:sz="4" w:space="0"/>
              <w:right w:val="single" w:color="auto" w:sz="4" w:space="0"/>
            </w:tcBorders>
            <w:vAlign w:val="center"/>
          </w:tcPr>
          <w:p w14:paraId="0A72E2B4">
            <w:pPr>
              <w:spacing w:line="320" w:lineRule="exact"/>
              <w:jc w:val="left"/>
              <w:rPr>
                <w:b/>
                <w:color w:val="auto"/>
                <w:szCs w:val="21"/>
                <w:highlight w:val="none"/>
              </w:rPr>
            </w:pPr>
            <w:r>
              <w:rPr>
                <w:rFonts w:hint="eastAsia"/>
                <w:b/>
                <w:color w:val="auto"/>
                <w:szCs w:val="21"/>
                <w:highlight w:val="none"/>
              </w:rPr>
              <w:t>二、</w:t>
            </w:r>
            <w:r>
              <w:rPr>
                <w:rFonts w:hint="eastAsia" w:ascii="宋体" w:hAnsi="宋体"/>
                <w:b/>
                <w:color w:val="auto"/>
                <w:szCs w:val="21"/>
                <w:highlight w:val="none"/>
              </w:rPr>
              <w:t>商务要求</w:t>
            </w:r>
          </w:p>
        </w:tc>
      </w:tr>
      <w:tr w14:paraId="789C88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505" w:type="dxa"/>
            <w:tcBorders>
              <w:top w:val="single" w:color="auto" w:sz="4" w:space="0"/>
              <w:left w:val="single" w:color="auto" w:sz="4" w:space="0"/>
              <w:bottom w:val="single" w:color="auto" w:sz="4" w:space="0"/>
              <w:right w:val="single" w:color="auto" w:sz="4" w:space="0"/>
            </w:tcBorders>
            <w:vAlign w:val="center"/>
          </w:tcPr>
          <w:p w14:paraId="018B8909">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（一）计划工期</w:t>
            </w:r>
          </w:p>
        </w:tc>
        <w:tc>
          <w:tcPr>
            <w:tcW w:w="6454" w:type="dxa"/>
            <w:tcBorders>
              <w:top w:val="single" w:color="auto" w:sz="4" w:space="0"/>
              <w:left w:val="single" w:color="auto" w:sz="4" w:space="0"/>
              <w:bottom w:val="single" w:color="auto" w:sz="4" w:space="0"/>
              <w:right w:val="single" w:color="auto" w:sz="4" w:space="0"/>
            </w:tcBorders>
          </w:tcPr>
          <w:p w14:paraId="6114DE2F">
            <w:pPr>
              <w:spacing w:line="320" w:lineRule="exact"/>
              <w:jc w:val="left"/>
              <w:rPr>
                <w:b/>
                <w:color w:val="auto"/>
                <w:szCs w:val="21"/>
                <w:highlight w:val="none"/>
              </w:rPr>
            </w:pPr>
          </w:p>
        </w:tc>
      </w:tr>
      <w:tr w14:paraId="767855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505" w:type="dxa"/>
            <w:tcBorders>
              <w:top w:val="single" w:color="auto" w:sz="4" w:space="0"/>
              <w:left w:val="single" w:color="auto" w:sz="4" w:space="0"/>
              <w:bottom w:val="single" w:color="auto" w:sz="4" w:space="0"/>
              <w:right w:val="single" w:color="auto" w:sz="4" w:space="0"/>
            </w:tcBorders>
            <w:vAlign w:val="center"/>
          </w:tcPr>
          <w:p w14:paraId="2830F428">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（二）建设地点</w:t>
            </w:r>
          </w:p>
        </w:tc>
        <w:tc>
          <w:tcPr>
            <w:tcW w:w="6454" w:type="dxa"/>
            <w:tcBorders>
              <w:top w:val="single" w:color="auto" w:sz="4" w:space="0"/>
              <w:left w:val="single" w:color="auto" w:sz="4" w:space="0"/>
              <w:bottom w:val="single" w:color="auto" w:sz="4" w:space="0"/>
              <w:right w:val="single" w:color="auto" w:sz="4" w:space="0"/>
            </w:tcBorders>
          </w:tcPr>
          <w:p w14:paraId="79135A33">
            <w:pPr>
              <w:spacing w:line="320" w:lineRule="exact"/>
              <w:jc w:val="left"/>
              <w:rPr>
                <w:b/>
                <w:color w:val="auto"/>
                <w:szCs w:val="21"/>
                <w:highlight w:val="none"/>
              </w:rPr>
            </w:pPr>
          </w:p>
        </w:tc>
      </w:tr>
      <w:tr w14:paraId="01B724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505" w:type="dxa"/>
            <w:tcBorders>
              <w:top w:val="single" w:color="auto" w:sz="4" w:space="0"/>
              <w:left w:val="single" w:color="auto" w:sz="4" w:space="0"/>
              <w:bottom w:val="single" w:color="auto" w:sz="4" w:space="0"/>
              <w:right w:val="single" w:color="auto" w:sz="4" w:space="0"/>
            </w:tcBorders>
            <w:vAlign w:val="center"/>
          </w:tcPr>
          <w:p w14:paraId="0167B87A">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（三）合同签订时间</w:t>
            </w:r>
          </w:p>
        </w:tc>
        <w:tc>
          <w:tcPr>
            <w:tcW w:w="6454" w:type="dxa"/>
            <w:tcBorders>
              <w:top w:val="single" w:color="auto" w:sz="4" w:space="0"/>
              <w:left w:val="single" w:color="auto" w:sz="4" w:space="0"/>
              <w:bottom w:val="single" w:color="auto" w:sz="4" w:space="0"/>
              <w:right w:val="single" w:color="auto" w:sz="4" w:space="0"/>
            </w:tcBorders>
          </w:tcPr>
          <w:p w14:paraId="031CC4D0">
            <w:pPr>
              <w:spacing w:line="320" w:lineRule="exact"/>
              <w:jc w:val="left"/>
              <w:rPr>
                <w:b/>
                <w:color w:val="auto"/>
                <w:szCs w:val="21"/>
                <w:highlight w:val="none"/>
              </w:rPr>
            </w:pPr>
          </w:p>
        </w:tc>
      </w:tr>
      <w:tr w14:paraId="31B26C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505" w:type="dxa"/>
            <w:tcBorders>
              <w:top w:val="single" w:color="auto" w:sz="4" w:space="0"/>
              <w:left w:val="single" w:color="auto" w:sz="4" w:space="0"/>
              <w:bottom w:val="single" w:color="auto" w:sz="4" w:space="0"/>
              <w:right w:val="single" w:color="auto" w:sz="4" w:space="0"/>
            </w:tcBorders>
            <w:vAlign w:val="center"/>
          </w:tcPr>
          <w:p w14:paraId="6A05C569">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（四）付款条件（进度和方式）</w:t>
            </w:r>
          </w:p>
        </w:tc>
        <w:tc>
          <w:tcPr>
            <w:tcW w:w="6454" w:type="dxa"/>
            <w:tcBorders>
              <w:top w:val="single" w:color="auto" w:sz="4" w:space="0"/>
              <w:left w:val="single" w:color="auto" w:sz="4" w:space="0"/>
              <w:bottom w:val="single" w:color="auto" w:sz="4" w:space="0"/>
              <w:right w:val="single" w:color="auto" w:sz="4" w:space="0"/>
            </w:tcBorders>
          </w:tcPr>
          <w:p w14:paraId="7A733B2F">
            <w:pPr>
              <w:spacing w:line="320" w:lineRule="exact"/>
              <w:jc w:val="left"/>
              <w:rPr>
                <w:b/>
                <w:color w:val="auto"/>
                <w:szCs w:val="21"/>
                <w:highlight w:val="none"/>
              </w:rPr>
            </w:pPr>
          </w:p>
        </w:tc>
      </w:tr>
      <w:tr w14:paraId="638A3B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505" w:type="dxa"/>
            <w:tcBorders>
              <w:top w:val="single" w:color="auto" w:sz="4" w:space="0"/>
              <w:left w:val="single" w:color="auto" w:sz="4" w:space="0"/>
              <w:bottom w:val="single" w:color="auto" w:sz="4" w:space="0"/>
              <w:right w:val="single" w:color="auto" w:sz="4" w:space="0"/>
            </w:tcBorders>
            <w:vAlign w:val="center"/>
          </w:tcPr>
          <w:p w14:paraId="24F31F99">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（五）工程保修期</w:t>
            </w:r>
          </w:p>
        </w:tc>
        <w:tc>
          <w:tcPr>
            <w:tcW w:w="6454" w:type="dxa"/>
            <w:tcBorders>
              <w:top w:val="single" w:color="auto" w:sz="4" w:space="0"/>
              <w:left w:val="single" w:color="auto" w:sz="4" w:space="0"/>
              <w:bottom w:val="single" w:color="auto" w:sz="4" w:space="0"/>
              <w:right w:val="single" w:color="auto" w:sz="4" w:space="0"/>
            </w:tcBorders>
          </w:tcPr>
          <w:p w14:paraId="1E0FE9D4">
            <w:pPr>
              <w:spacing w:line="320" w:lineRule="exact"/>
              <w:jc w:val="left"/>
              <w:rPr>
                <w:b/>
                <w:color w:val="auto"/>
                <w:szCs w:val="21"/>
                <w:highlight w:val="none"/>
              </w:rPr>
            </w:pPr>
          </w:p>
        </w:tc>
      </w:tr>
      <w:tr w14:paraId="2368D3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505" w:type="dxa"/>
            <w:tcBorders>
              <w:top w:val="single" w:color="auto" w:sz="4" w:space="0"/>
              <w:left w:val="single" w:color="auto" w:sz="4" w:space="0"/>
              <w:bottom w:val="single" w:color="auto" w:sz="4" w:space="0"/>
              <w:right w:val="single" w:color="auto" w:sz="4" w:space="0"/>
            </w:tcBorders>
            <w:vAlign w:val="center"/>
          </w:tcPr>
          <w:p w14:paraId="68B544FB">
            <w:pPr>
              <w:spacing w:line="320" w:lineRule="exact"/>
              <w:jc w:val="center"/>
              <w:rPr>
                <w:rFonts w:hint="eastAsia" w:ascii="宋体" w:hAnsi="宋体" w:cs="宋体"/>
                <w:color w:val="auto"/>
                <w:szCs w:val="21"/>
                <w:highlight w:val="none"/>
              </w:rPr>
            </w:pPr>
            <w:r>
              <w:rPr>
                <w:rFonts w:hint="eastAsia" w:ascii="宋体" w:hAnsi="宋体"/>
                <w:b w:val="0"/>
                <w:bCs w:val="0"/>
                <w:color w:val="auto"/>
                <w:szCs w:val="21"/>
                <w:highlight w:val="none"/>
                <w:lang w:eastAsia="zh-CN"/>
              </w:rPr>
              <w:t>（</w:t>
            </w:r>
            <w:r>
              <w:rPr>
                <w:rFonts w:hint="eastAsia" w:ascii="宋体" w:hAnsi="宋体"/>
                <w:b w:val="0"/>
                <w:bCs w:val="0"/>
                <w:color w:val="auto"/>
                <w:szCs w:val="21"/>
                <w:highlight w:val="none"/>
                <w:lang w:val="en-US" w:eastAsia="zh-CN"/>
              </w:rPr>
              <w:t>六</w:t>
            </w:r>
            <w:r>
              <w:rPr>
                <w:rFonts w:hint="eastAsia" w:ascii="宋体" w:hAnsi="宋体"/>
                <w:b w:val="0"/>
                <w:bCs w:val="0"/>
                <w:color w:val="auto"/>
                <w:szCs w:val="21"/>
                <w:highlight w:val="none"/>
                <w:lang w:eastAsia="zh-CN"/>
              </w:rPr>
              <w:t>）</w:t>
            </w:r>
            <w:r>
              <w:rPr>
                <w:rFonts w:hint="eastAsia" w:ascii="宋体" w:hAnsi="宋体"/>
                <w:b w:val="0"/>
                <w:bCs w:val="0"/>
                <w:color w:val="auto"/>
                <w:szCs w:val="21"/>
                <w:highlight w:val="none"/>
                <w:lang w:val="en-US" w:eastAsia="zh-CN"/>
              </w:rPr>
              <w:t>质保期</w:t>
            </w:r>
          </w:p>
        </w:tc>
        <w:tc>
          <w:tcPr>
            <w:tcW w:w="6454" w:type="dxa"/>
            <w:tcBorders>
              <w:top w:val="single" w:color="auto" w:sz="4" w:space="0"/>
              <w:left w:val="single" w:color="auto" w:sz="4" w:space="0"/>
              <w:bottom w:val="single" w:color="auto" w:sz="4" w:space="0"/>
              <w:right w:val="single" w:color="auto" w:sz="4" w:space="0"/>
            </w:tcBorders>
          </w:tcPr>
          <w:p w14:paraId="70F32AC5">
            <w:pPr>
              <w:spacing w:line="320" w:lineRule="exact"/>
              <w:jc w:val="left"/>
              <w:rPr>
                <w:b/>
                <w:color w:val="auto"/>
                <w:szCs w:val="21"/>
                <w:highlight w:val="none"/>
              </w:rPr>
            </w:pPr>
          </w:p>
        </w:tc>
      </w:tr>
      <w:tr w14:paraId="7FD04F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505" w:type="dxa"/>
            <w:tcBorders>
              <w:top w:val="single" w:color="auto" w:sz="4" w:space="0"/>
              <w:left w:val="single" w:color="auto" w:sz="4" w:space="0"/>
              <w:bottom w:val="single" w:color="auto" w:sz="4" w:space="0"/>
              <w:right w:val="single" w:color="auto" w:sz="4" w:space="0"/>
            </w:tcBorders>
            <w:vAlign w:val="center"/>
          </w:tcPr>
          <w:p w14:paraId="490C893B">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七</w:t>
            </w:r>
            <w:r>
              <w:rPr>
                <w:rFonts w:hint="eastAsia" w:ascii="宋体" w:hAnsi="宋体" w:cs="宋体"/>
                <w:color w:val="auto"/>
                <w:szCs w:val="21"/>
                <w:highlight w:val="none"/>
              </w:rPr>
              <w:t>）工程隐蔽部位覆盖前的检查</w:t>
            </w:r>
          </w:p>
        </w:tc>
        <w:tc>
          <w:tcPr>
            <w:tcW w:w="6454" w:type="dxa"/>
            <w:tcBorders>
              <w:top w:val="single" w:color="auto" w:sz="4" w:space="0"/>
              <w:left w:val="single" w:color="auto" w:sz="4" w:space="0"/>
              <w:bottom w:val="single" w:color="auto" w:sz="4" w:space="0"/>
              <w:right w:val="single" w:color="auto" w:sz="4" w:space="0"/>
            </w:tcBorders>
          </w:tcPr>
          <w:p w14:paraId="00F98783">
            <w:pPr>
              <w:spacing w:line="320" w:lineRule="exact"/>
              <w:jc w:val="left"/>
              <w:rPr>
                <w:b/>
                <w:color w:val="auto"/>
                <w:szCs w:val="21"/>
                <w:highlight w:val="none"/>
              </w:rPr>
            </w:pPr>
          </w:p>
        </w:tc>
      </w:tr>
      <w:tr w14:paraId="3C9312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505" w:type="dxa"/>
            <w:tcBorders>
              <w:top w:val="single" w:color="auto" w:sz="4" w:space="0"/>
              <w:left w:val="single" w:color="auto" w:sz="4" w:space="0"/>
              <w:bottom w:val="single" w:color="auto" w:sz="4" w:space="0"/>
              <w:right w:val="single" w:color="auto" w:sz="4" w:space="0"/>
            </w:tcBorders>
            <w:vAlign w:val="center"/>
          </w:tcPr>
          <w:p w14:paraId="75813AAF">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八</w:t>
            </w:r>
            <w:r>
              <w:rPr>
                <w:rFonts w:hint="eastAsia" w:ascii="宋体" w:hAnsi="宋体" w:cs="宋体"/>
                <w:color w:val="auto"/>
                <w:szCs w:val="21"/>
                <w:highlight w:val="none"/>
              </w:rPr>
              <w:t>）验收标准</w:t>
            </w:r>
          </w:p>
        </w:tc>
        <w:tc>
          <w:tcPr>
            <w:tcW w:w="6454" w:type="dxa"/>
            <w:tcBorders>
              <w:top w:val="single" w:color="auto" w:sz="4" w:space="0"/>
              <w:left w:val="single" w:color="auto" w:sz="4" w:space="0"/>
              <w:bottom w:val="single" w:color="auto" w:sz="4" w:space="0"/>
              <w:right w:val="single" w:color="auto" w:sz="4" w:space="0"/>
            </w:tcBorders>
          </w:tcPr>
          <w:p w14:paraId="79B55537">
            <w:pPr>
              <w:spacing w:line="320" w:lineRule="exact"/>
              <w:jc w:val="left"/>
              <w:rPr>
                <w:b/>
                <w:color w:val="auto"/>
                <w:szCs w:val="21"/>
                <w:highlight w:val="none"/>
              </w:rPr>
            </w:pPr>
          </w:p>
        </w:tc>
      </w:tr>
      <w:tr w14:paraId="27F0F7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505" w:type="dxa"/>
            <w:tcBorders>
              <w:top w:val="single" w:color="auto" w:sz="4" w:space="0"/>
              <w:left w:val="single" w:color="auto" w:sz="4" w:space="0"/>
              <w:bottom w:val="single" w:color="auto" w:sz="4" w:space="0"/>
              <w:right w:val="single" w:color="auto" w:sz="4" w:space="0"/>
            </w:tcBorders>
            <w:vAlign w:val="center"/>
          </w:tcPr>
          <w:p w14:paraId="7142F549">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九</w:t>
            </w:r>
            <w:r>
              <w:rPr>
                <w:rFonts w:hint="eastAsia" w:ascii="宋体" w:hAnsi="宋体" w:cs="宋体"/>
                <w:color w:val="auto"/>
                <w:szCs w:val="21"/>
                <w:highlight w:val="none"/>
              </w:rPr>
              <w:t>）其他商务要求</w:t>
            </w:r>
          </w:p>
        </w:tc>
        <w:tc>
          <w:tcPr>
            <w:tcW w:w="6454" w:type="dxa"/>
            <w:tcBorders>
              <w:top w:val="single" w:color="auto" w:sz="4" w:space="0"/>
              <w:left w:val="single" w:color="auto" w:sz="4" w:space="0"/>
              <w:bottom w:val="single" w:color="auto" w:sz="4" w:space="0"/>
              <w:right w:val="single" w:color="auto" w:sz="4" w:space="0"/>
            </w:tcBorders>
          </w:tcPr>
          <w:p w14:paraId="30C8F1CC">
            <w:pPr>
              <w:spacing w:line="320" w:lineRule="exact"/>
              <w:jc w:val="left"/>
              <w:rPr>
                <w:b/>
                <w:color w:val="auto"/>
                <w:szCs w:val="21"/>
                <w:highlight w:val="none"/>
              </w:rPr>
            </w:pPr>
          </w:p>
        </w:tc>
      </w:tr>
    </w:tbl>
    <w:p w14:paraId="625D5604">
      <w:pPr>
        <w:pStyle w:val="17"/>
        <w:spacing w:after="0" w:line="340" w:lineRule="exact"/>
        <w:contextualSpacing/>
        <w:rPr>
          <w:color w:val="auto"/>
          <w:kern w:val="0"/>
          <w:sz w:val="24"/>
          <w:szCs w:val="24"/>
          <w:highlight w:val="none"/>
        </w:rPr>
      </w:pPr>
      <w:r>
        <w:rPr>
          <w:rFonts w:hint="eastAsia"/>
          <w:color w:val="auto"/>
          <w:kern w:val="0"/>
          <w:sz w:val="24"/>
          <w:szCs w:val="24"/>
          <w:highlight w:val="none"/>
        </w:rPr>
        <w:t>注：</w:t>
      </w:r>
    </w:p>
    <w:p w14:paraId="31B9CC6B">
      <w:pPr>
        <w:pStyle w:val="17"/>
        <w:spacing w:after="0" w:line="340" w:lineRule="exact"/>
        <w:contextualSpacing/>
        <w:rPr>
          <w:color w:val="auto"/>
          <w:kern w:val="0"/>
          <w:sz w:val="24"/>
          <w:szCs w:val="24"/>
          <w:highlight w:val="none"/>
        </w:rPr>
      </w:pPr>
      <w:r>
        <w:rPr>
          <w:color w:val="auto"/>
          <w:kern w:val="0"/>
          <w:sz w:val="24"/>
          <w:szCs w:val="24"/>
          <w:highlight w:val="none"/>
        </w:rPr>
        <w:t xml:space="preserve">  </w:t>
      </w:r>
      <w:r>
        <w:rPr>
          <w:rFonts w:hint="eastAsia"/>
          <w:color w:val="auto"/>
          <w:kern w:val="0"/>
          <w:sz w:val="24"/>
          <w:szCs w:val="24"/>
          <w:highlight w:val="none"/>
        </w:rPr>
        <w:t>说明：应对照磋商文件</w:t>
      </w:r>
      <w:r>
        <w:rPr>
          <w:color w:val="auto"/>
          <w:kern w:val="0"/>
          <w:sz w:val="24"/>
          <w:szCs w:val="24"/>
          <w:highlight w:val="none"/>
        </w:rPr>
        <w:t>“</w:t>
      </w:r>
      <w:r>
        <w:rPr>
          <w:rFonts w:hint="eastAsia"/>
          <w:color w:val="auto"/>
          <w:kern w:val="0"/>
          <w:sz w:val="24"/>
          <w:szCs w:val="24"/>
          <w:highlight w:val="none"/>
        </w:rPr>
        <w:t>第三章</w:t>
      </w:r>
      <w:r>
        <w:rPr>
          <w:color w:val="auto"/>
          <w:kern w:val="0"/>
          <w:sz w:val="24"/>
          <w:szCs w:val="24"/>
          <w:highlight w:val="none"/>
        </w:rPr>
        <w:t xml:space="preserve"> </w:t>
      </w:r>
      <w:r>
        <w:rPr>
          <w:rFonts w:hint="eastAsia"/>
          <w:color w:val="auto"/>
          <w:kern w:val="0"/>
          <w:sz w:val="24"/>
          <w:szCs w:val="24"/>
          <w:highlight w:val="none"/>
        </w:rPr>
        <w:t>采购需求</w:t>
      </w:r>
      <w:r>
        <w:rPr>
          <w:color w:val="auto"/>
          <w:kern w:val="0"/>
          <w:sz w:val="24"/>
          <w:szCs w:val="24"/>
          <w:highlight w:val="none"/>
        </w:rPr>
        <w:t>”</w:t>
      </w:r>
      <w:r>
        <w:rPr>
          <w:rFonts w:hint="eastAsia"/>
          <w:color w:val="auto"/>
          <w:kern w:val="0"/>
          <w:sz w:val="24"/>
          <w:szCs w:val="24"/>
          <w:highlight w:val="none"/>
        </w:rPr>
        <w:t>中的“技术及其他要求”及“商务要求”逐条明确响应承诺。</w:t>
      </w:r>
    </w:p>
    <w:p w14:paraId="3FE3ED1A">
      <w:pPr>
        <w:spacing w:line="340" w:lineRule="exact"/>
        <w:ind w:right="-817" w:rightChars="-389"/>
        <w:contextualSpacing/>
        <w:jc w:val="center"/>
        <w:rPr>
          <w:color w:val="auto"/>
          <w:sz w:val="24"/>
          <w:highlight w:val="none"/>
        </w:rPr>
      </w:pPr>
    </w:p>
    <w:p w14:paraId="260BDC2F">
      <w:pPr>
        <w:spacing w:line="340" w:lineRule="exact"/>
        <w:ind w:right="-817" w:rightChars="-389"/>
        <w:contextualSpacing/>
        <w:jc w:val="center"/>
        <w:rPr>
          <w:color w:val="auto"/>
          <w:sz w:val="24"/>
          <w:highlight w:val="none"/>
        </w:rPr>
      </w:pPr>
      <w:r>
        <w:rPr>
          <w:rFonts w:hint="eastAsia"/>
          <w:color w:val="auto"/>
          <w:sz w:val="24"/>
          <w:highlight w:val="none"/>
        </w:rPr>
        <w:t>法定代表人或者委托代理人（签字或者电子签名）：</w:t>
      </w:r>
    </w:p>
    <w:p w14:paraId="300AB378">
      <w:pPr>
        <w:spacing w:line="340" w:lineRule="exact"/>
        <w:ind w:right="-817" w:rightChars="-389" w:firstLine="2880" w:firstLineChars="1200"/>
        <w:contextualSpacing/>
        <w:rPr>
          <w:color w:val="auto"/>
          <w:sz w:val="24"/>
          <w:highlight w:val="none"/>
        </w:rPr>
      </w:pPr>
      <w:r>
        <w:rPr>
          <w:rFonts w:hint="eastAsia"/>
          <w:color w:val="auto"/>
          <w:sz w:val="24"/>
          <w:highlight w:val="none"/>
        </w:rPr>
        <w:t>供应商（电子签章）：</w:t>
      </w:r>
      <w:r>
        <w:rPr>
          <w:color w:val="auto"/>
          <w:sz w:val="24"/>
          <w:highlight w:val="none"/>
        </w:rPr>
        <w:t xml:space="preserve">      </w:t>
      </w:r>
    </w:p>
    <w:p w14:paraId="2593C582">
      <w:pPr>
        <w:spacing w:line="340" w:lineRule="exact"/>
        <w:ind w:right="-817" w:rightChars="-389" w:firstLine="2880" w:firstLineChars="1200"/>
        <w:contextualSpacing/>
        <w:rPr>
          <w:color w:val="auto"/>
          <w:sz w:val="24"/>
          <w:highlight w:val="none"/>
        </w:rPr>
      </w:pPr>
      <w:r>
        <w:rPr>
          <w:rFonts w:hint="eastAsia"/>
          <w:color w:val="auto"/>
          <w:sz w:val="24"/>
          <w:highlight w:val="none"/>
        </w:rPr>
        <w:t>日期：</w:t>
      </w:r>
      <w:r>
        <w:rPr>
          <w:color w:val="auto"/>
          <w:sz w:val="24"/>
          <w:highlight w:val="none"/>
        </w:rPr>
        <w:t xml:space="preserve">   </w:t>
      </w:r>
      <w:r>
        <w:rPr>
          <w:rFonts w:hint="eastAsia"/>
          <w:color w:val="auto"/>
          <w:sz w:val="24"/>
          <w:highlight w:val="none"/>
        </w:rPr>
        <w:t>年</w:t>
      </w:r>
      <w:r>
        <w:rPr>
          <w:color w:val="auto"/>
          <w:sz w:val="24"/>
          <w:highlight w:val="none"/>
        </w:rPr>
        <w:t xml:space="preserve">   </w:t>
      </w:r>
      <w:r>
        <w:rPr>
          <w:rFonts w:hint="eastAsia"/>
          <w:color w:val="auto"/>
          <w:sz w:val="24"/>
          <w:highlight w:val="none"/>
        </w:rPr>
        <w:t>月</w:t>
      </w:r>
      <w:r>
        <w:rPr>
          <w:color w:val="auto"/>
          <w:sz w:val="24"/>
          <w:highlight w:val="none"/>
        </w:rPr>
        <w:t xml:space="preserve">   </w:t>
      </w:r>
      <w:r>
        <w:rPr>
          <w:rFonts w:hint="eastAsia"/>
          <w:color w:val="auto"/>
          <w:sz w:val="24"/>
          <w:highlight w:val="none"/>
        </w:rPr>
        <w:t>日</w:t>
      </w:r>
    </w:p>
    <w:p w14:paraId="310CC792">
      <w:pPr>
        <w:snapToGrid w:val="0"/>
        <w:spacing w:before="120" w:beforeLines="50" w:after="50"/>
        <w:jc w:val="center"/>
        <w:rPr>
          <w:rFonts w:hint="eastAsia" w:ascii="宋体" w:hAnsi="宋体"/>
          <w:b/>
          <w:color w:val="auto"/>
          <w:sz w:val="32"/>
          <w:szCs w:val="32"/>
          <w:highlight w:val="none"/>
        </w:rPr>
      </w:pPr>
      <w:r>
        <w:rPr>
          <w:rFonts w:hint="eastAsia" w:ascii="宋体" w:hAnsi="宋体"/>
          <w:b/>
          <w:color w:val="auto"/>
          <w:sz w:val="32"/>
          <w:szCs w:val="32"/>
          <w:highlight w:val="none"/>
        </w:rPr>
        <w:t>项目管理机构配备情况表</w:t>
      </w:r>
    </w:p>
    <w:tbl>
      <w:tblPr>
        <w:tblStyle w:val="47"/>
        <w:tblW w:w="98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670"/>
        <w:gridCol w:w="829"/>
        <w:gridCol w:w="816"/>
        <w:gridCol w:w="1148"/>
        <w:gridCol w:w="1148"/>
        <w:gridCol w:w="1148"/>
        <w:gridCol w:w="744"/>
        <w:gridCol w:w="1167"/>
        <w:gridCol w:w="1276"/>
      </w:tblGrid>
      <w:tr w14:paraId="46926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920" w:type="dxa"/>
            <w:vMerge w:val="restart"/>
            <w:tcBorders>
              <w:top w:val="single" w:color="auto" w:sz="4" w:space="0"/>
              <w:left w:val="single" w:color="auto" w:sz="4" w:space="0"/>
              <w:bottom w:val="single" w:color="auto" w:sz="4" w:space="0"/>
              <w:right w:val="single" w:color="auto" w:sz="4" w:space="0"/>
            </w:tcBorders>
            <w:vAlign w:val="center"/>
          </w:tcPr>
          <w:p w14:paraId="5251007C">
            <w:pPr>
              <w:ind w:left="223" w:hanging="222" w:hangingChars="106"/>
              <w:jc w:val="center"/>
              <w:rPr>
                <w:color w:val="auto"/>
                <w:highlight w:val="none"/>
              </w:rPr>
            </w:pPr>
            <w:r>
              <w:rPr>
                <w:rFonts w:hint="eastAsia"/>
                <w:color w:val="auto"/>
                <w:highlight w:val="none"/>
              </w:rPr>
              <w:t>岗位</w:t>
            </w:r>
          </w:p>
        </w:tc>
        <w:tc>
          <w:tcPr>
            <w:tcW w:w="670" w:type="dxa"/>
            <w:vMerge w:val="restart"/>
            <w:tcBorders>
              <w:top w:val="single" w:color="auto" w:sz="4" w:space="0"/>
              <w:left w:val="single" w:color="auto" w:sz="4" w:space="0"/>
              <w:bottom w:val="single" w:color="auto" w:sz="4" w:space="0"/>
              <w:right w:val="single" w:color="auto" w:sz="4" w:space="0"/>
            </w:tcBorders>
            <w:vAlign w:val="center"/>
          </w:tcPr>
          <w:p w14:paraId="088C63BA">
            <w:pPr>
              <w:ind w:left="223" w:hanging="222" w:hangingChars="106"/>
              <w:jc w:val="center"/>
              <w:rPr>
                <w:color w:val="auto"/>
                <w:highlight w:val="none"/>
              </w:rPr>
            </w:pPr>
            <w:r>
              <w:rPr>
                <w:rFonts w:hint="eastAsia"/>
                <w:color w:val="auto"/>
                <w:highlight w:val="none"/>
              </w:rPr>
              <w:t>姓名</w:t>
            </w:r>
          </w:p>
        </w:tc>
        <w:tc>
          <w:tcPr>
            <w:tcW w:w="829" w:type="dxa"/>
            <w:vMerge w:val="restart"/>
            <w:tcBorders>
              <w:top w:val="single" w:color="auto" w:sz="4" w:space="0"/>
              <w:left w:val="single" w:color="auto" w:sz="4" w:space="0"/>
              <w:bottom w:val="single" w:color="auto" w:sz="4" w:space="0"/>
              <w:right w:val="single" w:color="auto" w:sz="4" w:space="0"/>
            </w:tcBorders>
            <w:vAlign w:val="center"/>
          </w:tcPr>
          <w:p w14:paraId="0CDA7F69">
            <w:pPr>
              <w:jc w:val="center"/>
              <w:rPr>
                <w:color w:val="auto"/>
                <w:highlight w:val="none"/>
              </w:rPr>
            </w:pPr>
            <w:r>
              <w:rPr>
                <w:rFonts w:hint="eastAsia"/>
                <w:color w:val="auto"/>
                <w:highlight w:val="none"/>
              </w:rPr>
              <w:t>身份证号</w:t>
            </w:r>
          </w:p>
        </w:tc>
        <w:tc>
          <w:tcPr>
            <w:tcW w:w="816" w:type="dxa"/>
            <w:vMerge w:val="restart"/>
            <w:tcBorders>
              <w:top w:val="single" w:color="auto" w:sz="4" w:space="0"/>
              <w:left w:val="single" w:color="auto" w:sz="4" w:space="0"/>
              <w:bottom w:val="single" w:color="auto" w:sz="4" w:space="0"/>
              <w:right w:val="single" w:color="auto" w:sz="4" w:space="0"/>
            </w:tcBorders>
            <w:vAlign w:val="center"/>
          </w:tcPr>
          <w:p w14:paraId="35569265">
            <w:pPr>
              <w:ind w:left="223" w:hanging="222" w:hangingChars="106"/>
              <w:jc w:val="center"/>
              <w:rPr>
                <w:color w:val="auto"/>
                <w:highlight w:val="none"/>
              </w:rPr>
            </w:pPr>
            <w:r>
              <w:rPr>
                <w:rFonts w:hint="eastAsia"/>
                <w:color w:val="auto"/>
                <w:highlight w:val="none"/>
              </w:rPr>
              <w:t>职称</w:t>
            </w:r>
          </w:p>
        </w:tc>
        <w:tc>
          <w:tcPr>
            <w:tcW w:w="4188" w:type="dxa"/>
            <w:gridSpan w:val="4"/>
            <w:tcBorders>
              <w:top w:val="single" w:color="auto" w:sz="4" w:space="0"/>
              <w:left w:val="single" w:color="auto" w:sz="4" w:space="0"/>
              <w:bottom w:val="single" w:color="auto" w:sz="4" w:space="0"/>
              <w:right w:val="single" w:color="auto" w:sz="4" w:space="0"/>
            </w:tcBorders>
            <w:vAlign w:val="center"/>
          </w:tcPr>
          <w:p w14:paraId="553B0FD2">
            <w:pPr>
              <w:ind w:left="223" w:hanging="222" w:hangingChars="106"/>
              <w:jc w:val="center"/>
              <w:rPr>
                <w:color w:val="auto"/>
                <w:highlight w:val="none"/>
              </w:rPr>
            </w:pPr>
            <w:r>
              <w:rPr>
                <w:rFonts w:hint="eastAsia"/>
                <w:color w:val="auto"/>
                <w:highlight w:val="none"/>
              </w:rPr>
              <w:t>执业或职业资格</w:t>
            </w:r>
          </w:p>
        </w:tc>
        <w:tc>
          <w:tcPr>
            <w:tcW w:w="2443" w:type="dxa"/>
            <w:gridSpan w:val="2"/>
            <w:tcBorders>
              <w:top w:val="single" w:color="auto" w:sz="4" w:space="0"/>
              <w:left w:val="single" w:color="auto" w:sz="4" w:space="0"/>
              <w:bottom w:val="single" w:color="auto" w:sz="4" w:space="0"/>
              <w:right w:val="single" w:color="auto" w:sz="4" w:space="0"/>
            </w:tcBorders>
            <w:vAlign w:val="center"/>
          </w:tcPr>
          <w:p w14:paraId="55DAD10A">
            <w:pPr>
              <w:jc w:val="left"/>
              <w:rPr>
                <w:color w:val="auto"/>
                <w:highlight w:val="none"/>
              </w:rPr>
            </w:pPr>
            <w:r>
              <w:rPr>
                <w:rFonts w:hint="eastAsia"/>
                <w:color w:val="auto"/>
                <w:highlight w:val="none"/>
              </w:rPr>
              <w:t>承担完工、在建工程情况</w:t>
            </w:r>
          </w:p>
        </w:tc>
      </w:tr>
      <w:tr w14:paraId="72732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20" w:type="dxa"/>
            <w:vMerge w:val="continue"/>
            <w:tcBorders>
              <w:top w:val="single" w:color="auto" w:sz="4" w:space="0"/>
              <w:left w:val="single" w:color="auto" w:sz="4" w:space="0"/>
              <w:bottom w:val="single" w:color="auto" w:sz="4" w:space="0"/>
              <w:right w:val="single" w:color="auto" w:sz="4" w:space="0"/>
            </w:tcBorders>
            <w:vAlign w:val="center"/>
          </w:tcPr>
          <w:p w14:paraId="787D7565">
            <w:pPr>
              <w:widowControl/>
              <w:jc w:val="left"/>
              <w:rPr>
                <w:color w:val="auto"/>
                <w:highlight w:val="none"/>
              </w:rPr>
            </w:pPr>
          </w:p>
        </w:tc>
        <w:tc>
          <w:tcPr>
            <w:tcW w:w="670" w:type="dxa"/>
            <w:vMerge w:val="continue"/>
            <w:tcBorders>
              <w:top w:val="single" w:color="auto" w:sz="4" w:space="0"/>
              <w:left w:val="single" w:color="auto" w:sz="4" w:space="0"/>
              <w:bottom w:val="single" w:color="auto" w:sz="4" w:space="0"/>
              <w:right w:val="single" w:color="auto" w:sz="4" w:space="0"/>
            </w:tcBorders>
            <w:vAlign w:val="center"/>
          </w:tcPr>
          <w:p w14:paraId="000DAD7D">
            <w:pPr>
              <w:widowControl/>
              <w:jc w:val="left"/>
              <w:rPr>
                <w:color w:val="auto"/>
                <w:highlight w:val="none"/>
              </w:rPr>
            </w:pPr>
          </w:p>
        </w:tc>
        <w:tc>
          <w:tcPr>
            <w:tcW w:w="829" w:type="dxa"/>
            <w:vMerge w:val="continue"/>
            <w:tcBorders>
              <w:top w:val="single" w:color="auto" w:sz="4" w:space="0"/>
              <w:left w:val="single" w:color="auto" w:sz="4" w:space="0"/>
              <w:bottom w:val="single" w:color="auto" w:sz="4" w:space="0"/>
              <w:right w:val="single" w:color="auto" w:sz="4" w:space="0"/>
            </w:tcBorders>
            <w:vAlign w:val="center"/>
          </w:tcPr>
          <w:p w14:paraId="27C54963">
            <w:pPr>
              <w:widowControl/>
              <w:jc w:val="left"/>
              <w:rPr>
                <w:color w:val="auto"/>
                <w:highlight w:val="none"/>
              </w:rPr>
            </w:pPr>
          </w:p>
        </w:tc>
        <w:tc>
          <w:tcPr>
            <w:tcW w:w="816" w:type="dxa"/>
            <w:vMerge w:val="continue"/>
            <w:tcBorders>
              <w:top w:val="single" w:color="auto" w:sz="4" w:space="0"/>
              <w:left w:val="single" w:color="auto" w:sz="4" w:space="0"/>
              <w:bottom w:val="single" w:color="auto" w:sz="4" w:space="0"/>
              <w:right w:val="single" w:color="auto" w:sz="4" w:space="0"/>
            </w:tcBorders>
            <w:vAlign w:val="center"/>
          </w:tcPr>
          <w:p w14:paraId="569D1E8D">
            <w:pPr>
              <w:widowControl/>
              <w:jc w:val="left"/>
              <w:rPr>
                <w:color w:val="auto"/>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64A9E88D">
            <w:pPr>
              <w:ind w:left="223" w:hanging="222" w:hangingChars="106"/>
              <w:jc w:val="center"/>
              <w:rPr>
                <w:color w:val="auto"/>
                <w:highlight w:val="none"/>
              </w:rPr>
            </w:pPr>
            <w:r>
              <w:rPr>
                <w:rFonts w:hint="eastAsia"/>
                <w:color w:val="auto"/>
                <w:highlight w:val="none"/>
              </w:rPr>
              <w:t>证书名称</w:t>
            </w:r>
          </w:p>
        </w:tc>
        <w:tc>
          <w:tcPr>
            <w:tcW w:w="1148" w:type="dxa"/>
            <w:tcBorders>
              <w:top w:val="single" w:color="auto" w:sz="4" w:space="0"/>
              <w:left w:val="single" w:color="auto" w:sz="4" w:space="0"/>
              <w:bottom w:val="single" w:color="auto" w:sz="4" w:space="0"/>
              <w:right w:val="single" w:color="auto" w:sz="4" w:space="0"/>
            </w:tcBorders>
            <w:vAlign w:val="center"/>
          </w:tcPr>
          <w:p w14:paraId="654B678D">
            <w:pPr>
              <w:ind w:left="223" w:hanging="222" w:hangingChars="106"/>
              <w:jc w:val="center"/>
              <w:rPr>
                <w:color w:val="auto"/>
                <w:highlight w:val="none"/>
              </w:rPr>
            </w:pPr>
            <w:r>
              <w:rPr>
                <w:rFonts w:hint="eastAsia"/>
                <w:color w:val="auto"/>
                <w:highlight w:val="none"/>
              </w:rPr>
              <w:t>级别</w:t>
            </w:r>
          </w:p>
        </w:tc>
        <w:tc>
          <w:tcPr>
            <w:tcW w:w="1148" w:type="dxa"/>
            <w:tcBorders>
              <w:top w:val="single" w:color="auto" w:sz="4" w:space="0"/>
              <w:left w:val="single" w:color="auto" w:sz="4" w:space="0"/>
              <w:bottom w:val="single" w:color="auto" w:sz="4" w:space="0"/>
              <w:right w:val="single" w:color="auto" w:sz="4" w:space="0"/>
            </w:tcBorders>
            <w:vAlign w:val="center"/>
          </w:tcPr>
          <w:p w14:paraId="18D06F81">
            <w:pPr>
              <w:ind w:left="223" w:hanging="222" w:hangingChars="106"/>
              <w:jc w:val="center"/>
              <w:rPr>
                <w:color w:val="auto"/>
                <w:highlight w:val="none"/>
              </w:rPr>
            </w:pPr>
            <w:r>
              <w:rPr>
                <w:rFonts w:hint="eastAsia"/>
                <w:color w:val="auto"/>
                <w:highlight w:val="none"/>
              </w:rPr>
              <w:t>证号</w:t>
            </w:r>
          </w:p>
        </w:tc>
        <w:tc>
          <w:tcPr>
            <w:tcW w:w="744" w:type="dxa"/>
            <w:tcBorders>
              <w:top w:val="single" w:color="auto" w:sz="4" w:space="0"/>
              <w:left w:val="single" w:color="auto" w:sz="4" w:space="0"/>
              <w:bottom w:val="single" w:color="auto" w:sz="4" w:space="0"/>
              <w:right w:val="single" w:color="auto" w:sz="4" w:space="0"/>
            </w:tcBorders>
            <w:vAlign w:val="center"/>
          </w:tcPr>
          <w:p w14:paraId="0F527531">
            <w:pPr>
              <w:ind w:left="223" w:hanging="222" w:hangingChars="106"/>
              <w:jc w:val="center"/>
              <w:rPr>
                <w:color w:val="auto"/>
                <w:highlight w:val="none"/>
              </w:rPr>
            </w:pPr>
            <w:r>
              <w:rPr>
                <w:rFonts w:hint="eastAsia"/>
                <w:color w:val="auto"/>
                <w:highlight w:val="none"/>
              </w:rPr>
              <w:t>专业</w:t>
            </w:r>
          </w:p>
        </w:tc>
        <w:tc>
          <w:tcPr>
            <w:tcW w:w="1167" w:type="dxa"/>
            <w:tcBorders>
              <w:top w:val="single" w:color="auto" w:sz="4" w:space="0"/>
              <w:left w:val="single" w:color="auto" w:sz="4" w:space="0"/>
              <w:bottom w:val="single" w:color="auto" w:sz="4" w:space="0"/>
              <w:right w:val="single" w:color="auto" w:sz="4" w:space="0"/>
            </w:tcBorders>
            <w:vAlign w:val="center"/>
          </w:tcPr>
          <w:p w14:paraId="69669DA8">
            <w:pPr>
              <w:jc w:val="center"/>
              <w:rPr>
                <w:color w:val="auto"/>
                <w:highlight w:val="none"/>
              </w:rPr>
            </w:pPr>
            <w:r>
              <w:rPr>
                <w:rFonts w:hint="eastAsia"/>
                <w:color w:val="auto"/>
                <w:highlight w:val="none"/>
              </w:rPr>
              <w:t>完工</w:t>
            </w:r>
            <w:r>
              <w:rPr>
                <w:color w:val="auto"/>
                <w:highlight w:val="none"/>
              </w:rPr>
              <w:t>/</w:t>
            </w:r>
            <w:r>
              <w:rPr>
                <w:rFonts w:hint="eastAsia"/>
                <w:color w:val="auto"/>
                <w:highlight w:val="none"/>
              </w:rPr>
              <w:t>在建</w:t>
            </w:r>
          </w:p>
        </w:tc>
        <w:tc>
          <w:tcPr>
            <w:tcW w:w="1276" w:type="dxa"/>
            <w:tcBorders>
              <w:top w:val="single" w:color="auto" w:sz="4" w:space="0"/>
              <w:left w:val="single" w:color="auto" w:sz="4" w:space="0"/>
              <w:bottom w:val="single" w:color="auto" w:sz="4" w:space="0"/>
              <w:right w:val="single" w:color="auto" w:sz="4" w:space="0"/>
            </w:tcBorders>
            <w:vAlign w:val="center"/>
          </w:tcPr>
          <w:p w14:paraId="20BB3377">
            <w:pPr>
              <w:jc w:val="center"/>
              <w:rPr>
                <w:color w:val="auto"/>
                <w:highlight w:val="none"/>
              </w:rPr>
            </w:pPr>
            <w:r>
              <w:rPr>
                <w:rFonts w:hint="eastAsia"/>
                <w:color w:val="auto"/>
                <w:highlight w:val="none"/>
              </w:rPr>
              <w:t>主要项目</w:t>
            </w:r>
          </w:p>
          <w:p w14:paraId="48B21241">
            <w:pPr>
              <w:jc w:val="center"/>
              <w:rPr>
                <w:color w:val="auto"/>
                <w:highlight w:val="none"/>
              </w:rPr>
            </w:pPr>
            <w:r>
              <w:rPr>
                <w:rFonts w:hint="eastAsia"/>
                <w:color w:val="auto"/>
                <w:highlight w:val="none"/>
              </w:rPr>
              <w:t>名称</w:t>
            </w:r>
          </w:p>
        </w:tc>
      </w:tr>
      <w:tr w14:paraId="1D950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tcBorders>
              <w:top w:val="single" w:color="auto" w:sz="4" w:space="0"/>
              <w:left w:val="single" w:color="auto" w:sz="4" w:space="0"/>
              <w:bottom w:val="single" w:color="auto" w:sz="4" w:space="0"/>
              <w:right w:val="single" w:color="auto" w:sz="4" w:space="0"/>
            </w:tcBorders>
            <w:vAlign w:val="center"/>
          </w:tcPr>
          <w:p w14:paraId="45A09345">
            <w:pPr>
              <w:pStyle w:val="141"/>
              <w:spacing w:line="240" w:lineRule="auto"/>
              <w:ind w:firstLine="0"/>
              <w:rPr>
                <w:rFonts w:hint="eastAsia" w:asciiTheme="minorEastAsia" w:hAnsiTheme="minorEastAsia" w:eastAsiaTheme="minorEastAsia"/>
                <w:color w:val="auto"/>
                <w:kern w:val="2"/>
                <w:sz w:val="21"/>
                <w:szCs w:val="21"/>
                <w:highlight w:val="none"/>
              </w:rPr>
            </w:pPr>
            <w:r>
              <w:rPr>
                <w:rFonts w:cs="Times New Roman" w:asciiTheme="minorEastAsia" w:hAnsiTheme="minorEastAsia" w:eastAsiaTheme="minorEastAsia"/>
                <w:color w:val="auto"/>
                <w:kern w:val="2"/>
                <w:sz w:val="21"/>
                <w:szCs w:val="21"/>
                <w:highlight w:val="none"/>
                <w:lang w:val="en-US" w:eastAsia="en-US" w:bidi="en-US"/>
              </w:rPr>
              <w:t>1.</w:t>
            </w:r>
            <w:r>
              <w:rPr>
                <w:rFonts w:hint="eastAsia" w:asciiTheme="minorEastAsia" w:hAnsiTheme="minorEastAsia" w:eastAsiaTheme="minorEastAsia"/>
                <w:color w:val="auto"/>
                <w:kern w:val="2"/>
                <w:sz w:val="21"/>
                <w:szCs w:val="21"/>
                <w:highlight w:val="none"/>
              </w:rPr>
              <w:t>项目经理</w:t>
            </w:r>
          </w:p>
        </w:tc>
        <w:tc>
          <w:tcPr>
            <w:tcW w:w="670" w:type="dxa"/>
            <w:tcBorders>
              <w:top w:val="single" w:color="auto" w:sz="4" w:space="0"/>
              <w:left w:val="single" w:color="auto" w:sz="4" w:space="0"/>
              <w:bottom w:val="single" w:color="auto" w:sz="4" w:space="0"/>
              <w:right w:val="single" w:color="auto" w:sz="4" w:space="0"/>
            </w:tcBorders>
            <w:vAlign w:val="center"/>
          </w:tcPr>
          <w:p w14:paraId="3C3E991B">
            <w:pPr>
              <w:ind w:left="223" w:hanging="222" w:hangingChars="106"/>
              <w:jc w:val="center"/>
              <w:rPr>
                <w:color w:val="auto"/>
                <w:szCs w:val="21"/>
                <w:highlight w:val="none"/>
              </w:rPr>
            </w:pPr>
          </w:p>
        </w:tc>
        <w:tc>
          <w:tcPr>
            <w:tcW w:w="829" w:type="dxa"/>
            <w:tcBorders>
              <w:top w:val="single" w:color="auto" w:sz="4" w:space="0"/>
              <w:left w:val="single" w:color="auto" w:sz="4" w:space="0"/>
              <w:bottom w:val="single" w:color="auto" w:sz="4" w:space="0"/>
              <w:right w:val="single" w:color="auto" w:sz="4" w:space="0"/>
            </w:tcBorders>
            <w:vAlign w:val="center"/>
          </w:tcPr>
          <w:p w14:paraId="48846EE2">
            <w:pPr>
              <w:ind w:left="223" w:hanging="222" w:hangingChars="106"/>
              <w:jc w:val="center"/>
              <w:rPr>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1B9EB849">
            <w:pPr>
              <w:ind w:left="223" w:hanging="222" w:hangingChars="106"/>
              <w:jc w:val="center"/>
              <w:rPr>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33107660">
            <w:pPr>
              <w:ind w:left="223" w:hanging="222" w:hangingChars="106"/>
              <w:jc w:val="center"/>
              <w:rPr>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199A2103">
            <w:pPr>
              <w:ind w:left="223" w:hanging="222" w:hangingChars="106"/>
              <w:jc w:val="center"/>
              <w:rPr>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48F1254A">
            <w:pPr>
              <w:ind w:left="223" w:hanging="222" w:hangingChars="106"/>
              <w:jc w:val="center"/>
              <w:rPr>
                <w:color w:val="auto"/>
                <w:szCs w:val="21"/>
                <w:highlight w:val="none"/>
              </w:rPr>
            </w:pPr>
          </w:p>
        </w:tc>
        <w:tc>
          <w:tcPr>
            <w:tcW w:w="744" w:type="dxa"/>
            <w:tcBorders>
              <w:top w:val="single" w:color="auto" w:sz="4" w:space="0"/>
              <w:left w:val="single" w:color="auto" w:sz="4" w:space="0"/>
              <w:bottom w:val="single" w:color="auto" w:sz="4" w:space="0"/>
              <w:right w:val="single" w:color="auto" w:sz="4" w:space="0"/>
            </w:tcBorders>
            <w:vAlign w:val="center"/>
          </w:tcPr>
          <w:p w14:paraId="6630605F">
            <w:pPr>
              <w:ind w:left="223" w:hanging="222" w:hangingChars="106"/>
              <w:jc w:val="center"/>
              <w:rPr>
                <w:color w:val="auto"/>
                <w:szCs w:val="21"/>
                <w:highlight w:val="none"/>
              </w:rPr>
            </w:pPr>
          </w:p>
        </w:tc>
        <w:tc>
          <w:tcPr>
            <w:tcW w:w="1167" w:type="dxa"/>
            <w:tcBorders>
              <w:top w:val="single" w:color="auto" w:sz="4" w:space="0"/>
              <w:left w:val="single" w:color="auto" w:sz="4" w:space="0"/>
              <w:bottom w:val="single" w:color="auto" w:sz="4" w:space="0"/>
              <w:right w:val="single" w:color="auto" w:sz="4" w:space="0"/>
            </w:tcBorders>
            <w:vAlign w:val="center"/>
          </w:tcPr>
          <w:p w14:paraId="68EE0A34">
            <w:pPr>
              <w:ind w:left="223" w:hanging="222" w:hangingChars="106"/>
              <w:jc w:val="center"/>
              <w:rPr>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0F0A6A19">
            <w:pPr>
              <w:ind w:left="223" w:hanging="222" w:hangingChars="106"/>
              <w:jc w:val="center"/>
              <w:rPr>
                <w:color w:val="auto"/>
                <w:szCs w:val="21"/>
                <w:highlight w:val="none"/>
              </w:rPr>
            </w:pPr>
          </w:p>
        </w:tc>
      </w:tr>
      <w:tr w14:paraId="5EDA3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tcBorders>
              <w:top w:val="single" w:color="auto" w:sz="4" w:space="0"/>
              <w:left w:val="single" w:color="auto" w:sz="4" w:space="0"/>
              <w:bottom w:val="single" w:color="auto" w:sz="4" w:space="0"/>
              <w:right w:val="single" w:color="auto" w:sz="4" w:space="0"/>
            </w:tcBorders>
            <w:vAlign w:val="center"/>
          </w:tcPr>
          <w:p w14:paraId="79766116">
            <w:pPr>
              <w:pStyle w:val="141"/>
              <w:spacing w:line="240" w:lineRule="auto"/>
              <w:ind w:firstLine="0"/>
              <w:rPr>
                <w:rFonts w:hint="eastAsia" w:asciiTheme="minorEastAsia" w:hAnsiTheme="minorEastAsia" w:eastAsiaTheme="minorEastAsia"/>
                <w:color w:val="auto"/>
                <w:kern w:val="2"/>
                <w:sz w:val="21"/>
                <w:szCs w:val="21"/>
                <w:highlight w:val="none"/>
              </w:rPr>
            </w:pPr>
            <w:r>
              <w:rPr>
                <w:rFonts w:cs="Times New Roman" w:asciiTheme="minorEastAsia" w:hAnsiTheme="minorEastAsia" w:eastAsiaTheme="minorEastAsia"/>
                <w:color w:val="auto"/>
                <w:kern w:val="2"/>
                <w:sz w:val="21"/>
                <w:szCs w:val="21"/>
                <w:highlight w:val="none"/>
                <w:lang w:val="en-US" w:bidi="en-US"/>
              </w:rPr>
              <w:t>2.</w:t>
            </w:r>
            <w:r>
              <w:rPr>
                <w:rFonts w:hint="eastAsia" w:asciiTheme="minorEastAsia" w:hAnsiTheme="minorEastAsia" w:eastAsiaTheme="minorEastAsia"/>
                <w:color w:val="auto"/>
                <w:kern w:val="2"/>
                <w:sz w:val="21"/>
                <w:szCs w:val="21"/>
                <w:highlight w:val="none"/>
              </w:rPr>
              <w:t>技术负责人</w:t>
            </w:r>
          </w:p>
        </w:tc>
        <w:tc>
          <w:tcPr>
            <w:tcW w:w="670" w:type="dxa"/>
            <w:tcBorders>
              <w:top w:val="single" w:color="auto" w:sz="4" w:space="0"/>
              <w:left w:val="single" w:color="auto" w:sz="4" w:space="0"/>
              <w:bottom w:val="single" w:color="auto" w:sz="4" w:space="0"/>
              <w:right w:val="single" w:color="auto" w:sz="4" w:space="0"/>
            </w:tcBorders>
            <w:vAlign w:val="center"/>
          </w:tcPr>
          <w:p w14:paraId="4D7794F5">
            <w:pPr>
              <w:ind w:left="223" w:hanging="222" w:hangingChars="106"/>
              <w:jc w:val="center"/>
              <w:rPr>
                <w:color w:val="auto"/>
                <w:szCs w:val="21"/>
                <w:highlight w:val="none"/>
              </w:rPr>
            </w:pPr>
          </w:p>
        </w:tc>
        <w:tc>
          <w:tcPr>
            <w:tcW w:w="829" w:type="dxa"/>
            <w:tcBorders>
              <w:top w:val="single" w:color="auto" w:sz="4" w:space="0"/>
              <w:left w:val="single" w:color="auto" w:sz="4" w:space="0"/>
              <w:bottom w:val="single" w:color="auto" w:sz="4" w:space="0"/>
              <w:right w:val="single" w:color="auto" w:sz="4" w:space="0"/>
            </w:tcBorders>
            <w:vAlign w:val="center"/>
          </w:tcPr>
          <w:p w14:paraId="7F9A6087">
            <w:pPr>
              <w:ind w:left="223" w:hanging="222" w:hangingChars="106"/>
              <w:jc w:val="center"/>
              <w:rPr>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60761FF7">
            <w:pPr>
              <w:ind w:left="223" w:hanging="222" w:hangingChars="106"/>
              <w:jc w:val="center"/>
              <w:rPr>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2EB52990">
            <w:pPr>
              <w:ind w:left="223" w:hanging="222" w:hangingChars="106"/>
              <w:jc w:val="center"/>
              <w:rPr>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77084330">
            <w:pPr>
              <w:ind w:left="223" w:hanging="222" w:hangingChars="106"/>
              <w:jc w:val="center"/>
              <w:rPr>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13068C64">
            <w:pPr>
              <w:ind w:left="223" w:hanging="222" w:hangingChars="106"/>
              <w:jc w:val="center"/>
              <w:rPr>
                <w:color w:val="auto"/>
                <w:szCs w:val="21"/>
                <w:highlight w:val="none"/>
              </w:rPr>
            </w:pPr>
          </w:p>
        </w:tc>
        <w:tc>
          <w:tcPr>
            <w:tcW w:w="744" w:type="dxa"/>
            <w:tcBorders>
              <w:top w:val="single" w:color="auto" w:sz="4" w:space="0"/>
              <w:left w:val="single" w:color="auto" w:sz="4" w:space="0"/>
              <w:bottom w:val="single" w:color="auto" w:sz="4" w:space="0"/>
              <w:right w:val="single" w:color="auto" w:sz="4" w:space="0"/>
            </w:tcBorders>
            <w:vAlign w:val="center"/>
          </w:tcPr>
          <w:p w14:paraId="7D4486DB">
            <w:pPr>
              <w:ind w:left="223" w:hanging="222" w:hangingChars="106"/>
              <w:jc w:val="center"/>
              <w:rPr>
                <w:color w:val="auto"/>
                <w:szCs w:val="21"/>
                <w:highlight w:val="none"/>
              </w:rPr>
            </w:pPr>
          </w:p>
        </w:tc>
        <w:tc>
          <w:tcPr>
            <w:tcW w:w="1167" w:type="dxa"/>
            <w:tcBorders>
              <w:top w:val="single" w:color="auto" w:sz="4" w:space="0"/>
              <w:left w:val="single" w:color="auto" w:sz="4" w:space="0"/>
              <w:bottom w:val="single" w:color="auto" w:sz="4" w:space="0"/>
              <w:right w:val="single" w:color="auto" w:sz="4" w:space="0"/>
            </w:tcBorders>
            <w:vAlign w:val="center"/>
          </w:tcPr>
          <w:p w14:paraId="48F6780B">
            <w:pPr>
              <w:ind w:left="223" w:hanging="222" w:hangingChars="106"/>
              <w:jc w:val="center"/>
              <w:rPr>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32681AD5">
            <w:pPr>
              <w:ind w:left="223" w:hanging="222" w:hangingChars="106"/>
              <w:jc w:val="center"/>
              <w:rPr>
                <w:color w:val="auto"/>
                <w:szCs w:val="21"/>
                <w:highlight w:val="none"/>
              </w:rPr>
            </w:pPr>
          </w:p>
        </w:tc>
      </w:tr>
      <w:tr w14:paraId="20859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tcBorders>
              <w:top w:val="single" w:color="auto" w:sz="4" w:space="0"/>
              <w:left w:val="single" w:color="auto" w:sz="4" w:space="0"/>
              <w:bottom w:val="single" w:color="auto" w:sz="4" w:space="0"/>
              <w:right w:val="single" w:color="auto" w:sz="4" w:space="0"/>
            </w:tcBorders>
            <w:vAlign w:val="center"/>
          </w:tcPr>
          <w:p w14:paraId="74D2CD85">
            <w:pPr>
              <w:pStyle w:val="141"/>
              <w:spacing w:line="240" w:lineRule="auto"/>
              <w:ind w:firstLine="0"/>
              <w:rPr>
                <w:rFonts w:hint="eastAsia" w:cs="Times New Roman" w:asciiTheme="minorEastAsia" w:hAnsiTheme="minorEastAsia" w:eastAsiaTheme="minorEastAsia"/>
                <w:color w:val="auto"/>
                <w:kern w:val="2"/>
                <w:sz w:val="21"/>
                <w:szCs w:val="21"/>
                <w:highlight w:val="none"/>
                <w:lang w:val="en-US" w:bidi="en-US"/>
              </w:rPr>
            </w:pPr>
            <w:r>
              <w:rPr>
                <w:rFonts w:cs="Times New Roman" w:asciiTheme="minorEastAsia" w:hAnsiTheme="minorEastAsia" w:eastAsiaTheme="minorEastAsia"/>
                <w:color w:val="auto"/>
                <w:kern w:val="2"/>
                <w:sz w:val="21"/>
                <w:szCs w:val="21"/>
                <w:highlight w:val="none"/>
                <w:lang w:val="en-US" w:bidi="en-US"/>
              </w:rPr>
              <w:t>4.</w:t>
            </w:r>
            <w:r>
              <w:rPr>
                <w:rFonts w:hint="eastAsia" w:asciiTheme="minorEastAsia" w:hAnsiTheme="minorEastAsia" w:eastAsiaTheme="minorEastAsia"/>
                <w:color w:val="auto"/>
                <w:kern w:val="2"/>
                <w:sz w:val="21"/>
                <w:szCs w:val="21"/>
                <w:highlight w:val="none"/>
              </w:rPr>
              <w:t>专职安全生产管理人员</w:t>
            </w:r>
          </w:p>
        </w:tc>
        <w:tc>
          <w:tcPr>
            <w:tcW w:w="670" w:type="dxa"/>
            <w:tcBorders>
              <w:top w:val="single" w:color="auto" w:sz="4" w:space="0"/>
              <w:left w:val="single" w:color="auto" w:sz="4" w:space="0"/>
              <w:bottom w:val="single" w:color="auto" w:sz="4" w:space="0"/>
              <w:right w:val="single" w:color="auto" w:sz="4" w:space="0"/>
            </w:tcBorders>
            <w:vAlign w:val="center"/>
          </w:tcPr>
          <w:p w14:paraId="56236AE4">
            <w:pPr>
              <w:ind w:left="223" w:hanging="222" w:hangingChars="106"/>
              <w:jc w:val="center"/>
              <w:rPr>
                <w:color w:val="auto"/>
                <w:szCs w:val="21"/>
                <w:highlight w:val="none"/>
              </w:rPr>
            </w:pPr>
          </w:p>
        </w:tc>
        <w:tc>
          <w:tcPr>
            <w:tcW w:w="829" w:type="dxa"/>
            <w:tcBorders>
              <w:top w:val="single" w:color="auto" w:sz="4" w:space="0"/>
              <w:left w:val="single" w:color="auto" w:sz="4" w:space="0"/>
              <w:bottom w:val="single" w:color="auto" w:sz="4" w:space="0"/>
              <w:right w:val="single" w:color="auto" w:sz="4" w:space="0"/>
            </w:tcBorders>
            <w:vAlign w:val="center"/>
          </w:tcPr>
          <w:p w14:paraId="27C8852C">
            <w:pPr>
              <w:ind w:left="223" w:hanging="222" w:hangingChars="106"/>
              <w:jc w:val="center"/>
              <w:rPr>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52A9A261">
            <w:pPr>
              <w:ind w:left="223" w:hanging="222" w:hangingChars="106"/>
              <w:jc w:val="center"/>
              <w:rPr>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50C74252">
            <w:pPr>
              <w:ind w:left="223" w:hanging="222" w:hangingChars="106"/>
              <w:jc w:val="center"/>
              <w:rPr>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074830E3">
            <w:pPr>
              <w:ind w:left="223" w:hanging="222" w:hangingChars="106"/>
              <w:jc w:val="center"/>
              <w:rPr>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778839EC">
            <w:pPr>
              <w:ind w:left="223" w:hanging="222" w:hangingChars="106"/>
              <w:jc w:val="center"/>
              <w:rPr>
                <w:color w:val="auto"/>
                <w:szCs w:val="21"/>
                <w:highlight w:val="none"/>
              </w:rPr>
            </w:pPr>
          </w:p>
        </w:tc>
        <w:tc>
          <w:tcPr>
            <w:tcW w:w="744" w:type="dxa"/>
            <w:tcBorders>
              <w:top w:val="single" w:color="auto" w:sz="4" w:space="0"/>
              <w:left w:val="single" w:color="auto" w:sz="4" w:space="0"/>
              <w:bottom w:val="single" w:color="auto" w:sz="4" w:space="0"/>
              <w:right w:val="single" w:color="auto" w:sz="4" w:space="0"/>
            </w:tcBorders>
            <w:vAlign w:val="center"/>
          </w:tcPr>
          <w:p w14:paraId="4022FB2F">
            <w:pPr>
              <w:ind w:left="223" w:hanging="222" w:hangingChars="106"/>
              <w:jc w:val="center"/>
              <w:rPr>
                <w:color w:val="auto"/>
                <w:szCs w:val="21"/>
                <w:highlight w:val="none"/>
              </w:rPr>
            </w:pPr>
          </w:p>
        </w:tc>
        <w:tc>
          <w:tcPr>
            <w:tcW w:w="1167" w:type="dxa"/>
            <w:tcBorders>
              <w:top w:val="single" w:color="auto" w:sz="4" w:space="0"/>
              <w:left w:val="single" w:color="auto" w:sz="4" w:space="0"/>
              <w:bottom w:val="single" w:color="auto" w:sz="4" w:space="0"/>
              <w:right w:val="single" w:color="auto" w:sz="4" w:space="0"/>
            </w:tcBorders>
            <w:vAlign w:val="center"/>
          </w:tcPr>
          <w:p w14:paraId="190B1C02">
            <w:pPr>
              <w:ind w:left="223" w:hanging="222" w:hangingChars="106"/>
              <w:jc w:val="center"/>
              <w:rPr>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5A3E3BB6">
            <w:pPr>
              <w:ind w:left="223" w:hanging="222" w:hangingChars="106"/>
              <w:jc w:val="center"/>
              <w:rPr>
                <w:color w:val="auto"/>
                <w:szCs w:val="21"/>
                <w:highlight w:val="none"/>
              </w:rPr>
            </w:pPr>
          </w:p>
        </w:tc>
      </w:tr>
      <w:tr w14:paraId="23866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tcBorders>
              <w:top w:val="single" w:color="auto" w:sz="4" w:space="0"/>
              <w:left w:val="single" w:color="auto" w:sz="4" w:space="0"/>
              <w:bottom w:val="single" w:color="auto" w:sz="4" w:space="0"/>
              <w:right w:val="single" w:color="auto" w:sz="4" w:space="0"/>
            </w:tcBorders>
            <w:vAlign w:val="center"/>
          </w:tcPr>
          <w:p w14:paraId="41034512">
            <w:pPr>
              <w:pStyle w:val="141"/>
              <w:spacing w:line="240" w:lineRule="auto"/>
              <w:ind w:firstLine="0"/>
              <w:rPr>
                <w:rFonts w:hint="eastAsia" w:asciiTheme="minorEastAsia" w:hAnsiTheme="minorEastAsia" w:eastAsiaTheme="minorEastAsia"/>
                <w:color w:val="auto"/>
                <w:kern w:val="2"/>
                <w:sz w:val="21"/>
                <w:szCs w:val="21"/>
                <w:highlight w:val="none"/>
              </w:rPr>
            </w:pPr>
            <w:r>
              <w:rPr>
                <w:rFonts w:cs="Times New Roman" w:asciiTheme="minorEastAsia" w:hAnsiTheme="minorEastAsia" w:eastAsiaTheme="minorEastAsia"/>
                <w:color w:val="auto"/>
                <w:kern w:val="2"/>
                <w:sz w:val="21"/>
                <w:szCs w:val="21"/>
                <w:highlight w:val="none"/>
                <w:lang w:val="en-US" w:eastAsia="en-US" w:bidi="en-US"/>
              </w:rPr>
              <w:t>3.</w:t>
            </w:r>
            <w:r>
              <w:rPr>
                <w:rFonts w:hint="eastAsia" w:asciiTheme="minorEastAsia" w:hAnsiTheme="minorEastAsia" w:eastAsiaTheme="minorEastAsia"/>
                <w:color w:val="auto"/>
                <w:kern w:val="2"/>
                <w:sz w:val="21"/>
                <w:szCs w:val="21"/>
                <w:highlight w:val="none"/>
              </w:rPr>
              <w:t>施工员</w:t>
            </w:r>
          </w:p>
        </w:tc>
        <w:tc>
          <w:tcPr>
            <w:tcW w:w="670" w:type="dxa"/>
            <w:tcBorders>
              <w:top w:val="single" w:color="auto" w:sz="4" w:space="0"/>
              <w:left w:val="single" w:color="auto" w:sz="4" w:space="0"/>
              <w:bottom w:val="single" w:color="auto" w:sz="4" w:space="0"/>
              <w:right w:val="single" w:color="auto" w:sz="4" w:space="0"/>
            </w:tcBorders>
            <w:vAlign w:val="center"/>
          </w:tcPr>
          <w:p w14:paraId="357D9297">
            <w:pPr>
              <w:ind w:left="223" w:hanging="222" w:hangingChars="106"/>
              <w:jc w:val="center"/>
              <w:rPr>
                <w:color w:val="auto"/>
                <w:szCs w:val="21"/>
                <w:highlight w:val="none"/>
              </w:rPr>
            </w:pPr>
          </w:p>
        </w:tc>
        <w:tc>
          <w:tcPr>
            <w:tcW w:w="829" w:type="dxa"/>
            <w:tcBorders>
              <w:top w:val="single" w:color="auto" w:sz="4" w:space="0"/>
              <w:left w:val="single" w:color="auto" w:sz="4" w:space="0"/>
              <w:bottom w:val="single" w:color="auto" w:sz="4" w:space="0"/>
              <w:right w:val="single" w:color="auto" w:sz="4" w:space="0"/>
            </w:tcBorders>
            <w:vAlign w:val="center"/>
          </w:tcPr>
          <w:p w14:paraId="2D6D7689">
            <w:pPr>
              <w:ind w:left="223" w:hanging="222" w:hangingChars="106"/>
              <w:jc w:val="center"/>
              <w:rPr>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5B692AC7">
            <w:pPr>
              <w:ind w:left="223" w:hanging="222" w:hangingChars="106"/>
              <w:jc w:val="center"/>
              <w:rPr>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6C9AF94B">
            <w:pPr>
              <w:ind w:left="223" w:hanging="222" w:hangingChars="106"/>
              <w:jc w:val="center"/>
              <w:rPr>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105AACC2">
            <w:pPr>
              <w:ind w:left="223" w:hanging="222" w:hangingChars="106"/>
              <w:jc w:val="center"/>
              <w:rPr>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01A2415B">
            <w:pPr>
              <w:ind w:left="223" w:hanging="222" w:hangingChars="106"/>
              <w:jc w:val="center"/>
              <w:rPr>
                <w:color w:val="auto"/>
                <w:szCs w:val="21"/>
                <w:highlight w:val="none"/>
              </w:rPr>
            </w:pPr>
          </w:p>
        </w:tc>
        <w:tc>
          <w:tcPr>
            <w:tcW w:w="744" w:type="dxa"/>
            <w:tcBorders>
              <w:top w:val="single" w:color="auto" w:sz="4" w:space="0"/>
              <w:left w:val="single" w:color="auto" w:sz="4" w:space="0"/>
              <w:bottom w:val="single" w:color="auto" w:sz="4" w:space="0"/>
              <w:right w:val="single" w:color="auto" w:sz="4" w:space="0"/>
            </w:tcBorders>
            <w:vAlign w:val="center"/>
          </w:tcPr>
          <w:p w14:paraId="48B20059">
            <w:pPr>
              <w:ind w:left="223" w:hanging="222" w:hangingChars="106"/>
              <w:jc w:val="center"/>
              <w:rPr>
                <w:color w:val="auto"/>
                <w:szCs w:val="21"/>
                <w:highlight w:val="none"/>
              </w:rPr>
            </w:pPr>
          </w:p>
        </w:tc>
        <w:tc>
          <w:tcPr>
            <w:tcW w:w="1167" w:type="dxa"/>
            <w:tcBorders>
              <w:top w:val="single" w:color="auto" w:sz="4" w:space="0"/>
              <w:left w:val="single" w:color="auto" w:sz="4" w:space="0"/>
              <w:bottom w:val="single" w:color="auto" w:sz="4" w:space="0"/>
              <w:right w:val="single" w:color="auto" w:sz="4" w:space="0"/>
            </w:tcBorders>
            <w:vAlign w:val="center"/>
          </w:tcPr>
          <w:p w14:paraId="6FC42A53">
            <w:pPr>
              <w:ind w:left="223" w:hanging="222" w:hangingChars="106"/>
              <w:jc w:val="center"/>
              <w:rPr>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5398AF35">
            <w:pPr>
              <w:ind w:left="223" w:hanging="222" w:hangingChars="106"/>
              <w:jc w:val="center"/>
              <w:rPr>
                <w:color w:val="auto"/>
                <w:szCs w:val="21"/>
                <w:highlight w:val="none"/>
              </w:rPr>
            </w:pPr>
          </w:p>
        </w:tc>
      </w:tr>
      <w:tr w14:paraId="5415D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tcBorders>
              <w:top w:val="single" w:color="auto" w:sz="4" w:space="0"/>
              <w:left w:val="single" w:color="auto" w:sz="4" w:space="0"/>
              <w:bottom w:val="single" w:color="auto" w:sz="4" w:space="0"/>
              <w:right w:val="single" w:color="auto" w:sz="4" w:space="0"/>
            </w:tcBorders>
            <w:vAlign w:val="center"/>
          </w:tcPr>
          <w:p w14:paraId="75C045C8">
            <w:pPr>
              <w:jc w:val="left"/>
              <w:rPr>
                <w:rFonts w:hint="eastAsia"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5.</w:t>
            </w:r>
            <w:r>
              <w:rPr>
                <w:rFonts w:hint="eastAsia" w:asciiTheme="minorEastAsia" w:hAnsiTheme="minorEastAsia" w:eastAsiaTheme="minorEastAsia"/>
                <w:color w:val="auto"/>
                <w:szCs w:val="21"/>
                <w:highlight w:val="none"/>
              </w:rPr>
              <w:t>质量员</w:t>
            </w:r>
          </w:p>
        </w:tc>
        <w:tc>
          <w:tcPr>
            <w:tcW w:w="670" w:type="dxa"/>
            <w:tcBorders>
              <w:top w:val="single" w:color="auto" w:sz="4" w:space="0"/>
              <w:left w:val="single" w:color="auto" w:sz="4" w:space="0"/>
              <w:bottom w:val="single" w:color="auto" w:sz="4" w:space="0"/>
              <w:right w:val="single" w:color="auto" w:sz="4" w:space="0"/>
            </w:tcBorders>
            <w:vAlign w:val="center"/>
          </w:tcPr>
          <w:p w14:paraId="6C4210C0">
            <w:pPr>
              <w:ind w:left="223" w:hanging="222" w:hangingChars="106"/>
              <w:jc w:val="center"/>
              <w:rPr>
                <w:color w:val="auto"/>
                <w:szCs w:val="21"/>
                <w:highlight w:val="none"/>
              </w:rPr>
            </w:pPr>
          </w:p>
        </w:tc>
        <w:tc>
          <w:tcPr>
            <w:tcW w:w="829" w:type="dxa"/>
            <w:tcBorders>
              <w:top w:val="single" w:color="auto" w:sz="4" w:space="0"/>
              <w:left w:val="single" w:color="auto" w:sz="4" w:space="0"/>
              <w:bottom w:val="single" w:color="auto" w:sz="4" w:space="0"/>
              <w:right w:val="single" w:color="auto" w:sz="4" w:space="0"/>
            </w:tcBorders>
            <w:vAlign w:val="center"/>
          </w:tcPr>
          <w:p w14:paraId="3D8982C5">
            <w:pPr>
              <w:ind w:left="223" w:hanging="222" w:hangingChars="106"/>
              <w:jc w:val="center"/>
              <w:rPr>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5F6AA47E">
            <w:pPr>
              <w:ind w:left="223" w:hanging="222" w:hangingChars="106"/>
              <w:jc w:val="center"/>
              <w:rPr>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19356951">
            <w:pPr>
              <w:ind w:left="223" w:hanging="222" w:hangingChars="106"/>
              <w:jc w:val="center"/>
              <w:rPr>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3115FF59">
            <w:pPr>
              <w:ind w:left="223" w:hanging="222" w:hangingChars="106"/>
              <w:jc w:val="center"/>
              <w:rPr>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33F1D8A4">
            <w:pPr>
              <w:ind w:left="223" w:hanging="222" w:hangingChars="106"/>
              <w:jc w:val="center"/>
              <w:rPr>
                <w:color w:val="auto"/>
                <w:szCs w:val="21"/>
                <w:highlight w:val="none"/>
              </w:rPr>
            </w:pPr>
          </w:p>
        </w:tc>
        <w:tc>
          <w:tcPr>
            <w:tcW w:w="744" w:type="dxa"/>
            <w:tcBorders>
              <w:top w:val="single" w:color="auto" w:sz="4" w:space="0"/>
              <w:left w:val="single" w:color="auto" w:sz="4" w:space="0"/>
              <w:bottom w:val="single" w:color="auto" w:sz="4" w:space="0"/>
              <w:right w:val="single" w:color="auto" w:sz="4" w:space="0"/>
            </w:tcBorders>
            <w:vAlign w:val="center"/>
          </w:tcPr>
          <w:p w14:paraId="6010E737">
            <w:pPr>
              <w:ind w:left="223" w:hanging="222" w:hangingChars="106"/>
              <w:jc w:val="center"/>
              <w:rPr>
                <w:color w:val="auto"/>
                <w:szCs w:val="21"/>
                <w:highlight w:val="none"/>
              </w:rPr>
            </w:pPr>
          </w:p>
        </w:tc>
        <w:tc>
          <w:tcPr>
            <w:tcW w:w="1167" w:type="dxa"/>
            <w:tcBorders>
              <w:top w:val="single" w:color="auto" w:sz="4" w:space="0"/>
              <w:left w:val="single" w:color="auto" w:sz="4" w:space="0"/>
              <w:bottom w:val="single" w:color="auto" w:sz="4" w:space="0"/>
              <w:right w:val="single" w:color="auto" w:sz="4" w:space="0"/>
            </w:tcBorders>
            <w:vAlign w:val="center"/>
          </w:tcPr>
          <w:p w14:paraId="03830871">
            <w:pPr>
              <w:ind w:left="223" w:hanging="222" w:hangingChars="106"/>
              <w:jc w:val="center"/>
              <w:rPr>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54E79A43">
            <w:pPr>
              <w:ind w:left="223" w:hanging="222" w:hangingChars="106"/>
              <w:jc w:val="center"/>
              <w:rPr>
                <w:color w:val="auto"/>
                <w:szCs w:val="21"/>
                <w:highlight w:val="none"/>
              </w:rPr>
            </w:pPr>
          </w:p>
        </w:tc>
      </w:tr>
      <w:tr w14:paraId="75D95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tcBorders>
              <w:top w:val="single" w:color="auto" w:sz="4" w:space="0"/>
              <w:left w:val="single" w:color="auto" w:sz="4" w:space="0"/>
              <w:bottom w:val="single" w:color="auto" w:sz="4" w:space="0"/>
              <w:right w:val="single" w:color="auto" w:sz="4" w:space="0"/>
            </w:tcBorders>
            <w:vAlign w:val="center"/>
          </w:tcPr>
          <w:p w14:paraId="6461D8E8">
            <w:pPr>
              <w:jc w:val="left"/>
              <w:rPr>
                <w:rFonts w:hint="eastAsia"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6.</w:t>
            </w:r>
            <w:r>
              <w:rPr>
                <w:rFonts w:hint="eastAsia" w:asciiTheme="minorEastAsia" w:hAnsiTheme="minorEastAsia" w:eastAsiaTheme="minorEastAsia"/>
                <w:color w:val="auto"/>
                <w:szCs w:val="21"/>
                <w:highlight w:val="none"/>
              </w:rPr>
              <w:t>材料员</w:t>
            </w:r>
          </w:p>
        </w:tc>
        <w:tc>
          <w:tcPr>
            <w:tcW w:w="670" w:type="dxa"/>
            <w:tcBorders>
              <w:top w:val="single" w:color="auto" w:sz="4" w:space="0"/>
              <w:left w:val="single" w:color="auto" w:sz="4" w:space="0"/>
              <w:bottom w:val="single" w:color="auto" w:sz="4" w:space="0"/>
              <w:right w:val="single" w:color="auto" w:sz="4" w:space="0"/>
            </w:tcBorders>
            <w:vAlign w:val="center"/>
          </w:tcPr>
          <w:p w14:paraId="18CB32D2">
            <w:pPr>
              <w:ind w:left="223" w:hanging="222" w:hangingChars="106"/>
              <w:jc w:val="center"/>
              <w:rPr>
                <w:color w:val="auto"/>
                <w:szCs w:val="21"/>
                <w:highlight w:val="none"/>
              </w:rPr>
            </w:pPr>
          </w:p>
        </w:tc>
        <w:tc>
          <w:tcPr>
            <w:tcW w:w="829" w:type="dxa"/>
            <w:tcBorders>
              <w:top w:val="single" w:color="auto" w:sz="4" w:space="0"/>
              <w:left w:val="single" w:color="auto" w:sz="4" w:space="0"/>
              <w:bottom w:val="single" w:color="auto" w:sz="4" w:space="0"/>
              <w:right w:val="single" w:color="auto" w:sz="4" w:space="0"/>
            </w:tcBorders>
            <w:vAlign w:val="center"/>
          </w:tcPr>
          <w:p w14:paraId="46696367">
            <w:pPr>
              <w:ind w:left="223" w:hanging="222" w:hangingChars="106"/>
              <w:jc w:val="center"/>
              <w:rPr>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54173A56">
            <w:pPr>
              <w:ind w:left="223" w:hanging="222" w:hangingChars="106"/>
              <w:jc w:val="center"/>
              <w:rPr>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1A25DFDE">
            <w:pPr>
              <w:ind w:left="223" w:hanging="222" w:hangingChars="106"/>
              <w:jc w:val="center"/>
              <w:rPr>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3A0A0D55">
            <w:pPr>
              <w:ind w:left="223" w:hanging="222" w:hangingChars="106"/>
              <w:jc w:val="center"/>
              <w:rPr>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2EAE4CDF">
            <w:pPr>
              <w:ind w:left="223" w:hanging="222" w:hangingChars="106"/>
              <w:jc w:val="center"/>
              <w:rPr>
                <w:color w:val="auto"/>
                <w:szCs w:val="21"/>
                <w:highlight w:val="none"/>
              </w:rPr>
            </w:pPr>
          </w:p>
        </w:tc>
        <w:tc>
          <w:tcPr>
            <w:tcW w:w="744" w:type="dxa"/>
            <w:tcBorders>
              <w:top w:val="single" w:color="auto" w:sz="4" w:space="0"/>
              <w:left w:val="single" w:color="auto" w:sz="4" w:space="0"/>
              <w:bottom w:val="single" w:color="auto" w:sz="4" w:space="0"/>
              <w:right w:val="single" w:color="auto" w:sz="4" w:space="0"/>
            </w:tcBorders>
            <w:vAlign w:val="center"/>
          </w:tcPr>
          <w:p w14:paraId="6FC7DC6D">
            <w:pPr>
              <w:ind w:left="223" w:hanging="222" w:hangingChars="106"/>
              <w:jc w:val="center"/>
              <w:rPr>
                <w:color w:val="auto"/>
                <w:szCs w:val="21"/>
                <w:highlight w:val="none"/>
              </w:rPr>
            </w:pPr>
          </w:p>
        </w:tc>
        <w:tc>
          <w:tcPr>
            <w:tcW w:w="1167" w:type="dxa"/>
            <w:tcBorders>
              <w:top w:val="single" w:color="auto" w:sz="4" w:space="0"/>
              <w:left w:val="single" w:color="auto" w:sz="4" w:space="0"/>
              <w:bottom w:val="single" w:color="auto" w:sz="4" w:space="0"/>
              <w:right w:val="single" w:color="auto" w:sz="4" w:space="0"/>
            </w:tcBorders>
            <w:vAlign w:val="center"/>
          </w:tcPr>
          <w:p w14:paraId="6160447F">
            <w:pPr>
              <w:ind w:left="223" w:hanging="222" w:hangingChars="106"/>
              <w:jc w:val="center"/>
              <w:rPr>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4530A290">
            <w:pPr>
              <w:ind w:left="223" w:hanging="222" w:hangingChars="106"/>
              <w:jc w:val="center"/>
              <w:rPr>
                <w:color w:val="auto"/>
                <w:szCs w:val="21"/>
                <w:highlight w:val="none"/>
              </w:rPr>
            </w:pPr>
          </w:p>
        </w:tc>
      </w:tr>
      <w:tr w14:paraId="37A80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tcBorders>
              <w:top w:val="single" w:color="auto" w:sz="4" w:space="0"/>
              <w:left w:val="single" w:color="auto" w:sz="4" w:space="0"/>
              <w:bottom w:val="single" w:color="auto" w:sz="4" w:space="0"/>
              <w:right w:val="single" w:color="auto" w:sz="4" w:space="0"/>
            </w:tcBorders>
            <w:vAlign w:val="center"/>
          </w:tcPr>
          <w:p w14:paraId="2D6F5DCC">
            <w:pPr>
              <w:jc w:val="left"/>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w:t>
            </w:r>
          </w:p>
        </w:tc>
        <w:tc>
          <w:tcPr>
            <w:tcW w:w="670" w:type="dxa"/>
            <w:tcBorders>
              <w:top w:val="single" w:color="auto" w:sz="4" w:space="0"/>
              <w:left w:val="single" w:color="auto" w:sz="4" w:space="0"/>
              <w:bottom w:val="single" w:color="auto" w:sz="4" w:space="0"/>
              <w:right w:val="single" w:color="auto" w:sz="4" w:space="0"/>
            </w:tcBorders>
            <w:vAlign w:val="center"/>
          </w:tcPr>
          <w:p w14:paraId="246E1BA0">
            <w:pPr>
              <w:ind w:left="223" w:hanging="222" w:hangingChars="106"/>
              <w:jc w:val="center"/>
              <w:rPr>
                <w:color w:val="auto"/>
                <w:szCs w:val="21"/>
                <w:highlight w:val="none"/>
              </w:rPr>
            </w:pPr>
          </w:p>
        </w:tc>
        <w:tc>
          <w:tcPr>
            <w:tcW w:w="829" w:type="dxa"/>
            <w:tcBorders>
              <w:top w:val="single" w:color="auto" w:sz="4" w:space="0"/>
              <w:left w:val="single" w:color="auto" w:sz="4" w:space="0"/>
              <w:bottom w:val="single" w:color="auto" w:sz="4" w:space="0"/>
              <w:right w:val="single" w:color="auto" w:sz="4" w:space="0"/>
            </w:tcBorders>
            <w:vAlign w:val="center"/>
          </w:tcPr>
          <w:p w14:paraId="2F268BAA">
            <w:pPr>
              <w:ind w:left="223" w:hanging="222" w:hangingChars="106"/>
              <w:jc w:val="center"/>
              <w:rPr>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74C8B79F">
            <w:pPr>
              <w:ind w:left="223" w:hanging="222" w:hangingChars="106"/>
              <w:jc w:val="center"/>
              <w:rPr>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533937CF">
            <w:pPr>
              <w:ind w:left="223" w:hanging="222" w:hangingChars="106"/>
              <w:jc w:val="center"/>
              <w:rPr>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551EF383">
            <w:pPr>
              <w:ind w:left="223" w:hanging="222" w:hangingChars="106"/>
              <w:jc w:val="center"/>
              <w:rPr>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1F70D756">
            <w:pPr>
              <w:ind w:left="223" w:hanging="222" w:hangingChars="106"/>
              <w:jc w:val="center"/>
              <w:rPr>
                <w:color w:val="auto"/>
                <w:szCs w:val="21"/>
                <w:highlight w:val="none"/>
              </w:rPr>
            </w:pPr>
          </w:p>
        </w:tc>
        <w:tc>
          <w:tcPr>
            <w:tcW w:w="744" w:type="dxa"/>
            <w:tcBorders>
              <w:top w:val="single" w:color="auto" w:sz="4" w:space="0"/>
              <w:left w:val="single" w:color="auto" w:sz="4" w:space="0"/>
              <w:bottom w:val="single" w:color="auto" w:sz="4" w:space="0"/>
              <w:right w:val="single" w:color="auto" w:sz="4" w:space="0"/>
            </w:tcBorders>
            <w:vAlign w:val="center"/>
          </w:tcPr>
          <w:p w14:paraId="4701C38D">
            <w:pPr>
              <w:ind w:left="223" w:hanging="222" w:hangingChars="106"/>
              <w:jc w:val="center"/>
              <w:rPr>
                <w:color w:val="auto"/>
                <w:szCs w:val="21"/>
                <w:highlight w:val="none"/>
              </w:rPr>
            </w:pPr>
          </w:p>
        </w:tc>
        <w:tc>
          <w:tcPr>
            <w:tcW w:w="1167" w:type="dxa"/>
            <w:tcBorders>
              <w:top w:val="single" w:color="auto" w:sz="4" w:space="0"/>
              <w:left w:val="single" w:color="auto" w:sz="4" w:space="0"/>
              <w:bottom w:val="single" w:color="auto" w:sz="4" w:space="0"/>
              <w:right w:val="single" w:color="auto" w:sz="4" w:space="0"/>
            </w:tcBorders>
            <w:vAlign w:val="center"/>
          </w:tcPr>
          <w:p w14:paraId="29B7D2BD">
            <w:pPr>
              <w:ind w:left="223" w:hanging="222" w:hangingChars="106"/>
              <w:jc w:val="center"/>
              <w:rPr>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0C1C6053">
            <w:pPr>
              <w:ind w:left="223" w:hanging="222" w:hangingChars="106"/>
              <w:jc w:val="center"/>
              <w:rPr>
                <w:color w:val="auto"/>
                <w:szCs w:val="21"/>
                <w:highlight w:val="none"/>
              </w:rPr>
            </w:pPr>
          </w:p>
        </w:tc>
      </w:tr>
      <w:tr w14:paraId="2A92D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866" w:type="dxa"/>
            <w:gridSpan w:val="10"/>
            <w:tcBorders>
              <w:top w:val="single" w:color="auto" w:sz="4" w:space="0"/>
              <w:left w:val="single" w:color="auto" w:sz="4" w:space="0"/>
              <w:bottom w:val="single" w:color="auto" w:sz="4" w:space="0"/>
              <w:right w:val="single" w:color="auto" w:sz="4" w:space="0"/>
            </w:tcBorders>
            <w:vAlign w:val="center"/>
          </w:tcPr>
          <w:p w14:paraId="43BFA7BD">
            <w:pPr>
              <w:ind w:left="223" w:hanging="222" w:hangingChars="106"/>
              <w:jc w:val="left"/>
              <w:rPr>
                <w:color w:val="auto"/>
                <w:highlight w:val="none"/>
              </w:rPr>
            </w:pPr>
            <w:r>
              <w:rPr>
                <w:rFonts w:hint="eastAsia"/>
                <w:color w:val="auto"/>
                <w:highlight w:val="none"/>
              </w:rPr>
              <w:t>一旦我单位成交，将实行项目经理负责制，我方保证并配备上述项目管理机构。上述填报内容真实，若不真实，愿按有关规定接受处理。项目管理班子机构设置、职责分工等情况另附资料说明。</w:t>
            </w:r>
          </w:p>
        </w:tc>
      </w:tr>
    </w:tbl>
    <w:p w14:paraId="5D4587F9">
      <w:pPr>
        <w:spacing w:line="360" w:lineRule="auto"/>
        <w:jc w:val="left"/>
        <w:rPr>
          <w:rFonts w:hint="eastAsia" w:ascii="宋体" w:hAnsi="宋体"/>
          <w:b/>
          <w:color w:val="auto"/>
          <w:szCs w:val="21"/>
          <w:highlight w:val="none"/>
        </w:rPr>
      </w:pPr>
      <w:r>
        <w:rPr>
          <w:rFonts w:hint="eastAsia" w:ascii="宋体" w:hAnsi="宋体"/>
          <w:b/>
          <w:color w:val="auto"/>
          <w:szCs w:val="21"/>
          <w:highlight w:val="none"/>
        </w:rPr>
        <w:t>备注：</w:t>
      </w:r>
    </w:p>
    <w:p w14:paraId="4F7E4D33">
      <w:pPr>
        <w:spacing w:line="360" w:lineRule="auto"/>
        <w:ind w:firstLine="422" w:firstLineChars="200"/>
        <w:jc w:val="left"/>
        <w:rPr>
          <w:rFonts w:hint="eastAsia" w:ascii="宋体" w:hAnsi="宋体"/>
          <w:b/>
          <w:color w:val="auto"/>
          <w:szCs w:val="21"/>
          <w:highlight w:val="none"/>
        </w:rPr>
      </w:pPr>
      <w:r>
        <w:rPr>
          <w:rFonts w:hint="eastAsia" w:ascii="宋体" w:hAnsi="宋体"/>
          <w:b/>
          <w:color w:val="auto"/>
          <w:szCs w:val="21"/>
          <w:highlight w:val="none"/>
        </w:rPr>
        <w:t>1.本表所列岗位的所有管理人员的情况均应如实填写。可按以上格式扩展为多页填写。</w:t>
      </w:r>
    </w:p>
    <w:p w14:paraId="3B646D07">
      <w:pPr>
        <w:spacing w:line="360" w:lineRule="auto"/>
        <w:ind w:firstLine="422" w:firstLineChars="200"/>
        <w:jc w:val="left"/>
        <w:rPr>
          <w:rFonts w:hint="eastAsia" w:ascii="宋体" w:hAnsi="宋体"/>
          <w:b/>
          <w:color w:val="auto"/>
          <w:szCs w:val="21"/>
          <w:highlight w:val="none"/>
        </w:rPr>
      </w:pPr>
      <w:r>
        <w:rPr>
          <w:rFonts w:hint="eastAsia" w:ascii="宋体" w:hAnsi="宋体"/>
          <w:b/>
          <w:color w:val="auto"/>
          <w:szCs w:val="21"/>
          <w:highlight w:val="none"/>
        </w:rPr>
        <w:t>2.</w:t>
      </w:r>
      <w:r>
        <w:rPr>
          <w:rFonts w:hint="eastAsia" w:ascii="宋体" w:hAnsi="宋体" w:cs="宋体"/>
          <w:b/>
          <w:color w:val="auto"/>
          <w:szCs w:val="21"/>
          <w:highlight w:val="none"/>
          <w:lang w:eastAsia="zh-CN"/>
        </w:rPr>
        <w:t>提供</w:t>
      </w:r>
      <w:r>
        <w:rPr>
          <w:rFonts w:hint="eastAsia" w:ascii="宋体" w:hAnsi="宋体" w:cs="宋体"/>
          <w:b/>
          <w:color w:val="auto"/>
          <w:szCs w:val="21"/>
          <w:highlight w:val="none"/>
        </w:rPr>
        <w:t>以下证明材料：①</w:t>
      </w:r>
      <w:r>
        <w:rPr>
          <w:rFonts w:hint="eastAsia" w:ascii="宋体" w:hAnsi="宋体" w:cs="宋体"/>
          <w:b/>
          <w:color w:val="auto"/>
          <w:szCs w:val="21"/>
          <w:highlight w:val="none"/>
          <w:lang w:eastAsia="zh-CN"/>
        </w:rPr>
        <w:t>提供</w:t>
      </w:r>
      <w:r>
        <w:rPr>
          <w:rFonts w:hint="eastAsia" w:ascii="宋体" w:hAnsi="宋体" w:cs="宋体"/>
          <w:b/>
          <w:color w:val="auto"/>
          <w:szCs w:val="21"/>
          <w:highlight w:val="none"/>
        </w:rPr>
        <w:t>项目经理具有</w:t>
      </w:r>
      <w:r>
        <w:rPr>
          <w:rFonts w:hint="eastAsia" w:ascii="宋体" w:hAnsi="宋体" w:cs="宋体"/>
          <w:b/>
          <w:color w:val="auto"/>
          <w:szCs w:val="21"/>
          <w:highlight w:val="none"/>
          <w:lang w:val="en-US" w:eastAsia="zh-CN"/>
        </w:rPr>
        <w:t>建筑工程或</w:t>
      </w:r>
      <w:r>
        <w:rPr>
          <w:rFonts w:hint="eastAsia" w:ascii="宋体" w:hAnsi="宋体" w:cs="宋体"/>
          <w:b/>
          <w:color w:val="auto"/>
          <w:szCs w:val="21"/>
          <w:highlight w:val="none"/>
        </w:rPr>
        <w:t>机电工程专业二级以上（含二级）注册建造师执业资格证书复印件及有效的安全生产考核合格证书复印件（B类），加盖供应商电子签章；②</w:t>
      </w:r>
      <w:r>
        <w:rPr>
          <w:rFonts w:hint="eastAsia" w:ascii="宋体" w:hAnsi="宋体" w:cs="宋体"/>
          <w:b/>
          <w:color w:val="auto"/>
          <w:szCs w:val="21"/>
          <w:highlight w:val="none"/>
          <w:lang w:eastAsia="zh-CN"/>
        </w:rPr>
        <w:t>提供</w:t>
      </w:r>
      <w:r>
        <w:rPr>
          <w:rFonts w:hint="eastAsia" w:ascii="宋体" w:hAnsi="宋体" w:cs="宋体"/>
          <w:b/>
          <w:color w:val="auto"/>
          <w:szCs w:val="21"/>
          <w:highlight w:val="none"/>
        </w:rPr>
        <w:t>技术负责人的与本项目相关的电气类</w:t>
      </w:r>
      <w:r>
        <w:rPr>
          <w:rFonts w:hint="eastAsia" w:ascii="宋体" w:hAnsi="宋体" w:cs="宋体"/>
          <w:b/>
          <w:color w:val="auto"/>
          <w:szCs w:val="21"/>
          <w:highlight w:val="none"/>
          <w:lang w:val="en-US" w:eastAsia="zh-CN"/>
        </w:rPr>
        <w:t>或</w:t>
      </w:r>
      <w:r>
        <w:rPr>
          <w:rFonts w:hint="eastAsia" w:ascii="宋体" w:hAnsi="宋体" w:cs="宋体"/>
          <w:b/>
          <w:color w:val="auto"/>
          <w:szCs w:val="21"/>
          <w:highlight w:val="none"/>
        </w:rPr>
        <w:t>电力工程专业中级及以上职称证书复印件，加盖供应商电子签章；③</w:t>
      </w:r>
      <w:r>
        <w:rPr>
          <w:rFonts w:hint="eastAsia" w:ascii="宋体" w:hAnsi="宋体" w:cs="宋体"/>
          <w:b/>
          <w:color w:val="auto"/>
          <w:szCs w:val="21"/>
          <w:highlight w:val="none"/>
          <w:lang w:eastAsia="zh-CN"/>
        </w:rPr>
        <w:t>提供</w:t>
      </w:r>
      <w:r>
        <w:rPr>
          <w:rFonts w:hint="eastAsia" w:ascii="宋体" w:hAnsi="宋体" w:cs="宋体"/>
          <w:b/>
          <w:color w:val="auto"/>
          <w:szCs w:val="21"/>
          <w:highlight w:val="none"/>
        </w:rPr>
        <w:t>专职安全生产管理人员须具有安全生产考核合格证书复印件（C类），加盖供应商电子签章；④</w:t>
      </w:r>
      <w:r>
        <w:rPr>
          <w:rFonts w:hint="eastAsia" w:ascii="宋体" w:hAnsi="宋体" w:cs="宋体"/>
          <w:b/>
          <w:color w:val="auto"/>
          <w:szCs w:val="21"/>
          <w:highlight w:val="none"/>
          <w:lang w:eastAsia="zh-CN"/>
        </w:rPr>
        <w:t>提供</w:t>
      </w:r>
      <w:r>
        <w:rPr>
          <w:rFonts w:hint="eastAsia" w:ascii="宋体" w:hAnsi="宋体" w:cs="宋体"/>
          <w:b/>
          <w:color w:val="auto"/>
          <w:szCs w:val="21"/>
          <w:highlight w:val="none"/>
        </w:rPr>
        <w:t>施工员、质量员、材料员须具有施工现场专业人员职业培训合格证书复印件，加盖供应商电子签章；⑤</w:t>
      </w:r>
      <w:r>
        <w:rPr>
          <w:rFonts w:hint="eastAsia" w:ascii="宋体" w:hAnsi="宋体" w:cs="宋体"/>
          <w:b/>
          <w:color w:val="auto"/>
          <w:szCs w:val="21"/>
          <w:highlight w:val="none"/>
          <w:lang w:eastAsia="zh-CN"/>
        </w:rPr>
        <w:t>提供</w:t>
      </w:r>
      <w:r>
        <w:rPr>
          <w:rFonts w:hint="eastAsia" w:ascii="宋体" w:hAnsi="宋体" w:cs="宋体"/>
          <w:b/>
          <w:color w:val="auto"/>
          <w:szCs w:val="21"/>
          <w:highlight w:val="none"/>
        </w:rPr>
        <w:t>以上项目管理机构人员的身份证复印件及</w:t>
      </w:r>
      <w:r>
        <w:rPr>
          <w:rFonts w:hint="eastAsia" w:ascii="宋体" w:hAnsi="宋体" w:cs="宋体"/>
          <w:b/>
          <w:bCs/>
          <w:color w:val="auto"/>
          <w:szCs w:val="21"/>
          <w:highlight w:val="none"/>
          <w:lang w:eastAsia="zh-CN"/>
        </w:rPr>
        <w:t>为本单位在职员工的证明材料（可以是劳动合同复印件或</w:t>
      </w:r>
      <w:r>
        <w:rPr>
          <w:rFonts w:hint="eastAsia" w:ascii="宋体" w:hAnsi="宋体" w:cs="宋体"/>
          <w:b/>
          <w:bCs/>
          <w:color w:val="auto"/>
          <w:szCs w:val="21"/>
          <w:highlight w:val="none"/>
        </w:rPr>
        <w:t>202</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年</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月以来任意一个月供应商为以上项目管理机构人员交纳的社保证明材料复印件</w:t>
      </w:r>
      <w:r>
        <w:rPr>
          <w:rFonts w:hint="eastAsia" w:ascii="宋体" w:hAnsi="宋体" w:cs="宋体"/>
          <w:b/>
          <w:bCs/>
          <w:color w:val="auto"/>
          <w:szCs w:val="21"/>
          <w:highlight w:val="none"/>
          <w:lang w:eastAsia="zh-CN"/>
        </w:rPr>
        <w:t>等）</w:t>
      </w:r>
      <w:r>
        <w:rPr>
          <w:rFonts w:hint="eastAsia" w:ascii="宋体" w:hAnsi="宋体" w:cs="宋体"/>
          <w:b/>
          <w:color w:val="auto"/>
          <w:szCs w:val="21"/>
          <w:highlight w:val="none"/>
        </w:rPr>
        <w:t>，加盖供应商电子签章</w:t>
      </w:r>
      <w:r>
        <w:rPr>
          <w:rFonts w:hint="eastAsia" w:ascii="宋体" w:hAnsi="宋体"/>
          <w:b/>
          <w:color w:val="auto"/>
          <w:szCs w:val="21"/>
          <w:highlight w:val="none"/>
        </w:rPr>
        <w:t>。</w:t>
      </w:r>
    </w:p>
    <w:p w14:paraId="16B774AC">
      <w:pPr>
        <w:pStyle w:val="65"/>
        <w:rPr>
          <w:color w:val="auto"/>
          <w:highlight w:val="none"/>
        </w:rPr>
      </w:pPr>
    </w:p>
    <w:p w14:paraId="170396C5">
      <w:pPr>
        <w:pStyle w:val="65"/>
        <w:rPr>
          <w:color w:val="auto"/>
          <w:highlight w:val="none"/>
        </w:rPr>
      </w:pPr>
    </w:p>
    <w:p w14:paraId="7FBBC473">
      <w:pPr>
        <w:spacing w:line="360" w:lineRule="auto"/>
        <w:ind w:firstLine="480" w:firstLineChars="200"/>
        <w:rPr>
          <w:rFonts w:hint="eastAsia" w:ascii="宋体" w:hAnsi="宋体"/>
          <w:color w:val="auto"/>
          <w:spacing w:val="20"/>
          <w:sz w:val="24"/>
          <w:szCs w:val="20"/>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w:t>
      </w:r>
      <w:r>
        <w:rPr>
          <w:rFonts w:hint="eastAsia" w:ascii="宋体" w:hAnsi="宋体"/>
          <w:color w:val="auto"/>
          <w:spacing w:val="20"/>
          <w:sz w:val="24"/>
          <w:highlight w:val="none"/>
          <w:u w:val="single"/>
        </w:rPr>
        <w:t xml:space="preserve">        </w:t>
      </w:r>
    </w:p>
    <w:p w14:paraId="616C7B84">
      <w:pPr>
        <w:spacing w:line="360" w:lineRule="auto"/>
        <w:ind w:firstLine="560" w:firstLineChars="200"/>
        <w:jc w:val="left"/>
        <w:rPr>
          <w:rFonts w:hint="eastAsia" w:ascii="宋体" w:hAnsi="宋体"/>
          <w:color w:val="auto"/>
          <w:spacing w:val="20"/>
          <w:sz w:val="24"/>
          <w:highlight w:val="none"/>
        </w:rPr>
      </w:pPr>
      <w:r>
        <w:rPr>
          <w:rFonts w:hint="eastAsia" w:ascii="宋体" w:hAnsi="宋体"/>
          <w:color w:val="auto"/>
          <w:spacing w:val="20"/>
          <w:sz w:val="24"/>
          <w:highlight w:val="none"/>
        </w:rPr>
        <w:t>供应商（电子签章）：</w:t>
      </w:r>
      <w:r>
        <w:rPr>
          <w:rFonts w:hint="eastAsia" w:ascii="宋体" w:hAnsi="宋体"/>
          <w:color w:val="auto"/>
          <w:spacing w:val="20"/>
          <w:sz w:val="24"/>
          <w:highlight w:val="none"/>
          <w:u w:val="single"/>
        </w:rPr>
        <w:t xml:space="preserve">            </w:t>
      </w:r>
      <w:r>
        <w:rPr>
          <w:rFonts w:hint="eastAsia" w:ascii="宋体" w:hAnsi="宋体"/>
          <w:color w:val="auto"/>
          <w:spacing w:val="20"/>
          <w:sz w:val="24"/>
          <w:highlight w:val="none"/>
        </w:rPr>
        <w:t xml:space="preserve">       </w:t>
      </w:r>
    </w:p>
    <w:p w14:paraId="19CB6E04">
      <w:pPr>
        <w:spacing w:line="360" w:lineRule="auto"/>
        <w:ind w:firstLine="560" w:firstLineChars="200"/>
        <w:jc w:val="left"/>
        <w:rPr>
          <w:rFonts w:hint="eastAsia" w:ascii="宋体" w:hAnsi="宋体"/>
          <w:color w:val="auto"/>
          <w:sz w:val="24"/>
          <w:szCs w:val="20"/>
          <w:highlight w:val="none"/>
        </w:rPr>
      </w:pPr>
      <w:r>
        <w:rPr>
          <w:rFonts w:hint="eastAsia" w:ascii="宋体" w:hAnsi="宋体"/>
          <w:color w:val="auto"/>
          <w:spacing w:val="20"/>
          <w:sz w:val="24"/>
          <w:highlight w:val="none"/>
        </w:rPr>
        <w:t>日 期：</w:t>
      </w:r>
      <w:r>
        <w:rPr>
          <w:rFonts w:hint="eastAsia" w:ascii="宋体" w:hAnsi="宋体"/>
          <w:color w:val="auto"/>
          <w:spacing w:val="20"/>
          <w:sz w:val="24"/>
          <w:highlight w:val="none"/>
          <w:u w:val="single"/>
        </w:rPr>
        <w:t xml:space="preserve">         </w:t>
      </w:r>
    </w:p>
    <w:p w14:paraId="2C485AFB">
      <w:pPr>
        <w:spacing w:line="500" w:lineRule="exact"/>
        <w:jc w:val="center"/>
        <w:rPr>
          <w:rFonts w:cs="宋体"/>
          <w:b/>
          <w:bCs/>
          <w:color w:val="auto"/>
          <w:sz w:val="28"/>
          <w:szCs w:val="28"/>
          <w:highlight w:val="none"/>
        </w:rPr>
      </w:pPr>
    </w:p>
    <w:p w14:paraId="6ED72C9E">
      <w:pPr>
        <w:spacing w:line="500" w:lineRule="exact"/>
        <w:jc w:val="center"/>
        <w:rPr>
          <w:rFonts w:cs="宋体"/>
          <w:b/>
          <w:bCs/>
          <w:color w:val="auto"/>
          <w:sz w:val="28"/>
          <w:szCs w:val="28"/>
          <w:highlight w:val="none"/>
        </w:rPr>
      </w:pPr>
      <w:r>
        <w:rPr>
          <w:rFonts w:hint="eastAsia" w:cs="宋体"/>
          <w:b/>
          <w:bCs/>
          <w:color w:val="auto"/>
          <w:sz w:val="28"/>
          <w:szCs w:val="28"/>
          <w:highlight w:val="none"/>
        </w:rPr>
        <w:t>供应商关于拟派项目经理的承诺书</w:t>
      </w:r>
    </w:p>
    <w:p w14:paraId="4FD796A5">
      <w:pPr>
        <w:spacing w:line="520" w:lineRule="exact"/>
        <w:ind w:left="-10" w:firstLine="520" w:firstLineChars="217"/>
        <w:jc w:val="left"/>
        <w:rPr>
          <w:rFonts w:cs="宋体"/>
          <w:bCs/>
          <w:color w:val="auto"/>
          <w:sz w:val="24"/>
          <w:highlight w:val="none"/>
        </w:rPr>
      </w:pPr>
    </w:p>
    <w:p w14:paraId="1CBB0B7D">
      <w:pPr>
        <w:spacing w:line="520" w:lineRule="exact"/>
        <w:ind w:left="-10" w:firstLine="520" w:firstLineChars="217"/>
        <w:jc w:val="left"/>
        <w:rPr>
          <w:rFonts w:hint="eastAsia" w:cs="宋体" w:asciiTheme="minorEastAsia" w:hAnsiTheme="minorEastAsia" w:eastAsiaTheme="minorEastAsia"/>
          <w:bCs/>
          <w:color w:val="auto"/>
          <w:sz w:val="24"/>
          <w:highlight w:val="none"/>
        </w:rPr>
      </w:pPr>
      <w:r>
        <w:rPr>
          <w:rFonts w:hint="eastAsia" w:cs="宋体"/>
          <w:bCs/>
          <w:color w:val="auto"/>
          <w:sz w:val="24"/>
          <w:highlight w:val="none"/>
        </w:rPr>
        <w:t>我公司郑重承诺：在参加本次</w:t>
      </w:r>
      <w:r>
        <w:rPr>
          <w:rFonts w:cs="宋体"/>
          <w:bCs/>
          <w:color w:val="auto"/>
          <w:sz w:val="24"/>
          <w:highlight w:val="none"/>
          <w:u w:val="single"/>
        </w:rPr>
        <w:t xml:space="preserve">                   </w:t>
      </w:r>
      <w:r>
        <w:rPr>
          <w:rFonts w:hint="eastAsia" w:cs="宋体"/>
          <w:bCs/>
          <w:color w:val="auto"/>
          <w:sz w:val="24"/>
          <w:highlight w:val="none"/>
        </w:rPr>
        <w:t>工程（项目编号：</w:t>
      </w:r>
      <w:r>
        <w:rPr>
          <w:rFonts w:cs="宋体"/>
          <w:bCs/>
          <w:color w:val="auto"/>
          <w:sz w:val="24"/>
          <w:highlight w:val="none"/>
          <w:u w:val="single"/>
        </w:rPr>
        <w:t xml:space="preserve">           </w:t>
      </w:r>
      <w:r>
        <w:rPr>
          <w:rFonts w:hint="eastAsia" w:cs="宋体"/>
          <w:bCs/>
          <w:color w:val="auto"/>
          <w:sz w:val="24"/>
          <w:highlight w:val="none"/>
        </w:rPr>
        <w:t>）竞争性磋商项目中，拟投入本项目项目经理</w:t>
      </w:r>
      <w:r>
        <w:rPr>
          <w:rFonts w:hint="eastAsia" w:cs="宋体"/>
          <w:bCs/>
          <w:color w:val="auto"/>
          <w:sz w:val="24"/>
          <w:highlight w:val="none"/>
          <w:u w:val="single"/>
        </w:rPr>
        <w:t xml:space="preserve">      （姓名），（身份证号码：           ）</w:t>
      </w:r>
      <w:r>
        <w:rPr>
          <w:rFonts w:hint="eastAsia" w:cs="宋体"/>
          <w:bCs/>
          <w:color w:val="auto"/>
          <w:sz w:val="24"/>
          <w:highlight w:val="none"/>
        </w:rPr>
        <w:t>不存在其他在建、已中标（或成交）未开工或已列为其他项目中标（或成交）候选人第一名的建造师</w:t>
      </w:r>
      <w:r>
        <w:rPr>
          <w:rFonts w:hint="eastAsia" w:cs="宋体" w:asciiTheme="minorEastAsia" w:hAnsiTheme="minorEastAsia" w:eastAsiaTheme="minorEastAsia"/>
          <w:bCs/>
          <w:color w:val="auto"/>
          <w:sz w:val="24"/>
          <w:highlight w:val="none"/>
        </w:rPr>
        <w:t>。</w:t>
      </w:r>
    </w:p>
    <w:p w14:paraId="4EB48231">
      <w:pPr>
        <w:spacing w:line="520" w:lineRule="exact"/>
        <w:ind w:left="-10" w:firstLine="520" w:firstLineChars="217"/>
        <w:jc w:val="left"/>
        <w:rPr>
          <w:rFonts w:hint="eastAsia" w:cs="宋体" w:asciiTheme="minorEastAsia" w:hAnsiTheme="minorEastAsia" w:eastAsiaTheme="minorEastAsia"/>
          <w:bCs/>
          <w:color w:val="auto"/>
          <w:sz w:val="24"/>
          <w:highlight w:val="none"/>
        </w:rPr>
      </w:pPr>
      <w:r>
        <w:rPr>
          <w:rFonts w:hint="eastAsia" w:cs="宋体" w:asciiTheme="minorEastAsia" w:hAnsiTheme="minorEastAsia" w:eastAsiaTheme="minorEastAsia"/>
          <w:bCs/>
          <w:color w:val="auto"/>
          <w:sz w:val="24"/>
          <w:highlight w:val="none"/>
        </w:rPr>
        <w:t>本单位对上述承诺的真实性负责。如有虚假，将依法承担相应责任。</w:t>
      </w:r>
    </w:p>
    <w:p w14:paraId="7DF36C16">
      <w:pPr>
        <w:spacing w:line="520" w:lineRule="exact"/>
        <w:ind w:left="-10" w:firstLine="455" w:firstLineChars="217"/>
        <w:jc w:val="left"/>
        <w:rPr>
          <w:color w:val="auto"/>
          <w:szCs w:val="21"/>
          <w:highlight w:val="none"/>
        </w:rPr>
      </w:pPr>
    </w:p>
    <w:p w14:paraId="7E868378">
      <w:pPr>
        <w:spacing w:line="520" w:lineRule="exact"/>
        <w:jc w:val="left"/>
        <w:rPr>
          <w:color w:val="auto"/>
          <w:highlight w:val="none"/>
        </w:rPr>
      </w:pPr>
    </w:p>
    <w:p w14:paraId="096E9FFD">
      <w:pPr>
        <w:spacing w:line="480" w:lineRule="auto"/>
        <w:ind w:left="2699"/>
        <w:rPr>
          <w:color w:val="auto"/>
          <w:highlight w:val="none"/>
        </w:rPr>
      </w:pPr>
      <w:r>
        <w:rPr>
          <w:rFonts w:hint="eastAsia" w:cs="宋体"/>
          <w:color w:val="auto"/>
          <w:highlight w:val="none"/>
        </w:rPr>
        <w:t>供应商：</w:t>
      </w:r>
      <w:r>
        <w:rPr>
          <w:color w:val="auto"/>
          <w:highlight w:val="none"/>
          <w:u w:val="single"/>
        </w:rPr>
        <w:t xml:space="preserve">                              </w:t>
      </w:r>
      <w:r>
        <w:rPr>
          <w:rFonts w:hint="eastAsia" w:cs="宋体"/>
          <w:color w:val="auto"/>
          <w:highlight w:val="none"/>
          <w:u w:val="single"/>
        </w:rPr>
        <w:t>（盖供应商电子签章）</w:t>
      </w:r>
    </w:p>
    <w:p w14:paraId="73FC5718">
      <w:pPr>
        <w:spacing w:line="480" w:lineRule="auto"/>
        <w:ind w:left="2699"/>
        <w:rPr>
          <w:color w:val="auto"/>
          <w:highlight w:val="none"/>
        </w:rPr>
      </w:pPr>
      <w:r>
        <w:rPr>
          <w:rFonts w:hint="eastAsia" w:cs="宋体"/>
          <w:color w:val="auto"/>
          <w:highlight w:val="none"/>
        </w:rPr>
        <w:t>法定代表人（或委托代理人）：</w:t>
      </w:r>
      <w:r>
        <w:rPr>
          <w:color w:val="auto"/>
          <w:highlight w:val="none"/>
          <w:u w:val="single"/>
        </w:rPr>
        <w:t xml:space="preserve">         </w:t>
      </w:r>
      <w:r>
        <w:rPr>
          <w:rFonts w:hint="eastAsia"/>
          <w:color w:val="auto"/>
          <w:highlight w:val="none"/>
          <w:u w:val="single"/>
        </w:rPr>
        <w:t>（签字或者电子签名）</w:t>
      </w:r>
    </w:p>
    <w:p w14:paraId="32A617AD">
      <w:pPr>
        <w:spacing w:line="360" w:lineRule="auto"/>
        <w:ind w:firstLine="2730" w:firstLineChars="1300"/>
        <w:rPr>
          <w:color w:val="auto"/>
          <w:sz w:val="24"/>
          <w:highlight w:val="none"/>
        </w:rPr>
      </w:pPr>
      <w:r>
        <w:rPr>
          <w:rFonts w:hint="eastAsia" w:cs="宋体"/>
          <w:color w:val="auto"/>
          <w:highlight w:val="none"/>
        </w:rPr>
        <w:t>日期：</w:t>
      </w:r>
      <w:r>
        <w:rPr>
          <w:color w:val="auto"/>
          <w:highlight w:val="none"/>
          <w:u w:val="single"/>
        </w:rPr>
        <w:t xml:space="preserve">       </w:t>
      </w:r>
      <w:r>
        <w:rPr>
          <w:rFonts w:hint="eastAsia" w:cs="宋体"/>
          <w:color w:val="auto"/>
          <w:highlight w:val="none"/>
        </w:rPr>
        <w:t>年</w:t>
      </w:r>
      <w:r>
        <w:rPr>
          <w:color w:val="auto"/>
          <w:highlight w:val="none"/>
          <w:u w:val="single"/>
        </w:rPr>
        <w:t xml:space="preserve">     </w:t>
      </w:r>
      <w:r>
        <w:rPr>
          <w:rFonts w:hint="eastAsia" w:cs="宋体"/>
          <w:color w:val="auto"/>
          <w:highlight w:val="none"/>
        </w:rPr>
        <w:t>月</w:t>
      </w:r>
      <w:r>
        <w:rPr>
          <w:color w:val="auto"/>
          <w:highlight w:val="none"/>
          <w:u w:val="single"/>
        </w:rPr>
        <w:t xml:space="preserve">     </w:t>
      </w:r>
      <w:r>
        <w:rPr>
          <w:rFonts w:hint="eastAsia" w:cs="宋体"/>
          <w:color w:val="auto"/>
          <w:highlight w:val="none"/>
        </w:rPr>
        <w:t>日</w:t>
      </w:r>
    </w:p>
    <w:p w14:paraId="28E70750">
      <w:pPr>
        <w:widowControl/>
        <w:jc w:val="left"/>
        <w:rPr>
          <w:rFonts w:hint="eastAsia" w:ascii="宋体" w:hAnsi="宋体"/>
          <w:b/>
          <w:color w:val="auto"/>
          <w:sz w:val="32"/>
          <w:szCs w:val="32"/>
          <w:highlight w:val="none"/>
        </w:rPr>
      </w:pPr>
      <w:r>
        <w:rPr>
          <w:rFonts w:ascii="宋体" w:hAnsi="宋体"/>
          <w:b/>
          <w:color w:val="auto"/>
          <w:sz w:val="32"/>
          <w:szCs w:val="32"/>
          <w:highlight w:val="none"/>
        </w:rPr>
        <w:br w:type="page"/>
      </w:r>
    </w:p>
    <w:p w14:paraId="42105C22">
      <w:pPr>
        <w:spacing w:line="500" w:lineRule="exact"/>
        <w:jc w:val="center"/>
        <w:rPr>
          <w:rFonts w:cs="宋体"/>
          <w:b/>
          <w:bCs/>
          <w:color w:val="auto"/>
          <w:sz w:val="28"/>
          <w:szCs w:val="28"/>
          <w:highlight w:val="none"/>
        </w:rPr>
      </w:pPr>
      <w:r>
        <w:rPr>
          <w:rFonts w:hint="eastAsia" w:cs="宋体"/>
          <w:b/>
          <w:bCs/>
          <w:color w:val="auto"/>
          <w:sz w:val="28"/>
          <w:szCs w:val="28"/>
          <w:highlight w:val="none"/>
        </w:rPr>
        <w:t>农民工工资保证金交纳与使用承诺书（格式）</w:t>
      </w:r>
    </w:p>
    <w:p w14:paraId="08AB568D">
      <w:pPr>
        <w:autoSpaceDE w:val="0"/>
        <w:autoSpaceDN w:val="0"/>
        <w:jc w:val="left"/>
        <w:rPr>
          <w:rFonts w:hint="eastAsia" w:ascii="宋体" w:hAnsi="宋体" w:cs="宋体"/>
          <w:b/>
          <w:color w:val="auto"/>
          <w:kern w:val="0"/>
          <w:sz w:val="24"/>
          <w:szCs w:val="21"/>
          <w:highlight w:val="none"/>
        </w:rPr>
      </w:pPr>
    </w:p>
    <w:p w14:paraId="30241CAA">
      <w:pPr>
        <w:autoSpaceDE w:val="0"/>
        <w:autoSpaceDN w:val="0"/>
        <w:spacing w:before="11"/>
        <w:jc w:val="left"/>
        <w:rPr>
          <w:rFonts w:hint="eastAsia" w:ascii="宋体" w:hAnsi="宋体" w:cs="宋体"/>
          <w:b/>
          <w:color w:val="auto"/>
          <w:kern w:val="0"/>
          <w:sz w:val="19"/>
          <w:szCs w:val="21"/>
          <w:highlight w:val="none"/>
        </w:rPr>
      </w:pPr>
    </w:p>
    <w:p w14:paraId="746C7D7F">
      <w:pPr>
        <w:autoSpaceDE w:val="0"/>
        <w:autoSpaceDN w:val="0"/>
        <w:spacing w:before="1"/>
        <w:ind w:left="2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致：</w:t>
      </w:r>
      <w:r>
        <w:rPr>
          <w:rFonts w:hint="eastAsia" w:ascii="宋体" w:hAnsi="宋体" w:cs="宋体"/>
          <w:color w:val="auto"/>
          <w:kern w:val="0"/>
          <w:szCs w:val="21"/>
          <w:highlight w:val="none"/>
          <w:u w:val="single"/>
        </w:rPr>
        <w:t xml:space="preserve">（采购人名称） </w:t>
      </w:r>
    </w:p>
    <w:p w14:paraId="011765E1">
      <w:pPr>
        <w:wordWrap w:val="0"/>
        <w:autoSpaceDE w:val="0"/>
        <w:autoSpaceDN w:val="0"/>
        <w:spacing w:line="360" w:lineRule="auto"/>
        <w:ind w:firstLine="420" w:firstLineChars="200"/>
        <w:jc w:val="left"/>
        <w:rPr>
          <w:rFonts w:hint="eastAsia" w:ascii="宋体" w:hAnsi="宋体" w:cs="宋体"/>
          <w:color w:val="auto"/>
          <w:kern w:val="0"/>
          <w:szCs w:val="21"/>
          <w:highlight w:val="none"/>
        </w:rPr>
      </w:pPr>
    </w:p>
    <w:p w14:paraId="79AC1C36">
      <w:pPr>
        <w:wordWrap w:val="0"/>
        <w:autoSpaceDE w:val="0"/>
        <w:autoSpaceDN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我公司在此承诺：</w:t>
      </w:r>
    </w:p>
    <w:p w14:paraId="5AC33BA7">
      <w:pPr>
        <w:tabs>
          <w:tab w:val="left" w:pos="965"/>
          <w:tab w:val="left" w:pos="3774"/>
        </w:tabs>
        <w:wordWrap w:val="0"/>
        <w:autoSpaceDE w:val="0"/>
        <w:autoSpaceDN w:val="0"/>
        <w:spacing w:line="360" w:lineRule="auto"/>
        <w:ind w:firstLine="420" w:firstLineChars="200"/>
        <w:jc w:val="left"/>
        <w:rPr>
          <w:rFonts w:hint="eastAsia" w:ascii="宋体" w:hAnsi="宋体" w:cs="宋体"/>
          <w:color w:val="auto"/>
          <w:kern w:val="0"/>
          <w:szCs w:val="22"/>
          <w:highlight w:val="none"/>
        </w:rPr>
      </w:pPr>
      <w:r>
        <w:rPr>
          <w:rFonts w:hint="eastAsia" w:ascii="宋体" w:hAnsi="宋体" w:cs="宋体"/>
          <w:color w:val="auto"/>
          <w:kern w:val="0"/>
          <w:szCs w:val="22"/>
          <w:highlight w:val="none"/>
        </w:rPr>
        <w:t>1</w:t>
      </w:r>
      <w:r>
        <w:rPr>
          <w:rFonts w:ascii="宋体" w:hAnsi="宋体" w:cs="宋体"/>
          <w:color w:val="auto"/>
          <w:kern w:val="0"/>
          <w:szCs w:val="22"/>
          <w:highlight w:val="none"/>
        </w:rPr>
        <w:t>.</w:t>
      </w:r>
      <w:r>
        <w:rPr>
          <w:rFonts w:hint="eastAsia" w:ascii="宋体" w:hAnsi="宋体" w:cs="宋体"/>
          <w:color w:val="auto"/>
          <w:kern w:val="0"/>
          <w:szCs w:val="22"/>
          <w:highlight w:val="none"/>
        </w:rPr>
        <w:t>我公司在本项目</w:t>
      </w:r>
      <w:r>
        <w:rPr>
          <w:rFonts w:hint="eastAsia" w:ascii="宋体" w:hAnsi="宋体" w:cs="宋体"/>
          <w:color w:val="auto"/>
          <w:kern w:val="0"/>
          <w:szCs w:val="22"/>
          <w:highlight w:val="none"/>
          <w:u w:val="single"/>
        </w:rPr>
        <w:t xml:space="preserve"> </w:t>
      </w:r>
      <w:r>
        <w:rPr>
          <w:rFonts w:hint="eastAsia" w:ascii="宋体" w:hAnsi="宋体" w:cs="宋体"/>
          <w:color w:val="auto"/>
          <w:kern w:val="0"/>
          <w:szCs w:val="22"/>
          <w:highlight w:val="none"/>
          <w:u w:val="single"/>
        </w:rPr>
        <w:tab/>
      </w:r>
      <w:r>
        <w:rPr>
          <w:rFonts w:hint="eastAsia" w:ascii="宋体" w:hAnsi="宋体" w:cs="宋体"/>
          <w:color w:val="auto"/>
          <w:w w:val="95"/>
          <w:kern w:val="0"/>
          <w:szCs w:val="22"/>
          <w:highlight w:val="none"/>
        </w:rPr>
        <w:t>（项目名称及编号</w:t>
      </w:r>
      <w:r>
        <w:rPr>
          <w:rFonts w:hint="eastAsia" w:ascii="宋体" w:hAnsi="宋体" w:cs="宋体"/>
          <w:color w:val="auto"/>
          <w:spacing w:val="-22"/>
          <w:w w:val="95"/>
          <w:kern w:val="0"/>
          <w:szCs w:val="22"/>
          <w:highlight w:val="none"/>
        </w:rPr>
        <w:t>）</w:t>
      </w:r>
      <w:r>
        <w:rPr>
          <w:rFonts w:hint="eastAsia" w:ascii="宋体" w:hAnsi="宋体" w:cs="宋体"/>
          <w:color w:val="auto"/>
          <w:w w:val="95"/>
          <w:kern w:val="0"/>
          <w:szCs w:val="22"/>
          <w:highlight w:val="none"/>
        </w:rPr>
        <w:t>响应文件递交截止之日前所承建工程中</w:t>
      </w:r>
      <w:r>
        <w:rPr>
          <w:rFonts w:hint="eastAsia" w:ascii="宋体" w:hAnsi="宋体" w:cs="宋体"/>
          <w:color w:val="auto"/>
          <w:spacing w:val="-22"/>
          <w:w w:val="95"/>
          <w:kern w:val="0"/>
          <w:szCs w:val="22"/>
          <w:highlight w:val="none"/>
        </w:rPr>
        <w:t>，</w:t>
      </w:r>
      <w:r>
        <w:rPr>
          <w:rFonts w:hint="eastAsia" w:ascii="宋体" w:hAnsi="宋体" w:cs="宋体"/>
          <w:color w:val="auto"/>
          <w:w w:val="95"/>
          <w:kern w:val="0"/>
          <w:szCs w:val="22"/>
          <w:highlight w:val="none"/>
        </w:rPr>
        <w:t>无拖欠</w:t>
      </w:r>
      <w:r>
        <w:rPr>
          <w:rFonts w:hint="eastAsia" w:ascii="宋体" w:hAnsi="宋体" w:cs="宋体"/>
          <w:color w:val="auto"/>
          <w:kern w:val="0"/>
          <w:szCs w:val="22"/>
          <w:highlight w:val="none"/>
        </w:rPr>
        <w:t>或克扣农民工工资的行为。</w:t>
      </w:r>
    </w:p>
    <w:p w14:paraId="0ED45A9A">
      <w:pPr>
        <w:tabs>
          <w:tab w:val="left" w:pos="1036"/>
          <w:tab w:val="left" w:pos="4607"/>
        </w:tabs>
        <w:wordWrap w:val="0"/>
        <w:autoSpaceDE w:val="0"/>
        <w:autoSpaceDN w:val="0"/>
        <w:spacing w:line="360" w:lineRule="auto"/>
        <w:ind w:firstLine="420" w:firstLineChars="200"/>
        <w:jc w:val="left"/>
        <w:rPr>
          <w:rFonts w:hint="eastAsia" w:ascii="宋体" w:hAnsi="宋体" w:cs="宋体"/>
          <w:color w:val="auto"/>
          <w:kern w:val="0"/>
          <w:szCs w:val="22"/>
          <w:highlight w:val="none"/>
        </w:rPr>
      </w:pPr>
      <w:r>
        <w:rPr>
          <w:rFonts w:hint="eastAsia" w:ascii="宋体" w:hAnsi="宋体" w:cs="宋体"/>
          <w:color w:val="auto"/>
          <w:kern w:val="0"/>
          <w:szCs w:val="22"/>
          <w:highlight w:val="none"/>
        </w:rPr>
        <w:t>2</w:t>
      </w:r>
      <w:r>
        <w:rPr>
          <w:rFonts w:ascii="宋体" w:hAnsi="宋体" w:cs="宋体"/>
          <w:color w:val="auto"/>
          <w:kern w:val="0"/>
          <w:szCs w:val="22"/>
          <w:highlight w:val="none"/>
        </w:rPr>
        <w:t>.</w:t>
      </w:r>
      <w:r>
        <w:rPr>
          <w:rFonts w:hint="eastAsia" w:ascii="宋体" w:hAnsi="宋体" w:cs="宋体"/>
          <w:color w:val="auto"/>
          <w:kern w:val="0"/>
          <w:szCs w:val="22"/>
          <w:highlight w:val="none"/>
        </w:rPr>
        <w:t>我公司参与磋商的</w:t>
      </w:r>
      <w:r>
        <w:rPr>
          <w:rFonts w:hint="eastAsia" w:ascii="宋体" w:hAnsi="宋体" w:cs="宋体"/>
          <w:color w:val="auto"/>
          <w:kern w:val="0"/>
          <w:szCs w:val="22"/>
          <w:highlight w:val="none"/>
          <w:u w:val="single"/>
        </w:rPr>
        <w:t xml:space="preserve"> </w:t>
      </w:r>
      <w:r>
        <w:rPr>
          <w:rFonts w:hint="eastAsia" w:ascii="宋体" w:hAnsi="宋体" w:cs="宋体"/>
          <w:color w:val="auto"/>
          <w:kern w:val="0"/>
          <w:szCs w:val="22"/>
          <w:highlight w:val="none"/>
          <w:u w:val="single"/>
        </w:rPr>
        <w:tab/>
      </w:r>
      <w:r>
        <w:rPr>
          <w:rFonts w:hint="eastAsia" w:ascii="宋体" w:hAnsi="宋体" w:cs="宋体"/>
          <w:color w:val="auto"/>
          <w:w w:val="95"/>
          <w:kern w:val="0"/>
          <w:szCs w:val="22"/>
          <w:highlight w:val="none"/>
        </w:rPr>
        <w:t>项目</w:t>
      </w:r>
      <w:r>
        <w:rPr>
          <w:rFonts w:hint="eastAsia" w:ascii="宋体" w:hAnsi="宋体" w:cs="宋体"/>
          <w:color w:val="auto"/>
          <w:spacing w:val="-13"/>
          <w:w w:val="95"/>
          <w:kern w:val="0"/>
          <w:szCs w:val="22"/>
          <w:highlight w:val="none"/>
        </w:rPr>
        <w:t>，</w:t>
      </w:r>
      <w:r>
        <w:rPr>
          <w:rFonts w:hint="eastAsia" w:ascii="宋体" w:hAnsi="宋体" w:cs="宋体"/>
          <w:color w:val="auto"/>
          <w:w w:val="95"/>
          <w:kern w:val="0"/>
          <w:szCs w:val="22"/>
          <w:highlight w:val="none"/>
        </w:rPr>
        <w:t>一旦成交</w:t>
      </w:r>
      <w:r>
        <w:rPr>
          <w:rFonts w:hint="eastAsia" w:ascii="宋体" w:hAnsi="宋体" w:cs="宋体"/>
          <w:color w:val="auto"/>
          <w:spacing w:val="-13"/>
          <w:w w:val="95"/>
          <w:kern w:val="0"/>
          <w:szCs w:val="22"/>
          <w:highlight w:val="none"/>
        </w:rPr>
        <w:t>，</w:t>
      </w:r>
      <w:r>
        <w:rPr>
          <w:rFonts w:hint="eastAsia" w:ascii="宋体" w:hAnsi="宋体" w:cs="宋体"/>
          <w:color w:val="auto"/>
          <w:w w:val="95"/>
          <w:kern w:val="0"/>
          <w:szCs w:val="22"/>
          <w:highlight w:val="none"/>
        </w:rPr>
        <w:t>我方保证在签订施工合同后</w:t>
      </w:r>
      <w:r>
        <w:rPr>
          <w:rFonts w:hint="eastAsia" w:ascii="宋体" w:hAnsi="宋体" w:cs="宋体"/>
          <w:color w:val="auto"/>
          <w:spacing w:val="-10"/>
          <w:w w:val="95"/>
          <w:kern w:val="0"/>
          <w:szCs w:val="22"/>
          <w:highlight w:val="none"/>
        </w:rPr>
        <w:t>，</w:t>
      </w:r>
      <w:r>
        <w:rPr>
          <w:rFonts w:hint="eastAsia" w:ascii="宋体" w:hAnsi="宋体" w:cs="宋体"/>
          <w:color w:val="auto"/>
          <w:w w:val="95"/>
          <w:kern w:val="0"/>
          <w:szCs w:val="22"/>
          <w:highlight w:val="none"/>
        </w:rPr>
        <w:t>及时并足额</w:t>
      </w:r>
      <w:r>
        <w:rPr>
          <w:rFonts w:hint="eastAsia" w:ascii="宋体" w:hAnsi="宋体" w:cs="宋体"/>
          <w:color w:val="auto"/>
          <w:kern w:val="0"/>
          <w:szCs w:val="22"/>
          <w:highlight w:val="none"/>
        </w:rPr>
        <w:t>将农民工工资保证金足额存入指定的账户，作为本项目农民工工资保证金。</w:t>
      </w:r>
    </w:p>
    <w:p w14:paraId="03A46CC3">
      <w:pPr>
        <w:tabs>
          <w:tab w:val="left" w:pos="1036"/>
          <w:tab w:val="left" w:pos="4607"/>
        </w:tabs>
        <w:wordWrap w:val="0"/>
        <w:autoSpaceDE w:val="0"/>
        <w:autoSpaceDN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2"/>
          <w:highlight w:val="none"/>
        </w:rPr>
        <w:t>3</w:t>
      </w:r>
      <w:r>
        <w:rPr>
          <w:rFonts w:ascii="宋体" w:hAnsi="宋体" w:cs="宋体"/>
          <w:color w:val="auto"/>
          <w:kern w:val="0"/>
          <w:szCs w:val="22"/>
          <w:highlight w:val="none"/>
        </w:rPr>
        <w:t>.</w:t>
      </w:r>
      <w:r>
        <w:rPr>
          <w:rFonts w:hint="eastAsia" w:ascii="宋体" w:hAnsi="宋体" w:cs="宋体"/>
          <w:color w:val="auto"/>
          <w:kern w:val="0"/>
          <w:szCs w:val="22"/>
          <w:highlight w:val="none"/>
        </w:rPr>
        <w:t>如我公司在承包的</w:t>
      </w:r>
      <w:r>
        <w:rPr>
          <w:rFonts w:hint="eastAsia" w:ascii="宋体" w:hAnsi="宋体" w:cs="宋体"/>
          <w:color w:val="auto"/>
          <w:kern w:val="0"/>
          <w:szCs w:val="22"/>
          <w:highlight w:val="none"/>
          <w:u w:val="single"/>
        </w:rPr>
        <w:t xml:space="preserve"> </w:t>
      </w:r>
      <w:r>
        <w:rPr>
          <w:rFonts w:hint="eastAsia" w:ascii="宋体" w:hAnsi="宋体" w:cs="宋体"/>
          <w:color w:val="auto"/>
          <w:kern w:val="0"/>
          <w:szCs w:val="22"/>
          <w:highlight w:val="none"/>
          <w:u w:val="single"/>
        </w:rPr>
        <w:tab/>
      </w:r>
      <w:r>
        <w:rPr>
          <w:rFonts w:hint="eastAsia" w:ascii="宋体" w:hAnsi="宋体" w:cs="宋体"/>
          <w:color w:val="auto"/>
          <w:kern w:val="0"/>
          <w:szCs w:val="22"/>
          <w:highlight w:val="none"/>
        </w:rPr>
        <w:t>项目中出现拖欠农民工和工人工资情况的</w:t>
      </w:r>
      <w:r>
        <w:rPr>
          <w:rFonts w:hint="eastAsia" w:ascii="宋体" w:hAnsi="宋体" w:cs="宋体"/>
          <w:color w:val="auto"/>
          <w:spacing w:val="-37"/>
          <w:kern w:val="0"/>
          <w:szCs w:val="22"/>
          <w:highlight w:val="none"/>
        </w:rPr>
        <w:t>，</w:t>
      </w:r>
      <w:r>
        <w:rPr>
          <w:rFonts w:hint="eastAsia" w:ascii="宋体" w:hAnsi="宋体" w:cs="宋体"/>
          <w:color w:val="auto"/>
          <w:kern w:val="0"/>
          <w:szCs w:val="22"/>
          <w:highlight w:val="none"/>
        </w:rPr>
        <w:t>由相关部门从其</w:t>
      </w:r>
      <w:r>
        <w:rPr>
          <w:rFonts w:hint="eastAsia" w:ascii="宋体" w:hAnsi="宋体" w:cs="宋体"/>
          <w:color w:val="auto"/>
          <w:kern w:val="0"/>
          <w:szCs w:val="21"/>
          <w:highlight w:val="none"/>
        </w:rPr>
        <w:t>农民工工资保证金中先予划支。</w:t>
      </w:r>
    </w:p>
    <w:p w14:paraId="55ED2BC3">
      <w:pPr>
        <w:tabs>
          <w:tab w:val="left" w:pos="962"/>
        </w:tabs>
        <w:wordWrap w:val="0"/>
        <w:autoSpaceDE w:val="0"/>
        <w:autoSpaceDN w:val="0"/>
        <w:spacing w:line="360" w:lineRule="auto"/>
        <w:ind w:firstLine="420" w:firstLineChars="200"/>
        <w:jc w:val="left"/>
        <w:rPr>
          <w:rFonts w:hint="eastAsia" w:ascii="宋体" w:hAnsi="宋体" w:cs="宋体"/>
          <w:color w:val="auto"/>
          <w:kern w:val="0"/>
          <w:szCs w:val="22"/>
          <w:highlight w:val="none"/>
        </w:rPr>
      </w:pPr>
      <w:r>
        <w:rPr>
          <w:rFonts w:hint="eastAsia" w:ascii="宋体" w:hAnsi="宋体" w:cs="宋体"/>
          <w:color w:val="auto"/>
          <w:kern w:val="0"/>
          <w:szCs w:val="22"/>
          <w:highlight w:val="none"/>
        </w:rPr>
        <w:t>4</w:t>
      </w:r>
      <w:r>
        <w:rPr>
          <w:rFonts w:ascii="宋体" w:hAnsi="宋体" w:cs="宋体"/>
          <w:color w:val="auto"/>
          <w:kern w:val="0"/>
          <w:szCs w:val="22"/>
          <w:highlight w:val="none"/>
        </w:rPr>
        <w:t>.</w:t>
      </w:r>
      <w:r>
        <w:rPr>
          <w:rFonts w:hint="eastAsia" w:ascii="宋体" w:hAnsi="宋体" w:cs="宋体"/>
          <w:color w:val="auto"/>
          <w:kern w:val="0"/>
          <w:szCs w:val="22"/>
          <w:highlight w:val="none"/>
        </w:rPr>
        <w:t>如我公司不按时、足额存入农民工工资保证金，采购人有权取消我方承包资格。</w:t>
      </w:r>
    </w:p>
    <w:p w14:paraId="06B4B727">
      <w:pPr>
        <w:spacing w:line="480" w:lineRule="auto"/>
        <w:ind w:left="2699"/>
        <w:rPr>
          <w:rFonts w:cs="宋体"/>
          <w:color w:val="auto"/>
          <w:highlight w:val="none"/>
        </w:rPr>
      </w:pPr>
    </w:p>
    <w:p w14:paraId="5DE30871">
      <w:pPr>
        <w:spacing w:line="480" w:lineRule="auto"/>
        <w:ind w:left="2699"/>
        <w:rPr>
          <w:color w:val="auto"/>
          <w:highlight w:val="none"/>
        </w:rPr>
      </w:pPr>
      <w:r>
        <w:rPr>
          <w:rFonts w:hint="eastAsia" w:cs="宋体"/>
          <w:color w:val="auto"/>
          <w:highlight w:val="none"/>
        </w:rPr>
        <w:t>供应商：</w:t>
      </w:r>
      <w:r>
        <w:rPr>
          <w:color w:val="auto"/>
          <w:highlight w:val="none"/>
          <w:u w:val="single"/>
        </w:rPr>
        <w:t xml:space="preserve">                              </w:t>
      </w:r>
      <w:r>
        <w:rPr>
          <w:rFonts w:hint="eastAsia" w:cs="宋体"/>
          <w:color w:val="auto"/>
          <w:highlight w:val="none"/>
          <w:u w:val="single"/>
        </w:rPr>
        <w:t>（盖供应商电子签章）</w:t>
      </w:r>
    </w:p>
    <w:p w14:paraId="69C7B682">
      <w:pPr>
        <w:spacing w:line="480" w:lineRule="auto"/>
        <w:ind w:left="2699"/>
        <w:rPr>
          <w:color w:val="auto"/>
          <w:highlight w:val="none"/>
        </w:rPr>
      </w:pPr>
      <w:r>
        <w:rPr>
          <w:rFonts w:hint="eastAsia" w:cs="宋体"/>
          <w:color w:val="auto"/>
          <w:highlight w:val="none"/>
        </w:rPr>
        <w:t>法定代表人（或委托代理人）：</w:t>
      </w:r>
      <w:r>
        <w:rPr>
          <w:color w:val="auto"/>
          <w:highlight w:val="none"/>
          <w:u w:val="single"/>
        </w:rPr>
        <w:t xml:space="preserve">         </w:t>
      </w:r>
      <w:r>
        <w:rPr>
          <w:rFonts w:hint="eastAsia"/>
          <w:color w:val="auto"/>
          <w:highlight w:val="none"/>
          <w:u w:val="single"/>
        </w:rPr>
        <w:t>（签字或者电子签名）</w:t>
      </w:r>
    </w:p>
    <w:p w14:paraId="2DB182CD">
      <w:pPr>
        <w:spacing w:line="500" w:lineRule="exact"/>
        <w:jc w:val="center"/>
        <w:rPr>
          <w:rFonts w:hint="eastAsia" w:ascii="宋体" w:hAnsi="宋体"/>
          <w:b/>
          <w:color w:val="auto"/>
          <w:sz w:val="32"/>
          <w:szCs w:val="32"/>
          <w:highlight w:val="none"/>
        </w:rPr>
      </w:pPr>
      <w:r>
        <w:rPr>
          <w:rFonts w:hint="eastAsia" w:cs="宋体"/>
          <w:color w:val="auto"/>
          <w:highlight w:val="none"/>
        </w:rPr>
        <w:t>日期：</w:t>
      </w:r>
      <w:r>
        <w:rPr>
          <w:color w:val="auto"/>
          <w:highlight w:val="none"/>
          <w:u w:val="single"/>
        </w:rPr>
        <w:t xml:space="preserve">       </w:t>
      </w:r>
      <w:r>
        <w:rPr>
          <w:rFonts w:hint="eastAsia" w:cs="宋体"/>
          <w:color w:val="auto"/>
          <w:highlight w:val="none"/>
        </w:rPr>
        <w:t>年</w:t>
      </w:r>
      <w:r>
        <w:rPr>
          <w:color w:val="auto"/>
          <w:highlight w:val="none"/>
          <w:u w:val="single"/>
        </w:rPr>
        <w:t xml:space="preserve">     </w:t>
      </w:r>
      <w:r>
        <w:rPr>
          <w:rFonts w:hint="eastAsia" w:cs="宋体"/>
          <w:color w:val="auto"/>
          <w:highlight w:val="none"/>
        </w:rPr>
        <w:t>月</w:t>
      </w:r>
      <w:r>
        <w:rPr>
          <w:color w:val="auto"/>
          <w:highlight w:val="none"/>
          <w:u w:val="single"/>
        </w:rPr>
        <w:t xml:space="preserve">     </w:t>
      </w:r>
      <w:r>
        <w:rPr>
          <w:rFonts w:hint="eastAsia" w:cs="宋体"/>
          <w:color w:val="auto"/>
          <w:highlight w:val="none"/>
        </w:rPr>
        <w:t>日</w:t>
      </w:r>
    </w:p>
    <w:p w14:paraId="0DF3C9B1">
      <w:pPr>
        <w:widowControl/>
        <w:jc w:val="left"/>
        <w:rPr>
          <w:rFonts w:hint="eastAsia" w:ascii="方正小标宋简体" w:hAnsi="方正小标宋简体" w:eastAsia="方正小标宋简体" w:cs="方正小标宋简体"/>
          <w:bCs/>
          <w:color w:val="auto"/>
          <w:sz w:val="44"/>
          <w:szCs w:val="44"/>
          <w:highlight w:val="none"/>
        </w:rPr>
      </w:pPr>
      <w:r>
        <w:rPr>
          <w:rFonts w:ascii="方正小标宋简体" w:hAnsi="方正小标宋简体" w:eastAsia="方正小标宋简体" w:cs="方正小标宋简体"/>
          <w:bCs/>
          <w:color w:val="auto"/>
          <w:sz w:val="44"/>
          <w:szCs w:val="44"/>
          <w:highlight w:val="none"/>
        </w:rPr>
        <w:br w:type="page"/>
      </w:r>
    </w:p>
    <w:p w14:paraId="5C8D4F42">
      <w:pPr>
        <w:spacing w:line="500" w:lineRule="exact"/>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施工组织设计</w:t>
      </w:r>
    </w:p>
    <w:p w14:paraId="34268D84">
      <w:pPr>
        <w:spacing w:line="360" w:lineRule="auto"/>
        <w:ind w:firstLine="420" w:firstLineChars="200"/>
        <w:rPr>
          <w:color w:val="auto"/>
          <w:highlight w:val="none"/>
        </w:rPr>
      </w:pPr>
    </w:p>
    <w:p w14:paraId="460FC211">
      <w:pPr>
        <w:spacing w:line="360" w:lineRule="auto"/>
        <w:ind w:firstLine="420" w:firstLineChars="200"/>
        <w:rPr>
          <w:rFonts w:cs="宋体"/>
          <w:color w:val="auto"/>
          <w:highlight w:val="none"/>
        </w:rPr>
      </w:pPr>
      <w:r>
        <w:rPr>
          <w:rFonts w:hint="eastAsia"/>
          <w:color w:val="auto"/>
          <w:highlight w:val="none"/>
        </w:rPr>
        <w:t>1.</w:t>
      </w:r>
      <w:r>
        <w:rPr>
          <w:color w:val="auto"/>
          <w:highlight w:val="none"/>
        </w:rPr>
        <w:t xml:space="preserve"> 施工组织</w:t>
      </w:r>
      <w:r>
        <w:rPr>
          <w:rFonts w:hint="eastAsia"/>
          <w:color w:val="auto"/>
          <w:highlight w:val="none"/>
        </w:rPr>
        <w:t>设计</w:t>
      </w:r>
      <w:r>
        <w:rPr>
          <w:rFonts w:hint="eastAsia" w:ascii="宋体" w:hAnsi="宋体"/>
          <w:color w:val="auto"/>
          <w:highlight w:val="none"/>
          <w:lang w:eastAsia="zh-CN"/>
        </w:rPr>
        <w:t>按</w:t>
      </w:r>
      <w:r>
        <w:rPr>
          <w:rFonts w:hint="eastAsia"/>
          <w:color w:val="auto"/>
          <w:highlight w:val="none"/>
        </w:rPr>
        <w:t>以下内容顺序编制，可</w:t>
      </w:r>
      <w:r>
        <w:rPr>
          <w:rFonts w:hint="eastAsia" w:ascii="宋体" w:hAnsi="宋体"/>
          <w:color w:val="auto"/>
          <w:highlight w:val="none"/>
        </w:rPr>
        <w:t>采用文字并结合图表形式说明施工方法，</w:t>
      </w:r>
      <w:r>
        <w:rPr>
          <w:color w:val="auto"/>
          <w:highlight w:val="none"/>
        </w:rPr>
        <w:t>施工组织</w:t>
      </w:r>
      <w:r>
        <w:rPr>
          <w:rFonts w:hint="eastAsia"/>
          <w:color w:val="auto"/>
          <w:highlight w:val="none"/>
        </w:rPr>
        <w:t>设计具体</w:t>
      </w:r>
      <w:r>
        <w:rPr>
          <w:color w:val="auto"/>
          <w:highlight w:val="none"/>
        </w:rPr>
        <w:t>内容</w:t>
      </w:r>
      <w:r>
        <w:rPr>
          <w:rFonts w:hint="eastAsia" w:cs="宋体"/>
          <w:color w:val="auto"/>
          <w:highlight w:val="none"/>
        </w:rPr>
        <w:t>如下：</w:t>
      </w:r>
    </w:p>
    <w:p w14:paraId="6594DA18">
      <w:pPr>
        <w:spacing w:line="360" w:lineRule="auto"/>
        <w:ind w:firstLine="420" w:firstLineChars="200"/>
        <w:rPr>
          <w:color w:val="auto"/>
          <w:highlight w:val="none"/>
        </w:rPr>
      </w:pPr>
      <w:r>
        <w:rPr>
          <w:rFonts w:hint="eastAsia"/>
          <w:color w:val="auto"/>
          <w:highlight w:val="none"/>
        </w:rPr>
        <w:t>①主要施工方法；</w:t>
      </w:r>
    </w:p>
    <w:p w14:paraId="1A7FB558">
      <w:pPr>
        <w:spacing w:line="360" w:lineRule="auto"/>
        <w:ind w:firstLine="420" w:firstLineChars="200"/>
        <w:rPr>
          <w:color w:val="auto"/>
          <w:highlight w:val="none"/>
        </w:rPr>
      </w:pPr>
      <w:r>
        <w:rPr>
          <w:rFonts w:hint="eastAsia"/>
          <w:color w:val="auto"/>
          <w:highlight w:val="none"/>
        </w:rPr>
        <w:t>②拟投入的主要物资计划；</w:t>
      </w:r>
    </w:p>
    <w:p w14:paraId="305CB6A7">
      <w:pPr>
        <w:spacing w:line="360" w:lineRule="auto"/>
        <w:ind w:firstLine="420" w:firstLineChars="200"/>
        <w:rPr>
          <w:color w:val="auto"/>
          <w:highlight w:val="none"/>
        </w:rPr>
      </w:pPr>
      <w:r>
        <w:rPr>
          <w:rFonts w:hint="eastAsia"/>
          <w:color w:val="auto"/>
          <w:highlight w:val="none"/>
        </w:rPr>
        <w:t>③劳动力安排计划；</w:t>
      </w:r>
    </w:p>
    <w:p w14:paraId="6FD7FBA8">
      <w:pPr>
        <w:spacing w:line="360" w:lineRule="auto"/>
        <w:ind w:firstLine="420" w:firstLineChars="200"/>
        <w:rPr>
          <w:color w:val="auto"/>
          <w:highlight w:val="none"/>
        </w:rPr>
      </w:pPr>
      <w:r>
        <w:rPr>
          <w:rFonts w:hint="eastAsia"/>
          <w:color w:val="auto"/>
          <w:highlight w:val="none"/>
        </w:rPr>
        <w:t>④确保工程质量的技术组织措施；</w:t>
      </w:r>
    </w:p>
    <w:p w14:paraId="4BDE57D0">
      <w:pPr>
        <w:spacing w:line="360" w:lineRule="auto"/>
        <w:ind w:firstLine="420" w:firstLineChars="200"/>
        <w:rPr>
          <w:color w:val="auto"/>
          <w:highlight w:val="none"/>
        </w:rPr>
      </w:pPr>
      <w:r>
        <w:rPr>
          <w:rFonts w:hint="eastAsia"/>
          <w:color w:val="auto"/>
          <w:highlight w:val="none"/>
        </w:rPr>
        <w:t>⑤确保安全生产的技术组织措施；</w:t>
      </w:r>
    </w:p>
    <w:p w14:paraId="2BDBA31A">
      <w:pPr>
        <w:spacing w:line="360" w:lineRule="auto"/>
        <w:ind w:firstLine="420" w:firstLineChars="200"/>
        <w:rPr>
          <w:color w:val="auto"/>
          <w:highlight w:val="none"/>
        </w:rPr>
      </w:pPr>
      <w:r>
        <w:rPr>
          <w:rFonts w:hint="eastAsia"/>
          <w:color w:val="auto"/>
          <w:highlight w:val="none"/>
        </w:rPr>
        <w:t>⑥确保工期的技术组织措施；</w:t>
      </w:r>
    </w:p>
    <w:p w14:paraId="240CDC70">
      <w:pPr>
        <w:spacing w:line="360" w:lineRule="auto"/>
        <w:ind w:firstLine="420" w:firstLineChars="200"/>
        <w:rPr>
          <w:color w:val="auto"/>
          <w:highlight w:val="none"/>
        </w:rPr>
      </w:pPr>
      <w:r>
        <w:rPr>
          <w:rFonts w:hint="eastAsia"/>
          <w:color w:val="auto"/>
          <w:highlight w:val="none"/>
        </w:rPr>
        <w:t>⑦关键施工技术、工艺及工程实施的重点、难点和解决方案；</w:t>
      </w:r>
    </w:p>
    <w:p w14:paraId="1C716CD0">
      <w:pPr>
        <w:spacing w:line="360" w:lineRule="auto"/>
        <w:ind w:firstLine="420" w:firstLineChars="200"/>
        <w:rPr>
          <w:color w:val="auto"/>
          <w:highlight w:val="none"/>
        </w:rPr>
      </w:pPr>
      <w:r>
        <w:rPr>
          <w:rFonts w:hint="eastAsia"/>
          <w:color w:val="auto"/>
          <w:highlight w:val="none"/>
        </w:rPr>
        <w:t>⑧施工平面布置和临时设施布置；</w:t>
      </w:r>
    </w:p>
    <w:p w14:paraId="46681CE9">
      <w:pPr>
        <w:spacing w:line="360" w:lineRule="auto"/>
        <w:ind w:firstLine="420" w:firstLineChars="200"/>
        <w:rPr>
          <w:color w:val="auto"/>
          <w:highlight w:val="none"/>
        </w:rPr>
      </w:pPr>
      <w:r>
        <w:rPr>
          <w:rFonts w:hint="eastAsia"/>
          <w:color w:val="auto"/>
          <w:highlight w:val="none"/>
        </w:rPr>
        <w:t>⑨主要设备</w:t>
      </w:r>
      <w:r>
        <w:rPr>
          <w:rFonts w:hint="eastAsia" w:cs="宋体" w:asciiTheme="minorEastAsia" w:hAnsiTheme="minorEastAsia" w:eastAsiaTheme="minorEastAsia"/>
          <w:bCs/>
          <w:color w:val="auto"/>
          <w:szCs w:val="21"/>
          <w:highlight w:val="none"/>
          <w:lang w:val="en-US" w:eastAsia="zh-CN"/>
        </w:rPr>
        <w:t>质保期</w:t>
      </w:r>
      <w:r>
        <w:rPr>
          <w:rFonts w:hint="eastAsia"/>
          <w:color w:val="auto"/>
          <w:highlight w:val="none"/>
        </w:rPr>
        <w:t>延长。</w:t>
      </w:r>
    </w:p>
    <w:p w14:paraId="2329FD13">
      <w:pPr>
        <w:spacing w:line="360" w:lineRule="auto"/>
        <w:ind w:firstLine="420" w:firstLineChars="200"/>
        <w:rPr>
          <w:color w:val="auto"/>
          <w:highlight w:val="none"/>
        </w:rPr>
      </w:pPr>
    </w:p>
    <w:p w14:paraId="1CDE80FF">
      <w:pPr>
        <w:spacing w:line="360" w:lineRule="auto"/>
        <w:ind w:firstLine="420" w:firstLineChars="200"/>
        <w:rPr>
          <w:color w:val="auto"/>
          <w:highlight w:val="none"/>
        </w:rPr>
      </w:pPr>
    </w:p>
    <w:p w14:paraId="1F0767DE">
      <w:pPr>
        <w:spacing w:line="360" w:lineRule="auto"/>
        <w:ind w:firstLine="420" w:firstLineChars="200"/>
        <w:rPr>
          <w:color w:val="auto"/>
          <w:highlight w:val="none"/>
        </w:rPr>
      </w:pPr>
      <w:r>
        <w:rPr>
          <w:rFonts w:hint="eastAsia"/>
          <w:color w:val="auto"/>
          <w:highlight w:val="none"/>
        </w:rPr>
        <w:t>2. 技术标</w:t>
      </w:r>
      <w:r>
        <w:rPr>
          <w:color w:val="auto"/>
          <w:highlight w:val="none"/>
        </w:rPr>
        <w:t>施工组织</w:t>
      </w:r>
      <w:r>
        <w:rPr>
          <w:rFonts w:hint="eastAsia"/>
          <w:color w:val="auto"/>
          <w:highlight w:val="none"/>
        </w:rPr>
        <w:t>设计除采用文字表述外可附下列图表，图表及格式要求附后。</w:t>
      </w:r>
    </w:p>
    <w:p w14:paraId="7A287015">
      <w:pPr>
        <w:spacing w:line="360" w:lineRule="auto"/>
        <w:ind w:firstLine="420" w:firstLineChars="200"/>
        <w:rPr>
          <w:color w:val="auto"/>
          <w:highlight w:val="none"/>
        </w:rPr>
      </w:pPr>
      <w:r>
        <w:rPr>
          <w:rFonts w:hint="eastAsia"/>
          <w:color w:val="auto"/>
          <w:highlight w:val="none"/>
        </w:rPr>
        <w:t>附表一</w:t>
      </w:r>
      <w:r>
        <w:rPr>
          <w:color w:val="auto"/>
          <w:highlight w:val="none"/>
        </w:rPr>
        <w:t xml:space="preserve">  </w:t>
      </w:r>
      <w:r>
        <w:rPr>
          <w:rFonts w:hint="eastAsia"/>
          <w:color w:val="auto"/>
          <w:highlight w:val="none"/>
        </w:rPr>
        <w:t>劳动力计划表</w:t>
      </w:r>
    </w:p>
    <w:p w14:paraId="7C60DDEC">
      <w:pPr>
        <w:spacing w:line="360" w:lineRule="auto"/>
        <w:ind w:firstLine="420" w:firstLineChars="200"/>
        <w:rPr>
          <w:color w:val="auto"/>
          <w:highlight w:val="none"/>
        </w:rPr>
      </w:pPr>
      <w:r>
        <w:rPr>
          <w:rFonts w:hint="eastAsia"/>
          <w:color w:val="auto"/>
          <w:highlight w:val="none"/>
        </w:rPr>
        <w:t>附表二</w:t>
      </w:r>
      <w:r>
        <w:rPr>
          <w:color w:val="auto"/>
          <w:highlight w:val="none"/>
        </w:rPr>
        <w:t xml:space="preserve">  </w:t>
      </w:r>
      <w:r>
        <w:rPr>
          <w:rFonts w:hint="eastAsia"/>
          <w:color w:val="auto"/>
          <w:highlight w:val="none"/>
        </w:rPr>
        <w:t>计划开、竣工日期和施工进度计划（网络图或横道图）</w:t>
      </w:r>
    </w:p>
    <w:p w14:paraId="2B2E9029">
      <w:pPr>
        <w:spacing w:line="360" w:lineRule="auto"/>
        <w:ind w:firstLine="420" w:firstLineChars="200"/>
        <w:rPr>
          <w:color w:val="auto"/>
          <w:highlight w:val="none"/>
        </w:rPr>
      </w:pPr>
      <w:r>
        <w:rPr>
          <w:rFonts w:hint="eastAsia"/>
          <w:color w:val="auto"/>
          <w:highlight w:val="none"/>
        </w:rPr>
        <w:t>附表三</w:t>
      </w:r>
      <w:r>
        <w:rPr>
          <w:color w:val="auto"/>
          <w:highlight w:val="none"/>
        </w:rPr>
        <w:t xml:space="preserve">  </w:t>
      </w:r>
      <w:r>
        <w:rPr>
          <w:rFonts w:hint="eastAsia"/>
          <w:color w:val="auto"/>
          <w:highlight w:val="none"/>
        </w:rPr>
        <w:t>施工总平面图</w:t>
      </w:r>
    </w:p>
    <w:p w14:paraId="345D3E40">
      <w:pPr>
        <w:spacing w:line="360" w:lineRule="auto"/>
        <w:ind w:firstLine="420" w:firstLineChars="200"/>
        <w:rPr>
          <w:color w:val="auto"/>
          <w:highlight w:val="none"/>
        </w:rPr>
      </w:pPr>
      <w:r>
        <w:rPr>
          <w:rFonts w:hint="eastAsia"/>
          <w:color w:val="auto"/>
          <w:highlight w:val="none"/>
        </w:rPr>
        <w:t>附表四</w:t>
      </w:r>
      <w:r>
        <w:rPr>
          <w:color w:val="auto"/>
          <w:highlight w:val="none"/>
        </w:rPr>
        <w:t xml:space="preserve">  </w:t>
      </w:r>
      <w:r>
        <w:rPr>
          <w:rFonts w:hint="eastAsia"/>
          <w:color w:val="auto"/>
          <w:highlight w:val="none"/>
        </w:rPr>
        <w:t>临时用地表</w:t>
      </w:r>
    </w:p>
    <w:p w14:paraId="7829F06B">
      <w:pPr>
        <w:spacing w:line="360" w:lineRule="auto"/>
        <w:ind w:firstLine="420" w:firstLineChars="200"/>
        <w:rPr>
          <w:color w:val="auto"/>
          <w:highlight w:val="none"/>
        </w:rPr>
      </w:pPr>
    </w:p>
    <w:p w14:paraId="7BF92A89">
      <w:pPr>
        <w:rPr>
          <w:color w:val="auto"/>
          <w:highlight w:val="none"/>
        </w:rPr>
      </w:pPr>
      <w:r>
        <w:rPr>
          <w:rFonts w:hint="eastAsia" w:cs="宋体"/>
          <w:color w:val="auto"/>
          <w:highlight w:val="none"/>
        </w:rPr>
        <w:t>附表一：劳动力计划表</w:t>
      </w:r>
    </w:p>
    <w:p w14:paraId="20E1B8BE">
      <w:pPr>
        <w:ind w:firstLine="7245" w:firstLineChars="3450"/>
        <w:rPr>
          <w:color w:val="auto"/>
          <w:highlight w:val="none"/>
        </w:rPr>
      </w:pPr>
      <w:r>
        <w:rPr>
          <w:color w:val="auto"/>
          <w:highlight w:val="none"/>
        </w:rPr>
        <w:t xml:space="preserve">    </w:t>
      </w:r>
      <w:r>
        <w:rPr>
          <w:rFonts w:hint="eastAsia" w:cs="宋体"/>
          <w:color w:val="auto"/>
          <w:highlight w:val="none"/>
        </w:rPr>
        <w:t>单位：人</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3"/>
        <w:gridCol w:w="961"/>
        <w:gridCol w:w="1257"/>
        <w:gridCol w:w="1257"/>
        <w:gridCol w:w="1258"/>
        <w:gridCol w:w="1257"/>
        <w:gridCol w:w="1258"/>
      </w:tblGrid>
      <w:tr w14:paraId="7C521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Align w:val="center"/>
          </w:tcPr>
          <w:p w14:paraId="0E7904F4">
            <w:pPr>
              <w:spacing w:line="360" w:lineRule="auto"/>
              <w:jc w:val="center"/>
              <w:rPr>
                <w:color w:val="auto"/>
                <w:highlight w:val="none"/>
              </w:rPr>
            </w:pPr>
            <w:r>
              <w:rPr>
                <w:rFonts w:hint="eastAsia" w:cs="宋体"/>
                <w:color w:val="auto"/>
                <w:highlight w:val="none"/>
              </w:rPr>
              <w:t>工种</w:t>
            </w:r>
          </w:p>
        </w:tc>
        <w:tc>
          <w:tcPr>
            <w:tcW w:w="7248" w:type="dxa"/>
            <w:gridSpan w:val="6"/>
            <w:vAlign w:val="center"/>
          </w:tcPr>
          <w:p w14:paraId="53BFB365">
            <w:pPr>
              <w:spacing w:line="360" w:lineRule="auto"/>
              <w:jc w:val="center"/>
              <w:rPr>
                <w:color w:val="auto"/>
                <w:highlight w:val="none"/>
              </w:rPr>
            </w:pPr>
            <w:r>
              <w:rPr>
                <w:rFonts w:hint="eastAsia" w:cs="宋体"/>
                <w:color w:val="auto"/>
                <w:highlight w:val="none"/>
              </w:rPr>
              <w:t>按工程施工阶段投入劳动力情况</w:t>
            </w:r>
          </w:p>
        </w:tc>
      </w:tr>
      <w:tr w14:paraId="6F95E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Align w:val="center"/>
          </w:tcPr>
          <w:p w14:paraId="73583350">
            <w:pPr>
              <w:spacing w:line="360" w:lineRule="auto"/>
              <w:jc w:val="center"/>
              <w:rPr>
                <w:color w:val="auto"/>
                <w:highlight w:val="none"/>
              </w:rPr>
            </w:pPr>
          </w:p>
        </w:tc>
        <w:tc>
          <w:tcPr>
            <w:tcW w:w="961" w:type="dxa"/>
            <w:vAlign w:val="center"/>
          </w:tcPr>
          <w:p w14:paraId="19B58790">
            <w:pPr>
              <w:spacing w:line="360" w:lineRule="auto"/>
              <w:jc w:val="center"/>
              <w:rPr>
                <w:color w:val="auto"/>
                <w:highlight w:val="none"/>
              </w:rPr>
            </w:pPr>
          </w:p>
        </w:tc>
        <w:tc>
          <w:tcPr>
            <w:tcW w:w="1257" w:type="dxa"/>
            <w:vAlign w:val="center"/>
          </w:tcPr>
          <w:p w14:paraId="641E70C2">
            <w:pPr>
              <w:spacing w:line="360" w:lineRule="auto"/>
              <w:jc w:val="center"/>
              <w:rPr>
                <w:color w:val="auto"/>
                <w:highlight w:val="none"/>
              </w:rPr>
            </w:pPr>
          </w:p>
        </w:tc>
        <w:tc>
          <w:tcPr>
            <w:tcW w:w="1257" w:type="dxa"/>
            <w:vAlign w:val="center"/>
          </w:tcPr>
          <w:p w14:paraId="7ED8AD52">
            <w:pPr>
              <w:spacing w:line="360" w:lineRule="auto"/>
              <w:jc w:val="center"/>
              <w:rPr>
                <w:color w:val="auto"/>
                <w:highlight w:val="none"/>
              </w:rPr>
            </w:pPr>
          </w:p>
        </w:tc>
        <w:tc>
          <w:tcPr>
            <w:tcW w:w="1258" w:type="dxa"/>
            <w:vAlign w:val="center"/>
          </w:tcPr>
          <w:p w14:paraId="597E23BD">
            <w:pPr>
              <w:spacing w:line="360" w:lineRule="auto"/>
              <w:jc w:val="center"/>
              <w:rPr>
                <w:color w:val="auto"/>
                <w:highlight w:val="none"/>
              </w:rPr>
            </w:pPr>
          </w:p>
        </w:tc>
        <w:tc>
          <w:tcPr>
            <w:tcW w:w="1257" w:type="dxa"/>
            <w:vAlign w:val="center"/>
          </w:tcPr>
          <w:p w14:paraId="572DFABA">
            <w:pPr>
              <w:spacing w:line="360" w:lineRule="auto"/>
              <w:jc w:val="center"/>
              <w:rPr>
                <w:color w:val="auto"/>
                <w:highlight w:val="none"/>
              </w:rPr>
            </w:pPr>
          </w:p>
        </w:tc>
        <w:tc>
          <w:tcPr>
            <w:tcW w:w="1258" w:type="dxa"/>
            <w:vAlign w:val="center"/>
          </w:tcPr>
          <w:p w14:paraId="19F88F15">
            <w:pPr>
              <w:spacing w:line="360" w:lineRule="auto"/>
              <w:jc w:val="center"/>
              <w:rPr>
                <w:color w:val="auto"/>
                <w:highlight w:val="none"/>
              </w:rPr>
            </w:pPr>
          </w:p>
        </w:tc>
      </w:tr>
      <w:tr w14:paraId="3D011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Align w:val="center"/>
          </w:tcPr>
          <w:p w14:paraId="64B7CBF5">
            <w:pPr>
              <w:spacing w:line="360" w:lineRule="auto"/>
              <w:jc w:val="center"/>
              <w:rPr>
                <w:color w:val="auto"/>
                <w:highlight w:val="none"/>
              </w:rPr>
            </w:pPr>
          </w:p>
        </w:tc>
        <w:tc>
          <w:tcPr>
            <w:tcW w:w="961" w:type="dxa"/>
            <w:vAlign w:val="center"/>
          </w:tcPr>
          <w:p w14:paraId="7A1856BC">
            <w:pPr>
              <w:spacing w:line="360" w:lineRule="auto"/>
              <w:jc w:val="center"/>
              <w:rPr>
                <w:color w:val="auto"/>
                <w:highlight w:val="none"/>
              </w:rPr>
            </w:pPr>
          </w:p>
        </w:tc>
        <w:tc>
          <w:tcPr>
            <w:tcW w:w="1257" w:type="dxa"/>
            <w:vAlign w:val="center"/>
          </w:tcPr>
          <w:p w14:paraId="12C4573F">
            <w:pPr>
              <w:spacing w:line="360" w:lineRule="auto"/>
              <w:jc w:val="center"/>
              <w:rPr>
                <w:color w:val="auto"/>
                <w:highlight w:val="none"/>
              </w:rPr>
            </w:pPr>
          </w:p>
        </w:tc>
        <w:tc>
          <w:tcPr>
            <w:tcW w:w="1257" w:type="dxa"/>
            <w:vAlign w:val="center"/>
          </w:tcPr>
          <w:p w14:paraId="1153C390">
            <w:pPr>
              <w:spacing w:line="360" w:lineRule="auto"/>
              <w:jc w:val="center"/>
              <w:rPr>
                <w:color w:val="auto"/>
                <w:highlight w:val="none"/>
              </w:rPr>
            </w:pPr>
          </w:p>
        </w:tc>
        <w:tc>
          <w:tcPr>
            <w:tcW w:w="1258" w:type="dxa"/>
            <w:vAlign w:val="center"/>
          </w:tcPr>
          <w:p w14:paraId="55821D37">
            <w:pPr>
              <w:spacing w:line="360" w:lineRule="auto"/>
              <w:jc w:val="center"/>
              <w:rPr>
                <w:color w:val="auto"/>
                <w:highlight w:val="none"/>
              </w:rPr>
            </w:pPr>
          </w:p>
        </w:tc>
        <w:tc>
          <w:tcPr>
            <w:tcW w:w="1257" w:type="dxa"/>
            <w:vAlign w:val="center"/>
          </w:tcPr>
          <w:p w14:paraId="7BA79FC4">
            <w:pPr>
              <w:spacing w:line="360" w:lineRule="auto"/>
              <w:jc w:val="center"/>
              <w:rPr>
                <w:color w:val="auto"/>
                <w:highlight w:val="none"/>
              </w:rPr>
            </w:pPr>
          </w:p>
        </w:tc>
        <w:tc>
          <w:tcPr>
            <w:tcW w:w="1258" w:type="dxa"/>
            <w:vAlign w:val="center"/>
          </w:tcPr>
          <w:p w14:paraId="68A92BC5">
            <w:pPr>
              <w:spacing w:line="360" w:lineRule="auto"/>
              <w:jc w:val="center"/>
              <w:rPr>
                <w:color w:val="auto"/>
                <w:highlight w:val="none"/>
              </w:rPr>
            </w:pPr>
          </w:p>
        </w:tc>
      </w:tr>
      <w:tr w14:paraId="7052F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Align w:val="center"/>
          </w:tcPr>
          <w:p w14:paraId="6D010CDC">
            <w:pPr>
              <w:spacing w:line="360" w:lineRule="auto"/>
              <w:jc w:val="center"/>
              <w:rPr>
                <w:color w:val="auto"/>
                <w:highlight w:val="none"/>
              </w:rPr>
            </w:pPr>
          </w:p>
        </w:tc>
        <w:tc>
          <w:tcPr>
            <w:tcW w:w="961" w:type="dxa"/>
            <w:vAlign w:val="center"/>
          </w:tcPr>
          <w:p w14:paraId="5C5750FA">
            <w:pPr>
              <w:spacing w:line="360" w:lineRule="auto"/>
              <w:jc w:val="center"/>
              <w:rPr>
                <w:color w:val="auto"/>
                <w:highlight w:val="none"/>
              </w:rPr>
            </w:pPr>
          </w:p>
        </w:tc>
        <w:tc>
          <w:tcPr>
            <w:tcW w:w="1257" w:type="dxa"/>
            <w:vAlign w:val="center"/>
          </w:tcPr>
          <w:p w14:paraId="1CCA66CE">
            <w:pPr>
              <w:spacing w:line="360" w:lineRule="auto"/>
              <w:jc w:val="center"/>
              <w:rPr>
                <w:color w:val="auto"/>
                <w:highlight w:val="none"/>
              </w:rPr>
            </w:pPr>
          </w:p>
        </w:tc>
        <w:tc>
          <w:tcPr>
            <w:tcW w:w="1257" w:type="dxa"/>
            <w:vAlign w:val="center"/>
          </w:tcPr>
          <w:p w14:paraId="1BD6BA77">
            <w:pPr>
              <w:spacing w:line="360" w:lineRule="auto"/>
              <w:jc w:val="center"/>
              <w:rPr>
                <w:color w:val="auto"/>
                <w:highlight w:val="none"/>
              </w:rPr>
            </w:pPr>
          </w:p>
        </w:tc>
        <w:tc>
          <w:tcPr>
            <w:tcW w:w="1258" w:type="dxa"/>
            <w:vAlign w:val="center"/>
          </w:tcPr>
          <w:p w14:paraId="17BC219A">
            <w:pPr>
              <w:spacing w:line="360" w:lineRule="auto"/>
              <w:jc w:val="center"/>
              <w:rPr>
                <w:color w:val="auto"/>
                <w:highlight w:val="none"/>
              </w:rPr>
            </w:pPr>
          </w:p>
        </w:tc>
        <w:tc>
          <w:tcPr>
            <w:tcW w:w="1257" w:type="dxa"/>
            <w:vAlign w:val="center"/>
          </w:tcPr>
          <w:p w14:paraId="2761D788">
            <w:pPr>
              <w:spacing w:line="360" w:lineRule="auto"/>
              <w:jc w:val="center"/>
              <w:rPr>
                <w:color w:val="auto"/>
                <w:highlight w:val="none"/>
              </w:rPr>
            </w:pPr>
          </w:p>
        </w:tc>
        <w:tc>
          <w:tcPr>
            <w:tcW w:w="1258" w:type="dxa"/>
            <w:vAlign w:val="center"/>
          </w:tcPr>
          <w:p w14:paraId="6F9633ED">
            <w:pPr>
              <w:spacing w:line="360" w:lineRule="auto"/>
              <w:jc w:val="center"/>
              <w:rPr>
                <w:color w:val="auto"/>
                <w:highlight w:val="none"/>
              </w:rPr>
            </w:pPr>
          </w:p>
        </w:tc>
      </w:tr>
      <w:tr w14:paraId="2C89C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Align w:val="center"/>
          </w:tcPr>
          <w:p w14:paraId="3A92556A">
            <w:pPr>
              <w:spacing w:line="360" w:lineRule="auto"/>
              <w:jc w:val="center"/>
              <w:rPr>
                <w:color w:val="auto"/>
                <w:highlight w:val="none"/>
              </w:rPr>
            </w:pPr>
          </w:p>
        </w:tc>
        <w:tc>
          <w:tcPr>
            <w:tcW w:w="961" w:type="dxa"/>
            <w:vAlign w:val="center"/>
          </w:tcPr>
          <w:p w14:paraId="1AE3A60B">
            <w:pPr>
              <w:spacing w:line="360" w:lineRule="auto"/>
              <w:jc w:val="center"/>
              <w:rPr>
                <w:color w:val="auto"/>
                <w:highlight w:val="none"/>
              </w:rPr>
            </w:pPr>
          </w:p>
        </w:tc>
        <w:tc>
          <w:tcPr>
            <w:tcW w:w="1257" w:type="dxa"/>
            <w:vAlign w:val="center"/>
          </w:tcPr>
          <w:p w14:paraId="2A65A201">
            <w:pPr>
              <w:spacing w:line="360" w:lineRule="auto"/>
              <w:jc w:val="center"/>
              <w:rPr>
                <w:color w:val="auto"/>
                <w:highlight w:val="none"/>
              </w:rPr>
            </w:pPr>
          </w:p>
        </w:tc>
        <w:tc>
          <w:tcPr>
            <w:tcW w:w="1257" w:type="dxa"/>
            <w:vAlign w:val="center"/>
          </w:tcPr>
          <w:p w14:paraId="1804C813">
            <w:pPr>
              <w:spacing w:line="360" w:lineRule="auto"/>
              <w:jc w:val="center"/>
              <w:rPr>
                <w:color w:val="auto"/>
                <w:highlight w:val="none"/>
              </w:rPr>
            </w:pPr>
          </w:p>
        </w:tc>
        <w:tc>
          <w:tcPr>
            <w:tcW w:w="1258" w:type="dxa"/>
            <w:vAlign w:val="center"/>
          </w:tcPr>
          <w:p w14:paraId="0A7C2DDD">
            <w:pPr>
              <w:spacing w:line="360" w:lineRule="auto"/>
              <w:jc w:val="center"/>
              <w:rPr>
                <w:color w:val="auto"/>
                <w:highlight w:val="none"/>
              </w:rPr>
            </w:pPr>
          </w:p>
        </w:tc>
        <w:tc>
          <w:tcPr>
            <w:tcW w:w="1257" w:type="dxa"/>
            <w:vAlign w:val="center"/>
          </w:tcPr>
          <w:p w14:paraId="58F82A29">
            <w:pPr>
              <w:spacing w:line="360" w:lineRule="auto"/>
              <w:jc w:val="center"/>
              <w:rPr>
                <w:color w:val="auto"/>
                <w:highlight w:val="none"/>
              </w:rPr>
            </w:pPr>
          </w:p>
        </w:tc>
        <w:tc>
          <w:tcPr>
            <w:tcW w:w="1258" w:type="dxa"/>
            <w:vAlign w:val="center"/>
          </w:tcPr>
          <w:p w14:paraId="43764D8C">
            <w:pPr>
              <w:spacing w:line="360" w:lineRule="auto"/>
              <w:jc w:val="center"/>
              <w:rPr>
                <w:color w:val="auto"/>
                <w:highlight w:val="none"/>
              </w:rPr>
            </w:pPr>
          </w:p>
        </w:tc>
      </w:tr>
      <w:tr w14:paraId="7A340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Align w:val="center"/>
          </w:tcPr>
          <w:p w14:paraId="3CC4E7CA">
            <w:pPr>
              <w:spacing w:line="360" w:lineRule="auto"/>
              <w:jc w:val="center"/>
              <w:rPr>
                <w:color w:val="auto"/>
                <w:highlight w:val="none"/>
              </w:rPr>
            </w:pPr>
          </w:p>
        </w:tc>
        <w:tc>
          <w:tcPr>
            <w:tcW w:w="961" w:type="dxa"/>
            <w:vAlign w:val="center"/>
          </w:tcPr>
          <w:p w14:paraId="68FCF1F1">
            <w:pPr>
              <w:spacing w:line="360" w:lineRule="auto"/>
              <w:jc w:val="center"/>
              <w:rPr>
                <w:color w:val="auto"/>
                <w:highlight w:val="none"/>
              </w:rPr>
            </w:pPr>
          </w:p>
        </w:tc>
        <w:tc>
          <w:tcPr>
            <w:tcW w:w="1257" w:type="dxa"/>
            <w:vAlign w:val="center"/>
          </w:tcPr>
          <w:p w14:paraId="4ADAA848">
            <w:pPr>
              <w:spacing w:line="360" w:lineRule="auto"/>
              <w:jc w:val="center"/>
              <w:rPr>
                <w:color w:val="auto"/>
                <w:highlight w:val="none"/>
              </w:rPr>
            </w:pPr>
          </w:p>
        </w:tc>
        <w:tc>
          <w:tcPr>
            <w:tcW w:w="1257" w:type="dxa"/>
            <w:vAlign w:val="center"/>
          </w:tcPr>
          <w:p w14:paraId="4176A40E">
            <w:pPr>
              <w:spacing w:line="360" w:lineRule="auto"/>
              <w:jc w:val="center"/>
              <w:rPr>
                <w:color w:val="auto"/>
                <w:highlight w:val="none"/>
              </w:rPr>
            </w:pPr>
          </w:p>
        </w:tc>
        <w:tc>
          <w:tcPr>
            <w:tcW w:w="1258" w:type="dxa"/>
            <w:vAlign w:val="center"/>
          </w:tcPr>
          <w:p w14:paraId="7F807503">
            <w:pPr>
              <w:spacing w:line="360" w:lineRule="auto"/>
              <w:jc w:val="center"/>
              <w:rPr>
                <w:color w:val="auto"/>
                <w:highlight w:val="none"/>
              </w:rPr>
            </w:pPr>
          </w:p>
        </w:tc>
        <w:tc>
          <w:tcPr>
            <w:tcW w:w="1257" w:type="dxa"/>
            <w:vAlign w:val="center"/>
          </w:tcPr>
          <w:p w14:paraId="7E1602AD">
            <w:pPr>
              <w:spacing w:line="360" w:lineRule="auto"/>
              <w:jc w:val="center"/>
              <w:rPr>
                <w:color w:val="auto"/>
                <w:highlight w:val="none"/>
              </w:rPr>
            </w:pPr>
          </w:p>
        </w:tc>
        <w:tc>
          <w:tcPr>
            <w:tcW w:w="1258" w:type="dxa"/>
            <w:vAlign w:val="center"/>
          </w:tcPr>
          <w:p w14:paraId="2D719A2A">
            <w:pPr>
              <w:spacing w:line="360" w:lineRule="auto"/>
              <w:jc w:val="center"/>
              <w:rPr>
                <w:color w:val="auto"/>
                <w:highlight w:val="none"/>
              </w:rPr>
            </w:pPr>
          </w:p>
        </w:tc>
      </w:tr>
      <w:tr w14:paraId="2CF4A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Align w:val="center"/>
          </w:tcPr>
          <w:p w14:paraId="38CC09C2">
            <w:pPr>
              <w:spacing w:line="360" w:lineRule="auto"/>
              <w:jc w:val="center"/>
              <w:rPr>
                <w:color w:val="auto"/>
                <w:highlight w:val="none"/>
              </w:rPr>
            </w:pPr>
          </w:p>
        </w:tc>
        <w:tc>
          <w:tcPr>
            <w:tcW w:w="961" w:type="dxa"/>
            <w:vAlign w:val="center"/>
          </w:tcPr>
          <w:p w14:paraId="069F2E06">
            <w:pPr>
              <w:spacing w:line="360" w:lineRule="auto"/>
              <w:jc w:val="center"/>
              <w:rPr>
                <w:color w:val="auto"/>
                <w:highlight w:val="none"/>
              </w:rPr>
            </w:pPr>
          </w:p>
        </w:tc>
        <w:tc>
          <w:tcPr>
            <w:tcW w:w="1257" w:type="dxa"/>
            <w:vAlign w:val="center"/>
          </w:tcPr>
          <w:p w14:paraId="23B547CA">
            <w:pPr>
              <w:spacing w:line="360" w:lineRule="auto"/>
              <w:jc w:val="center"/>
              <w:rPr>
                <w:color w:val="auto"/>
                <w:highlight w:val="none"/>
              </w:rPr>
            </w:pPr>
          </w:p>
        </w:tc>
        <w:tc>
          <w:tcPr>
            <w:tcW w:w="1257" w:type="dxa"/>
            <w:vAlign w:val="center"/>
          </w:tcPr>
          <w:p w14:paraId="7C8FDF47">
            <w:pPr>
              <w:spacing w:line="360" w:lineRule="auto"/>
              <w:jc w:val="center"/>
              <w:rPr>
                <w:color w:val="auto"/>
                <w:highlight w:val="none"/>
              </w:rPr>
            </w:pPr>
          </w:p>
        </w:tc>
        <w:tc>
          <w:tcPr>
            <w:tcW w:w="1258" w:type="dxa"/>
            <w:vAlign w:val="center"/>
          </w:tcPr>
          <w:p w14:paraId="3675B143">
            <w:pPr>
              <w:spacing w:line="360" w:lineRule="auto"/>
              <w:jc w:val="center"/>
              <w:rPr>
                <w:color w:val="auto"/>
                <w:highlight w:val="none"/>
              </w:rPr>
            </w:pPr>
          </w:p>
        </w:tc>
        <w:tc>
          <w:tcPr>
            <w:tcW w:w="1257" w:type="dxa"/>
            <w:vAlign w:val="center"/>
          </w:tcPr>
          <w:p w14:paraId="5C1E2497">
            <w:pPr>
              <w:spacing w:line="360" w:lineRule="auto"/>
              <w:jc w:val="center"/>
              <w:rPr>
                <w:color w:val="auto"/>
                <w:highlight w:val="none"/>
              </w:rPr>
            </w:pPr>
          </w:p>
        </w:tc>
        <w:tc>
          <w:tcPr>
            <w:tcW w:w="1258" w:type="dxa"/>
            <w:vAlign w:val="center"/>
          </w:tcPr>
          <w:p w14:paraId="0B6E991D">
            <w:pPr>
              <w:spacing w:line="360" w:lineRule="auto"/>
              <w:jc w:val="center"/>
              <w:rPr>
                <w:color w:val="auto"/>
                <w:highlight w:val="none"/>
              </w:rPr>
            </w:pPr>
          </w:p>
        </w:tc>
      </w:tr>
    </w:tbl>
    <w:p w14:paraId="40057F6F">
      <w:pPr>
        <w:rPr>
          <w:color w:val="auto"/>
          <w:highlight w:val="none"/>
        </w:rPr>
      </w:pPr>
    </w:p>
    <w:p w14:paraId="2DF6A143">
      <w:pPr>
        <w:rPr>
          <w:b/>
          <w:bCs/>
          <w:color w:val="auto"/>
          <w:highlight w:val="none"/>
        </w:rPr>
      </w:pPr>
    </w:p>
    <w:p w14:paraId="69955C4E">
      <w:pPr>
        <w:rPr>
          <w:rFonts w:cs="宋体"/>
          <w:color w:val="auto"/>
          <w:highlight w:val="none"/>
        </w:rPr>
      </w:pPr>
    </w:p>
    <w:p w14:paraId="22031BCB">
      <w:pPr>
        <w:rPr>
          <w:color w:val="auto"/>
          <w:highlight w:val="none"/>
        </w:rPr>
      </w:pPr>
      <w:r>
        <w:rPr>
          <w:rFonts w:hint="eastAsia" w:cs="宋体"/>
          <w:color w:val="auto"/>
          <w:highlight w:val="none"/>
        </w:rPr>
        <w:t>附表二：计划开、竣工日期和施工进度计划（网络图或横道图）</w:t>
      </w:r>
    </w:p>
    <w:p w14:paraId="6C4DED18">
      <w:pPr>
        <w:spacing w:line="460" w:lineRule="exact"/>
        <w:ind w:left="-6" w:firstLine="420"/>
        <w:rPr>
          <w:color w:val="auto"/>
          <w:highlight w:val="none"/>
        </w:rPr>
      </w:pPr>
      <w:r>
        <w:rPr>
          <w:color w:val="auto"/>
          <w:highlight w:val="none"/>
        </w:rPr>
        <w:t xml:space="preserve">1. </w:t>
      </w:r>
      <w:r>
        <w:rPr>
          <w:rFonts w:hint="eastAsia" w:cs="宋体"/>
          <w:color w:val="auto"/>
          <w:highlight w:val="none"/>
        </w:rPr>
        <w:t>供应商应提交施工进度计划，说明按磋商文件要求的工期进行施工的各个关键日期。成交的供应商还应按合同条件有关条款的要求提交详细的施工进度计划。</w:t>
      </w:r>
    </w:p>
    <w:p w14:paraId="048DB453">
      <w:pPr>
        <w:spacing w:line="460" w:lineRule="exact"/>
        <w:ind w:left="-6" w:firstLine="420"/>
        <w:rPr>
          <w:color w:val="auto"/>
          <w:highlight w:val="none"/>
        </w:rPr>
      </w:pPr>
      <w:r>
        <w:rPr>
          <w:color w:val="auto"/>
          <w:highlight w:val="none"/>
        </w:rPr>
        <w:t xml:space="preserve">2. </w:t>
      </w:r>
      <w:r>
        <w:rPr>
          <w:rFonts w:hint="eastAsia" w:cs="宋体"/>
          <w:color w:val="auto"/>
          <w:highlight w:val="none"/>
        </w:rPr>
        <w:t>施工进度计划可采用网络图（或横道图）表示，说明计划开工日期和各分项工程各阶段的完工日期和分包合同签订的日期。</w:t>
      </w:r>
    </w:p>
    <w:p w14:paraId="4B4B7858">
      <w:pPr>
        <w:spacing w:line="460" w:lineRule="exact"/>
        <w:ind w:left="-6" w:firstLine="420"/>
        <w:rPr>
          <w:color w:val="auto"/>
          <w:highlight w:val="none"/>
        </w:rPr>
      </w:pPr>
      <w:r>
        <w:rPr>
          <w:color w:val="auto"/>
          <w:highlight w:val="none"/>
        </w:rPr>
        <w:t xml:space="preserve">3. </w:t>
      </w:r>
      <w:r>
        <w:rPr>
          <w:rFonts w:hint="eastAsia" w:cs="宋体"/>
          <w:color w:val="auto"/>
          <w:highlight w:val="none"/>
        </w:rPr>
        <w:t>施工进度计划应与施工组织设计相适应。</w:t>
      </w:r>
    </w:p>
    <w:p w14:paraId="2954978B">
      <w:pPr>
        <w:spacing w:line="360" w:lineRule="auto"/>
        <w:ind w:left="-6" w:firstLine="420"/>
        <w:rPr>
          <w:color w:val="auto"/>
          <w:highlight w:val="none"/>
        </w:rPr>
      </w:pPr>
    </w:p>
    <w:p w14:paraId="2D468597">
      <w:pPr>
        <w:rPr>
          <w:color w:val="auto"/>
          <w:highlight w:val="none"/>
        </w:rPr>
      </w:pPr>
    </w:p>
    <w:p w14:paraId="057FC062">
      <w:pPr>
        <w:rPr>
          <w:color w:val="auto"/>
          <w:highlight w:val="none"/>
        </w:rPr>
      </w:pPr>
      <w:r>
        <w:rPr>
          <w:rFonts w:hint="eastAsia" w:cs="宋体"/>
          <w:color w:val="auto"/>
          <w:highlight w:val="none"/>
        </w:rPr>
        <w:t>附表三：施工总平面图</w:t>
      </w:r>
    </w:p>
    <w:p w14:paraId="110430DE">
      <w:pPr>
        <w:spacing w:line="460" w:lineRule="exact"/>
        <w:ind w:firstLine="420" w:firstLineChars="200"/>
        <w:rPr>
          <w:color w:val="auto"/>
          <w:highlight w:val="none"/>
        </w:rPr>
      </w:pPr>
      <w:r>
        <w:rPr>
          <w:rFonts w:hint="eastAsia" w:cs="宋体"/>
          <w:color w:val="auto"/>
          <w:highlight w:val="none"/>
        </w:rPr>
        <w:t>供应商应递交一份施工总平面图，绘出现场临时设施布置图表并附文字说明，说明临时设施、加工车间、现场办公、设备及仓储、供电、供水、卫生、生活、道路、消防等设施的情况和布置。</w:t>
      </w:r>
    </w:p>
    <w:p w14:paraId="68D37024">
      <w:pPr>
        <w:rPr>
          <w:color w:val="auto"/>
          <w:highlight w:val="none"/>
        </w:rPr>
      </w:pPr>
    </w:p>
    <w:p w14:paraId="1281F776">
      <w:pPr>
        <w:rPr>
          <w:color w:val="auto"/>
          <w:highlight w:val="none"/>
        </w:rPr>
      </w:pPr>
    </w:p>
    <w:p w14:paraId="1EFF304D">
      <w:pPr>
        <w:rPr>
          <w:color w:val="auto"/>
          <w:highlight w:val="none"/>
        </w:rPr>
      </w:pPr>
      <w:r>
        <w:rPr>
          <w:rFonts w:hint="eastAsia" w:cs="宋体"/>
          <w:color w:val="auto"/>
          <w:highlight w:val="none"/>
        </w:rPr>
        <w:t>附表四：临时用地表</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6"/>
        <w:gridCol w:w="2357"/>
        <w:gridCol w:w="2356"/>
        <w:gridCol w:w="2136"/>
      </w:tblGrid>
      <w:tr w14:paraId="3FF6D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356" w:type="dxa"/>
            <w:vAlign w:val="center"/>
          </w:tcPr>
          <w:p w14:paraId="3EECC9EC">
            <w:pPr>
              <w:jc w:val="center"/>
              <w:rPr>
                <w:color w:val="auto"/>
                <w:highlight w:val="none"/>
              </w:rPr>
            </w:pPr>
            <w:r>
              <w:rPr>
                <w:rFonts w:hint="eastAsia" w:cs="宋体"/>
                <w:color w:val="auto"/>
                <w:highlight w:val="none"/>
              </w:rPr>
              <w:t>用途</w:t>
            </w:r>
          </w:p>
        </w:tc>
        <w:tc>
          <w:tcPr>
            <w:tcW w:w="2357" w:type="dxa"/>
            <w:vAlign w:val="center"/>
          </w:tcPr>
          <w:p w14:paraId="1D0B354F">
            <w:pPr>
              <w:jc w:val="center"/>
              <w:rPr>
                <w:color w:val="auto"/>
                <w:highlight w:val="none"/>
              </w:rPr>
            </w:pPr>
            <w:r>
              <w:rPr>
                <w:rFonts w:hint="eastAsia" w:cs="宋体"/>
                <w:color w:val="auto"/>
                <w:highlight w:val="none"/>
              </w:rPr>
              <w:t>面积（平方米）</w:t>
            </w:r>
          </w:p>
        </w:tc>
        <w:tc>
          <w:tcPr>
            <w:tcW w:w="2356" w:type="dxa"/>
            <w:vAlign w:val="center"/>
          </w:tcPr>
          <w:p w14:paraId="5208D19E">
            <w:pPr>
              <w:jc w:val="center"/>
              <w:rPr>
                <w:color w:val="auto"/>
                <w:highlight w:val="none"/>
              </w:rPr>
            </w:pPr>
            <w:r>
              <w:rPr>
                <w:rFonts w:hint="eastAsia" w:cs="宋体"/>
                <w:color w:val="auto"/>
                <w:highlight w:val="none"/>
              </w:rPr>
              <w:t>位置</w:t>
            </w:r>
          </w:p>
        </w:tc>
        <w:tc>
          <w:tcPr>
            <w:tcW w:w="2136" w:type="dxa"/>
            <w:vAlign w:val="center"/>
          </w:tcPr>
          <w:p w14:paraId="375E83E6">
            <w:pPr>
              <w:jc w:val="center"/>
              <w:rPr>
                <w:color w:val="auto"/>
                <w:highlight w:val="none"/>
              </w:rPr>
            </w:pPr>
            <w:r>
              <w:rPr>
                <w:rFonts w:hint="eastAsia" w:cs="宋体"/>
                <w:color w:val="auto"/>
                <w:highlight w:val="none"/>
              </w:rPr>
              <w:t>需用时间</w:t>
            </w:r>
          </w:p>
        </w:tc>
      </w:tr>
      <w:tr w14:paraId="3C663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tcPr>
          <w:p w14:paraId="7CCE4CEA">
            <w:pPr>
              <w:rPr>
                <w:color w:val="auto"/>
                <w:highlight w:val="none"/>
              </w:rPr>
            </w:pPr>
          </w:p>
        </w:tc>
        <w:tc>
          <w:tcPr>
            <w:tcW w:w="2357" w:type="dxa"/>
          </w:tcPr>
          <w:p w14:paraId="1169A32C">
            <w:pPr>
              <w:rPr>
                <w:color w:val="auto"/>
                <w:highlight w:val="none"/>
              </w:rPr>
            </w:pPr>
          </w:p>
        </w:tc>
        <w:tc>
          <w:tcPr>
            <w:tcW w:w="2356" w:type="dxa"/>
          </w:tcPr>
          <w:p w14:paraId="1CA593B2">
            <w:pPr>
              <w:rPr>
                <w:color w:val="auto"/>
                <w:highlight w:val="none"/>
              </w:rPr>
            </w:pPr>
          </w:p>
        </w:tc>
        <w:tc>
          <w:tcPr>
            <w:tcW w:w="2136" w:type="dxa"/>
          </w:tcPr>
          <w:p w14:paraId="171FDCCC">
            <w:pPr>
              <w:rPr>
                <w:color w:val="auto"/>
                <w:highlight w:val="none"/>
              </w:rPr>
            </w:pPr>
          </w:p>
        </w:tc>
      </w:tr>
      <w:tr w14:paraId="57DBA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tcPr>
          <w:p w14:paraId="3927068B">
            <w:pPr>
              <w:rPr>
                <w:color w:val="auto"/>
                <w:highlight w:val="none"/>
              </w:rPr>
            </w:pPr>
          </w:p>
        </w:tc>
        <w:tc>
          <w:tcPr>
            <w:tcW w:w="2357" w:type="dxa"/>
          </w:tcPr>
          <w:p w14:paraId="2932C9E8">
            <w:pPr>
              <w:rPr>
                <w:color w:val="auto"/>
                <w:highlight w:val="none"/>
              </w:rPr>
            </w:pPr>
          </w:p>
        </w:tc>
        <w:tc>
          <w:tcPr>
            <w:tcW w:w="2356" w:type="dxa"/>
          </w:tcPr>
          <w:p w14:paraId="1C7880BB">
            <w:pPr>
              <w:rPr>
                <w:color w:val="auto"/>
                <w:highlight w:val="none"/>
              </w:rPr>
            </w:pPr>
          </w:p>
        </w:tc>
        <w:tc>
          <w:tcPr>
            <w:tcW w:w="2136" w:type="dxa"/>
          </w:tcPr>
          <w:p w14:paraId="55EF494B">
            <w:pPr>
              <w:rPr>
                <w:color w:val="auto"/>
                <w:highlight w:val="none"/>
              </w:rPr>
            </w:pPr>
          </w:p>
        </w:tc>
      </w:tr>
      <w:tr w14:paraId="5B911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356" w:type="dxa"/>
          </w:tcPr>
          <w:p w14:paraId="20B1D623">
            <w:pPr>
              <w:rPr>
                <w:color w:val="auto"/>
                <w:highlight w:val="none"/>
              </w:rPr>
            </w:pPr>
          </w:p>
        </w:tc>
        <w:tc>
          <w:tcPr>
            <w:tcW w:w="2357" w:type="dxa"/>
          </w:tcPr>
          <w:p w14:paraId="6170CDA3">
            <w:pPr>
              <w:rPr>
                <w:color w:val="auto"/>
                <w:highlight w:val="none"/>
              </w:rPr>
            </w:pPr>
          </w:p>
        </w:tc>
        <w:tc>
          <w:tcPr>
            <w:tcW w:w="2356" w:type="dxa"/>
          </w:tcPr>
          <w:p w14:paraId="3F8DC6A6">
            <w:pPr>
              <w:rPr>
                <w:color w:val="auto"/>
                <w:highlight w:val="none"/>
              </w:rPr>
            </w:pPr>
          </w:p>
        </w:tc>
        <w:tc>
          <w:tcPr>
            <w:tcW w:w="2136" w:type="dxa"/>
          </w:tcPr>
          <w:p w14:paraId="3D0A9F61">
            <w:pPr>
              <w:rPr>
                <w:color w:val="auto"/>
                <w:highlight w:val="none"/>
              </w:rPr>
            </w:pPr>
          </w:p>
        </w:tc>
      </w:tr>
      <w:tr w14:paraId="6138B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tcPr>
          <w:p w14:paraId="67C27DB7">
            <w:pPr>
              <w:rPr>
                <w:color w:val="auto"/>
                <w:highlight w:val="none"/>
              </w:rPr>
            </w:pPr>
          </w:p>
        </w:tc>
        <w:tc>
          <w:tcPr>
            <w:tcW w:w="2357" w:type="dxa"/>
          </w:tcPr>
          <w:p w14:paraId="2B5DC49A">
            <w:pPr>
              <w:rPr>
                <w:color w:val="auto"/>
                <w:highlight w:val="none"/>
              </w:rPr>
            </w:pPr>
          </w:p>
        </w:tc>
        <w:tc>
          <w:tcPr>
            <w:tcW w:w="2356" w:type="dxa"/>
          </w:tcPr>
          <w:p w14:paraId="474C09BB">
            <w:pPr>
              <w:rPr>
                <w:color w:val="auto"/>
                <w:highlight w:val="none"/>
              </w:rPr>
            </w:pPr>
          </w:p>
        </w:tc>
        <w:tc>
          <w:tcPr>
            <w:tcW w:w="2136" w:type="dxa"/>
          </w:tcPr>
          <w:p w14:paraId="4B1E3734">
            <w:pPr>
              <w:rPr>
                <w:color w:val="auto"/>
                <w:highlight w:val="none"/>
              </w:rPr>
            </w:pPr>
          </w:p>
        </w:tc>
      </w:tr>
    </w:tbl>
    <w:p w14:paraId="57095B70">
      <w:pPr>
        <w:spacing w:line="360" w:lineRule="auto"/>
        <w:ind w:firstLine="880" w:firstLineChars="200"/>
        <w:rPr>
          <w:rFonts w:hint="eastAsia" w:ascii="方正小标宋简体" w:hAnsi="方正小标宋简体" w:eastAsia="方正小标宋简体" w:cs="方正小标宋简体"/>
          <w:bCs/>
          <w:color w:val="auto"/>
          <w:sz w:val="44"/>
          <w:szCs w:val="44"/>
          <w:highlight w:val="none"/>
        </w:rPr>
      </w:pPr>
    </w:p>
    <w:p w14:paraId="5CDB5D02">
      <w:pPr>
        <w:spacing w:line="360" w:lineRule="auto"/>
        <w:jc w:val="center"/>
        <w:rPr>
          <w:rFonts w:ascii="方正小标宋简体" w:hAnsi="方正小标宋简体" w:eastAsia="方正小标宋简体" w:cs="方正小标宋简体"/>
          <w:bCs/>
          <w:color w:val="auto"/>
          <w:sz w:val="44"/>
          <w:szCs w:val="44"/>
          <w:highlight w:val="none"/>
        </w:rPr>
      </w:pPr>
    </w:p>
    <w:p w14:paraId="2D999C46">
      <w:pPr>
        <w:spacing w:line="360" w:lineRule="auto"/>
        <w:jc w:val="center"/>
        <w:rPr>
          <w:rFonts w:ascii="方正小标宋简体" w:hAnsi="方正小标宋简体" w:eastAsia="方正小标宋简体" w:cs="方正小标宋简体"/>
          <w:bCs/>
          <w:color w:val="auto"/>
          <w:sz w:val="44"/>
          <w:szCs w:val="44"/>
          <w:highlight w:val="none"/>
        </w:rPr>
      </w:pPr>
    </w:p>
    <w:p w14:paraId="7BDBC6CC">
      <w:pPr>
        <w:spacing w:line="360" w:lineRule="auto"/>
        <w:jc w:val="center"/>
        <w:rPr>
          <w:rFonts w:ascii="方正小标宋简体" w:hAnsi="方正小标宋简体" w:eastAsia="方正小标宋简体" w:cs="方正小标宋简体"/>
          <w:bCs/>
          <w:color w:val="auto"/>
          <w:sz w:val="44"/>
          <w:szCs w:val="44"/>
          <w:highlight w:val="none"/>
        </w:rPr>
      </w:pPr>
    </w:p>
    <w:p w14:paraId="38F5263A">
      <w:pPr>
        <w:spacing w:line="360" w:lineRule="auto"/>
        <w:jc w:val="center"/>
        <w:rPr>
          <w:rFonts w:ascii="方正小标宋简体" w:hAnsi="方正小标宋简体" w:eastAsia="方正小标宋简体" w:cs="方正小标宋简体"/>
          <w:bCs/>
          <w:color w:val="auto"/>
          <w:sz w:val="44"/>
          <w:szCs w:val="44"/>
          <w:highlight w:val="none"/>
        </w:rPr>
      </w:pPr>
    </w:p>
    <w:p w14:paraId="3CB46A6C">
      <w:pPr>
        <w:spacing w:line="360" w:lineRule="auto"/>
        <w:jc w:val="center"/>
        <w:rPr>
          <w:rFonts w:ascii="方正小标宋简体" w:hAnsi="方正小标宋简体" w:eastAsia="方正小标宋简体" w:cs="方正小标宋简体"/>
          <w:bCs/>
          <w:color w:val="auto"/>
          <w:sz w:val="44"/>
          <w:szCs w:val="44"/>
          <w:highlight w:val="none"/>
        </w:rPr>
      </w:pPr>
    </w:p>
    <w:p w14:paraId="69C57284">
      <w:pPr>
        <w:spacing w:line="360" w:lineRule="auto"/>
        <w:jc w:val="center"/>
        <w:rPr>
          <w:rFonts w:ascii="方正小标宋简体" w:hAnsi="方正小标宋简体" w:eastAsia="方正小标宋简体" w:cs="方正小标宋简体"/>
          <w:bCs/>
          <w:color w:val="auto"/>
          <w:sz w:val="44"/>
          <w:szCs w:val="44"/>
          <w:highlight w:val="none"/>
        </w:rPr>
      </w:pPr>
    </w:p>
    <w:p w14:paraId="462E7F03">
      <w:pPr>
        <w:spacing w:line="360" w:lineRule="auto"/>
        <w:jc w:val="center"/>
        <w:rPr>
          <w:rFonts w:hint="eastAsia" w:ascii="方正小标宋简体" w:hAnsi="方正小标宋简体" w:eastAsia="方正小标宋简体" w:cs="方正小标宋简体"/>
          <w:bCs/>
          <w:color w:val="auto"/>
          <w:sz w:val="44"/>
          <w:szCs w:val="44"/>
          <w:highlight w:val="none"/>
          <w:lang w:eastAsia="zh-CN"/>
        </w:rPr>
      </w:pPr>
      <w:r>
        <w:rPr>
          <w:rFonts w:hint="eastAsia" w:ascii="方正小标宋简体" w:hAnsi="方正小标宋简体" w:eastAsia="方正小标宋简体" w:cs="方正小标宋简体"/>
          <w:bCs/>
          <w:color w:val="auto"/>
          <w:sz w:val="44"/>
          <w:szCs w:val="44"/>
          <w:highlight w:val="none"/>
          <w:lang w:eastAsia="zh-CN"/>
        </w:rPr>
        <w:t>设备品牌型号表</w:t>
      </w:r>
    </w:p>
    <w:tbl>
      <w:tblPr>
        <w:tblStyle w:val="48"/>
        <w:tblW w:w="90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80"/>
        <w:gridCol w:w="1860"/>
        <w:gridCol w:w="1589"/>
        <w:gridCol w:w="2569"/>
      </w:tblGrid>
      <w:tr w14:paraId="7087B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3080" w:type="dxa"/>
            <w:vAlign w:val="center"/>
          </w:tcPr>
          <w:p w14:paraId="405DD46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bCs/>
                <w:color w:val="auto"/>
                <w:sz w:val="28"/>
                <w:szCs w:val="28"/>
                <w:highlight w:val="none"/>
                <w:vertAlign w:val="baseline"/>
                <w:lang w:eastAsia="zh-CN"/>
              </w:rPr>
            </w:pPr>
            <w:r>
              <w:rPr>
                <w:rFonts w:hint="eastAsia" w:asciiTheme="majorEastAsia" w:hAnsiTheme="majorEastAsia" w:eastAsiaTheme="majorEastAsia" w:cstheme="majorEastAsia"/>
                <w:bCs/>
                <w:color w:val="auto"/>
                <w:sz w:val="28"/>
                <w:szCs w:val="28"/>
                <w:highlight w:val="none"/>
                <w:vertAlign w:val="baseline"/>
                <w:lang w:eastAsia="zh-CN"/>
              </w:rPr>
              <w:t>对应“招标工程量清单”“分部分项工程和单价措施项目清单与计价表（表-08）”序号</w:t>
            </w:r>
          </w:p>
        </w:tc>
        <w:tc>
          <w:tcPr>
            <w:tcW w:w="1860" w:type="dxa"/>
            <w:vAlign w:val="center"/>
          </w:tcPr>
          <w:p w14:paraId="3EBEB06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bCs/>
                <w:color w:val="auto"/>
                <w:sz w:val="28"/>
                <w:szCs w:val="28"/>
                <w:highlight w:val="none"/>
                <w:vertAlign w:val="baseline"/>
                <w:lang w:eastAsia="zh-CN"/>
              </w:rPr>
            </w:pPr>
            <w:r>
              <w:rPr>
                <w:rFonts w:hint="eastAsia" w:asciiTheme="majorEastAsia" w:hAnsiTheme="majorEastAsia" w:eastAsiaTheme="majorEastAsia" w:cstheme="majorEastAsia"/>
                <w:bCs/>
                <w:color w:val="auto"/>
                <w:sz w:val="28"/>
                <w:szCs w:val="28"/>
                <w:highlight w:val="none"/>
                <w:vertAlign w:val="baseline"/>
                <w:lang w:eastAsia="zh-CN"/>
              </w:rPr>
              <w:t>设备名称</w:t>
            </w:r>
          </w:p>
        </w:tc>
        <w:tc>
          <w:tcPr>
            <w:tcW w:w="1589" w:type="dxa"/>
            <w:vAlign w:val="center"/>
          </w:tcPr>
          <w:p w14:paraId="44680EC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bCs/>
                <w:color w:val="auto"/>
                <w:sz w:val="28"/>
                <w:szCs w:val="28"/>
                <w:highlight w:val="none"/>
                <w:vertAlign w:val="baseline"/>
                <w:lang w:eastAsia="zh-CN"/>
              </w:rPr>
            </w:pPr>
            <w:r>
              <w:rPr>
                <w:rFonts w:hint="eastAsia" w:asciiTheme="majorEastAsia" w:hAnsiTheme="majorEastAsia" w:eastAsiaTheme="majorEastAsia" w:cstheme="majorEastAsia"/>
                <w:bCs/>
                <w:color w:val="auto"/>
                <w:sz w:val="28"/>
                <w:szCs w:val="28"/>
                <w:highlight w:val="none"/>
                <w:vertAlign w:val="baseline"/>
                <w:lang w:eastAsia="zh-CN"/>
              </w:rPr>
              <w:t>品牌</w:t>
            </w:r>
          </w:p>
        </w:tc>
        <w:tc>
          <w:tcPr>
            <w:tcW w:w="2569" w:type="dxa"/>
            <w:vAlign w:val="center"/>
          </w:tcPr>
          <w:p w14:paraId="127F186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bCs/>
                <w:color w:val="auto"/>
                <w:sz w:val="28"/>
                <w:szCs w:val="28"/>
                <w:highlight w:val="none"/>
                <w:vertAlign w:val="baseline"/>
                <w:lang w:eastAsia="zh-CN"/>
              </w:rPr>
            </w:pPr>
            <w:r>
              <w:rPr>
                <w:rFonts w:hint="eastAsia" w:asciiTheme="majorEastAsia" w:hAnsiTheme="majorEastAsia" w:eastAsiaTheme="majorEastAsia" w:cstheme="majorEastAsia"/>
                <w:bCs/>
                <w:color w:val="auto"/>
                <w:sz w:val="28"/>
                <w:szCs w:val="28"/>
                <w:highlight w:val="none"/>
                <w:vertAlign w:val="baseline"/>
                <w:lang w:eastAsia="zh-CN"/>
              </w:rPr>
              <w:t>型号</w:t>
            </w:r>
          </w:p>
        </w:tc>
      </w:tr>
      <w:tr w14:paraId="27D5C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3080" w:type="dxa"/>
            <w:vAlign w:val="center"/>
          </w:tcPr>
          <w:p w14:paraId="191B445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bCs/>
                <w:color w:val="auto"/>
                <w:sz w:val="28"/>
                <w:szCs w:val="28"/>
                <w:highlight w:val="none"/>
                <w:vertAlign w:val="baseline"/>
                <w:lang w:eastAsia="zh-CN"/>
              </w:rPr>
            </w:pPr>
          </w:p>
        </w:tc>
        <w:tc>
          <w:tcPr>
            <w:tcW w:w="1860" w:type="dxa"/>
            <w:vAlign w:val="center"/>
          </w:tcPr>
          <w:p w14:paraId="204E025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bCs/>
                <w:color w:val="auto"/>
                <w:sz w:val="28"/>
                <w:szCs w:val="28"/>
                <w:highlight w:val="none"/>
                <w:vertAlign w:val="baseline"/>
              </w:rPr>
            </w:pPr>
          </w:p>
        </w:tc>
        <w:tc>
          <w:tcPr>
            <w:tcW w:w="1589" w:type="dxa"/>
            <w:vAlign w:val="center"/>
          </w:tcPr>
          <w:p w14:paraId="356042F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bCs/>
                <w:color w:val="auto"/>
                <w:sz w:val="28"/>
                <w:szCs w:val="28"/>
                <w:highlight w:val="none"/>
                <w:vertAlign w:val="baseline"/>
              </w:rPr>
            </w:pPr>
          </w:p>
        </w:tc>
        <w:tc>
          <w:tcPr>
            <w:tcW w:w="2569" w:type="dxa"/>
            <w:vAlign w:val="center"/>
          </w:tcPr>
          <w:p w14:paraId="65F50D6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bCs/>
                <w:color w:val="auto"/>
                <w:sz w:val="28"/>
                <w:szCs w:val="28"/>
                <w:highlight w:val="none"/>
                <w:vertAlign w:val="baseline"/>
              </w:rPr>
            </w:pPr>
          </w:p>
        </w:tc>
      </w:tr>
      <w:tr w14:paraId="39ED4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3080" w:type="dxa"/>
            <w:vAlign w:val="center"/>
          </w:tcPr>
          <w:p w14:paraId="35381D4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bCs/>
                <w:color w:val="auto"/>
                <w:sz w:val="28"/>
                <w:szCs w:val="28"/>
                <w:highlight w:val="none"/>
                <w:vertAlign w:val="baseline"/>
                <w:lang w:eastAsia="zh-CN"/>
              </w:rPr>
            </w:pPr>
          </w:p>
        </w:tc>
        <w:tc>
          <w:tcPr>
            <w:tcW w:w="1860" w:type="dxa"/>
            <w:vAlign w:val="center"/>
          </w:tcPr>
          <w:p w14:paraId="60408EF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bCs/>
                <w:color w:val="auto"/>
                <w:sz w:val="28"/>
                <w:szCs w:val="28"/>
                <w:highlight w:val="none"/>
                <w:vertAlign w:val="baseline"/>
              </w:rPr>
            </w:pPr>
          </w:p>
        </w:tc>
        <w:tc>
          <w:tcPr>
            <w:tcW w:w="1589" w:type="dxa"/>
            <w:vAlign w:val="center"/>
          </w:tcPr>
          <w:p w14:paraId="4DD92B1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bCs/>
                <w:color w:val="auto"/>
                <w:sz w:val="28"/>
                <w:szCs w:val="28"/>
                <w:highlight w:val="none"/>
                <w:vertAlign w:val="baseline"/>
              </w:rPr>
            </w:pPr>
          </w:p>
        </w:tc>
        <w:tc>
          <w:tcPr>
            <w:tcW w:w="2569" w:type="dxa"/>
            <w:vAlign w:val="center"/>
          </w:tcPr>
          <w:p w14:paraId="572BAC0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bCs/>
                <w:color w:val="auto"/>
                <w:sz w:val="28"/>
                <w:szCs w:val="28"/>
                <w:highlight w:val="none"/>
                <w:vertAlign w:val="baseline"/>
              </w:rPr>
            </w:pPr>
          </w:p>
        </w:tc>
      </w:tr>
      <w:tr w14:paraId="1D4CA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3080" w:type="dxa"/>
            <w:vAlign w:val="center"/>
          </w:tcPr>
          <w:p w14:paraId="1D4DBA8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bCs/>
                <w:color w:val="auto"/>
                <w:sz w:val="28"/>
                <w:szCs w:val="28"/>
                <w:highlight w:val="none"/>
                <w:vertAlign w:val="baseline"/>
                <w:lang w:eastAsia="zh-CN"/>
              </w:rPr>
            </w:pPr>
          </w:p>
        </w:tc>
        <w:tc>
          <w:tcPr>
            <w:tcW w:w="1860" w:type="dxa"/>
            <w:vAlign w:val="center"/>
          </w:tcPr>
          <w:p w14:paraId="2A0BAC7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bCs/>
                <w:color w:val="auto"/>
                <w:sz w:val="28"/>
                <w:szCs w:val="28"/>
                <w:highlight w:val="none"/>
                <w:vertAlign w:val="baseline"/>
              </w:rPr>
            </w:pPr>
          </w:p>
        </w:tc>
        <w:tc>
          <w:tcPr>
            <w:tcW w:w="1589" w:type="dxa"/>
            <w:vAlign w:val="center"/>
          </w:tcPr>
          <w:p w14:paraId="46494F1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bCs/>
                <w:color w:val="auto"/>
                <w:sz w:val="28"/>
                <w:szCs w:val="28"/>
                <w:highlight w:val="none"/>
                <w:vertAlign w:val="baseline"/>
              </w:rPr>
            </w:pPr>
          </w:p>
        </w:tc>
        <w:tc>
          <w:tcPr>
            <w:tcW w:w="2569" w:type="dxa"/>
            <w:vAlign w:val="center"/>
          </w:tcPr>
          <w:p w14:paraId="6D1DF1A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bCs/>
                <w:color w:val="auto"/>
                <w:sz w:val="28"/>
                <w:szCs w:val="28"/>
                <w:highlight w:val="none"/>
                <w:vertAlign w:val="baseline"/>
              </w:rPr>
            </w:pPr>
          </w:p>
        </w:tc>
      </w:tr>
      <w:tr w14:paraId="36596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3080" w:type="dxa"/>
            <w:vAlign w:val="center"/>
          </w:tcPr>
          <w:p w14:paraId="54A2CDF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bCs/>
                <w:color w:val="auto"/>
                <w:sz w:val="28"/>
                <w:szCs w:val="28"/>
                <w:highlight w:val="none"/>
                <w:vertAlign w:val="baseline"/>
                <w:lang w:eastAsia="zh-CN"/>
              </w:rPr>
            </w:pPr>
          </w:p>
        </w:tc>
        <w:tc>
          <w:tcPr>
            <w:tcW w:w="1860" w:type="dxa"/>
            <w:vAlign w:val="center"/>
          </w:tcPr>
          <w:p w14:paraId="4BFEF1A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bCs/>
                <w:color w:val="auto"/>
                <w:sz w:val="28"/>
                <w:szCs w:val="28"/>
                <w:highlight w:val="none"/>
                <w:vertAlign w:val="baseline"/>
              </w:rPr>
            </w:pPr>
          </w:p>
        </w:tc>
        <w:tc>
          <w:tcPr>
            <w:tcW w:w="1589" w:type="dxa"/>
            <w:vAlign w:val="center"/>
          </w:tcPr>
          <w:p w14:paraId="5FD3A6D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bCs/>
                <w:color w:val="auto"/>
                <w:sz w:val="28"/>
                <w:szCs w:val="28"/>
                <w:highlight w:val="none"/>
                <w:vertAlign w:val="baseline"/>
              </w:rPr>
            </w:pPr>
          </w:p>
        </w:tc>
        <w:tc>
          <w:tcPr>
            <w:tcW w:w="2569" w:type="dxa"/>
            <w:vAlign w:val="center"/>
          </w:tcPr>
          <w:p w14:paraId="364FFE7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bCs/>
                <w:color w:val="auto"/>
                <w:sz w:val="28"/>
                <w:szCs w:val="28"/>
                <w:highlight w:val="none"/>
                <w:vertAlign w:val="baseline"/>
              </w:rPr>
            </w:pPr>
          </w:p>
        </w:tc>
      </w:tr>
      <w:tr w14:paraId="5A021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3080" w:type="dxa"/>
            <w:vAlign w:val="center"/>
          </w:tcPr>
          <w:p w14:paraId="7B59A90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bCs/>
                <w:color w:val="auto"/>
                <w:sz w:val="28"/>
                <w:szCs w:val="28"/>
                <w:highlight w:val="none"/>
                <w:vertAlign w:val="baseline"/>
                <w:lang w:eastAsia="zh-CN"/>
              </w:rPr>
            </w:pPr>
          </w:p>
        </w:tc>
        <w:tc>
          <w:tcPr>
            <w:tcW w:w="1860" w:type="dxa"/>
            <w:vAlign w:val="center"/>
          </w:tcPr>
          <w:p w14:paraId="740D7A6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bCs/>
                <w:color w:val="auto"/>
                <w:sz w:val="28"/>
                <w:szCs w:val="28"/>
                <w:highlight w:val="none"/>
                <w:vertAlign w:val="baseline"/>
              </w:rPr>
            </w:pPr>
          </w:p>
        </w:tc>
        <w:tc>
          <w:tcPr>
            <w:tcW w:w="1589" w:type="dxa"/>
            <w:vAlign w:val="center"/>
          </w:tcPr>
          <w:p w14:paraId="3CC97BE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bCs/>
                <w:color w:val="auto"/>
                <w:sz w:val="28"/>
                <w:szCs w:val="28"/>
                <w:highlight w:val="none"/>
                <w:vertAlign w:val="baseline"/>
              </w:rPr>
            </w:pPr>
          </w:p>
        </w:tc>
        <w:tc>
          <w:tcPr>
            <w:tcW w:w="2569" w:type="dxa"/>
            <w:vAlign w:val="center"/>
          </w:tcPr>
          <w:p w14:paraId="368FA66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bCs/>
                <w:color w:val="auto"/>
                <w:sz w:val="28"/>
                <w:szCs w:val="28"/>
                <w:highlight w:val="none"/>
                <w:vertAlign w:val="baseline"/>
              </w:rPr>
            </w:pPr>
          </w:p>
        </w:tc>
      </w:tr>
      <w:tr w14:paraId="620AC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3080" w:type="dxa"/>
            <w:vAlign w:val="center"/>
          </w:tcPr>
          <w:p w14:paraId="2F18B15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bCs/>
                <w:color w:val="auto"/>
                <w:sz w:val="28"/>
                <w:szCs w:val="28"/>
                <w:highlight w:val="none"/>
                <w:vertAlign w:val="baseline"/>
                <w:lang w:eastAsia="zh-CN"/>
              </w:rPr>
            </w:pPr>
          </w:p>
        </w:tc>
        <w:tc>
          <w:tcPr>
            <w:tcW w:w="1860" w:type="dxa"/>
            <w:vAlign w:val="center"/>
          </w:tcPr>
          <w:p w14:paraId="425409B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bCs/>
                <w:color w:val="auto"/>
                <w:sz w:val="28"/>
                <w:szCs w:val="28"/>
                <w:highlight w:val="none"/>
                <w:vertAlign w:val="baseline"/>
              </w:rPr>
            </w:pPr>
          </w:p>
        </w:tc>
        <w:tc>
          <w:tcPr>
            <w:tcW w:w="1589" w:type="dxa"/>
            <w:vAlign w:val="center"/>
          </w:tcPr>
          <w:p w14:paraId="3791DD3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bCs/>
                <w:color w:val="auto"/>
                <w:sz w:val="28"/>
                <w:szCs w:val="28"/>
                <w:highlight w:val="none"/>
                <w:vertAlign w:val="baseline"/>
              </w:rPr>
            </w:pPr>
          </w:p>
        </w:tc>
        <w:tc>
          <w:tcPr>
            <w:tcW w:w="2569" w:type="dxa"/>
            <w:vAlign w:val="center"/>
          </w:tcPr>
          <w:p w14:paraId="06E5590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bCs/>
                <w:color w:val="auto"/>
                <w:sz w:val="28"/>
                <w:szCs w:val="28"/>
                <w:highlight w:val="none"/>
                <w:vertAlign w:val="baseline"/>
              </w:rPr>
            </w:pPr>
          </w:p>
        </w:tc>
      </w:tr>
      <w:tr w14:paraId="4BBF5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3080" w:type="dxa"/>
            <w:vAlign w:val="center"/>
          </w:tcPr>
          <w:p w14:paraId="203B4E2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bCs/>
                <w:color w:val="auto"/>
                <w:sz w:val="28"/>
                <w:szCs w:val="28"/>
                <w:highlight w:val="none"/>
                <w:vertAlign w:val="baseline"/>
                <w:lang w:eastAsia="zh-CN"/>
              </w:rPr>
            </w:pPr>
          </w:p>
        </w:tc>
        <w:tc>
          <w:tcPr>
            <w:tcW w:w="1860" w:type="dxa"/>
            <w:vAlign w:val="center"/>
          </w:tcPr>
          <w:p w14:paraId="1833887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bCs/>
                <w:color w:val="auto"/>
                <w:sz w:val="28"/>
                <w:szCs w:val="28"/>
                <w:highlight w:val="none"/>
                <w:vertAlign w:val="baseline"/>
              </w:rPr>
            </w:pPr>
          </w:p>
        </w:tc>
        <w:tc>
          <w:tcPr>
            <w:tcW w:w="1589" w:type="dxa"/>
            <w:vAlign w:val="center"/>
          </w:tcPr>
          <w:p w14:paraId="593D574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bCs/>
                <w:color w:val="auto"/>
                <w:sz w:val="28"/>
                <w:szCs w:val="28"/>
                <w:highlight w:val="none"/>
                <w:vertAlign w:val="baseline"/>
              </w:rPr>
            </w:pPr>
          </w:p>
        </w:tc>
        <w:tc>
          <w:tcPr>
            <w:tcW w:w="2569" w:type="dxa"/>
            <w:vAlign w:val="center"/>
          </w:tcPr>
          <w:p w14:paraId="7F37E2B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bCs/>
                <w:color w:val="auto"/>
                <w:sz w:val="28"/>
                <w:szCs w:val="28"/>
                <w:highlight w:val="none"/>
                <w:vertAlign w:val="baseline"/>
              </w:rPr>
            </w:pPr>
          </w:p>
        </w:tc>
      </w:tr>
      <w:tr w14:paraId="7E4E7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3080" w:type="dxa"/>
            <w:vAlign w:val="center"/>
          </w:tcPr>
          <w:p w14:paraId="0A9C0DF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bCs/>
                <w:color w:val="auto"/>
                <w:sz w:val="28"/>
                <w:szCs w:val="28"/>
                <w:highlight w:val="none"/>
                <w:vertAlign w:val="baseline"/>
                <w:lang w:eastAsia="zh-CN"/>
              </w:rPr>
            </w:pPr>
          </w:p>
        </w:tc>
        <w:tc>
          <w:tcPr>
            <w:tcW w:w="1860" w:type="dxa"/>
            <w:vAlign w:val="center"/>
          </w:tcPr>
          <w:p w14:paraId="69D350A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bCs/>
                <w:color w:val="auto"/>
                <w:sz w:val="28"/>
                <w:szCs w:val="28"/>
                <w:highlight w:val="none"/>
                <w:vertAlign w:val="baseline"/>
              </w:rPr>
            </w:pPr>
          </w:p>
        </w:tc>
        <w:tc>
          <w:tcPr>
            <w:tcW w:w="1589" w:type="dxa"/>
            <w:vAlign w:val="center"/>
          </w:tcPr>
          <w:p w14:paraId="773EF04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bCs/>
                <w:color w:val="auto"/>
                <w:sz w:val="28"/>
                <w:szCs w:val="28"/>
                <w:highlight w:val="none"/>
                <w:vertAlign w:val="baseline"/>
              </w:rPr>
            </w:pPr>
          </w:p>
        </w:tc>
        <w:tc>
          <w:tcPr>
            <w:tcW w:w="2569" w:type="dxa"/>
            <w:vAlign w:val="center"/>
          </w:tcPr>
          <w:p w14:paraId="00E26DF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bCs/>
                <w:color w:val="auto"/>
                <w:sz w:val="28"/>
                <w:szCs w:val="28"/>
                <w:highlight w:val="none"/>
                <w:vertAlign w:val="baseline"/>
              </w:rPr>
            </w:pPr>
          </w:p>
        </w:tc>
      </w:tr>
      <w:tr w14:paraId="12F4C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3080" w:type="dxa"/>
            <w:vAlign w:val="center"/>
          </w:tcPr>
          <w:p w14:paraId="6D572A6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bCs/>
                <w:color w:val="auto"/>
                <w:sz w:val="28"/>
                <w:szCs w:val="28"/>
                <w:highlight w:val="none"/>
                <w:vertAlign w:val="baseline"/>
                <w:lang w:eastAsia="zh-CN"/>
              </w:rPr>
            </w:pPr>
          </w:p>
        </w:tc>
        <w:tc>
          <w:tcPr>
            <w:tcW w:w="1860" w:type="dxa"/>
            <w:vAlign w:val="center"/>
          </w:tcPr>
          <w:p w14:paraId="6084AE1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bCs/>
                <w:color w:val="auto"/>
                <w:sz w:val="28"/>
                <w:szCs w:val="28"/>
                <w:highlight w:val="none"/>
                <w:vertAlign w:val="baseline"/>
              </w:rPr>
            </w:pPr>
          </w:p>
        </w:tc>
        <w:tc>
          <w:tcPr>
            <w:tcW w:w="1589" w:type="dxa"/>
            <w:vAlign w:val="center"/>
          </w:tcPr>
          <w:p w14:paraId="393CCD9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bCs/>
                <w:color w:val="auto"/>
                <w:sz w:val="28"/>
                <w:szCs w:val="28"/>
                <w:highlight w:val="none"/>
                <w:vertAlign w:val="baseline"/>
              </w:rPr>
            </w:pPr>
          </w:p>
        </w:tc>
        <w:tc>
          <w:tcPr>
            <w:tcW w:w="2569" w:type="dxa"/>
            <w:vAlign w:val="center"/>
          </w:tcPr>
          <w:p w14:paraId="4816480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bCs/>
                <w:color w:val="auto"/>
                <w:sz w:val="28"/>
                <w:szCs w:val="28"/>
                <w:highlight w:val="none"/>
                <w:vertAlign w:val="baseline"/>
              </w:rPr>
            </w:pPr>
          </w:p>
        </w:tc>
      </w:tr>
    </w:tbl>
    <w:p w14:paraId="07A2F740">
      <w:pPr>
        <w:spacing w:line="480" w:lineRule="auto"/>
        <w:ind w:left="2699"/>
        <w:rPr>
          <w:rFonts w:hint="eastAsia" w:cs="宋体"/>
          <w:color w:val="auto"/>
          <w:highlight w:val="none"/>
        </w:rPr>
      </w:pPr>
    </w:p>
    <w:p w14:paraId="51439D75">
      <w:pPr>
        <w:spacing w:line="480" w:lineRule="auto"/>
        <w:ind w:left="2699"/>
        <w:rPr>
          <w:color w:val="auto"/>
          <w:highlight w:val="none"/>
        </w:rPr>
      </w:pPr>
      <w:r>
        <w:rPr>
          <w:rFonts w:hint="eastAsia" w:cs="宋体"/>
          <w:color w:val="auto"/>
          <w:highlight w:val="none"/>
        </w:rPr>
        <w:t>供应商：</w:t>
      </w:r>
      <w:r>
        <w:rPr>
          <w:color w:val="auto"/>
          <w:highlight w:val="none"/>
          <w:u w:val="single"/>
        </w:rPr>
        <w:t xml:space="preserve">                              </w:t>
      </w:r>
      <w:r>
        <w:rPr>
          <w:rFonts w:hint="eastAsia" w:cs="宋体"/>
          <w:color w:val="auto"/>
          <w:highlight w:val="none"/>
          <w:u w:val="single"/>
        </w:rPr>
        <w:t>（盖供应商电子签章）</w:t>
      </w:r>
    </w:p>
    <w:p w14:paraId="63BF48F9">
      <w:pPr>
        <w:spacing w:line="480" w:lineRule="auto"/>
        <w:ind w:left="2699"/>
        <w:rPr>
          <w:color w:val="auto"/>
          <w:highlight w:val="none"/>
        </w:rPr>
      </w:pPr>
      <w:r>
        <w:rPr>
          <w:rFonts w:hint="eastAsia" w:cs="宋体"/>
          <w:color w:val="auto"/>
          <w:highlight w:val="none"/>
        </w:rPr>
        <w:t>法定代表人（或委托代理人）：</w:t>
      </w:r>
      <w:r>
        <w:rPr>
          <w:color w:val="auto"/>
          <w:highlight w:val="none"/>
          <w:u w:val="single"/>
        </w:rPr>
        <w:t xml:space="preserve">         </w:t>
      </w:r>
      <w:r>
        <w:rPr>
          <w:rFonts w:hint="eastAsia"/>
          <w:color w:val="auto"/>
          <w:highlight w:val="none"/>
          <w:u w:val="single"/>
        </w:rPr>
        <w:t>（签字或者电子签名）</w:t>
      </w:r>
    </w:p>
    <w:p w14:paraId="0635FB55">
      <w:pPr>
        <w:spacing w:line="500" w:lineRule="exact"/>
        <w:jc w:val="center"/>
        <w:rPr>
          <w:rFonts w:hint="eastAsia" w:ascii="宋体" w:hAnsi="宋体"/>
          <w:b/>
          <w:color w:val="auto"/>
          <w:sz w:val="32"/>
          <w:szCs w:val="32"/>
          <w:highlight w:val="none"/>
        </w:rPr>
      </w:pPr>
      <w:r>
        <w:rPr>
          <w:rFonts w:hint="eastAsia" w:cs="宋体"/>
          <w:color w:val="auto"/>
          <w:highlight w:val="none"/>
        </w:rPr>
        <w:t>日期：</w:t>
      </w:r>
      <w:r>
        <w:rPr>
          <w:color w:val="auto"/>
          <w:highlight w:val="none"/>
          <w:u w:val="single"/>
        </w:rPr>
        <w:t xml:space="preserve">       </w:t>
      </w:r>
      <w:r>
        <w:rPr>
          <w:rFonts w:hint="eastAsia" w:cs="宋体"/>
          <w:color w:val="auto"/>
          <w:highlight w:val="none"/>
        </w:rPr>
        <w:t>年</w:t>
      </w:r>
      <w:r>
        <w:rPr>
          <w:color w:val="auto"/>
          <w:highlight w:val="none"/>
          <w:u w:val="single"/>
        </w:rPr>
        <w:t xml:space="preserve">     </w:t>
      </w:r>
      <w:r>
        <w:rPr>
          <w:rFonts w:hint="eastAsia" w:cs="宋体"/>
          <w:color w:val="auto"/>
          <w:highlight w:val="none"/>
        </w:rPr>
        <w:t>月</w:t>
      </w:r>
      <w:r>
        <w:rPr>
          <w:color w:val="auto"/>
          <w:highlight w:val="none"/>
          <w:u w:val="single"/>
        </w:rPr>
        <w:t xml:space="preserve">     </w:t>
      </w:r>
      <w:r>
        <w:rPr>
          <w:rFonts w:hint="eastAsia" w:cs="宋体"/>
          <w:color w:val="auto"/>
          <w:highlight w:val="none"/>
        </w:rPr>
        <w:t>日</w:t>
      </w:r>
    </w:p>
    <w:p w14:paraId="1EDB21FC">
      <w:pPr>
        <w:spacing w:line="360" w:lineRule="auto"/>
        <w:jc w:val="center"/>
        <w:rPr>
          <w:rFonts w:ascii="方正小标宋简体" w:hAnsi="方正小标宋简体" w:eastAsia="方正小标宋简体" w:cs="方正小标宋简体"/>
          <w:bCs/>
          <w:color w:val="auto"/>
          <w:sz w:val="44"/>
          <w:szCs w:val="44"/>
          <w:highlight w:val="none"/>
        </w:rPr>
      </w:pPr>
    </w:p>
    <w:p w14:paraId="5E5376CB">
      <w:pPr>
        <w:spacing w:line="360" w:lineRule="auto"/>
        <w:jc w:val="center"/>
        <w:rPr>
          <w:rFonts w:ascii="方正小标宋简体" w:hAnsi="方正小标宋简体" w:eastAsia="方正小标宋简体" w:cs="方正小标宋简体"/>
          <w:bCs/>
          <w:color w:val="auto"/>
          <w:sz w:val="44"/>
          <w:szCs w:val="44"/>
          <w:highlight w:val="none"/>
        </w:rPr>
      </w:pPr>
    </w:p>
    <w:p w14:paraId="7F0AF31E">
      <w:pPr>
        <w:spacing w:line="360" w:lineRule="auto"/>
        <w:rPr>
          <w:rFonts w:hint="eastAsia" w:ascii="宋体" w:hAnsi="宋体"/>
          <w:color w:val="auto"/>
          <w:szCs w:val="21"/>
          <w:highlight w:val="none"/>
        </w:rPr>
      </w:pPr>
      <w:r>
        <w:rPr>
          <w:rFonts w:hint="eastAsia" w:ascii="宋体" w:hAnsi="宋体"/>
          <w:b/>
          <w:bCs/>
          <w:color w:val="auto"/>
          <w:sz w:val="24"/>
          <w:highlight w:val="none"/>
        </w:rPr>
        <w:t>其他文书、文件格式</w:t>
      </w:r>
    </w:p>
    <w:p w14:paraId="621DB34B">
      <w:pPr>
        <w:widowControl/>
        <w:shd w:val="clear" w:color="auto" w:fill="FFFFFF"/>
        <w:spacing w:line="480" w:lineRule="atLeast"/>
        <w:jc w:val="center"/>
        <w:rPr>
          <w:rFonts w:hint="eastAsia" w:ascii="宋体" w:hAnsi="宋体" w:cs="宋体"/>
          <w:color w:val="auto"/>
          <w:kern w:val="0"/>
          <w:sz w:val="32"/>
          <w:szCs w:val="32"/>
          <w:highlight w:val="none"/>
        </w:rPr>
      </w:pPr>
      <w:r>
        <w:rPr>
          <w:rFonts w:hint="eastAsia" w:ascii="宋体" w:hAnsi="宋体" w:cs="宋体"/>
          <w:b/>
          <w:bCs/>
          <w:color w:val="auto"/>
          <w:kern w:val="0"/>
          <w:sz w:val="32"/>
          <w:szCs w:val="32"/>
          <w:highlight w:val="none"/>
        </w:rPr>
        <w:t>广西壮族自治区政府采购项目合同验收书（格式）</w:t>
      </w:r>
    </w:p>
    <w:p w14:paraId="28742594">
      <w:pPr>
        <w:widowControl/>
        <w:shd w:val="clear" w:color="auto" w:fill="FFFFFF"/>
        <w:snapToGrid w:val="0"/>
        <w:spacing w:line="320" w:lineRule="atLeast"/>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根据政府采购项目（</w:t>
      </w:r>
      <w:r>
        <w:rPr>
          <w:rFonts w:hint="eastAsia" w:ascii="宋体" w:hAnsi="宋体" w:cs="宋体"/>
          <w:color w:val="auto"/>
          <w:kern w:val="0"/>
          <w:szCs w:val="21"/>
          <w:highlight w:val="none"/>
          <w:u w:val="single"/>
        </w:rPr>
        <w:t>采购合同编号：</w:t>
      </w:r>
      <w:r>
        <w:rPr>
          <w:rFonts w:hint="eastAsia" w:ascii="宋体" w:hAnsi="宋体" w:cs="宋体"/>
          <w:color w:val="auto"/>
          <w:kern w:val="0"/>
          <w:szCs w:val="21"/>
          <w:highlight w:val="none"/>
          <w:u w:val="single"/>
        </w:rPr>
        <w:softHyphen/>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）的约定，我单位对（</w:t>
      </w:r>
      <w:r>
        <w:rPr>
          <w:rFonts w:hint="eastAsia" w:ascii="宋体" w:hAnsi="宋体" w:cs="宋体"/>
          <w:color w:val="auto"/>
          <w:kern w:val="0"/>
          <w:szCs w:val="21"/>
          <w:highlight w:val="none"/>
          <w:u w:val="single"/>
        </w:rPr>
        <w:t xml:space="preserve"> 项目名称 </w:t>
      </w:r>
      <w:r>
        <w:rPr>
          <w:rFonts w:hint="eastAsia" w:ascii="宋体" w:hAnsi="宋体" w:cs="宋体"/>
          <w:color w:val="auto"/>
          <w:kern w:val="0"/>
          <w:szCs w:val="21"/>
          <w:highlight w:val="none"/>
        </w:rPr>
        <w:t>） 政府采购项目成交供应商（</w:t>
      </w:r>
      <w:r>
        <w:rPr>
          <w:rFonts w:hint="eastAsia" w:ascii="宋体" w:hAnsi="宋体" w:cs="宋体"/>
          <w:color w:val="auto"/>
          <w:kern w:val="0"/>
          <w:szCs w:val="21"/>
          <w:highlight w:val="none"/>
          <w:u w:val="single"/>
        </w:rPr>
        <w:t xml:space="preserve"> 公司名称 </w:t>
      </w:r>
      <w:r>
        <w:rPr>
          <w:rFonts w:hint="eastAsia" w:ascii="宋体" w:hAnsi="宋体" w:cs="宋体"/>
          <w:color w:val="auto"/>
          <w:kern w:val="0"/>
          <w:szCs w:val="21"/>
          <w:highlight w:val="none"/>
        </w:rPr>
        <w:t>） 提供的货物（或工程、服务）进行了验收，验收情况如下：</w:t>
      </w:r>
    </w:p>
    <w:tbl>
      <w:tblPr>
        <w:tblStyle w:val="47"/>
        <w:tblW w:w="0" w:type="auto"/>
        <w:jc w:val="center"/>
        <w:tblLayout w:type="fixed"/>
        <w:tblCellMar>
          <w:top w:w="0" w:type="dxa"/>
          <w:left w:w="0" w:type="dxa"/>
          <w:bottom w:w="0" w:type="dxa"/>
          <w:right w:w="0" w:type="dxa"/>
        </w:tblCellMar>
      </w:tblPr>
      <w:tblGrid>
        <w:gridCol w:w="804"/>
        <w:gridCol w:w="825"/>
        <w:gridCol w:w="1623"/>
        <w:gridCol w:w="798"/>
        <w:gridCol w:w="102"/>
        <w:gridCol w:w="2002"/>
        <w:gridCol w:w="178"/>
        <w:gridCol w:w="685"/>
        <w:gridCol w:w="1428"/>
      </w:tblGrid>
      <w:tr w14:paraId="75E4564E">
        <w:tblPrEx>
          <w:tblCellMar>
            <w:top w:w="0" w:type="dxa"/>
            <w:left w:w="0" w:type="dxa"/>
            <w:bottom w:w="0" w:type="dxa"/>
            <w:right w:w="0" w:type="dxa"/>
          </w:tblCellMar>
        </w:tblPrEx>
        <w:trPr>
          <w:trHeight w:val="497" w:hRule="atLeast"/>
          <w:jc w:val="center"/>
        </w:trPr>
        <w:tc>
          <w:tcPr>
            <w:tcW w:w="3252" w:type="dxa"/>
            <w:gridSpan w:val="3"/>
            <w:tcBorders>
              <w:top w:val="single" w:color="auto" w:sz="8" w:space="0"/>
              <w:left w:val="single" w:color="auto" w:sz="8" w:space="0"/>
              <w:bottom w:val="single" w:color="auto" w:sz="8" w:space="0"/>
              <w:right w:val="single" w:color="auto" w:sz="8" w:space="0"/>
            </w:tcBorders>
            <w:vAlign w:val="center"/>
          </w:tcPr>
          <w:p w14:paraId="0AD276BC">
            <w:pPr>
              <w:widowControl/>
              <w:snapToGrid w:val="0"/>
              <w:spacing w:before="100" w:beforeAutospacing="1" w:after="100" w:afterAutospacing="1" w:line="320" w:lineRule="atLeast"/>
              <w:ind w:firstLine="5"/>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验收方式：</w:t>
            </w:r>
          </w:p>
        </w:tc>
        <w:tc>
          <w:tcPr>
            <w:tcW w:w="5193" w:type="dxa"/>
            <w:gridSpan w:val="6"/>
            <w:tcBorders>
              <w:top w:val="single" w:color="auto" w:sz="8" w:space="0"/>
              <w:left w:val="nil"/>
              <w:bottom w:val="single" w:color="auto" w:sz="8" w:space="0"/>
              <w:right w:val="single" w:color="auto" w:sz="8" w:space="0"/>
            </w:tcBorders>
            <w:vAlign w:val="center"/>
          </w:tcPr>
          <w:p w14:paraId="4721C737">
            <w:pPr>
              <w:widowControl/>
              <w:snapToGrid w:val="0"/>
              <w:spacing w:before="100" w:beforeAutospacing="1" w:after="100" w:afterAutospacing="1" w:line="320" w:lineRule="atLeas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□自行验收 □委托验收</w:t>
            </w:r>
          </w:p>
        </w:tc>
      </w:tr>
      <w:tr w14:paraId="2A9CCC54">
        <w:tblPrEx>
          <w:tblCellMar>
            <w:top w:w="0" w:type="dxa"/>
            <w:left w:w="0" w:type="dxa"/>
            <w:bottom w:w="0" w:type="dxa"/>
            <w:right w:w="0" w:type="dxa"/>
          </w:tblCellMar>
        </w:tblPrEx>
        <w:trPr>
          <w:trHeight w:val="622" w:hRule="atLeast"/>
          <w:jc w:val="center"/>
        </w:trPr>
        <w:tc>
          <w:tcPr>
            <w:tcW w:w="804" w:type="dxa"/>
            <w:tcBorders>
              <w:top w:val="nil"/>
              <w:left w:val="single" w:color="auto" w:sz="8" w:space="0"/>
              <w:bottom w:val="single" w:color="auto" w:sz="8" w:space="0"/>
              <w:right w:val="single" w:color="auto" w:sz="8" w:space="0"/>
            </w:tcBorders>
            <w:vAlign w:val="center"/>
          </w:tcPr>
          <w:p w14:paraId="53CFD98F">
            <w:pPr>
              <w:widowControl/>
              <w:snapToGrid w:val="0"/>
              <w:spacing w:before="100" w:beforeAutospacing="1" w:after="100" w:afterAutospacing="1" w:line="320" w:lineRule="atLeast"/>
              <w:ind w:firstLine="2"/>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序号</w:t>
            </w:r>
          </w:p>
        </w:tc>
        <w:tc>
          <w:tcPr>
            <w:tcW w:w="2448" w:type="dxa"/>
            <w:gridSpan w:val="2"/>
            <w:tcBorders>
              <w:top w:val="nil"/>
              <w:left w:val="nil"/>
              <w:bottom w:val="single" w:color="auto" w:sz="8" w:space="0"/>
              <w:right w:val="single" w:color="auto" w:sz="8" w:space="0"/>
            </w:tcBorders>
            <w:vAlign w:val="center"/>
          </w:tcPr>
          <w:p w14:paraId="67DA1A17">
            <w:pPr>
              <w:widowControl/>
              <w:snapToGrid w:val="0"/>
              <w:spacing w:before="100" w:beforeAutospacing="1" w:after="100" w:afterAutospacing="1" w:line="320" w:lineRule="atLeast"/>
              <w:ind w:firstLine="2"/>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名称</w:t>
            </w:r>
          </w:p>
        </w:tc>
        <w:tc>
          <w:tcPr>
            <w:tcW w:w="2902" w:type="dxa"/>
            <w:gridSpan w:val="3"/>
            <w:tcBorders>
              <w:top w:val="nil"/>
              <w:left w:val="nil"/>
              <w:bottom w:val="single" w:color="auto" w:sz="8" w:space="0"/>
              <w:right w:val="single" w:color="auto" w:sz="8" w:space="0"/>
            </w:tcBorders>
            <w:vAlign w:val="center"/>
          </w:tcPr>
          <w:p w14:paraId="3527C7B6">
            <w:pPr>
              <w:widowControl/>
              <w:snapToGrid w:val="0"/>
              <w:spacing w:before="100" w:beforeAutospacing="1" w:after="100" w:afterAutospacing="1" w:line="320" w:lineRule="atLeast"/>
              <w:ind w:firstLine="2"/>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货物型号规格、标准及配置等（或服务内容、标准）</w:t>
            </w:r>
          </w:p>
        </w:tc>
        <w:tc>
          <w:tcPr>
            <w:tcW w:w="863" w:type="dxa"/>
            <w:gridSpan w:val="2"/>
            <w:tcBorders>
              <w:top w:val="nil"/>
              <w:left w:val="nil"/>
              <w:bottom w:val="single" w:color="auto" w:sz="8" w:space="0"/>
              <w:right w:val="single" w:color="auto" w:sz="8" w:space="0"/>
            </w:tcBorders>
            <w:vAlign w:val="center"/>
          </w:tcPr>
          <w:p w14:paraId="52256569">
            <w:pPr>
              <w:widowControl/>
              <w:snapToGrid w:val="0"/>
              <w:spacing w:before="100" w:beforeAutospacing="1" w:after="100" w:afterAutospacing="1" w:line="320" w:lineRule="atLeas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数量</w:t>
            </w:r>
          </w:p>
        </w:tc>
        <w:tc>
          <w:tcPr>
            <w:tcW w:w="1428" w:type="dxa"/>
            <w:tcBorders>
              <w:top w:val="nil"/>
              <w:left w:val="nil"/>
              <w:bottom w:val="single" w:color="auto" w:sz="8" w:space="0"/>
              <w:right w:val="single" w:color="auto" w:sz="8" w:space="0"/>
            </w:tcBorders>
            <w:vAlign w:val="center"/>
          </w:tcPr>
          <w:p w14:paraId="7FB0543E">
            <w:pPr>
              <w:widowControl/>
              <w:snapToGrid w:val="0"/>
              <w:spacing w:before="100" w:beforeAutospacing="1" w:after="100" w:afterAutospacing="1" w:line="320" w:lineRule="atLeast"/>
              <w:ind w:firstLine="2"/>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金额</w:t>
            </w:r>
          </w:p>
        </w:tc>
      </w:tr>
      <w:tr w14:paraId="418A9660">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14:paraId="5C578B74">
            <w:pPr>
              <w:widowControl/>
              <w:spacing w:before="100" w:beforeAutospacing="1" w:after="100" w:afterAutospacing="1" w:line="240" w:lineRule="atLeast"/>
              <w:jc w:val="center"/>
              <w:rPr>
                <w:rFonts w:hint="eastAsia" w:ascii="宋体" w:hAnsi="宋体" w:cs="宋体"/>
                <w:color w:val="auto"/>
                <w:kern w:val="0"/>
                <w:szCs w:val="21"/>
                <w:highlight w:val="none"/>
              </w:rPr>
            </w:pPr>
          </w:p>
        </w:tc>
        <w:tc>
          <w:tcPr>
            <w:tcW w:w="2448" w:type="dxa"/>
            <w:gridSpan w:val="2"/>
            <w:tcBorders>
              <w:top w:val="nil"/>
              <w:left w:val="nil"/>
              <w:bottom w:val="single" w:color="auto" w:sz="8" w:space="0"/>
              <w:right w:val="single" w:color="auto" w:sz="8" w:space="0"/>
            </w:tcBorders>
            <w:vAlign w:val="center"/>
          </w:tcPr>
          <w:p w14:paraId="258DD249">
            <w:pPr>
              <w:widowControl/>
              <w:spacing w:before="100" w:beforeAutospacing="1" w:after="100" w:afterAutospacing="1" w:line="240" w:lineRule="atLeast"/>
              <w:jc w:val="center"/>
              <w:rPr>
                <w:rFonts w:hint="eastAsia" w:ascii="宋体" w:hAnsi="宋体" w:cs="宋体"/>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14:paraId="4CC8F8A2">
            <w:pPr>
              <w:widowControl/>
              <w:spacing w:before="100" w:beforeAutospacing="1" w:after="100" w:afterAutospacing="1" w:line="240" w:lineRule="atLeast"/>
              <w:jc w:val="center"/>
              <w:rPr>
                <w:rFonts w:hint="eastAsia" w:ascii="宋体" w:hAnsi="宋体" w:cs="宋体"/>
                <w:color w:val="auto"/>
                <w:kern w:val="0"/>
                <w:szCs w:val="21"/>
                <w:highlight w:val="none"/>
              </w:rPr>
            </w:pPr>
          </w:p>
        </w:tc>
        <w:tc>
          <w:tcPr>
            <w:tcW w:w="863" w:type="dxa"/>
            <w:gridSpan w:val="2"/>
            <w:tcBorders>
              <w:top w:val="nil"/>
              <w:left w:val="nil"/>
              <w:bottom w:val="single" w:color="auto" w:sz="8" w:space="0"/>
              <w:right w:val="single" w:color="auto" w:sz="8" w:space="0"/>
            </w:tcBorders>
            <w:vAlign w:val="center"/>
          </w:tcPr>
          <w:p w14:paraId="54F74EF1">
            <w:pPr>
              <w:widowControl/>
              <w:spacing w:before="100" w:beforeAutospacing="1" w:after="100" w:afterAutospacing="1" w:line="240" w:lineRule="atLeast"/>
              <w:jc w:val="center"/>
              <w:rPr>
                <w:rFonts w:hint="eastAsia" w:ascii="宋体" w:hAnsi="宋体" w:cs="宋体"/>
                <w:color w:val="auto"/>
                <w:kern w:val="0"/>
                <w:szCs w:val="21"/>
                <w:highlight w:val="none"/>
              </w:rPr>
            </w:pPr>
          </w:p>
        </w:tc>
        <w:tc>
          <w:tcPr>
            <w:tcW w:w="1428" w:type="dxa"/>
            <w:tcBorders>
              <w:top w:val="nil"/>
              <w:left w:val="nil"/>
              <w:bottom w:val="single" w:color="auto" w:sz="8" w:space="0"/>
              <w:right w:val="single" w:color="auto" w:sz="8" w:space="0"/>
            </w:tcBorders>
            <w:vAlign w:val="center"/>
          </w:tcPr>
          <w:p w14:paraId="2E9C6990">
            <w:pPr>
              <w:widowControl/>
              <w:spacing w:before="100" w:beforeAutospacing="1" w:after="100" w:afterAutospacing="1" w:line="240" w:lineRule="atLeast"/>
              <w:jc w:val="center"/>
              <w:rPr>
                <w:rFonts w:hint="eastAsia" w:ascii="宋体" w:hAnsi="宋体" w:cs="宋体"/>
                <w:color w:val="auto"/>
                <w:kern w:val="0"/>
                <w:szCs w:val="21"/>
                <w:highlight w:val="none"/>
              </w:rPr>
            </w:pPr>
          </w:p>
        </w:tc>
      </w:tr>
      <w:tr w14:paraId="5DAA5DB2">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14:paraId="7CB7AB47">
            <w:pPr>
              <w:widowControl/>
              <w:spacing w:before="100" w:beforeAutospacing="1" w:after="100" w:afterAutospacing="1" w:line="240" w:lineRule="atLeast"/>
              <w:jc w:val="center"/>
              <w:rPr>
                <w:rFonts w:hint="eastAsia" w:ascii="宋体" w:hAnsi="宋体" w:cs="宋体"/>
                <w:color w:val="auto"/>
                <w:kern w:val="0"/>
                <w:szCs w:val="21"/>
                <w:highlight w:val="none"/>
              </w:rPr>
            </w:pPr>
          </w:p>
        </w:tc>
        <w:tc>
          <w:tcPr>
            <w:tcW w:w="2448" w:type="dxa"/>
            <w:gridSpan w:val="2"/>
            <w:tcBorders>
              <w:top w:val="nil"/>
              <w:left w:val="nil"/>
              <w:bottom w:val="single" w:color="auto" w:sz="8" w:space="0"/>
              <w:right w:val="single" w:color="auto" w:sz="8" w:space="0"/>
            </w:tcBorders>
            <w:vAlign w:val="center"/>
          </w:tcPr>
          <w:p w14:paraId="2D32AACB">
            <w:pPr>
              <w:widowControl/>
              <w:spacing w:before="100" w:beforeAutospacing="1" w:after="100" w:afterAutospacing="1" w:line="240" w:lineRule="atLeast"/>
              <w:jc w:val="center"/>
              <w:rPr>
                <w:rFonts w:hint="eastAsia" w:ascii="宋体" w:hAnsi="宋体" w:cs="宋体"/>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14:paraId="0BCF0C16">
            <w:pPr>
              <w:widowControl/>
              <w:spacing w:before="100" w:beforeAutospacing="1" w:after="100" w:afterAutospacing="1" w:line="240" w:lineRule="atLeast"/>
              <w:jc w:val="center"/>
              <w:rPr>
                <w:rFonts w:hint="eastAsia" w:ascii="宋体" w:hAnsi="宋体" w:cs="宋体"/>
                <w:color w:val="auto"/>
                <w:kern w:val="0"/>
                <w:szCs w:val="21"/>
                <w:highlight w:val="none"/>
              </w:rPr>
            </w:pPr>
          </w:p>
        </w:tc>
        <w:tc>
          <w:tcPr>
            <w:tcW w:w="863" w:type="dxa"/>
            <w:gridSpan w:val="2"/>
            <w:tcBorders>
              <w:top w:val="nil"/>
              <w:left w:val="nil"/>
              <w:bottom w:val="single" w:color="auto" w:sz="8" w:space="0"/>
              <w:right w:val="single" w:color="auto" w:sz="8" w:space="0"/>
            </w:tcBorders>
            <w:vAlign w:val="center"/>
          </w:tcPr>
          <w:p w14:paraId="210F4F68">
            <w:pPr>
              <w:widowControl/>
              <w:spacing w:before="100" w:beforeAutospacing="1" w:after="100" w:afterAutospacing="1" w:line="240" w:lineRule="atLeast"/>
              <w:jc w:val="center"/>
              <w:rPr>
                <w:rFonts w:hint="eastAsia" w:ascii="宋体" w:hAnsi="宋体" w:cs="宋体"/>
                <w:color w:val="auto"/>
                <w:kern w:val="0"/>
                <w:szCs w:val="21"/>
                <w:highlight w:val="none"/>
              </w:rPr>
            </w:pPr>
          </w:p>
        </w:tc>
        <w:tc>
          <w:tcPr>
            <w:tcW w:w="1428" w:type="dxa"/>
            <w:tcBorders>
              <w:top w:val="nil"/>
              <w:left w:val="nil"/>
              <w:bottom w:val="single" w:color="auto" w:sz="8" w:space="0"/>
              <w:right w:val="single" w:color="auto" w:sz="8" w:space="0"/>
            </w:tcBorders>
            <w:vAlign w:val="center"/>
          </w:tcPr>
          <w:p w14:paraId="63661116">
            <w:pPr>
              <w:widowControl/>
              <w:spacing w:before="100" w:beforeAutospacing="1" w:after="100" w:afterAutospacing="1" w:line="240" w:lineRule="atLeast"/>
              <w:jc w:val="center"/>
              <w:rPr>
                <w:rFonts w:hint="eastAsia" w:ascii="宋体" w:hAnsi="宋体" w:cs="宋体"/>
                <w:color w:val="auto"/>
                <w:kern w:val="0"/>
                <w:szCs w:val="21"/>
                <w:highlight w:val="none"/>
              </w:rPr>
            </w:pPr>
          </w:p>
        </w:tc>
      </w:tr>
      <w:tr w14:paraId="36C4A5D9">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14:paraId="6BD9544C">
            <w:pPr>
              <w:widowControl/>
              <w:spacing w:before="100" w:beforeAutospacing="1" w:after="100" w:afterAutospacing="1" w:line="240" w:lineRule="atLeast"/>
              <w:jc w:val="center"/>
              <w:rPr>
                <w:rFonts w:hint="eastAsia" w:ascii="宋体" w:hAnsi="宋体" w:cs="宋体"/>
                <w:color w:val="auto"/>
                <w:kern w:val="0"/>
                <w:szCs w:val="21"/>
                <w:highlight w:val="none"/>
              </w:rPr>
            </w:pPr>
          </w:p>
        </w:tc>
        <w:tc>
          <w:tcPr>
            <w:tcW w:w="2448" w:type="dxa"/>
            <w:gridSpan w:val="2"/>
            <w:tcBorders>
              <w:top w:val="nil"/>
              <w:left w:val="nil"/>
              <w:bottom w:val="single" w:color="auto" w:sz="8" w:space="0"/>
              <w:right w:val="single" w:color="auto" w:sz="8" w:space="0"/>
            </w:tcBorders>
            <w:vAlign w:val="center"/>
          </w:tcPr>
          <w:p w14:paraId="0B83D143">
            <w:pPr>
              <w:widowControl/>
              <w:spacing w:before="100" w:beforeAutospacing="1" w:after="100" w:afterAutospacing="1" w:line="240" w:lineRule="atLeast"/>
              <w:jc w:val="center"/>
              <w:rPr>
                <w:rFonts w:hint="eastAsia" w:ascii="宋体" w:hAnsi="宋体" w:cs="宋体"/>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14:paraId="5AFFAF4F">
            <w:pPr>
              <w:widowControl/>
              <w:spacing w:before="100" w:beforeAutospacing="1" w:after="100" w:afterAutospacing="1" w:line="240" w:lineRule="atLeast"/>
              <w:jc w:val="center"/>
              <w:rPr>
                <w:rFonts w:hint="eastAsia" w:ascii="宋体" w:hAnsi="宋体" w:cs="宋体"/>
                <w:color w:val="auto"/>
                <w:kern w:val="0"/>
                <w:szCs w:val="21"/>
                <w:highlight w:val="none"/>
              </w:rPr>
            </w:pPr>
          </w:p>
        </w:tc>
        <w:tc>
          <w:tcPr>
            <w:tcW w:w="863" w:type="dxa"/>
            <w:gridSpan w:val="2"/>
            <w:tcBorders>
              <w:top w:val="nil"/>
              <w:left w:val="nil"/>
              <w:bottom w:val="single" w:color="auto" w:sz="8" w:space="0"/>
              <w:right w:val="single" w:color="auto" w:sz="8" w:space="0"/>
            </w:tcBorders>
            <w:vAlign w:val="center"/>
          </w:tcPr>
          <w:p w14:paraId="1DF55DD7">
            <w:pPr>
              <w:widowControl/>
              <w:spacing w:before="100" w:beforeAutospacing="1" w:after="100" w:afterAutospacing="1" w:line="240" w:lineRule="atLeast"/>
              <w:jc w:val="center"/>
              <w:rPr>
                <w:rFonts w:hint="eastAsia" w:ascii="宋体" w:hAnsi="宋体" w:cs="宋体"/>
                <w:color w:val="auto"/>
                <w:kern w:val="0"/>
                <w:szCs w:val="21"/>
                <w:highlight w:val="none"/>
              </w:rPr>
            </w:pPr>
          </w:p>
        </w:tc>
        <w:tc>
          <w:tcPr>
            <w:tcW w:w="1428" w:type="dxa"/>
            <w:tcBorders>
              <w:top w:val="nil"/>
              <w:left w:val="nil"/>
              <w:bottom w:val="single" w:color="auto" w:sz="8" w:space="0"/>
              <w:right w:val="single" w:color="auto" w:sz="8" w:space="0"/>
            </w:tcBorders>
            <w:vAlign w:val="center"/>
          </w:tcPr>
          <w:p w14:paraId="691DC969">
            <w:pPr>
              <w:widowControl/>
              <w:spacing w:before="100" w:beforeAutospacing="1" w:after="100" w:afterAutospacing="1" w:line="240" w:lineRule="atLeast"/>
              <w:jc w:val="center"/>
              <w:rPr>
                <w:rFonts w:hint="eastAsia" w:ascii="宋体" w:hAnsi="宋体" w:cs="宋体"/>
                <w:color w:val="auto"/>
                <w:kern w:val="0"/>
                <w:szCs w:val="21"/>
                <w:highlight w:val="none"/>
              </w:rPr>
            </w:pPr>
          </w:p>
        </w:tc>
      </w:tr>
      <w:tr w14:paraId="2FCC36F0">
        <w:tblPrEx>
          <w:tblCellMar>
            <w:top w:w="0" w:type="dxa"/>
            <w:left w:w="0" w:type="dxa"/>
            <w:bottom w:w="0" w:type="dxa"/>
            <w:right w:w="0" w:type="dxa"/>
          </w:tblCellMar>
        </w:tblPrEx>
        <w:trPr>
          <w:trHeight w:val="487" w:hRule="atLeast"/>
          <w:jc w:val="center"/>
        </w:trPr>
        <w:tc>
          <w:tcPr>
            <w:tcW w:w="6154" w:type="dxa"/>
            <w:gridSpan w:val="6"/>
            <w:tcBorders>
              <w:top w:val="nil"/>
              <w:left w:val="single" w:color="auto" w:sz="8" w:space="0"/>
              <w:bottom w:val="single" w:color="auto" w:sz="8" w:space="0"/>
              <w:right w:val="single" w:color="auto" w:sz="8" w:space="0"/>
            </w:tcBorders>
            <w:vAlign w:val="center"/>
          </w:tcPr>
          <w:p w14:paraId="311B5478">
            <w:pPr>
              <w:widowControl/>
              <w:snapToGrid w:val="0"/>
              <w:spacing w:before="100" w:beforeAutospacing="1" w:after="100" w:afterAutospacing="1" w:line="320" w:lineRule="atLeast"/>
              <w:ind w:firstLine="5"/>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合 计</w:t>
            </w:r>
          </w:p>
        </w:tc>
        <w:tc>
          <w:tcPr>
            <w:tcW w:w="863" w:type="dxa"/>
            <w:gridSpan w:val="2"/>
            <w:tcBorders>
              <w:top w:val="nil"/>
              <w:left w:val="nil"/>
              <w:bottom w:val="single" w:color="auto" w:sz="8" w:space="0"/>
              <w:right w:val="single" w:color="auto" w:sz="8" w:space="0"/>
            </w:tcBorders>
            <w:vAlign w:val="center"/>
          </w:tcPr>
          <w:p w14:paraId="008442E2">
            <w:pPr>
              <w:widowControl/>
              <w:spacing w:before="100" w:beforeAutospacing="1" w:after="100" w:afterAutospacing="1" w:line="240" w:lineRule="atLeast"/>
              <w:jc w:val="center"/>
              <w:rPr>
                <w:rFonts w:hint="eastAsia" w:ascii="宋体" w:hAnsi="宋体" w:cs="宋体"/>
                <w:color w:val="auto"/>
                <w:kern w:val="0"/>
                <w:szCs w:val="21"/>
                <w:highlight w:val="none"/>
              </w:rPr>
            </w:pPr>
          </w:p>
        </w:tc>
        <w:tc>
          <w:tcPr>
            <w:tcW w:w="1428" w:type="dxa"/>
            <w:tcBorders>
              <w:top w:val="nil"/>
              <w:left w:val="nil"/>
              <w:bottom w:val="single" w:color="auto" w:sz="8" w:space="0"/>
              <w:right w:val="single" w:color="auto" w:sz="8" w:space="0"/>
            </w:tcBorders>
            <w:vAlign w:val="center"/>
          </w:tcPr>
          <w:p w14:paraId="6D068FEC">
            <w:pPr>
              <w:widowControl/>
              <w:spacing w:before="100" w:beforeAutospacing="1" w:after="100" w:afterAutospacing="1" w:line="240" w:lineRule="atLeast"/>
              <w:jc w:val="center"/>
              <w:rPr>
                <w:rFonts w:hint="eastAsia" w:ascii="宋体" w:hAnsi="宋体" w:cs="宋体"/>
                <w:color w:val="auto"/>
                <w:kern w:val="0"/>
                <w:szCs w:val="21"/>
                <w:highlight w:val="none"/>
              </w:rPr>
            </w:pPr>
          </w:p>
        </w:tc>
      </w:tr>
      <w:tr w14:paraId="505A6D56">
        <w:tblPrEx>
          <w:tblCellMar>
            <w:top w:w="0" w:type="dxa"/>
            <w:left w:w="0" w:type="dxa"/>
            <w:bottom w:w="0" w:type="dxa"/>
            <w:right w:w="0" w:type="dxa"/>
          </w:tblCellMar>
        </w:tblPrEx>
        <w:trPr>
          <w:trHeight w:val="641" w:hRule="atLeast"/>
          <w:jc w:val="center"/>
        </w:trPr>
        <w:tc>
          <w:tcPr>
            <w:tcW w:w="8445" w:type="dxa"/>
            <w:gridSpan w:val="9"/>
            <w:tcBorders>
              <w:top w:val="nil"/>
              <w:left w:val="single" w:color="auto" w:sz="8" w:space="0"/>
              <w:bottom w:val="single" w:color="auto" w:sz="8" w:space="0"/>
              <w:right w:val="single" w:color="auto" w:sz="8" w:space="0"/>
            </w:tcBorders>
            <w:vAlign w:val="center"/>
          </w:tcPr>
          <w:p w14:paraId="48647146">
            <w:pPr>
              <w:widowControl/>
              <w:snapToGrid w:val="0"/>
              <w:spacing w:before="100" w:beforeAutospacing="1" w:after="100" w:afterAutospacing="1" w:line="320" w:lineRule="atLeast"/>
              <w:ind w:firstLine="210" w:firstLineChars="1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合计大写金额：  仟  佰  拾  万  仟  佰  拾  元</w:t>
            </w:r>
          </w:p>
        </w:tc>
      </w:tr>
      <w:tr w14:paraId="06EBF483">
        <w:tblPrEx>
          <w:tblCellMar>
            <w:top w:w="0" w:type="dxa"/>
            <w:left w:w="0" w:type="dxa"/>
            <w:bottom w:w="0" w:type="dxa"/>
            <w:right w:w="0" w:type="dxa"/>
          </w:tblCellMar>
        </w:tblPrEx>
        <w:trPr>
          <w:trHeight w:val="641" w:hRule="atLeast"/>
          <w:jc w:val="center"/>
        </w:trPr>
        <w:tc>
          <w:tcPr>
            <w:tcW w:w="1629" w:type="dxa"/>
            <w:gridSpan w:val="2"/>
            <w:tcBorders>
              <w:top w:val="nil"/>
              <w:left w:val="single" w:color="auto" w:sz="8" w:space="0"/>
              <w:bottom w:val="single" w:color="auto" w:sz="8" w:space="0"/>
              <w:right w:val="single" w:color="auto" w:sz="8" w:space="0"/>
            </w:tcBorders>
            <w:vAlign w:val="center"/>
          </w:tcPr>
          <w:p w14:paraId="38214D17">
            <w:pPr>
              <w:widowControl/>
              <w:snapToGrid w:val="0"/>
              <w:spacing w:before="100" w:beforeAutospacing="1" w:after="100" w:afterAutospacing="1" w:line="320" w:lineRule="atLeast"/>
              <w:ind w:firstLine="2"/>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实际供货日期</w:t>
            </w:r>
          </w:p>
        </w:tc>
        <w:tc>
          <w:tcPr>
            <w:tcW w:w="2421" w:type="dxa"/>
            <w:gridSpan w:val="2"/>
            <w:tcBorders>
              <w:top w:val="nil"/>
              <w:left w:val="nil"/>
              <w:bottom w:val="single" w:color="auto" w:sz="8" w:space="0"/>
              <w:right w:val="single" w:color="auto" w:sz="8" w:space="0"/>
            </w:tcBorders>
            <w:vAlign w:val="center"/>
          </w:tcPr>
          <w:p w14:paraId="709744D1">
            <w:pPr>
              <w:widowControl/>
              <w:spacing w:before="100" w:beforeAutospacing="1" w:after="100" w:afterAutospacing="1" w:line="240" w:lineRule="atLeast"/>
              <w:jc w:val="center"/>
              <w:rPr>
                <w:rFonts w:hint="eastAsia" w:ascii="宋体" w:hAnsi="宋体" w:cs="宋体"/>
                <w:color w:val="auto"/>
                <w:kern w:val="0"/>
                <w:szCs w:val="21"/>
                <w:highlight w:val="none"/>
              </w:rPr>
            </w:pPr>
          </w:p>
        </w:tc>
        <w:tc>
          <w:tcPr>
            <w:tcW w:w="2282" w:type="dxa"/>
            <w:gridSpan w:val="3"/>
            <w:tcBorders>
              <w:top w:val="nil"/>
              <w:left w:val="nil"/>
              <w:bottom w:val="single" w:color="auto" w:sz="8" w:space="0"/>
              <w:right w:val="single" w:color="auto" w:sz="8" w:space="0"/>
            </w:tcBorders>
            <w:vAlign w:val="center"/>
          </w:tcPr>
          <w:p w14:paraId="7638017B">
            <w:pPr>
              <w:widowControl/>
              <w:snapToGrid w:val="0"/>
              <w:spacing w:before="100" w:beforeAutospacing="1" w:after="100" w:afterAutospacing="1" w:line="320" w:lineRule="atLeast"/>
              <w:ind w:firstLine="46"/>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合同交货验收日期</w:t>
            </w:r>
          </w:p>
        </w:tc>
        <w:tc>
          <w:tcPr>
            <w:tcW w:w="2113" w:type="dxa"/>
            <w:gridSpan w:val="2"/>
            <w:tcBorders>
              <w:top w:val="nil"/>
              <w:left w:val="nil"/>
              <w:bottom w:val="single" w:color="auto" w:sz="8" w:space="0"/>
              <w:right w:val="single" w:color="auto" w:sz="8" w:space="0"/>
            </w:tcBorders>
            <w:vAlign w:val="center"/>
          </w:tcPr>
          <w:p w14:paraId="5D9DB9C0">
            <w:pPr>
              <w:widowControl/>
              <w:spacing w:before="100" w:beforeAutospacing="1" w:after="100" w:afterAutospacing="1" w:line="240" w:lineRule="atLeast"/>
              <w:jc w:val="center"/>
              <w:rPr>
                <w:rFonts w:hint="eastAsia" w:ascii="宋体" w:hAnsi="宋体" w:cs="宋体"/>
                <w:color w:val="auto"/>
                <w:kern w:val="0"/>
                <w:szCs w:val="21"/>
                <w:highlight w:val="none"/>
              </w:rPr>
            </w:pPr>
          </w:p>
        </w:tc>
      </w:tr>
      <w:tr w14:paraId="45A1BEAF">
        <w:tblPrEx>
          <w:tblCellMar>
            <w:top w:w="0" w:type="dxa"/>
            <w:left w:w="0" w:type="dxa"/>
            <w:bottom w:w="0" w:type="dxa"/>
            <w:right w:w="0" w:type="dxa"/>
          </w:tblCellMar>
        </w:tblPrEx>
        <w:trPr>
          <w:trHeight w:val="394" w:hRule="atLeast"/>
          <w:jc w:val="center"/>
        </w:trPr>
        <w:tc>
          <w:tcPr>
            <w:tcW w:w="1629" w:type="dxa"/>
            <w:gridSpan w:val="2"/>
            <w:tcBorders>
              <w:top w:val="nil"/>
              <w:left w:val="single" w:color="auto" w:sz="8" w:space="0"/>
              <w:bottom w:val="single" w:color="auto" w:sz="8" w:space="0"/>
              <w:right w:val="single" w:color="auto" w:sz="8" w:space="0"/>
            </w:tcBorders>
            <w:vAlign w:val="center"/>
          </w:tcPr>
          <w:p w14:paraId="250FFF70">
            <w:pPr>
              <w:widowControl/>
              <w:spacing w:before="100" w:beforeAutospacing="1" w:after="100" w:afterAutospacing="1" w:line="240" w:lineRule="atLeast"/>
              <w:jc w:val="center"/>
              <w:rPr>
                <w:rFonts w:hint="eastAsia" w:ascii="宋体" w:hAnsi="宋体" w:cs="宋体"/>
                <w:color w:val="auto"/>
                <w:kern w:val="0"/>
                <w:szCs w:val="21"/>
                <w:highlight w:val="none"/>
              </w:rPr>
            </w:pPr>
          </w:p>
        </w:tc>
        <w:tc>
          <w:tcPr>
            <w:tcW w:w="2421" w:type="dxa"/>
            <w:gridSpan w:val="2"/>
            <w:tcBorders>
              <w:top w:val="nil"/>
              <w:left w:val="nil"/>
              <w:bottom w:val="single" w:color="auto" w:sz="8" w:space="0"/>
              <w:right w:val="single" w:color="auto" w:sz="8" w:space="0"/>
            </w:tcBorders>
            <w:vAlign w:val="center"/>
          </w:tcPr>
          <w:p w14:paraId="71C727DA">
            <w:pPr>
              <w:widowControl/>
              <w:spacing w:before="100" w:beforeAutospacing="1" w:after="100" w:afterAutospacing="1" w:line="240" w:lineRule="atLeast"/>
              <w:jc w:val="center"/>
              <w:rPr>
                <w:rFonts w:hint="eastAsia" w:ascii="宋体" w:hAnsi="宋体" w:cs="宋体"/>
                <w:color w:val="auto"/>
                <w:kern w:val="0"/>
                <w:szCs w:val="21"/>
                <w:highlight w:val="none"/>
              </w:rPr>
            </w:pPr>
          </w:p>
        </w:tc>
        <w:tc>
          <w:tcPr>
            <w:tcW w:w="2282" w:type="dxa"/>
            <w:gridSpan w:val="3"/>
            <w:tcBorders>
              <w:top w:val="nil"/>
              <w:left w:val="nil"/>
              <w:bottom w:val="single" w:color="auto" w:sz="8" w:space="0"/>
              <w:right w:val="single" w:color="auto" w:sz="8" w:space="0"/>
            </w:tcBorders>
            <w:vAlign w:val="center"/>
          </w:tcPr>
          <w:p w14:paraId="0050D0EF">
            <w:pPr>
              <w:widowControl/>
              <w:spacing w:before="100" w:beforeAutospacing="1" w:after="100" w:afterAutospacing="1" w:line="240" w:lineRule="atLeast"/>
              <w:jc w:val="center"/>
              <w:rPr>
                <w:rFonts w:hint="eastAsia" w:ascii="宋体" w:hAnsi="宋体" w:cs="宋体"/>
                <w:color w:val="auto"/>
                <w:kern w:val="0"/>
                <w:szCs w:val="21"/>
                <w:highlight w:val="none"/>
              </w:rPr>
            </w:pPr>
          </w:p>
        </w:tc>
        <w:tc>
          <w:tcPr>
            <w:tcW w:w="2113" w:type="dxa"/>
            <w:gridSpan w:val="2"/>
            <w:tcBorders>
              <w:top w:val="nil"/>
              <w:left w:val="nil"/>
              <w:bottom w:val="single" w:color="auto" w:sz="8" w:space="0"/>
              <w:right w:val="single" w:color="auto" w:sz="8" w:space="0"/>
            </w:tcBorders>
            <w:vAlign w:val="center"/>
          </w:tcPr>
          <w:p w14:paraId="376C0251">
            <w:pPr>
              <w:widowControl/>
              <w:spacing w:before="100" w:beforeAutospacing="1" w:after="100" w:afterAutospacing="1" w:line="240" w:lineRule="atLeast"/>
              <w:jc w:val="center"/>
              <w:rPr>
                <w:rFonts w:hint="eastAsia" w:ascii="宋体" w:hAnsi="宋体" w:cs="宋体"/>
                <w:color w:val="auto"/>
                <w:kern w:val="0"/>
                <w:szCs w:val="21"/>
                <w:highlight w:val="none"/>
              </w:rPr>
            </w:pPr>
          </w:p>
        </w:tc>
      </w:tr>
      <w:tr w14:paraId="41E15F02">
        <w:tblPrEx>
          <w:tblCellMar>
            <w:top w:w="0" w:type="dxa"/>
            <w:left w:w="0" w:type="dxa"/>
            <w:bottom w:w="0" w:type="dxa"/>
            <w:right w:w="0" w:type="dxa"/>
          </w:tblCellMar>
        </w:tblPrEx>
        <w:trPr>
          <w:trHeight w:val="693" w:hRule="atLeast"/>
          <w:jc w:val="center"/>
        </w:trPr>
        <w:tc>
          <w:tcPr>
            <w:tcW w:w="1629"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91D1EF5">
            <w:pPr>
              <w:widowControl/>
              <w:snapToGrid w:val="0"/>
              <w:spacing w:before="100" w:beforeAutospacing="1" w:after="100" w:afterAutospacing="1" w:line="320" w:lineRule="atLeas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验收具体内容</w:t>
            </w:r>
          </w:p>
        </w:tc>
        <w:tc>
          <w:tcPr>
            <w:tcW w:w="6816" w:type="dxa"/>
            <w:gridSpan w:val="7"/>
            <w:tcBorders>
              <w:top w:val="nil"/>
              <w:left w:val="nil"/>
              <w:bottom w:val="single" w:color="auto" w:sz="8" w:space="0"/>
              <w:right w:val="single" w:color="auto" w:sz="8" w:space="0"/>
            </w:tcBorders>
            <w:tcMar>
              <w:top w:w="0" w:type="dxa"/>
              <w:left w:w="108" w:type="dxa"/>
              <w:bottom w:w="0" w:type="dxa"/>
              <w:right w:w="108" w:type="dxa"/>
            </w:tcMar>
            <w:vAlign w:val="center"/>
          </w:tcPr>
          <w:p w14:paraId="1D397F9D">
            <w:pPr>
              <w:widowControl/>
              <w:snapToGrid w:val="0"/>
              <w:spacing w:before="100" w:beforeAutospacing="1" w:after="100" w:afterAutospacing="1" w:line="320" w:lineRule="atLeas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应按采购合同、竞争性磋商文件、磋商响应文件及验收方案等进行验收；并核对成交供应商在安装调试等方面是否违反合同约定或服务规范要求、提供的质量保证证明材料是否齐全、应有的配件及附件是否达到合同约定等。可附件）</w:t>
            </w:r>
          </w:p>
        </w:tc>
      </w:tr>
      <w:tr w14:paraId="2991AB4A">
        <w:tblPrEx>
          <w:tblCellMar>
            <w:top w:w="0" w:type="dxa"/>
            <w:left w:w="0" w:type="dxa"/>
            <w:bottom w:w="0" w:type="dxa"/>
            <w:right w:w="0" w:type="dxa"/>
          </w:tblCellMar>
        </w:tblPrEx>
        <w:trPr>
          <w:trHeight w:val="1281" w:hRule="atLeast"/>
          <w:jc w:val="center"/>
        </w:trPr>
        <w:tc>
          <w:tcPr>
            <w:tcW w:w="1629" w:type="dxa"/>
            <w:gridSpan w:val="2"/>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E06B9AC">
            <w:pPr>
              <w:widowControl/>
              <w:spacing w:before="100" w:beforeAutospacing="1" w:after="100" w:afterAutospacing="1" w:line="320" w:lineRule="atLeas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验收小组意见</w:t>
            </w:r>
          </w:p>
        </w:tc>
        <w:tc>
          <w:tcPr>
            <w:tcW w:w="6816" w:type="dxa"/>
            <w:gridSpan w:val="7"/>
            <w:tcBorders>
              <w:top w:val="nil"/>
              <w:left w:val="nil"/>
              <w:bottom w:val="single" w:color="auto" w:sz="8" w:space="0"/>
              <w:right w:val="single" w:color="auto" w:sz="8" w:space="0"/>
            </w:tcBorders>
            <w:vAlign w:val="center"/>
          </w:tcPr>
          <w:p w14:paraId="630DF58A">
            <w:pPr>
              <w:widowControl/>
              <w:spacing w:before="100" w:beforeAutospacing="1" w:after="100" w:afterAutospacing="1" w:line="320" w:lineRule="atLeast"/>
              <w:ind w:firstLine="210" w:firstLineChars="1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验收结论性意见：</w:t>
            </w:r>
          </w:p>
        </w:tc>
      </w:tr>
      <w:tr w14:paraId="6DA29FFB">
        <w:tblPrEx>
          <w:tblCellMar>
            <w:top w:w="0" w:type="dxa"/>
            <w:left w:w="0" w:type="dxa"/>
            <w:bottom w:w="0" w:type="dxa"/>
            <w:right w:w="0" w:type="dxa"/>
          </w:tblCellMar>
        </w:tblPrEx>
        <w:trPr>
          <w:trHeight w:val="607" w:hRule="atLeast"/>
          <w:jc w:val="center"/>
        </w:trPr>
        <w:tc>
          <w:tcPr>
            <w:tcW w:w="600" w:type="dxa"/>
            <w:gridSpan w:val="2"/>
            <w:vMerge w:val="continue"/>
            <w:tcBorders>
              <w:top w:val="nil"/>
              <w:left w:val="single" w:color="auto" w:sz="8" w:space="0"/>
              <w:bottom w:val="single" w:color="auto" w:sz="8" w:space="0"/>
              <w:right w:val="single" w:color="auto" w:sz="8" w:space="0"/>
            </w:tcBorders>
            <w:vAlign w:val="center"/>
          </w:tcPr>
          <w:p w14:paraId="54650EE6">
            <w:pPr>
              <w:widowControl/>
              <w:jc w:val="left"/>
              <w:rPr>
                <w:rFonts w:hint="eastAsia" w:ascii="宋体" w:hAnsi="宋体" w:cs="宋体"/>
                <w:color w:val="auto"/>
                <w:kern w:val="0"/>
                <w:szCs w:val="21"/>
                <w:highlight w:val="none"/>
              </w:rPr>
            </w:pPr>
          </w:p>
        </w:tc>
        <w:tc>
          <w:tcPr>
            <w:tcW w:w="6816" w:type="dxa"/>
            <w:gridSpan w:val="7"/>
            <w:tcBorders>
              <w:top w:val="nil"/>
              <w:left w:val="nil"/>
              <w:bottom w:val="single" w:color="auto" w:sz="8" w:space="0"/>
              <w:right w:val="single" w:color="auto" w:sz="8" w:space="0"/>
            </w:tcBorders>
            <w:vAlign w:val="center"/>
          </w:tcPr>
          <w:p w14:paraId="43F95F4D">
            <w:pPr>
              <w:widowControl/>
              <w:spacing w:before="100" w:beforeAutospacing="1" w:after="100" w:afterAutospacing="1" w:line="320" w:lineRule="atLeast"/>
              <w:ind w:firstLine="210" w:firstLineChars="1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有异议的意见和说明理由：</w:t>
            </w:r>
          </w:p>
          <w:p w14:paraId="50C9ED54">
            <w:pPr>
              <w:widowControl/>
              <w:spacing w:before="100" w:beforeAutospacing="1" w:after="100" w:afterAutospacing="1" w:line="320" w:lineRule="atLeast"/>
              <w:ind w:firstLine="210" w:firstLineChars="1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签字：</w:t>
            </w:r>
          </w:p>
        </w:tc>
      </w:tr>
      <w:tr w14:paraId="42D07F4E">
        <w:tblPrEx>
          <w:tblCellMar>
            <w:top w:w="0" w:type="dxa"/>
            <w:left w:w="0" w:type="dxa"/>
            <w:bottom w:w="0" w:type="dxa"/>
            <w:right w:w="0" w:type="dxa"/>
          </w:tblCellMar>
        </w:tblPrEx>
        <w:trPr>
          <w:trHeight w:val="507" w:hRule="atLeast"/>
          <w:jc w:val="center"/>
        </w:trPr>
        <w:tc>
          <w:tcPr>
            <w:tcW w:w="8445" w:type="dxa"/>
            <w:gridSpan w:val="9"/>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2E052AD">
            <w:pPr>
              <w:widowControl/>
              <w:spacing w:before="100" w:beforeAutospacing="1" w:after="100" w:afterAutospacing="1" w:line="320" w:lineRule="atLeas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验收小组成员签字：</w:t>
            </w:r>
          </w:p>
        </w:tc>
      </w:tr>
      <w:tr w14:paraId="1930E000">
        <w:tblPrEx>
          <w:tblCellMar>
            <w:top w:w="0" w:type="dxa"/>
            <w:left w:w="0" w:type="dxa"/>
            <w:bottom w:w="0" w:type="dxa"/>
            <w:right w:w="0" w:type="dxa"/>
          </w:tblCellMar>
        </w:tblPrEx>
        <w:trPr>
          <w:trHeight w:val="736" w:hRule="atLeast"/>
          <w:jc w:val="center"/>
        </w:trPr>
        <w:tc>
          <w:tcPr>
            <w:tcW w:w="8445" w:type="dxa"/>
            <w:gridSpan w:val="9"/>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3B09F9D">
            <w:pPr>
              <w:widowControl/>
              <w:spacing w:before="100" w:beforeAutospacing="1" w:after="100" w:afterAutospacing="1" w:line="320" w:lineRule="atLeas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监督人员或其他相关人员签字：</w:t>
            </w:r>
          </w:p>
          <w:p w14:paraId="39E8206E">
            <w:pPr>
              <w:widowControl/>
              <w:spacing w:before="100" w:beforeAutospacing="1" w:after="100" w:afterAutospacing="1" w:line="320" w:lineRule="atLeast"/>
              <w:ind w:firstLine="74"/>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或受邀机构的意见（盖章）：</w:t>
            </w:r>
          </w:p>
        </w:tc>
      </w:tr>
      <w:tr w14:paraId="640137EC">
        <w:tblPrEx>
          <w:tblCellMar>
            <w:top w:w="0" w:type="dxa"/>
            <w:left w:w="0" w:type="dxa"/>
            <w:bottom w:w="0" w:type="dxa"/>
            <w:right w:w="0" w:type="dxa"/>
          </w:tblCellMar>
        </w:tblPrEx>
        <w:trPr>
          <w:trHeight w:val="758" w:hRule="atLeast"/>
          <w:jc w:val="center"/>
        </w:trPr>
        <w:tc>
          <w:tcPr>
            <w:tcW w:w="4152" w:type="dxa"/>
            <w:gridSpan w:val="5"/>
            <w:tcBorders>
              <w:top w:val="nil"/>
              <w:left w:val="single" w:color="auto" w:sz="8" w:space="0"/>
              <w:bottom w:val="single" w:color="auto" w:sz="8" w:space="0"/>
              <w:right w:val="nil"/>
            </w:tcBorders>
            <w:tcMar>
              <w:top w:w="0" w:type="dxa"/>
              <w:left w:w="108" w:type="dxa"/>
              <w:bottom w:w="0" w:type="dxa"/>
              <w:right w:w="108" w:type="dxa"/>
            </w:tcMar>
            <w:vAlign w:val="center"/>
          </w:tcPr>
          <w:p w14:paraId="030E10C8">
            <w:pPr>
              <w:widowControl/>
              <w:spacing w:before="100" w:beforeAutospacing="1" w:after="100" w:afterAutospacing="1" w:line="320" w:lineRule="atLeas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成交供应商负责人签字或盖章：</w:t>
            </w:r>
          </w:p>
          <w:p w14:paraId="4DA685A6">
            <w:pPr>
              <w:widowControl/>
              <w:spacing w:before="100" w:beforeAutospacing="1" w:after="100" w:afterAutospacing="1" w:line="320" w:lineRule="atLeast"/>
              <w:jc w:val="left"/>
              <w:rPr>
                <w:rFonts w:hint="eastAsia" w:ascii="宋体" w:hAnsi="宋体" w:cs="宋体"/>
                <w:color w:val="auto"/>
                <w:kern w:val="0"/>
                <w:szCs w:val="21"/>
                <w:highlight w:val="none"/>
              </w:rPr>
            </w:pPr>
          </w:p>
          <w:p w14:paraId="0862059B">
            <w:pPr>
              <w:widowControl/>
              <w:spacing w:before="100" w:beforeAutospacing="1" w:after="100" w:afterAutospacing="1" w:line="320" w:lineRule="atLeas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联系电话：                年  月  日</w:t>
            </w:r>
          </w:p>
        </w:tc>
        <w:tc>
          <w:tcPr>
            <w:tcW w:w="4293" w:type="dxa"/>
            <w:gridSpan w:val="4"/>
            <w:tcBorders>
              <w:top w:val="nil"/>
              <w:left w:val="nil"/>
              <w:bottom w:val="single" w:color="auto" w:sz="8" w:space="0"/>
              <w:right w:val="single" w:color="auto" w:sz="8" w:space="0"/>
            </w:tcBorders>
            <w:vAlign w:val="center"/>
          </w:tcPr>
          <w:p w14:paraId="337DBCB0">
            <w:pPr>
              <w:widowControl/>
              <w:spacing w:before="100" w:beforeAutospacing="1" w:after="100" w:afterAutospacing="1" w:line="320" w:lineRule="atLeast"/>
              <w:ind w:firstLine="210" w:firstLineChars="1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采购人或受托机构的意见（盖章）：</w:t>
            </w:r>
          </w:p>
          <w:p w14:paraId="79BC7A4F">
            <w:pPr>
              <w:widowControl/>
              <w:spacing w:before="100" w:beforeAutospacing="1" w:after="100" w:afterAutospacing="1" w:line="320" w:lineRule="atLeast"/>
              <w:ind w:firstLine="210" w:firstLineChars="100"/>
              <w:jc w:val="left"/>
              <w:rPr>
                <w:rFonts w:hint="eastAsia" w:ascii="宋体" w:hAnsi="宋体" w:cs="宋体"/>
                <w:color w:val="auto"/>
                <w:kern w:val="0"/>
                <w:szCs w:val="21"/>
                <w:highlight w:val="none"/>
              </w:rPr>
            </w:pPr>
          </w:p>
          <w:p w14:paraId="4EAD28C0">
            <w:pPr>
              <w:widowControl/>
              <w:spacing w:before="100" w:beforeAutospacing="1" w:after="100" w:afterAutospacing="1" w:line="320" w:lineRule="atLeast"/>
              <w:ind w:firstLine="210" w:firstLineChars="1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联系电话：                  年  月  日</w:t>
            </w:r>
          </w:p>
        </w:tc>
      </w:tr>
    </w:tbl>
    <w:p w14:paraId="1DCB4156">
      <w:pPr>
        <w:spacing w:line="360" w:lineRule="auto"/>
        <w:contextualSpacing/>
        <w:rPr>
          <w:rFonts w:hint="eastAsia" w:ascii="宋体" w:hAnsi="宋体" w:cs="仿宋_GB2312"/>
          <w:color w:val="auto"/>
          <w:sz w:val="24"/>
          <w:highlight w:val="none"/>
        </w:rPr>
      </w:pPr>
    </w:p>
    <w:p w14:paraId="1996499A">
      <w:pPr>
        <w:spacing w:line="360" w:lineRule="auto"/>
        <w:jc w:val="center"/>
        <w:rPr>
          <w:rFonts w:hint="eastAsia" w:ascii="宋体" w:hAnsi="宋体" w:cs="仿宋_GB2312"/>
          <w:color w:val="auto"/>
          <w:sz w:val="24"/>
          <w:highlight w:val="none"/>
        </w:rPr>
      </w:pPr>
      <w:r>
        <w:rPr>
          <w:rFonts w:ascii="宋体" w:hAnsi="宋体" w:cs="仿宋_GB2312"/>
          <w:color w:val="auto"/>
          <w:sz w:val="24"/>
          <w:highlight w:val="none"/>
        </w:rPr>
        <w:br w:type="page"/>
      </w:r>
    </w:p>
    <w:p w14:paraId="359245C1">
      <w:pPr>
        <w:spacing w:line="360" w:lineRule="auto"/>
        <w:jc w:val="center"/>
        <w:rPr>
          <w:rFonts w:hint="eastAsia" w:ascii="宋体" w:hAnsi="宋体"/>
          <w:b/>
          <w:bCs/>
          <w:color w:val="auto"/>
          <w:sz w:val="32"/>
          <w:szCs w:val="32"/>
          <w:highlight w:val="none"/>
        </w:rPr>
      </w:pPr>
      <w:r>
        <w:rPr>
          <w:rFonts w:hint="eastAsia" w:ascii="方正小标宋简体" w:hAnsi="方正小标宋简体" w:eastAsia="方正小标宋简体" w:cs="方正小标宋简体"/>
          <w:color w:val="auto"/>
          <w:sz w:val="44"/>
          <w:szCs w:val="44"/>
          <w:highlight w:val="none"/>
        </w:rPr>
        <w:t>质疑函（格式）</w:t>
      </w:r>
    </w:p>
    <w:p w14:paraId="478AC86B">
      <w:pPr>
        <w:pStyle w:val="27"/>
        <w:spacing w:line="360" w:lineRule="auto"/>
        <w:ind w:firstLine="482" w:firstLineChars="200"/>
        <w:contextualSpacing/>
        <w:rPr>
          <w:rFonts w:hint="eastAsia" w:hAnsi="宋体"/>
          <w:b/>
          <w:bCs/>
          <w:color w:val="auto"/>
          <w:sz w:val="24"/>
          <w:szCs w:val="24"/>
          <w:highlight w:val="none"/>
        </w:rPr>
      </w:pPr>
      <w:r>
        <w:rPr>
          <w:rFonts w:hint="eastAsia" w:hAnsi="宋体"/>
          <w:b/>
          <w:bCs/>
          <w:color w:val="auto"/>
          <w:sz w:val="24"/>
          <w:szCs w:val="24"/>
          <w:highlight w:val="none"/>
        </w:rPr>
        <w:t>一、质疑供应商基本信息：</w:t>
      </w:r>
    </w:p>
    <w:p w14:paraId="32377967">
      <w:pPr>
        <w:pStyle w:val="27"/>
        <w:spacing w:line="360" w:lineRule="auto"/>
        <w:ind w:firstLine="480" w:firstLineChars="200"/>
        <w:contextualSpacing/>
        <w:rPr>
          <w:rFonts w:hint="eastAsia" w:hAnsi="宋体"/>
          <w:bCs/>
          <w:color w:val="auto"/>
          <w:sz w:val="24"/>
          <w:szCs w:val="24"/>
          <w:highlight w:val="none"/>
          <w:u w:val="single"/>
        </w:rPr>
      </w:pPr>
      <w:r>
        <w:rPr>
          <w:rFonts w:hint="eastAsia" w:hAnsi="宋体"/>
          <w:bCs/>
          <w:color w:val="auto"/>
          <w:sz w:val="24"/>
          <w:szCs w:val="24"/>
          <w:highlight w:val="none"/>
        </w:rPr>
        <w:t>质疑供应商：</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153937AB">
      <w:pPr>
        <w:pStyle w:val="27"/>
        <w:spacing w:line="360" w:lineRule="auto"/>
        <w:ind w:firstLine="480" w:firstLineChars="200"/>
        <w:contextualSpacing/>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4F194707">
      <w:pPr>
        <w:pStyle w:val="27"/>
        <w:spacing w:line="360" w:lineRule="auto"/>
        <w:ind w:firstLine="480" w:firstLineChars="200"/>
        <w:contextualSpacing/>
        <w:rPr>
          <w:rFonts w:hint="eastAsia" w:hAnsi="宋体"/>
          <w:bCs/>
          <w:color w:val="auto"/>
          <w:sz w:val="24"/>
          <w:szCs w:val="24"/>
          <w:highlight w:val="none"/>
        </w:rPr>
      </w:pPr>
      <w:r>
        <w:rPr>
          <w:rFonts w:hAnsi="宋体"/>
          <w:bCs/>
          <w:color w:val="auto"/>
          <w:sz w:val="24"/>
          <w:szCs w:val="24"/>
          <w:highlight w:val="none"/>
        </w:rPr>
        <w:t>联系人</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联系电话</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17C6C252">
      <w:pPr>
        <w:pStyle w:val="27"/>
        <w:spacing w:line="360" w:lineRule="auto"/>
        <w:ind w:firstLine="480" w:firstLineChars="200"/>
        <w:contextualSpacing/>
        <w:rPr>
          <w:rFonts w:hint="eastAsia" w:hAnsi="宋体"/>
          <w:bCs/>
          <w:color w:val="auto"/>
          <w:sz w:val="24"/>
          <w:szCs w:val="24"/>
          <w:highlight w:val="non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p>
    <w:p w14:paraId="3F19710C">
      <w:pPr>
        <w:pStyle w:val="27"/>
        <w:spacing w:line="360" w:lineRule="auto"/>
        <w:ind w:firstLine="480" w:firstLineChars="200"/>
        <w:contextualSpacing/>
        <w:rPr>
          <w:rFonts w:hint="eastAsia" w:hAnsi="宋体"/>
          <w:bCs/>
          <w:color w:val="auto"/>
          <w:sz w:val="24"/>
          <w:szCs w:val="24"/>
          <w:highlight w:val="none"/>
          <w:u w:val="single"/>
        </w:rPr>
      </w:pP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4E12A81C">
      <w:pPr>
        <w:pStyle w:val="27"/>
        <w:spacing w:line="360" w:lineRule="auto"/>
        <w:ind w:firstLine="480" w:firstLineChars="200"/>
        <w:contextualSpacing/>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3CC81057">
      <w:pPr>
        <w:pStyle w:val="27"/>
        <w:spacing w:line="360" w:lineRule="auto"/>
        <w:ind w:firstLine="482" w:firstLineChars="200"/>
        <w:contextualSpacing/>
        <w:rPr>
          <w:rFonts w:hint="eastAsia" w:hAnsi="宋体"/>
          <w:b/>
          <w:bCs/>
          <w:color w:val="auto"/>
          <w:sz w:val="24"/>
          <w:szCs w:val="24"/>
          <w:highlight w:val="none"/>
        </w:rPr>
      </w:pPr>
      <w:r>
        <w:rPr>
          <w:rFonts w:hint="eastAsia" w:hAnsi="宋体"/>
          <w:b/>
          <w:bCs/>
          <w:color w:val="auto"/>
          <w:sz w:val="24"/>
          <w:szCs w:val="24"/>
          <w:highlight w:val="none"/>
        </w:rPr>
        <w:t>二、质疑项目基本情况：</w:t>
      </w:r>
    </w:p>
    <w:p w14:paraId="6227AF19">
      <w:pPr>
        <w:pStyle w:val="27"/>
        <w:spacing w:line="360" w:lineRule="auto"/>
        <w:ind w:left="25" w:leftChars="12" w:firstLine="472" w:firstLineChars="197"/>
        <w:contextualSpacing/>
        <w:rPr>
          <w:rFonts w:hint="eastAsia"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项目的名称：</w:t>
      </w:r>
      <w:r>
        <w:rPr>
          <w:rFonts w:hint="eastAsia" w:hAnsi="宋体"/>
          <w:bCs/>
          <w:color w:val="auto"/>
          <w:sz w:val="24"/>
          <w:szCs w:val="24"/>
          <w:highlight w:val="none"/>
          <w:u w:val="single"/>
        </w:rPr>
        <w:t xml:space="preserve">                                     </w:t>
      </w:r>
    </w:p>
    <w:p w14:paraId="27753597">
      <w:pPr>
        <w:pStyle w:val="27"/>
        <w:spacing w:line="360" w:lineRule="auto"/>
        <w:ind w:left="25" w:leftChars="12" w:firstLine="472" w:firstLineChars="197"/>
        <w:contextualSpacing/>
        <w:rPr>
          <w:rFonts w:hint="eastAsia"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项目的编号：</w:t>
      </w:r>
      <w:r>
        <w:rPr>
          <w:rFonts w:hint="eastAsia" w:hAnsi="宋体"/>
          <w:bCs/>
          <w:color w:val="auto"/>
          <w:sz w:val="24"/>
          <w:szCs w:val="24"/>
          <w:highlight w:val="none"/>
          <w:u w:val="single"/>
        </w:rPr>
        <w:t xml:space="preserve">                                     </w:t>
      </w:r>
    </w:p>
    <w:p w14:paraId="56959DB9">
      <w:pPr>
        <w:pStyle w:val="27"/>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p>
    <w:p w14:paraId="44D0A111">
      <w:pPr>
        <w:pStyle w:val="27"/>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质疑事项：</w:t>
      </w:r>
    </w:p>
    <w:p w14:paraId="12BFE15F">
      <w:pPr>
        <w:pStyle w:val="27"/>
        <w:spacing w:line="360" w:lineRule="auto"/>
        <w:ind w:left="25" w:leftChars="12" w:firstLine="352" w:firstLineChars="147"/>
        <w:contextualSpacing/>
        <w:rPr>
          <w:rFonts w:hint="eastAsia" w:hAnsi="宋体"/>
          <w:color w:val="auto"/>
          <w:sz w:val="24"/>
          <w:szCs w:val="24"/>
          <w:highlight w:val="none"/>
        </w:rPr>
      </w:pPr>
      <w:r>
        <w:rPr>
          <w:rFonts w:hint="eastAsia" w:hAnsi="宋体"/>
          <w:color w:val="auto"/>
          <w:sz w:val="24"/>
          <w:szCs w:val="24"/>
          <w:highlight w:val="none"/>
        </w:rPr>
        <w:t>□采购文件   采购文件获取日期：</w:t>
      </w:r>
      <w:r>
        <w:rPr>
          <w:rFonts w:hint="eastAsia" w:hAnsi="宋体"/>
          <w:bCs/>
          <w:color w:val="auto"/>
          <w:sz w:val="24"/>
          <w:szCs w:val="24"/>
          <w:highlight w:val="none"/>
          <w:u w:val="single"/>
        </w:rPr>
        <w:t xml:space="preserve">                                   </w:t>
      </w:r>
    </w:p>
    <w:p w14:paraId="6635A4F8">
      <w:pPr>
        <w:pStyle w:val="27"/>
        <w:spacing w:line="360" w:lineRule="auto"/>
        <w:ind w:left="25" w:leftChars="12" w:firstLine="352" w:firstLineChars="147"/>
        <w:contextualSpacing/>
        <w:rPr>
          <w:rFonts w:hint="eastAsia" w:hAnsi="宋体"/>
          <w:color w:val="auto"/>
          <w:sz w:val="24"/>
          <w:szCs w:val="24"/>
          <w:highlight w:val="none"/>
        </w:rPr>
      </w:pPr>
      <w:r>
        <w:rPr>
          <w:rFonts w:hint="eastAsia" w:hAnsi="宋体"/>
          <w:color w:val="auto"/>
          <w:sz w:val="24"/>
          <w:szCs w:val="24"/>
          <w:highlight w:val="none"/>
        </w:rPr>
        <w:t xml:space="preserve">□采购过程   </w:t>
      </w:r>
    </w:p>
    <w:p w14:paraId="3306A56C">
      <w:pPr>
        <w:pStyle w:val="27"/>
        <w:spacing w:line="360" w:lineRule="auto"/>
        <w:ind w:left="25" w:leftChars="12" w:firstLine="352" w:firstLineChars="147"/>
        <w:contextualSpacing/>
        <w:rPr>
          <w:rFonts w:hint="eastAsia" w:hAnsi="宋体"/>
          <w:bCs/>
          <w:color w:val="auto"/>
          <w:sz w:val="24"/>
          <w:szCs w:val="24"/>
          <w:highlight w:val="none"/>
          <w:u w:val="single"/>
        </w:rPr>
      </w:pPr>
      <w:r>
        <w:rPr>
          <w:rFonts w:hint="eastAsia" w:hAnsi="宋体"/>
          <w:color w:val="auto"/>
          <w:sz w:val="24"/>
          <w:szCs w:val="24"/>
          <w:highlight w:val="none"/>
        </w:rPr>
        <w:t xml:space="preserve">□成交结果   </w:t>
      </w:r>
    </w:p>
    <w:p w14:paraId="2104E638">
      <w:pPr>
        <w:pStyle w:val="27"/>
        <w:spacing w:line="360" w:lineRule="auto"/>
        <w:ind w:left="25" w:leftChars="12" w:firstLine="472" w:firstLineChars="196"/>
        <w:contextualSpacing/>
        <w:rPr>
          <w:rFonts w:hint="eastAsia" w:hAnsi="宋体"/>
          <w:b/>
          <w:color w:val="auto"/>
          <w:sz w:val="24"/>
          <w:szCs w:val="24"/>
          <w:highlight w:val="none"/>
        </w:rPr>
      </w:pPr>
      <w:r>
        <w:rPr>
          <w:rFonts w:hint="eastAsia" w:hAnsi="宋体"/>
          <w:b/>
          <w:color w:val="auto"/>
          <w:sz w:val="24"/>
          <w:szCs w:val="24"/>
          <w:highlight w:val="none"/>
        </w:rPr>
        <w:t>三、质疑事项具体内容</w:t>
      </w:r>
    </w:p>
    <w:p w14:paraId="5400BED8">
      <w:pPr>
        <w:pStyle w:val="27"/>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质疑事项1：</w:t>
      </w:r>
      <w:r>
        <w:rPr>
          <w:rFonts w:hint="eastAsia" w:hAnsi="宋体"/>
          <w:bCs/>
          <w:color w:val="auto"/>
          <w:sz w:val="24"/>
          <w:szCs w:val="24"/>
          <w:highlight w:val="none"/>
          <w:u w:val="single"/>
        </w:rPr>
        <w:t xml:space="preserve">                                                                    </w:t>
      </w:r>
    </w:p>
    <w:p w14:paraId="3BA64FC4">
      <w:pPr>
        <w:pStyle w:val="27"/>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事实依据：</w:t>
      </w:r>
      <w:r>
        <w:rPr>
          <w:rFonts w:hint="eastAsia" w:hAnsi="宋体"/>
          <w:bCs/>
          <w:color w:val="auto"/>
          <w:sz w:val="24"/>
          <w:szCs w:val="24"/>
          <w:highlight w:val="none"/>
          <w:u w:val="single"/>
        </w:rPr>
        <w:t xml:space="preserve">                                                                      </w:t>
      </w:r>
    </w:p>
    <w:p w14:paraId="764EF03C">
      <w:pPr>
        <w:pStyle w:val="27"/>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法律依据：</w:t>
      </w:r>
      <w:r>
        <w:rPr>
          <w:rFonts w:hint="eastAsia" w:hAnsi="宋体"/>
          <w:color w:val="auto"/>
          <w:sz w:val="24"/>
          <w:szCs w:val="24"/>
          <w:highlight w:val="none"/>
          <w:u w:val="single"/>
        </w:rPr>
        <w:t xml:space="preserve">                                                        </w:t>
      </w:r>
      <w:r>
        <w:rPr>
          <w:rFonts w:hint="eastAsia" w:hAnsi="宋体"/>
          <w:bCs/>
          <w:color w:val="auto"/>
          <w:sz w:val="24"/>
          <w:szCs w:val="24"/>
          <w:highlight w:val="none"/>
          <w:u w:val="single"/>
        </w:rPr>
        <w:t xml:space="preserve">               </w:t>
      </w:r>
    </w:p>
    <w:p w14:paraId="4D632C6D">
      <w:pPr>
        <w:pStyle w:val="27"/>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质疑事项2</w:t>
      </w:r>
    </w:p>
    <w:p w14:paraId="70AC2A89">
      <w:pPr>
        <w:pStyle w:val="27"/>
        <w:spacing w:line="360" w:lineRule="auto"/>
        <w:ind w:left="25" w:leftChars="12" w:firstLine="472" w:firstLineChars="197"/>
        <w:contextualSpacing/>
        <w:rPr>
          <w:rFonts w:hint="eastAsia" w:hAnsi="宋体"/>
          <w:color w:val="auto"/>
          <w:sz w:val="24"/>
          <w:szCs w:val="24"/>
          <w:highlight w:val="none"/>
        </w:rPr>
      </w:pPr>
      <w:r>
        <w:rPr>
          <w:rFonts w:hAnsi="宋体"/>
          <w:color w:val="auto"/>
          <w:sz w:val="24"/>
          <w:szCs w:val="24"/>
          <w:highlight w:val="none"/>
        </w:rPr>
        <w:t>……</w:t>
      </w:r>
    </w:p>
    <w:p w14:paraId="17E8BAEA">
      <w:pPr>
        <w:pStyle w:val="27"/>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四、与质疑事项相关的质疑请求：</w:t>
      </w:r>
    </w:p>
    <w:p w14:paraId="56576146">
      <w:pPr>
        <w:pStyle w:val="27"/>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14:paraId="713B9218">
      <w:pPr>
        <w:pStyle w:val="27"/>
        <w:spacing w:line="360" w:lineRule="auto"/>
        <w:ind w:left="25" w:leftChars="12" w:firstLine="352" w:firstLineChars="147"/>
        <w:contextualSpacing/>
        <w:rPr>
          <w:rFonts w:hint="eastAsia" w:hAnsi="宋体"/>
          <w:color w:val="auto"/>
          <w:sz w:val="24"/>
          <w:szCs w:val="24"/>
          <w:highlight w:val="none"/>
        </w:rPr>
      </w:pPr>
    </w:p>
    <w:p w14:paraId="1560907E">
      <w:pPr>
        <w:pStyle w:val="27"/>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签字（签章）：                                       公章：</w:t>
      </w:r>
    </w:p>
    <w:p w14:paraId="3493E94C">
      <w:pPr>
        <w:pStyle w:val="27"/>
        <w:spacing w:line="360" w:lineRule="auto"/>
        <w:ind w:firstLine="480" w:firstLineChars="200"/>
        <w:contextualSpacing/>
        <w:rPr>
          <w:rFonts w:hint="eastAsia" w:hAnsi="宋体"/>
          <w:b/>
          <w:color w:val="auto"/>
          <w:sz w:val="24"/>
          <w:szCs w:val="24"/>
          <w:highlight w:val="none"/>
        </w:rPr>
      </w:pPr>
      <w:r>
        <w:rPr>
          <w:rFonts w:hint="eastAsia" w:hAnsi="宋体"/>
          <w:color w:val="auto"/>
          <w:sz w:val="24"/>
          <w:szCs w:val="24"/>
          <w:highlight w:val="none"/>
        </w:rPr>
        <w:t>日期：</w:t>
      </w:r>
    </w:p>
    <w:p w14:paraId="2969D2F1">
      <w:pPr>
        <w:pStyle w:val="27"/>
        <w:spacing w:line="360" w:lineRule="auto"/>
        <w:contextualSpacing/>
        <w:rPr>
          <w:rFonts w:hint="eastAsia" w:hAnsi="宋体"/>
          <w:b/>
          <w:color w:val="auto"/>
          <w:sz w:val="24"/>
          <w:szCs w:val="24"/>
          <w:highlight w:val="none"/>
        </w:rPr>
      </w:pPr>
      <w:r>
        <w:rPr>
          <w:rFonts w:hint="eastAsia" w:hAnsi="宋体"/>
          <w:b/>
          <w:color w:val="auto"/>
          <w:sz w:val="24"/>
          <w:szCs w:val="24"/>
          <w:highlight w:val="none"/>
        </w:rPr>
        <w:t>说明：</w:t>
      </w:r>
    </w:p>
    <w:p w14:paraId="5BCE2238">
      <w:pPr>
        <w:pStyle w:val="27"/>
        <w:spacing w:line="360" w:lineRule="auto"/>
        <w:ind w:left="25" w:leftChars="12" w:firstLine="354" w:firstLineChars="147"/>
        <w:contextualSpacing/>
        <w:rPr>
          <w:rFonts w:hint="eastAsia" w:hAnsi="宋体"/>
          <w:b/>
          <w:bCs/>
          <w:color w:val="auto"/>
          <w:sz w:val="24"/>
          <w:szCs w:val="24"/>
          <w:highlight w:val="none"/>
        </w:rPr>
      </w:pPr>
      <w:r>
        <w:rPr>
          <w:rFonts w:hint="eastAsia" w:hAnsi="宋体"/>
          <w:b/>
          <w:color w:val="auto"/>
          <w:sz w:val="24"/>
          <w:szCs w:val="24"/>
          <w:highlight w:val="none"/>
        </w:rPr>
        <w:t>1.供应商提出质疑时，应提交质疑函和必要的证明材料</w:t>
      </w:r>
      <w:r>
        <w:rPr>
          <w:rFonts w:hint="eastAsia" w:hAnsi="宋体"/>
          <w:b/>
          <w:bCs/>
          <w:color w:val="auto"/>
          <w:sz w:val="24"/>
          <w:szCs w:val="24"/>
          <w:highlight w:val="none"/>
        </w:rPr>
        <w:t>。</w:t>
      </w:r>
    </w:p>
    <w:p w14:paraId="0E03A0CE">
      <w:pPr>
        <w:pStyle w:val="27"/>
        <w:spacing w:line="360" w:lineRule="auto"/>
        <w:ind w:left="25" w:leftChars="12" w:firstLine="354" w:firstLineChars="147"/>
        <w:contextualSpacing/>
        <w:rPr>
          <w:rFonts w:hint="eastAsia" w:hAnsi="宋体"/>
          <w:b/>
          <w:color w:val="auto"/>
          <w:sz w:val="24"/>
          <w:szCs w:val="24"/>
          <w:highlight w:val="none"/>
        </w:rPr>
      </w:pPr>
      <w:r>
        <w:rPr>
          <w:rFonts w:hint="eastAsia" w:hAnsi="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3C3CA5E0">
      <w:pPr>
        <w:pStyle w:val="27"/>
        <w:spacing w:line="360" w:lineRule="auto"/>
        <w:ind w:left="25" w:leftChars="12" w:firstLine="354" w:firstLineChars="147"/>
        <w:contextualSpacing/>
        <w:rPr>
          <w:rFonts w:hint="eastAsia" w:hAnsi="宋体"/>
          <w:b/>
          <w:color w:val="auto"/>
          <w:sz w:val="24"/>
          <w:szCs w:val="24"/>
          <w:highlight w:val="none"/>
        </w:rPr>
      </w:pPr>
      <w:r>
        <w:rPr>
          <w:rFonts w:hint="eastAsia" w:hAnsi="宋体"/>
          <w:b/>
          <w:color w:val="auto"/>
          <w:sz w:val="24"/>
          <w:szCs w:val="24"/>
          <w:highlight w:val="none"/>
        </w:rPr>
        <w:t>3.质疑函的质疑事项应具体、明确，并有必要的事实依据和法律依据。</w:t>
      </w:r>
    </w:p>
    <w:p w14:paraId="7DB44E33">
      <w:pPr>
        <w:pStyle w:val="27"/>
        <w:spacing w:line="360" w:lineRule="auto"/>
        <w:ind w:left="25" w:leftChars="12" w:firstLine="354" w:firstLineChars="147"/>
        <w:contextualSpacing/>
        <w:rPr>
          <w:rFonts w:hint="eastAsia" w:hAnsi="宋体"/>
          <w:b/>
          <w:color w:val="auto"/>
          <w:sz w:val="24"/>
          <w:szCs w:val="24"/>
          <w:highlight w:val="none"/>
        </w:rPr>
      </w:pPr>
      <w:r>
        <w:rPr>
          <w:rFonts w:hint="eastAsia" w:hAnsi="宋体"/>
          <w:b/>
          <w:color w:val="auto"/>
          <w:sz w:val="24"/>
          <w:szCs w:val="24"/>
          <w:highlight w:val="none"/>
        </w:rPr>
        <w:t>4.质疑函的质疑请求应与质疑事项相关。</w:t>
      </w:r>
    </w:p>
    <w:p w14:paraId="0928F3D7">
      <w:pPr>
        <w:pStyle w:val="27"/>
        <w:spacing w:line="360" w:lineRule="auto"/>
        <w:ind w:left="25" w:leftChars="12" w:firstLine="354" w:firstLineChars="147"/>
        <w:contextualSpacing/>
        <w:rPr>
          <w:rFonts w:hint="eastAsia" w:hAnsi="宋体"/>
          <w:b/>
          <w:color w:val="auto"/>
          <w:highlight w:val="none"/>
        </w:rPr>
      </w:pPr>
      <w:r>
        <w:rPr>
          <w:rFonts w:hint="eastAsia" w:hAnsi="宋体"/>
          <w:b/>
          <w:color w:val="auto"/>
          <w:sz w:val="24"/>
          <w:szCs w:val="24"/>
          <w:highlight w:val="none"/>
        </w:rPr>
        <w:t>5.质疑供应商为法人或者其他组织的，质疑函应由法定代表人、主要负责人，或者其授权代表签字或者盖章，并加盖公章。</w:t>
      </w:r>
    </w:p>
    <w:p w14:paraId="031F3595">
      <w:pPr>
        <w:pStyle w:val="27"/>
        <w:snapToGrid w:val="0"/>
        <w:rPr>
          <w:b/>
          <w:color w:val="auto"/>
          <w:sz w:val="24"/>
          <w:szCs w:val="24"/>
          <w:highlight w:val="none"/>
        </w:rPr>
      </w:pPr>
    </w:p>
    <w:p w14:paraId="5F574AA0">
      <w:pPr>
        <w:rPr>
          <w:color w:val="auto"/>
          <w:sz w:val="32"/>
          <w:szCs w:val="40"/>
          <w:highlight w:val="none"/>
        </w:rPr>
      </w:pPr>
    </w:p>
    <w:p w14:paraId="32D6D07E">
      <w:pPr>
        <w:rPr>
          <w:color w:val="auto"/>
          <w:sz w:val="32"/>
          <w:szCs w:val="40"/>
          <w:highlight w:val="none"/>
        </w:rPr>
      </w:pPr>
    </w:p>
    <w:p w14:paraId="76093F9F">
      <w:pPr>
        <w:rPr>
          <w:color w:val="auto"/>
          <w:sz w:val="32"/>
          <w:szCs w:val="40"/>
          <w:highlight w:val="none"/>
        </w:rPr>
      </w:pPr>
    </w:p>
    <w:p w14:paraId="5BDAAC66">
      <w:pPr>
        <w:rPr>
          <w:color w:val="auto"/>
          <w:sz w:val="32"/>
          <w:szCs w:val="40"/>
          <w:highlight w:val="none"/>
        </w:rPr>
      </w:pPr>
    </w:p>
    <w:p w14:paraId="6F14A5C9">
      <w:pPr>
        <w:rPr>
          <w:color w:val="auto"/>
          <w:sz w:val="32"/>
          <w:szCs w:val="40"/>
          <w:highlight w:val="none"/>
        </w:rPr>
      </w:pPr>
    </w:p>
    <w:p w14:paraId="0628FCF8">
      <w:pPr>
        <w:rPr>
          <w:color w:val="auto"/>
          <w:sz w:val="32"/>
          <w:szCs w:val="40"/>
          <w:highlight w:val="none"/>
        </w:rPr>
      </w:pPr>
    </w:p>
    <w:p w14:paraId="6D7D6DC3">
      <w:pPr>
        <w:rPr>
          <w:color w:val="auto"/>
          <w:sz w:val="32"/>
          <w:szCs w:val="40"/>
          <w:highlight w:val="none"/>
        </w:rPr>
      </w:pPr>
    </w:p>
    <w:p w14:paraId="7FE8D077">
      <w:pPr>
        <w:rPr>
          <w:color w:val="auto"/>
          <w:sz w:val="32"/>
          <w:szCs w:val="40"/>
          <w:highlight w:val="none"/>
        </w:rPr>
      </w:pPr>
    </w:p>
    <w:p w14:paraId="21926489">
      <w:pPr>
        <w:rPr>
          <w:color w:val="auto"/>
          <w:sz w:val="32"/>
          <w:szCs w:val="40"/>
          <w:highlight w:val="none"/>
        </w:rPr>
      </w:pPr>
    </w:p>
    <w:p w14:paraId="0827A6A0">
      <w:pPr>
        <w:rPr>
          <w:color w:val="auto"/>
          <w:sz w:val="32"/>
          <w:szCs w:val="40"/>
          <w:highlight w:val="none"/>
        </w:rPr>
      </w:pPr>
    </w:p>
    <w:p w14:paraId="74300D35">
      <w:pPr>
        <w:rPr>
          <w:color w:val="auto"/>
          <w:sz w:val="32"/>
          <w:szCs w:val="40"/>
          <w:highlight w:val="none"/>
        </w:rPr>
      </w:pPr>
    </w:p>
    <w:p w14:paraId="72779639">
      <w:pPr>
        <w:rPr>
          <w:color w:val="auto"/>
          <w:sz w:val="32"/>
          <w:szCs w:val="40"/>
          <w:highlight w:val="none"/>
        </w:rPr>
      </w:pPr>
    </w:p>
    <w:p w14:paraId="70CAFF2A">
      <w:pPr>
        <w:rPr>
          <w:color w:val="auto"/>
          <w:sz w:val="32"/>
          <w:szCs w:val="40"/>
          <w:highlight w:val="none"/>
        </w:rPr>
      </w:pPr>
    </w:p>
    <w:p w14:paraId="36ABF534">
      <w:pPr>
        <w:pStyle w:val="7"/>
        <w:rPr>
          <w:color w:val="auto"/>
          <w:highlight w:val="none"/>
        </w:rPr>
      </w:pPr>
    </w:p>
    <w:p w14:paraId="7DEAAAF9">
      <w:pPr>
        <w:pStyle w:val="7"/>
        <w:rPr>
          <w:color w:val="auto"/>
          <w:highlight w:val="none"/>
        </w:rPr>
      </w:pPr>
    </w:p>
    <w:p w14:paraId="2EADFF8E">
      <w:pPr>
        <w:pStyle w:val="7"/>
        <w:rPr>
          <w:color w:val="auto"/>
          <w:highlight w:val="none"/>
        </w:rPr>
      </w:pPr>
    </w:p>
    <w:p w14:paraId="6431B00B">
      <w:pPr>
        <w:pStyle w:val="7"/>
        <w:rPr>
          <w:color w:val="auto"/>
          <w:highlight w:val="none"/>
        </w:rPr>
      </w:pPr>
    </w:p>
    <w:p w14:paraId="613B7E72">
      <w:pPr>
        <w:pStyle w:val="7"/>
        <w:rPr>
          <w:color w:val="auto"/>
          <w:highlight w:val="none"/>
        </w:rPr>
      </w:pPr>
    </w:p>
    <w:p w14:paraId="426EBD32">
      <w:pPr>
        <w:pStyle w:val="7"/>
        <w:rPr>
          <w:color w:val="auto"/>
          <w:highlight w:val="none"/>
        </w:rPr>
      </w:pPr>
    </w:p>
    <w:p w14:paraId="2D5D0294">
      <w:pPr>
        <w:pStyle w:val="7"/>
        <w:rPr>
          <w:color w:val="auto"/>
          <w:highlight w:val="none"/>
        </w:rPr>
      </w:pPr>
    </w:p>
    <w:p w14:paraId="6438B251">
      <w:pPr>
        <w:pStyle w:val="7"/>
        <w:rPr>
          <w:color w:val="auto"/>
          <w:highlight w:val="none"/>
        </w:rPr>
      </w:pPr>
    </w:p>
    <w:p w14:paraId="6E1DC35C">
      <w:pPr>
        <w:pStyle w:val="7"/>
        <w:rPr>
          <w:color w:val="auto"/>
          <w:highlight w:val="none"/>
        </w:rPr>
      </w:pPr>
    </w:p>
    <w:p w14:paraId="06DC9CE2">
      <w:pPr>
        <w:pStyle w:val="7"/>
        <w:rPr>
          <w:color w:val="auto"/>
          <w:highlight w:val="none"/>
        </w:rPr>
      </w:pPr>
    </w:p>
    <w:p w14:paraId="587B3256">
      <w:pPr>
        <w:pStyle w:val="7"/>
        <w:rPr>
          <w:color w:val="auto"/>
          <w:highlight w:val="none"/>
        </w:rPr>
      </w:pPr>
    </w:p>
    <w:p w14:paraId="0946FBD7">
      <w:pPr>
        <w:pStyle w:val="7"/>
        <w:rPr>
          <w:color w:val="auto"/>
          <w:highlight w:val="none"/>
        </w:rPr>
      </w:pPr>
    </w:p>
    <w:p w14:paraId="03381E7B">
      <w:pPr>
        <w:pStyle w:val="7"/>
        <w:rPr>
          <w:color w:val="auto"/>
          <w:highlight w:val="none"/>
        </w:rPr>
      </w:pPr>
    </w:p>
    <w:p w14:paraId="1AF61114">
      <w:pPr>
        <w:pStyle w:val="7"/>
        <w:rPr>
          <w:color w:val="auto"/>
          <w:highlight w:val="none"/>
        </w:rPr>
      </w:pPr>
    </w:p>
    <w:p w14:paraId="6CF9EF2D">
      <w:pPr>
        <w:pStyle w:val="7"/>
        <w:rPr>
          <w:color w:val="auto"/>
          <w:highlight w:val="none"/>
        </w:rPr>
      </w:pPr>
    </w:p>
    <w:p w14:paraId="4B598A0F">
      <w:pPr>
        <w:pStyle w:val="7"/>
        <w:rPr>
          <w:color w:val="auto"/>
          <w:highlight w:val="none"/>
        </w:rPr>
      </w:pPr>
    </w:p>
    <w:p w14:paraId="45122CE7">
      <w:pPr>
        <w:pStyle w:val="7"/>
        <w:rPr>
          <w:color w:val="auto"/>
          <w:highlight w:val="none"/>
        </w:rPr>
      </w:pPr>
    </w:p>
    <w:p w14:paraId="65517062">
      <w:pPr>
        <w:pStyle w:val="7"/>
        <w:rPr>
          <w:color w:val="auto"/>
          <w:highlight w:val="none"/>
        </w:rPr>
      </w:pPr>
    </w:p>
    <w:p w14:paraId="005150F9">
      <w:pPr>
        <w:pStyle w:val="7"/>
        <w:rPr>
          <w:color w:val="auto"/>
          <w:highlight w:val="none"/>
        </w:rPr>
      </w:pPr>
    </w:p>
    <w:p w14:paraId="4A9C0D1D">
      <w:pPr>
        <w:pStyle w:val="7"/>
        <w:rPr>
          <w:color w:val="auto"/>
          <w:highlight w:val="none"/>
        </w:rPr>
      </w:pPr>
    </w:p>
    <w:p w14:paraId="5FAFF544">
      <w:pPr>
        <w:rPr>
          <w:color w:val="auto"/>
          <w:sz w:val="32"/>
          <w:szCs w:val="40"/>
          <w:highlight w:val="none"/>
        </w:rPr>
      </w:pPr>
    </w:p>
    <w:p w14:paraId="7C6110DC">
      <w:pPr>
        <w:spacing w:line="360" w:lineRule="auto"/>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投诉书（格式）</w:t>
      </w:r>
    </w:p>
    <w:p w14:paraId="32D0BBFD">
      <w:pPr>
        <w:pStyle w:val="27"/>
        <w:snapToGrid w:val="0"/>
        <w:spacing w:line="360" w:lineRule="auto"/>
        <w:ind w:firstLine="482" w:firstLineChars="200"/>
        <w:rPr>
          <w:rFonts w:hint="eastAsia" w:hAnsi="宋体"/>
          <w:b/>
          <w:bCs/>
          <w:color w:val="auto"/>
          <w:sz w:val="24"/>
          <w:szCs w:val="24"/>
          <w:highlight w:val="none"/>
        </w:rPr>
      </w:pPr>
      <w:r>
        <w:rPr>
          <w:rFonts w:hint="eastAsia" w:hAnsi="宋体"/>
          <w:b/>
          <w:bCs/>
          <w:color w:val="auto"/>
          <w:sz w:val="24"/>
          <w:szCs w:val="24"/>
          <w:highlight w:val="none"/>
        </w:rPr>
        <w:t>一、投诉相关主体基本情况：</w:t>
      </w:r>
    </w:p>
    <w:p w14:paraId="0CC89A53">
      <w:pPr>
        <w:pStyle w:val="27"/>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供应商：</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06D52B96">
      <w:pPr>
        <w:pStyle w:val="27"/>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3AF5CD45">
      <w:pPr>
        <w:pStyle w:val="27"/>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法定代表人/主要负责人：</w:t>
      </w:r>
      <w:r>
        <w:rPr>
          <w:rFonts w:hint="eastAsia" w:hAnsi="宋体"/>
          <w:bCs/>
          <w:color w:val="auto"/>
          <w:sz w:val="24"/>
          <w:szCs w:val="24"/>
          <w:highlight w:val="none"/>
          <w:u w:val="single"/>
        </w:rPr>
        <w:t xml:space="preserve">                                                         </w:t>
      </w:r>
    </w:p>
    <w:p w14:paraId="02D09741">
      <w:pPr>
        <w:pStyle w:val="27"/>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联系电话</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17473B28">
      <w:pPr>
        <w:pStyle w:val="27"/>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22B53D42">
      <w:pPr>
        <w:pStyle w:val="27"/>
        <w:snapToGrid w:val="0"/>
        <w:spacing w:line="360" w:lineRule="auto"/>
        <w:ind w:firstLine="480" w:firstLineChars="200"/>
        <w:rPr>
          <w:rFonts w:hint="eastAsia"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1DFBE1A6">
      <w:pPr>
        <w:pStyle w:val="27"/>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630C5A85">
      <w:pPr>
        <w:pStyle w:val="27"/>
        <w:snapToGrid w:val="0"/>
        <w:spacing w:line="360" w:lineRule="auto"/>
        <w:ind w:firstLine="480" w:firstLineChars="200"/>
        <w:rPr>
          <w:rFonts w:hint="eastAsia" w:hAnsi="宋体"/>
          <w:bCs/>
          <w:color w:val="auto"/>
          <w:sz w:val="24"/>
          <w:szCs w:val="24"/>
          <w:highlight w:val="none"/>
        </w:rPr>
      </w:pPr>
      <w:r>
        <w:rPr>
          <w:rFonts w:hint="eastAsia" w:hAnsi="宋体"/>
          <w:bCs/>
          <w:color w:val="auto"/>
          <w:sz w:val="24"/>
          <w:szCs w:val="24"/>
          <w:highlight w:val="none"/>
        </w:rPr>
        <w:t>被投诉人1：</w:t>
      </w:r>
    </w:p>
    <w:p w14:paraId="6BF98983">
      <w:pPr>
        <w:pStyle w:val="27"/>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地址：</w:t>
      </w:r>
      <w:r>
        <w:rPr>
          <w:rFonts w:hint="eastAsia" w:hAnsi="宋体"/>
          <w:bCs/>
          <w:color w:val="auto"/>
          <w:sz w:val="24"/>
          <w:szCs w:val="24"/>
          <w:highlight w:val="none"/>
          <w:u w:val="single"/>
        </w:rPr>
        <w:t xml:space="preserve">                                                            </w:t>
      </w:r>
    </w:p>
    <w:p w14:paraId="5F1D67B1">
      <w:pPr>
        <w:pStyle w:val="27"/>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061FC9F2">
      <w:pPr>
        <w:pStyle w:val="27"/>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0C92F7D3">
      <w:pPr>
        <w:pStyle w:val="27"/>
        <w:snapToGrid w:val="0"/>
        <w:spacing w:line="360" w:lineRule="auto"/>
        <w:ind w:firstLine="480" w:firstLineChars="200"/>
        <w:rPr>
          <w:rFonts w:hint="eastAsia" w:hAnsi="宋体"/>
          <w:bCs/>
          <w:color w:val="auto"/>
          <w:sz w:val="24"/>
          <w:szCs w:val="24"/>
          <w:highlight w:val="none"/>
        </w:rPr>
      </w:pPr>
      <w:r>
        <w:rPr>
          <w:rFonts w:hint="eastAsia" w:hAnsi="宋体"/>
          <w:bCs/>
          <w:color w:val="auto"/>
          <w:sz w:val="24"/>
          <w:szCs w:val="24"/>
          <w:highlight w:val="none"/>
        </w:rPr>
        <w:t>被投诉人2：</w:t>
      </w:r>
    </w:p>
    <w:p w14:paraId="7D3A01E3">
      <w:pPr>
        <w:pStyle w:val="27"/>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w:t>
      </w:r>
    </w:p>
    <w:p w14:paraId="3567500F">
      <w:pPr>
        <w:pStyle w:val="27"/>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相关供应商：</w:t>
      </w:r>
      <w:r>
        <w:rPr>
          <w:rFonts w:hint="eastAsia" w:hAnsi="宋体"/>
          <w:bCs/>
          <w:color w:val="auto"/>
          <w:sz w:val="24"/>
          <w:szCs w:val="24"/>
          <w:highlight w:val="none"/>
          <w:u w:val="single"/>
        </w:rPr>
        <w:t xml:space="preserve">                                                                       </w:t>
      </w:r>
    </w:p>
    <w:p w14:paraId="57772D2F">
      <w:pPr>
        <w:pStyle w:val="27"/>
        <w:snapToGrid w:val="0"/>
        <w:spacing w:line="360" w:lineRule="auto"/>
        <w:ind w:firstLine="480" w:firstLineChars="200"/>
        <w:rPr>
          <w:rFonts w:hint="eastAsia"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120D46D5">
      <w:pPr>
        <w:pStyle w:val="27"/>
        <w:snapToGrid w:val="0"/>
        <w:spacing w:line="360" w:lineRule="auto"/>
        <w:ind w:firstLine="480" w:firstLineChars="200"/>
        <w:rPr>
          <w:rFonts w:hint="eastAsia" w:hAnsi="宋体"/>
          <w:bCs/>
          <w:color w:val="auto"/>
          <w:sz w:val="24"/>
          <w:szCs w:val="24"/>
          <w:highlight w:val="non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22631C4B">
      <w:pPr>
        <w:pStyle w:val="27"/>
        <w:snapToGrid w:val="0"/>
        <w:spacing w:line="360" w:lineRule="auto"/>
        <w:ind w:firstLine="482" w:firstLineChars="200"/>
        <w:rPr>
          <w:rFonts w:hint="eastAsia" w:hAnsi="宋体"/>
          <w:b/>
          <w:bCs/>
          <w:color w:val="auto"/>
          <w:sz w:val="24"/>
          <w:szCs w:val="24"/>
          <w:highlight w:val="none"/>
        </w:rPr>
      </w:pPr>
      <w:r>
        <w:rPr>
          <w:rFonts w:hint="eastAsia" w:hAnsi="宋体"/>
          <w:b/>
          <w:bCs/>
          <w:color w:val="auto"/>
          <w:sz w:val="24"/>
          <w:szCs w:val="24"/>
          <w:highlight w:val="none"/>
        </w:rPr>
        <w:t>二、投诉项目基本情况：</w:t>
      </w:r>
    </w:p>
    <w:p w14:paraId="4F412497">
      <w:pPr>
        <w:pStyle w:val="27"/>
        <w:spacing w:line="360" w:lineRule="auto"/>
        <w:ind w:left="25" w:leftChars="12" w:firstLine="472" w:firstLineChars="197"/>
        <w:rPr>
          <w:rFonts w:hint="eastAsia"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项目的名称：</w:t>
      </w:r>
      <w:r>
        <w:rPr>
          <w:rFonts w:hint="eastAsia" w:hAnsi="宋体"/>
          <w:bCs/>
          <w:color w:val="auto"/>
          <w:sz w:val="24"/>
          <w:szCs w:val="24"/>
          <w:highlight w:val="none"/>
          <w:u w:val="single"/>
        </w:rPr>
        <w:t xml:space="preserve">                                                                   </w:t>
      </w:r>
    </w:p>
    <w:p w14:paraId="1125894E">
      <w:pPr>
        <w:pStyle w:val="27"/>
        <w:spacing w:line="360" w:lineRule="auto"/>
        <w:ind w:left="25" w:leftChars="12" w:firstLine="472" w:firstLineChars="197"/>
        <w:rPr>
          <w:rFonts w:hint="eastAsia"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项目的编号：</w:t>
      </w:r>
      <w:r>
        <w:rPr>
          <w:rFonts w:hint="eastAsia" w:hAnsi="宋体"/>
          <w:bCs/>
          <w:color w:val="auto"/>
          <w:sz w:val="24"/>
          <w:szCs w:val="24"/>
          <w:highlight w:val="none"/>
          <w:u w:val="single"/>
        </w:rPr>
        <w:t xml:space="preserve">                                          </w:t>
      </w:r>
    </w:p>
    <w:p w14:paraId="68111DA5">
      <w:pPr>
        <w:pStyle w:val="27"/>
        <w:spacing w:line="360" w:lineRule="auto"/>
        <w:ind w:left="25" w:leftChars="12" w:firstLine="472" w:firstLineChars="197"/>
        <w:rPr>
          <w:rFonts w:hint="eastAsia" w:hAnsi="宋体"/>
          <w:bCs/>
          <w:color w:val="auto"/>
          <w:sz w:val="24"/>
          <w:szCs w:val="24"/>
          <w:highlight w:val="none"/>
          <w:u w:val="singl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p>
    <w:p w14:paraId="73AB3880">
      <w:pPr>
        <w:pStyle w:val="27"/>
        <w:spacing w:line="360" w:lineRule="auto"/>
        <w:ind w:left="25" w:leftChars="12" w:firstLine="472" w:firstLineChars="197"/>
        <w:rPr>
          <w:rFonts w:hint="eastAsia" w:hAnsi="宋体"/>
          <w:bCs/>
          <w:color w:val="auto"/>
          <w:sz w:val="24"/>
          <w:szCs w:val="24"/>
          <w:highlight w:val="none"/>
          <w:u w:val="single"/>
        </w:rPr>
      </w:pPr>
      <w:r>
        <w:rPr>
          <w:rFonts w:hint="eastAsia" w:hAnsi="宋体"/>
          <w:color w:val="auto"/>
          <w:sz w:val="24"/>
          <w:szCs w:val="24"/>
          <w:highlight w:val="none"/>
        </w:rPr>
        <w:t>代理机构名称：</w:t>
      </w:r>
      <w:r>
        <w:rPr>
          <w:rFonts w:hint="eastAsia" w:hAnsi="宋体"/>
          <w:bCs/>
          <w:color w:val="auto"/>
          <w:sz w:val="24"/>
          <w:szCs w:val="24"/>
          <w:highlight w:val="none"/>
          <w:u w:val="single"/>
        </w:rPr>
        <w:t xml:space="preserve">                                                                      </w:t>
      </w:r>
    </w:p>
    <w:p w14:paraId="0AA3867B">
      <w:pPr>
        <w:pStyle w:val="27"/>
        <w:spacing w:line="360" w:lineRule="auto"/>
        <w:ind w:left="25" w:leftChars="12" w:firstLine="472" w:firstLineChars="197"/>
        <w:rPr>
          <w:rFonts w:hint="eastAsia" w:hAnsi="宋体"/>
          <w:bCs/>
          <w:color w:val="auto"/>
          <w:sz w:val="24"/>
          <w:szCs w:val="24"/>
          <w:highlight w:val="none"/>
          <w:u w:val="single"/>
        </w:rPr>
      </w:pPr>
      <w:r>
        <w:rPr>
          <w:rFonts w:hint="eastAsia" w:hAnsi="宋体"/>
          <w:bCs/>
          <w:color w:val="auto"/>
          <w:sz w:val="24"/>
          <w:szCs w:val="24"/>
          <w:highlight w:val="none"/>
        </w:rPr>
        <w:t>采购文件公告：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r>
        <w:rPr>
          <w:rFonts w:hint="eastAsia" w:hAnsi="宋体"/>
          <w:bCs/>
          <w:color w:val="auto"/>
          <w:sz w:val="24"/>
          <w:szCs w:val="24"/>
          <w:highlight w:val="none"/>
          <w:u w:val="single"/>
        </w:rPr>
        <w:t xml:space="preserve">                                                       </w:t>
      </w:r>
    </w:p>
    <w:p w14:paraId="3E6AD973">
      <w:pPr>
        <w:pStyle w:val="27"/>
        <w:spacing w:line="360" w:lineRule="auto"/>
        <w:ind w:left="25" w:leftChars="12" w:firstLine="472" w:firstLineChars="197"/>
        <w:rPr>
          <w:rFonts w:hint="eastAsia" w:hAnsi="宋体"/>
          <w:b/>
          <w:color w:val="auto"/>
          <w:sz w:val="24"/>
          <w:szCs w:val="24"/>
          <w:highlight w:val="none"/>
        </w:rPr>
      </w:pPr>
      <w:r>
        <w:rPr>
          <w:rFonts w:hint="eastAsia" w:hAnsi="宋体"/>
          <w:bCs/>
          <w:color w:val="auto"/>
          <w:sz w:val="24"/>
          <w:szCs w:val="24"/>
          <w:highlight w:val="none"/>
        </w:rPr>
        <w:t>采购结果公告：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r>
        <w:rPr>
          <w:rFonts w:hint="eastAsia" w:hAnsi="宋体"/>
          <w:bCs/>
          <w:color w:val="auto"/>
          <w:sz w:val="24"/>
          <w:szCs w:val="24"/>
          <w:highlight w:val="none"/>
          <w:u w:val="single"/>
        </w:rPr>
        <w:t xml:space="preserve">                                                       </w:t>
      </w:r>
    </w:p>
    <w:p w14:paraId="2424F688">
      <w:pPr>
        <w:pStyle w:val="27"/>
        <w:spacing w:line="360" w:lineRule="auto"/>
        <w:ind w:left="25" w:leftChars="12" w:firstLine="472" w:firstLineChars="196"/>
        <w:rPr>
          <w:rFonts w:hint="eastAsia" w:hAnsi="宋体"/>
          <w:b/>
          <w:color w:val="auto"/>
          <w:sz w:val="24"/>
          <w:szCs w:val="24"/>
          <w:highlight w:val="none"/>
        </w:rPr>
      </w:pPr>
      <w:r>
        <w:rPr>
          <w:rFonts w:hint="eastAsia" w:hAnsi="宋体"/>
          <w:b/>
          <w:color w:val="auto"/>
          <w:sz w:val="24"/>
          <w:szCs w:val="24"/>
          <w:highlight w:val="none"/>
        </w:rPr>
        <w:t>三、质疑基本情况</w:t>
      </w:r>
    </w:p>
    <w:p w14:paraId="39128C82">
      <w:pPr>
        <w:pStyle w:val="27"/>
        <w:spacing w:line="360" w:lineRule="auto"/>
        <w:ind w:firstLine="480" w:firstLineChars="200"/>
        <w:rPr>
          <w:rFonts w:hint="eastAsia" w:hAnsi="宋体"/>
          <w:color w:val="auto"/>
          <w:sz w:val="24"/>
          <w:szCs w:val="24"/>
          <w:highlight w:val="none"/>
        </w:rPr>
      </w:pPr>
      <w:r>
        <w:rPr>
          <w:rFonts w:hint="eastAsia" w:hAnsi="宋体"/>
          <w:color w:val="auto"/>
          <w:sz w:val="24"/>
          <w:szCs w:val="24"/>
          <w:highlight w:val="none"/>
        </w:rPr>
        <w:t>投诉人于</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日，向</w:t>
      </w:r>
      <w:r>
        <w:rPr>
          <w:rFonts w:hint="eastAsia" w:hAnsi="宋体"/>
          <w:color w:val="auto"/>
          <w:sz w:val="24"/>
          <w:szCs w:val="24"/>
          <w:highlight w:val="none"/>
          <w:u w:val="single"/>
        </w:rPr>
        <w:t xml:space="preserve">                                </w:t>
      </w:r>
      <w:r>
        <w:rPr>
          <w:rFonts w:hint="eastAsia" w:hAnsi="宋体"/>
          <w:color w:val="auto"/>
          <w:sz w:val="24"/>
          <w:szCs w:val="24"/>
          <w:highlight w:val="none"/>
        </w:rPr>
        <w:t>提出质疑，质疑事项为：</w:t>
      </w:r>
    </w:p>
    <w:p w14:paraId="17A52D8C">
      <w:pPr>
        <w:pStyle w:val="27"/>
        <w:spacing w:line="360" w:lineRule="auto"/>
        <w:ind w:firstLine="241"/>
        <w:rPr>
          <w:rFonts w:hint="eastAsia" w:hAnsi="宋体"/>
          <w:bCs/>
          <w:color w:val="auto"/>
          <w:sz w:val="24"/>
          <w:szCs w:val="24"/>
          <w:highlight w:val="none"/>
          <w:u w:val="single"/>
        </w:rPr>
      </w:pP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36D110ED">
      <w:pPr>
        <w:pStyle w:val="27"/>
        <w:spacing w:line="360" w:lineRule="auto"/>
        <w:ind w:firstLine="241"/>
        <w:rPr>
          <w:rFonts w:hint="eastAsia" w:hAnsi="宋体"/>
          <w:bCs/>
          <w:color w:val="auto"/>
          <w:sz w:val="24"/>
          <w:szCs w:val="24"/>
          <w:highlight w:val="none"/>
          <w:u w:val="single"/>
        </w:rPr>
      </w:pPr>
      <w:r>
        <w:rPr>
          <w:rFonts w:hint="eastAsia" w:hAnsi="宋体"/>
          <w:bCs/>
          <w:color w:val="auto"/>
          <w:sz w:val="24"/>
          <w:szCs w:val="24"/>
          <w:highlight w:val="none"/>
        </w:rPr>
        <w:t xml:space="preserve">    </w:t>
      </w:r>
      <w:r>
        <w:rPr>
          <w:rFonts w:hint="eastAsia" w:hAnsi="宋体"/>
          <w:bCs/>
          <w:color w:val="auto"/>
          <w:sz w:val="24"/>
          <w:szCs w:val="24"/>
          <w:highlight w:val="none"/>
          <w:u w:val="single"/>
        </w:rPr>
        <w:t xml:space="preserve">                                                                                      </w:t>
      </w:r>
    </w:p>
    <w:p w14:paraId="0D832F5D">
      <w:pPr>
        <w:pStyle w:val="27"/>
        <w:spacing w:line="360" w:lineRule="auto"/>
        <w:ind w:firstLine="480" w:firstLineChars="200"/>
        <w:rPr>
          <w:rFonts w:hint="eastAsia" w:hAnsi="宋体"/>
          <w:color w:val="auto"/>
          <w:sz w:val="24"/>
          <w:szCs w:val="24"/>
          <w:highlight w:val="none"/>
        </w:rPr>
      </w:pPr>
      <w:r>
        <w:rPr>
          <w:rFonts w:hint="eastAsia" w:hAnsi="宋体"/>
          <w:bCs/>
          <w:color w:val="auto"/>
          <w:sz w:val="24"/>
          <w:szCs w:val="24"/>
          <w:highlight w:val="none"/>
          <w:u w:val="single"/>
        </w:rPr>
        <w:t>采购人/代理机构</w:t>
      </w:r>
      <w:r>
        <w:rPr>
          <w:rFonts w:hint="eastAsia" w:hAnsi="宋体"/>
          <w:bCs/>
          <w:color w:val="auto"/>
          <w:sz w:val="24"/>
          <w:szCs w:val="24"/>
          <w:highlight w:val="none"/>
        </w:rPr>
        <w:t>于</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w:t>
      </w:r>
      <w:r>
        <w:rPr>
          <w:rFonts w:hint="eastAsia" w:hAnsi="宋体"/>
          <w:bCs/>
          <w:color w:val="auto"/>
          <w:sz w:val="24"/>
          <w:szCs w:val="24"/>
          <w:highlight w:val="none"/>
        </w:rPr>
        <w:t xml:space="preserve">就质疑事项作出了答复/没有在法定期限内作出答复。                                                                                             </w:t>
      </w:r>
    </w:p>
    <w:p w14:paraId="7CBCBF66">
      <w:pPr>
        <w:pStyle w:val="27"/>
        <w:spacing w:line="360" w:lineRule="auto"/>
        <w:ind w:left="25" w:leftChars="12" w:firstLine="472" w:firstLineChars="196"/>
        <w:rPr>
          <w:rFonts w:hint="eastAsia" w:hAnsi="宋体"/>
          <w:b/>
          <w:color w:val="auto"/>
          <w:sz w:val="24"/>
          <w:szCs w:val="24"/>
          <w:highlight w:val="none"/>
        </w:rPr>
      </w:pPr>
      <w:r>
        <w:rPr>
          <w:rFonts w:hint="eastAsia" w:hAnsi="宋体"/>
          <w:b/>
          <w:color w:val="auto"/>
          <w:sz w:val="24"/>
          <w:szCs w:val="24"/>
          <w:highlight w:val="none"/>
        </w:rPr>
        <w:t>四、投诉事项具体内容</w:t>
      </w:r>
    </w:p>
    <w:p w14:paraId="7007AA3B">
      <w:pPr>
        <w:pStyle w:val="27"/>
        <w:spacing w:line="360" w:lineRule="auto"/>
        <w:ind w:left="25" w:leftChars="12" w:firstLine="472" w:firstLineChars="197"/>
        <w:rPr>
          <w:rFonts w:hint="eastAsia" w:hAnsi="宋体"/>
          <w:bCs/>
          <w:color w:val="auto"/>
          <w:sz w:val="24"/>
          <w:szCs w:val="24"/>
          <w:highlight w:val="none"/>
          <w:u w:val="single"/>
        </w:rPr>
      </w:pPr>
      <w:r>
        <w:rPr>
          <w:rFonts w:hint="eastAsia" w:hAnsi="宋体"/>
          <w:color w:val="auto"/>
          <w:sz w:val="24"/>
          <w:szCs w:val="24"/>
          <w:highlight w:val="none"/>
        </w:rPr>
        <w:t>投诉事项1：</w:t>
      </w:r>
      <w:r>
        <w:rPr>
          <w:rFonts w:hint="eastAsia" w:hAnsi="宋体"/>
          <w:bCs/>
          <w:color w:val="auto"/>
          <w:sz w:val="24"/>
          <w:szCs w:val="24"/>
          <w:highlight w:val="none"/>
          <w:u w:val="single"/>
        </w:rPr>
        <w:t xml:space="preserve">                                                                           </w:t>
      </w:r>
    </w:p>
    <w:p w14:paraId="711A9523">
      <w:pPr>
        <w:pStyle w:val="27"/>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事实依据：</w:t>
      </w: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23D85BB9">
      <w:pPr>
        <w:pStyle w:val="27"/>
        <w:spacing w:line="360" w:lineRule="auto"/>
        <w:ind w:left="25" w:leftChars="12" w:firstLine="472" w:firstLineChars="197"/>
        <w:rPr>
          <w:rFonts w:hint="eastAsia" w:hAnsi="宋体"/>
          <w:color w:val="auto"/>
          <w:sz w:val="24"/>
          <w:szCs w:val="24"/>
          <w:highlight w:val="none"/>
        </w:rPr>
      </w:pPr>
      <w:r>
        <w:rPr>
          <w:rFonts w:hint="eastAsia" w:hAnsi="宋体"/>
          <w:bCs/>
          <w:color w:val="auto"/>
          <w:sz w:val="24"/>
          <w:szCs w:val="24"/>
          <w:highlight w:val="none"/>
          <w:u w:val="single"/>
        </w:rPr>
        <w:t xml:space="preserve">                                                                                        </w:t>
      </w:r>
    </w:p>
    <w:p w14:paraId="3E43935C">
      <w:pPr>
        <w:pStyle w:val="27"/>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法律依据：</w:t>
      </w: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41791161">
      <w:pPr>
        <w:pStyle w:val="27"/>
        <w:spacing w:line="360" w:lineRule="auto"/>
        <w:ind w:left="25" w:leftChars="12" w:firstLine="352" w:firstLineChars="147"/>
        <w:rPr>
          <w:rFonts w:hint="eastAsia" w:hAnsi="宋体"/>
          <w:bCs/>
          <w:color w:val="auto"/>
          <w:sz w:val="24"/>
          <w:szCs w:val="24"/>
          <w:highlight w:val="none"/>
          <w:u w:val="single"/>
        </w:rPr>
      </w:pPr>
      <w:r>
        <w:rPr>
          <w:rFonts w:hint="eastAsia" w:hAnsi="宋体"/>
          <w:bCs/>
          <w:color w:val="auto"/>
          <w:sz w:val="24"/>
          <w:szCs w:val="24"/>
          <w:highlight w:val="none"/>
        </w:rPr>
        <w:t xml:space="preserve"> </w:t>
      </w:r>
      <w:r>
        <w:rPr>
          <w:rFonts w:hint="eastAsia" w:hAnsi="宋体"/>
          <w:bCs/>
          <w:color w:val="auto"/>
          <w:sz w:val="24"/>
          <w:szCs w:val="24"/>
          <w:highlight w:val="none"/>
          <w:u w:val="single"/>
        </w:rPr>
        <w:t xml:space="preserve">                                                                                        </w:t>
      </w:r>
    </w:p>
    <w:p w14:paraId="5C9C91B9">
      <w:pPr>
        <w:pStyle w:val="27"/>
        <w:spacing w:line="360" w:lineRule="auto"/>
        <w:ind w:left="25" w:leftChars="12" w:firstLine="472" w:firstLineChars="197"/>
        <w:rPr>
          <w:rFonts w:hint="eastAsia" w:hAnsi="宋体"/>
          <w:bCs/>
          <w:color w:val="auto"/>
          <w:sz w:val="24"/>
          <w:szCs w:val="24"/>
          <w:highlight w:val="none"/>
        </w:rPr>
      </w:pPr>
      <w:r>
        <w:rPr>
          <w:rFonts w:hint="eastAsia" w:hAnsi="宋体"/>
          <w:color w:val="auto"/>
          <w:sz w:val="24"/>
          <w:szCs w:val="24"/>
          <w:highlight w:val="none"/>
        </w:rPr>
        <w:t xml:space="preserve">投诉事项2  </w:t>
      </w:r>
      <w:r>
        <w:rPr>
          <w:rFonts w:hint="eastAsia" w:hAnsi="宋体"/>
          <w:bCs/>
          <w:color w:val="auto"/>
          <w:sz w:val="24"/>
          <w:szCs w:val="24"/>
          <w:highlight w:val="none"/>
        </w:rPr>
        <w:t xml:space="preserve">   </w:t>
      </w:r>
    </w:p>
    <w:p w14:paraId="7D8F5E17">
      <w:pPr>
        <w:pStyle w:val="27"/>
        <w:spacing w:line="360" w:lineRule="auto"/>
        <w:ind w:left="25" w:leftChars="12" w:firstLine="472" w:firstLineChars="197"/>
        <w:rPr>
          <w:rFonts w:hint="eastAsia" w:hAnsi="宋体"/>
          <w:bCs/>
          <w:color w:val="auto"/>
          <w:sz w:val="24"/>
          <w:szCs w:val="24"/>
          <w:highlight w:val="none"/>
        </w:rPr>
      </w:pPr>
      <w:r>
        <w:rPr>
          <w:rFonts w:hAnsi="宋体"/>
          <w:bCs/>
          <w:color w:val="auto"/>
          <w:sz w:val="24"/>
          <w:szCs w:val="24"/>
          <w:highlight w:val="none"/>
        </w:rPr>
        <w:t>……</w:t>
      </w:r>
    </w:p>
    <w:p w14:paraId="00198A2D">
      <w:pPr>
        <w:pStyle w:val="27"/>
        <w:spacing w:line="360" w:lineRule="auto"/>
        <w:ind w:left="25" w:leftChars="12" w:firstLine="472" w:firstLineChars="196"/>
        <w:rPr>
          <w:rFonts w:hint="eastAsia" w:hAnsi="宋体"/>
          <w:b/>
          <w:color w:val="auto"/>
          <w:sz w:val="24"/>
          <w:szCs w:val="24"/>
          <w:highlight w:val="none"/>
        </w:rPr>
      </w:pPr>
      <w:r>
        <w:rPr>
          <w:rFonts w:hint="eastAsia" w:hAnsi="宋体"/>
          <w:b/>
          <w:color w:val="auto"/>
          <w:sz w:val="24"/>
          <w:szCs w:val="24"/>
          <w:highlight w:val="none"/>
        </w:rPr>
        <w:t>五、与投诉事项相关的投诉请求：</w:t>
      </w:r>
    </w:p>
    <w:p w14:paraId="6ED69086">
      <w:pPr>
        <w:pStyle w:val="27"/>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14:paraId="38735D04">
      <w:pPr>
        <w:pStyle w:val="27"/>
        <w:spacing w:line="360" w:lineRule="auto"/>
        <w:ind w:left="25" w:leftChars="12" w:firstLine="352" w:firstLineChars="147"/>
        <w:rPr>
          <w:rFonts w:hint="eastAsia" w:hAnsi="宋体"/>
          <w:color w:val="auto"/>
          <w:sz w:val="24"/>
          <w:szCs w:val="24"/>
          <w:highlight w:val="none"/>
        </w:rPr>
      </w:pPr>
    </w:p>
    <w:p w14:paraId="3CC43F24">
      <w:pPr>
        <w:pStyle w:val="27"/>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签字（签章）：                                       公章：</w:t>
      </w:r>
    </w:p>
    <w:p w14:paraId="4FB71601">
      <w:pPr>
        <w:pStyle w:val="27"/>
        <w:spacing w:line="360" w:lineRule="auto"/>
        <w:ind w:left="25" w:leftChars="12" w:firstLine="352" w:firstLineChars="147"/>
        <w:rPr>
          <w:rFonts w:hint="eastAsia" w:hAnsi="宋体"/>
          <w:color w:val="auto"/>
          <w:sz w:val="24"/>
          <w:szCs w:val="24"/>
          <w:highlight w:val="none"/>
        </w:rPr>
      </w:pPr>
    </w:p>
    <w:p w14:paraId="3DD3FA9B">
      <w:pPr>
        <w:pStyle w:val="27"/>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日期：</w:t>
      </w:r>
    </w:p>
    <w:p w14:paraId="0841E8C6">
      <w:pPr>
        <w:pStyle w:val="27"/>
        <w:spacing w:line="360" w:lineRule="auto"/>
        <w:ind w:left="25" w:leftChars="12" w:firstLine="472" w:firstLineChars="197"/>
        <w:rPr>
          <w:rFonts w:hint="eastAsia" w:hAnsi="宋体"/>
          <w:b/>
          <w:color w:val="auto"/>
          <w:sz w:val="24"/>
          <w:szCs w:val="24"/>
          <w:highlight w:val="none"/>
        </w:rPr>
      </w:pPr>
      <w:r>
        <w:rPr>
          <w:rFonts w:hint="eastAsia" w:hAnsi="宋体"/>
          <w:bCs/>
          <w:color w:val="auto"/>
          <w:sz w:val="24"/>
          <w:szCs w:val="24"/>
          <w:highlight w:val="none"/>
        </w:rPr>
        <w:t xml:space="preserve">                                                                                 </w:t>
      </w:r>
    </w:p>
    <w:p w14:paraId="638BACF3">
      <w:pPr>
        <w:pStyle w:val="27"/>
        <w:snapToGrid w:val="0"/>
        <w:spacing w:line="400" w:lineRule="exact"/>
        <w:rPr>
          <w:rFonts w:hint="eastAsia" w:hAnsi="宋体"/>
          <w:b/>
          <w:color w:val="auto"/>
          <w:sz w:val="24"/>
          <w:szCs w:val="24"/>
          <w:highlight w:val="none"/>
        </w:rPr>
      </w:pPr>
      <w:r>
        <w:rPr>
          <w:rFonts w:hint="eastAsia" w:hAnsi="宋体"/>
          <w:b/>
          <w:color w:val="auto"/>
          <w:sz w:val="24"/>
          <w:szCs w:val="24"/>
          <w:highlight w:val="none"/>
        </w:rPr>
        <w:t>说明：</w:t>
      </w:r>
    </w:p>
    <w:p w14:paraId="0076C8E3">
      <w:pPr>
        <w:pStyle w:val="27"/>
        <w:spacing w:line="400" w:lineRule="exact"/>
        <w:ind w:left="25" w:leftChars="12" w:firstLine="354" w:firstLineChars="147"/>
        <w:rPr>
          <w:rFonts w:hint="eastAsia" w:hAnsi="宋体"/>
          <w:b/>
          <w:bCs/>
          <w:color w:val="auto"/>
          <w:sz w:val="24"/>
          <w:szCs w:val="24"/>
          <w:highlight w:val="none"/>
        </w:rPr>
      </w:pPr>
      <w:r>
        <w:rPr>
          <w:rFonts w:hint="eastAsia" w:hAnsi="宋体"/>
          <w:b/>
          <w:color w:val="auto"/>
          <w:sz w:val="24"/>
          <w:szCs w:val="24"/>
          <w:highlight w:val="none"/>
        </w:rPr>
        <w:t>1.投诉人提起投诉时，应当提交投诉书和必要的证明材料，并按照被投诉人和与投诉事项有关的供应商数量提供投诉书副本</w:t>
      </w:r>
      <w:r>
        <w:rPr>
          <w:rFonts w:hint="eastAsia" w:hAnsi="宋体"/>
          <w:b/>
          <w:bCs/>
          <w:color w:val="auto"/>
          <w:sz w:val="24"/>
          <w:szCs w:val="24"/>
          <w:highlight w:val="none"/>
        </w:rPr>
        <w:t>。</w:t>
      </w:r>
    </w:p>
    <w:p w14:paraId="68056170">
      <w:pPr>
        <w:pStyle w:val="27"/>
        <w:spacing w:line="400" w:lineRule="exact"/>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3177EFA3">
      <w:pPr>
        <w:pStyle w:val="27"/>
        <w:spacing w:line="400" w:lineRule="exact"/>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3.投诉书应简要列明质疑事项，质疑函、质疑答复等作为附件材料提供。</w:t>
      </w:r>
    </w:p>
    <w:p w14:paraId="61311F5F">
      <w:pPr>
        <w:pStyle w:val="27"/>
        <w:spacing w:line="400" w:lineRule="exact"/>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4.投诉书的投诉事项应具体、明确，并有必要的事实依据和法律依据。</w:t>
      </w:r>
    </w:p>
    <w:p w14:paraId="348D7394">
      <w:pPr>
        <w:pStyle w:val="27"/>
        <w:spacing w:line="400" w:lineRule="exact"/>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5.投诉书的投诉请求应与投诉事项相关。</w:t>
      </w:r>
    </w:p>
    <w:p w14:paraId="3197B61B">
      <w:pPr>
        <w:pStyle w:val="27"/>
        <w:spacing w:line="400" w:lineRule="exact"/>
        <w:ind w:left="25" w:leftChars="12" w:firstLine="354" w:firstLineChars="147"/>
        <w:rPr>
          <w:rFonts w:hint="eastAsia" w:hAnsi="宋体"/>
          <w:b/>
          <w:color w:val="auto"/>
          <w:highlight w:val="none"/>
        </w:rPr>
      </w:pPr>
      <w:r>
        <w:rPr>
          <w:rFonts w:hint="eastAsia" w:hAnsi="宋体"/>
          <w:b/>
          <w:color w:val="auto"/>
          <w:sz w:val="24"/>
          <w:szCs w:val="24"/>
          <w:highlight w:val="none"/>
        </w:rPr>
        <w:t>6.投诉人为法人或者其他组织的，投诉书应由法定代表人、主要负责人，或者其授权代表签字或者盖章，并加盖公章。</w:t>
      </w:r>
    </w:p>
    <w:p w14:paraId="2431EC46">
      <w:pPr>
        <w:jc w:val="center"/>
        <w:rPr>
          <w:rFonts w:hint="eastAsia" w:ascii="方正小标宋简体" w:hAnsi="方正小标宋简体" w:eastAsia="方正小标宋简体" w:cs="方正小标宋简体"/>
          <w:color w:val="auto"/>
          <w:sz w:val="44"/>
          <w:szCs w:val="44"/>
          <w:highlight w:val="none"/>
        </w:rPr>
      </w:pPr>
      <w:bookmarkStart w:id="103" w:name="_Toc71365926"/>
      <w:bookmarkStart w:id="104" w:name="_Toc74323461"/>
    </w:p>
    <w:bookmarkEnd w:id="103"/>
    <w:p w14:paraId="2A41F154">
      <w:pPr>
        <w:spacing w:line="360" w:lineRule="auto"/>
        <w:rPr>
          <w:rFonts w:hint="eastAsia" w:ascii="宋体" w:hAnsi="宋体" w:cs="仿宋_GB2312"/>
          <w:color w:val="auto"/>
          <w:sz w:val="24"/>
          <w:highlight w:val="none"/>
        </w:rPr>
      </w:pPr>
    </w:p>
    <w:p w14:paraId="3ED3EA53">
      <w:pPr>
        <w:rPr>
          <w:color w:val="auto"/>
          <w:highlight w:val="none"/>
        </w:rPr>
      </w:pPr>
    </w:p>
    <w:p w14:paraId="62D13E94">
      <w:pPr>
        <w:spacing w:line="360" w:lineRule="auto"/>
        <w:ind w:right="420"/>
        <w:contextualSpacing/>
        <w:jc w:val="left"/>
        <w:rPr>
          <w:rFonts w:hint="eastAsia" w:ascii="宋体" w:hAnsi="宋体"/>
          <w:b/>
          <w:bCs/>
          <w:color w:val="auto"/>
          <w:sz w:val="32"/>
          <w:szCs w:val="32"/>
          <w:highlight w:val="none"/>
        </w:rPr>
      </w:pPr>
    </w:p>
    <w:p w14:paraId="105A9819">
      <w:pPr>
        <w:pStyle w:val="2"/>
        <w:jc w:val="center"/>
        <w:rPr>
          <w:color w:val="auto"/>
          <w:highlight w:val="none"/>
        </w:rPr>
      </w:pPr>
    </w:p>
    <w:p w14:paraId="7E89B2DF">
      <w:pPr>
        <w:pStyle w:val="2"/>
        <w:jc w:val="center"/>
        <w:rPr>
          <w:color w:val="auto"/>
          <w:highlight w:val="none"/>
        </w:rPr>
      </w:pPr>
    </w:p>
    <w:p w14:paraId="03A01345">
      <w:pPr>
        <w:rPr>
          <w:color w:val="auto"/>
          <w:highlight w:val="none"/>
        </w:rPr>
      </w:pPr>
    </w:p>
    <w:p w14:paraId="2F0FF417">
      <w:pPr>
        <w:pStyle w:val="2"/>
        <w:jc w:val="center"/>
        <w:rPr>
          <w:color w:val="auto"/>
          <w:highlight w:val="none"/>
        </w:rPr>
      </w:pPr>
      <w:r>
        <w:rPr>
          <w:rFonts w:hint="eastAsia"/>
          <w:color w:val="auto"/>
          <w:highlight w:val="none"/>
        </w:rPr>
        <w:t>第七章 合同文本</w:t>
      </w:r>
      <w:bookmarkEnd w:id="104"/>
    </w:p>
    <w:p w14:paraId="1213EEC6">
      <w:pPr>
        <w:spacing w:line="520" w:lineRule="exact"/>
        <w:rPr>
          <w:rFonts w:hint="eastAsia" w:ascii="宋体" w:hAnsi="宋体" w:cs="Courier New"/>
          <w:b/>
          <w:color w:val="auto"/>
          <w:sz w:val="32"/>
          <w:szCs w:val="32"/>
          <w:highlight w:val="none"/>
        </w:rPr>
      </w:pPr>
    </w:p>
    <w:p w14:paraId="21BBE24C">
      <w:pPr>
        <w:widowControl/>
        <w:jc w:val="center"/>
        <w:rPr>
          <w:rFonts w:hint="eastAsia" w:ascii="宋体" w:hAnsi="宋体" w:cs="宋体"/>
          <w:b/>
          <w:color w:val="auto"/>
          <w:sz w:val="44"/>
          <w:szCs w:val="44"/>
          <w:highlight w:val="none"/>
        </w:rPr>
      </w:pPr>
      <w:r>
        <w:rPr>
          <w:rFonts w:ascii="宋体" w:hAnsi="宋体" w:cs="宋体"/>
          <w:color w:val="auto"/>
          <w:sz w:val="24"/>
          <w:highlight w:val="none"/>
        </w:rPr>
        <w:br w:type="page"/>
      </w:r>
      <w:r>
        <w:rPr>
          <w:rFonts w:hint="eastAsia" w:ascii="宋体" w:hAnsi="宋体" w:cs="宋体"/>
          <w:b/>
          <w:color w:val="auto"/>
          <w:sz w:val="44"/>
          <w:szCs w:val="44"/>
          <w:highlight w:val="none"/>
        </w:rPr>
        <w:t>建设工程施工合同</w:t>
      </w:r>
      <w:bookmarkStart w:id="105" w:name="_Toc19149"/>
      <w:bookmarkStart w:id="106" w:name="_Toc20394"/>
    </w:p>
    <w:p w14:paraId="3FE53236">
      <w:pPr>
        <w:widowControl/>
        <w:jc w:val="center"/>
        <w:rPr>
          <w:rFonts w:hint="eastAsia" w:ascii="宋体" w:hAnsi="宋体" w:cs="宋体"/>
          <w:b/>
          <w:color w:val="auto"/>
          <w:sz w:val="44"/>
          <w:szCs w:val="44"/>
          <w:highlight w:val="none"/>
        </w:rPr>
      </w:pPr>
    </w:p>
    <w:p w14:paraId="56C408B9">
      <w:pPr>
        <w:widowControl/>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第一部分  合同协议书</w:t>
      </w:r>
    </w:p>
    <w:p w14:paraId="398F8982">
      <w:pPr>
        <w:spacing w:line="400" w:lineRule="exact"/>
        <w:rPr>
          <w:rFonts w:hint="eastAsia" w:ascii="宋体" w:hAnsi="宋体" w:cs="宋体"/>
          <w:b/>
          <w:color w:val="auto"/>
          <w:szCs w:val="21"/>
          <w:highlight w:val="none"/>
          <w:u w:val="single"/>
        </w:rPr>
      </w:pPr>
      <w:r>
        <w:rPr>
          <w:rFonts w:hint="eastAsia" w:ascii="宋体" w:hAnsi="宋体" w:cs="宋体"/>
          <w:b/>
          <w:color w:val="auto"/>
          <w:szCs w:val="21"/>
          <w:highlight w:val="none"/>
        </w:rPr>
        <w:t>发包人（全称）：</w:t>
      </w:r>
      <w:r>
        <w:rPr>
          <w:rFonts w:hint="eastAsia" w:ascii="宋体" w:hAnsi="宋体" w:cs="宋体"/>
          <w:b/>
          <w:color w:val="auto"/>
          <w:szCs w:val="21"/>
          <w:highlight w:val="none"/>
          <w:u w:val="single"/>
        </w:rPr>
        <w:t xml:space="preserve">桂林航天工业学院 </w:t>
      </w:r>
    </w:p>
    <w:p w14:paraId="529B1412">
      <w:pPr>
        <w:spacing w:line="400" w:lineRule="exact"/>
        <w:rPr>
          <w:rFonts w:hint="eastAsia" w:ascii="宋体" w:hAnsi="宋体" w:cs="宋体"/>
          <w:b/>
          <w:color w:val="auto"/>
          <w:szCs w:val="21"/>
          <w:highlight w:val="none"/>
          <w:u w:val="single"/>
        </w:rPr>
      </w:pPr>
      <w:r>
        <w:rPr>
          <w:rFonts w:hint="eastAsia" w:ascii="宋体" w:hAnsi="宋体" w:cs="宋体"/>
          <w:b/>
          <w:color w:val="auto"/>
          <w:szCs w:val="21"/>
          <w:highlight w:val="none"/>
        </w:rPr>
        <w:t>承包人（全称）：</w:t>
      </w:r>
      <w:r>
        <w:rPr>
          <w:rFonts w:hint="eastAsia" w:ascii="宋体" w:hAnsi="宋体" w:cs="宋体"/>
          <w:b/>
          <w:color w:val="auto"/>
          <w:szCs w:val="21"/>
          <w:highlight w:val="none"/>
          <w:u w:val="single"/>
        </w:rPr>
        <w:t xml:space="preserve">               </w:t>
      </w:r>
    </w:p>
    <w:p w14:paraId="225DDA32">
      <w:pPr>
        <w:snapToGrid w:val="0"/>
        <w:spacing w:line="3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根据《中华人民共和国民法典》、《中华人民共和国建筑法》相关法律法规及行业规定等相关法律、法规规定，遵循平等、自愿、公平和诚实信用的原则，双方就工程施工及有关事项协商一致共同达成如下协议：</w:t>
      </w:r>
    </w:p>
    <w:p w14:paraId="058879F9">
      <w:pPr>
        <w:pStyle w:val="250"/>
        <w:spacing w:line="340" w:lineRule="exact"/>
        <w:rPr>
          <w:rFonts w:hint="eastAsia" w:ascii="宋体" w:hAnsi="宋体" w:cs="宋体"/>
          <w:color w:val="auto"/>
          <w:highlight w:val="none"/>
          <w:lang w:eastAsia="zh-CN"/>
        </w:rPr>
      </w:pPr>
      <w:r>
        <w:rPr>
          <w:rFonts w:hint="eastAsia" w:ascii="宋体" w:hAnsi="宋体" w:cs="宋体"/>
          <w:color w:val="auto"/>
          <w:highlight w:val="none"/>
          <w:lang w:eastAsia="zh-CN"/>
        </w:rPr>
        <w:t>一、工程概况</w:t>
      </w:r>
    </w:p>
    <w:p w14:paraId="5FBBF5B6">
      <w:pPr>
        <w:snapToGrid w:val="0"/>
        <w:spacing w:line="340" w:lineRule="exact"/>
        <w:ind w:firstLine="411" w:firstLineChars="196"/>
        <w:rPr>
          <w:rFonts w:hint="eastAsia" w:ascii="宋体" w:hAnsi="宋体" w:cs="宋体"/>
          <w:color w:val="auto"/>
          <w:szCs w:val="21"/>
          <w:highlight w:val="none"/>
          <w:u w:val="single"/>
        </w:rPr>
      </w:pPr>
      <w:r>
        <w:rPr>
          <w:rFonts w:hint="eastAsia" w:ascii="宋体" w:hAnsi="宋体" w:cs="宋体"/>
          <w:bCs/>
          <w:color w:val="auto"/>
          <w:szCs w:val="21"/>
          <w:highlight w:val="none"/>
        </w:rPr>
        <w:t>1.工程名称</w:t>
      </w:r>
      <w:r>
        <w:rPr>
          <w:rFonts w:hint="eastAsia" w:ascii="宋体" w:hAnsi="宋体" w:cs="宋体"/>
          <w:color w:val="auto"/>
          <w:szCs w:val="21"/>
          <w:highlight w:val="none"/>
        </w:rPr>
        <w:t>：</w:t>
      </w:r>
      <w:r>
        <w:rPr>
          <w:rFonts w:hint="eastAsia" w:ascii="宋体" w:hAnsi="宋体"/>
          <w:color w:val="auto"/>
          <w:szCs w:val="21"/>
          <w:highlight w:val="none"/>
          <w:u w:val="single"/>
        </w:rPr>
        <w:t>桂林航天工业学院多媒体教室安装空调供电改造工程</w:t>
      </w:r>
      <w:r>
        <w:rPr>
          <w:rFonts w:hint="eastAsia" w:ascii="宋体" w:hAnsi="宋体" w:cs="宋体"/>
          <w:color w:val="auto"/>
          <w:szCs w:val="21"/>
          <w:highlight w:val="none"/>
        </w:rPr>
        <w:t>。</w:t>
      </w:r>
    </w:p>
    <w:p w14:paraId="48CE200F">
      <w:pPr>
        <w:snapToGrid w:val="0"/>
        <w:spacing w:line="340" w:lineRule="exact"/>
        <w:ind w:firstLine="411" w:firstLineChars="196"/>
        <w:rPr>
          <w:rFonts w:hint="eastAsia" w:ascii="宋体" w:hAnsi="宋体" w:cs="宋体"/>
          <w:color w:val="auto"/>
          <w:szCs w:val="21"/>
          <w:highlight w:val="none"/>
          <w:u w:val="single"/>
        </w:rPr>
      </w:pPr>
      <w:r>
        <w:rPr>
          <w:rFonts w:hint="eastAsia" w:ascii="宋体" w:hAnsi="宋体" w:cs="宋体"/>
          <w:bCs/>
          <w:color w:val="auto"/>
          <w:szCs w:val="21"/>
          <w:highlight w:val="none"/>
        </w:rPr>
        <w:t>2.工程地点：</w:t>
      </w:r>
      <w:r>
        <w:rPr>
          <w:rFonts w:hint="eastAsia" w:ascii="宋体" w:hAnsi="宋体" w:cs="宋体"/>
          <w:color w:val="auto"/>
          <w:szCs w:val="21"/>
          <w:highlight w:val="none"/>
          <w:u w:val="single"/>
        </w:rPr>
        <w:t>广西桂林市七星区金鸡路2号</w:t>
      </w:r>
    </w:p>
    <w:p w14:paraId="26B0AA3B">
      <w:pPr>
        <w:snapToGrid w:val="0"/>
        <w:spacing w:line="340" w:lineRule="exact"/>
        <w:ind w:firstLine="411" w:firstLineChars="196"/>
        <w:rPr>
          <w:rFonts w:hint="eastAsia" w:ascii="宋体" w:hAnsi="宋体" w:cs="宋体"/>
          <w:bCs/>
          <w:color w:val="auto"/>
          <w:szCs w:val="21"/>
          <w:highlight w:val="none"/>
        </w:rPr>
      </w:pPr>
      <w:r>
        <w:rPr>
          <w:rFonts w:hint="eastAsia" w:ascii="宋体" w:hAnsi="宋体" w:cs="宋体"/>
          <w:bCs/>
          <w:color w:val="auto"/>
          <w:szCs w:val="21"/>
          <w:highlight w:val="none"/>
        </w:rPr>
        <w:t>3.工程立项批准文号：</w:t>
      </w:r>
      <w:r>
        <w:rPr>
          <w:rFonts w:hint="eastAsia" w:ascii="宋体" w:hAnsi="宋体" w:cs="宋体"/>
          <w:color w:val="auto"/>
          <w:szCs w:val="21"/>
          <w:highlight w:val="none"/>
          <w:u w:val="single"/>
        </w:rPr>
        <w:t>/</w:t>
      </w:r>
      <w:r>
        <w:rPr>
          <w:rFonts w:hint="eastAsia" w:ascii="宋体" w:hAnsi="宋体" w:cs="宋体"/>
          <w:bCs/>
          <w:color w:val="auto"/>
          <w:szCs w:val="21"/>
          <w:highlight w:val="none"/>
        </w:rPr>
        <w:t>。</w:t>
      </w:r>
    </w:p>
    <w:p w14:paraId="627F578C">
      <w:pPr>
        <w:snapToGrid w:val="0"/>
        <w:spacing w:line="340" w:lineRule="exact"/>
        <w:ind w:firstLine="411" w:firstLineChars="196"/>
        <w:rPr>
          <w:rFonts w:hint="eastAsia" w:ascii="宋体" w:hAnsi="宋体" w:cs="宋体"/>
          <w:color w:val="auto"/>
          <w:szCs w:val="21"/>
          <w:highlight w:val="none"/>
          <w:u w:val="single"/>
        </w:rPr>
      </w:pPr>
      <w:r>
        <w:rPr>
          <w:rFonts w:hint="eastAsia" w:ascii="宋体" w:hAnsi="宋体" w:cs="宋体"/>
          <w:bCs/>
          <w:color w:val="auto"/>
          <w:szCs w:val="21"/>
          <w:highlight w:val="none"/>
        </w:rPr>
        <w:t>4.工程承包范围：</w:t>
      </w:r>
      <w:r>
        <w:rPr>
          <w:rFonts w:hint="eastAsia" w:ascii="宋体" w:hAnsi="宋体" w:cs="宋体"/>
          <w:color w:val="auto"/>
          <w:szCs w:val="21"/>
          <w:highlight w:val="none"/>
          <w:u w:val="single"/>
        </w:rPr>
        <w:t xml:space="preserve">                        </w:t>
      </w:r>
      <w:r>
        <w:rPr>
          <w:rFonts w:hint="eastAsia" w:ascii="宋体" w:hAnsi="宋体" w:cs="宋体"/>
          <w:color w:val="auto"/>
          <w:highlight w:val="none"/>
        </w:rPr>
        <w:t>。</w:t>
      </w:r>
    </w:p>
    <w:p w14:paraId="4A4E85F4">
      <w:pPr>
        <w:pStyle w:val="250"/>
        <w:spacing w:line="340" w:lineRule="exact"/>
        <w:rPr>
          <w:rFonts w:hint="eastAsia" w:ascii="宋体" w:hAnsi="宋体" w:cs="宋体"/>
          <w:color w:val="auto"/>
          <w:highlight w:val="none"/>
          <w:lang w:eastAsia="zh-CN"/>
        </w:rPr>
      </w:pPr>
      <w:r>
        <w:rPr>
          <w:rFonts w:hint="eastAsia" w:ascii="宋体" w:hAnsi="宋体" w:cs="宋体"/>
          <w:color w:val="auto"/>
          <w:highlight w:val="none"/>
          <w:lang w:eastAsia="zh-CN"/>
        </w:rPr>
        <w:t>二、合同工期</w:t>
      </w:r>
    </w:p>
    <w:p w14:paraId="4175B14A">
      <w:pPr>
        <w:snapToGrid w:val="0"/>
        <w:spacing w:line="340" w:lineRule="exact"/>
        <w:ind w:firstLine="459"/>
        <w:rPr>
          <w:rFonts w:hint="eastAsia" w:ascii="宋体" w:hAnsi="宋体" w:cs="宋体"/>
          <w:color w:val="auto"/>
          <w:szCs w:val="21"/>
          <w:highlight w:val="none"/>
        </w:rPr>
      </w:pPr>
      <w:r>
        <w:rPr>
          <w:rFonts w:hint="eastAsia" w:ascii="宋体" w:hAnsi="宋体" w:cs="宋体"/>
          <w:color w:val="auto"/>
          <w:szCs w:val="21"/>
          <w:highlight w:val="none"/>
        </w:rPr>
        <w:t>计划开工日期：</w:t>
      </w:r>
      <w:r>
        <w:rPr>
          <w:rFonts w:hint="eastAsia" w:ascii="宋体" w:hAnsi="宋体" w:cs="宋体"/>
          <w:color w:val="auto"/>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w:t>
      </w:r>
      <w:r>
        <w:rPr>
          <w:rFonts w:hint="eastAsia" w:ascii="宋体" w:hAnsi="宋体" w:cs="宋体"/>
          <w:color w:val="auto"/>
          <w:szCs w:val="21"/>
          <w:highlight w:val="none"/>
        </w:rPr>
        <w:t>日。（</w:t>
      </w:r>
      <w:r>
        <w:rPr>
          <w:rFonts w:hint="eastAsia" w:ascii="宋体" w:hAnsi="宋体" w:cs="宋体"/>
          <w:bCs/>
          <w:color w:val="auto"/>
          <w:szCs w:val="21"/>
          <w:highlight w:val="none"/>
        </w:rPr>
        <w:t>具体以实际下发的开工令为准</w:t>
      </w:r>
      <w:r>
        <w:rPr>
          <w:rFonts w:hint="eastAsia" w:ascii="宋体" w:hAnsi="宋体" w:cs="宋体"/>
          <w:color w:val="auto"/>
          <w:szCs w:val="21"/>
          <w:highlight w:val="none"/>
        </w:rPr>
        <w:t>）</w:t>
      </w:r>
    </w:p>
    <w:p w14:paraId="5B1F40F1">
      <w:pPr>
        <w:snapToGrid w:val="0"/>
        <w:spacing w:line="340" w:lineRule="exact"/>
        <w:ind w:firstLine="459"/>
        <w:rPr>
          <w:rFonts w:hint="eastAsia" w:ascii="宋体" w:hAnsi="宋体" w:cs="宋体"/>
          <w:color w:val="auto"/>
          <w:szCs w:val="21"/>
          <w:highlight w:val="none"/>
        </w:rPr>
      </w:pPr>
      <w:r>
        <w:rPr>
          <w:rFonts w:hint="eastAsia" w:ascii="宋体" w:hAnsi="宋体" w:cs="宋体"/>
          <w:color w:val="auto"/>
          <w:szCs w:val="21"/>
          <w:highlight w:val="none"/>
        </w:rPr>
        <w:t>计划竣工日期：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590B4E51">
      <w:pPr>
        <w:snapToGrid w:val="0"/>
        <w:spacing w:line="340" w:lineRule="exact"/>
        <w:ind w:firstLine="459"/>
        <w:rPr>
          <w:rFonts w:hint="eastAsia" w:ascii="宋体" w:hAnsi="宋体" w:cs="宋体"/>
          <w:color w:val="auto"/>
          <w:szCs w:val="21"/>
          <w:highlight w:val="none"/>
        </w:rPr>
      </w:pPr>
      <w:r>
        <w:rPr>
          <w:rFonts w:hint="eastAsia" w:ascii="宋体" w:hAnsi="宋体" w:cs="宋体"/>
          <w:color w:val="auto"/>
          <w:szCs w:val="21"/>
          <w:highlight w:val="none"/>
        </w:rPr>
        <w:t>工期总日历天数：自接到采购人或采购人委托的监理单位发出开工令之日</w:t>
      </w:r>
      <w:r>
        <w:rPr>
          <w:rFonts w:hint="eastAsia" w:ascii="宋体" w:hAnsi="宋体" w:cs="宋体"/>
          <w:color w:val="auto"/>
          <w:szCs w:val="21"/>
          <w:highlight w:val="none"/>
          <w:u w:val="single"/>
        </w:rPr>
        <w:t xml:space="preserve">  </w:t>
      </w:r>
      <w:r>
        <w:rPr>
          <w:rFonts w:hint="eastAsia" w:ascii="宋体" w:hAnsi="宋体" w:cs="宋体"/>
          <w:color w:val="auto"/>
          <w:szCs w:val="20"/>
          <w:highlight w:val="none"/>
        </w:rPr>
        <w:t>天（日历日）</w:t>
      </w:r>
      <w:r>
        <w:rPr>
          <w:rFonts w:hint="eastAsia" w:ascii="宋体" w:hAnsi="宋体" w:cs="宋体"/>
          <w:color w:val="auto"/>
          <w:szCs w:val="21"/>
          <w:highlight w:val="none"/>
        </w:rPr>
        <w:t>。工期总日历天数与根据前述计划开竣工日期计算的工期天数不一致的，以工期总日历天数为准。</w:t>
      </w:r>
    </w:p>
    <w:p w14:paraId="21C8616E">
      <w:pPr>
        <w:pStyle w:val="250"/>
        <w:spacing w:line="340" w:lineRule="exact"/>
        <w:rPr>
          <w:rFonts w:hint="eastAsia" w:ascii="宋体" w:hAnsi="宋体" w:cs="宋体"/>
          <w:color w:val="auto"/>
          <w:highlight w:val="none"/>
          <w:lang w:eastAsia="zh-CN"/>
        </w:rPr>
      </w:pPr>
      <w:r>
        <w:rPr>
          <w:rFonts w:hint="eastAsia" w:ascii="宋体" w:hAnsi="宋体" w:cs="宋体"/>
          <w:color w:val="auto"/>
          <w:highlight w:val="none"/>
          <w:lang w:eastAsia="zh-CN"/>
        </w:rPr>
        <w:t>三、质量标准：</w:t>
      </w:r>
      <w:r>
        <w:rPr>
          <w:rFonts w:hint="eastAsia" w:ascii="宋体" w:hAnsi="宋体" w:cs="宋体"/>
          <w:color w:val="auto"/>
          <w:highlight w:val="none"/>
          <w:u w:val="single"/>
          <w:lang w:eastAsia="zh-CN"/>
        </w:rPr>
        <w:t xml:space="preserve">                             </w:t>
      </w:r>
      <w:r>
        <w:rPr>
          <w:rFonts w:hint="eastAsia" w:ascii="宋体" w:hAnsi="宋体" w:cs="宋体"/>
          <w:color w:val="auto"/>
          <w:highlight w:val="none"/>
          <w:lang w:eastAsia="zh-CN"/>
        </w:rPr>
        <w:t>。</w:t>
      </w:r>
    </w:p>
    <w:p w14:paraId="1F4E70EF">
      <w:pPr>
        <w:pStyle w:val="250"/>
        <w:spacing w:line="340" w:lineRule="exact"/>
        <w:rPr>
          <w:rFonts w:hint="eastAsia" w:ascii="宋体" w:hAnsi="宋体" w:cs="宋体"/>
          <w:color w:val="auto"/>
          <w:highlight w:val="none"/>
          <w:lang w:eastAsia="zh-CN"/>
        </w:rPr>
      </w:pPr>
      <w:r>
        <w:rPr>
          <w:rFonts w:hint="eastAsia" w:ascii="宋体" w:hAnsi="宋体" w:cs="宋体"/>
          <w:color w:val="auto"/>
          <w:highlight w:val="none"/>
          <w:lang w:eastAsia="zh-CN"/>
        </w:rPr>
        <w:t>四、签约合同价与合同价格形式</w:t>
      </w:r>
      <w:r>
        <w:rPr>
          <w:rFonts w:hint="eastAsia" w:ascii="宋体" w:hAnsi="宋体" w:cs="宋体"/>
          <w:color w:val="auto"/>
          <w:highlight w:val="none"/>
          <w:lang w:eastAsia="zh-CN"/>
        </w:rPr>
        <w:tab/>
      </w:r>
    </w:p>
    <w:p w14:paraId="1F4F4E9A">
      <w:pPr>
        <w:snapToGrid w:val="0"/>
        <w:spacing w:line="3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1.签约合同价为：人民币（大写）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p>
    <w:p w14:paraId="40873240">
      <w:pPr>
        <w:snapToGrid w:val="0"/>
        <w:spacing w:line="3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其中：</w:t>
      </w:r>
    </w:p>
    <w:p w14:paraId="1D9FA5F5">
      <w:pPr>
        <w:snapToGrid w:val="0"/>
        <w:spacing w:line="3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（1）安全文明施工费：人民币（大写）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 ；</w:t>
      </w:r>
    </w:p>
    <w:p w14:paraId="10AE6047">
      <w:pPr>
        <w:snapToGrid w:val="0"/>
        <w:spacing w:line="3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（2）规费：人民币（大写）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p>
    <w:p w14:paraId="0CB04715">
      <w:pPr>
        <w:snapToGrid w:val="0"/>
        <w:spacing w:line="340" w:lineRule="exact"/>
        <w:ind w:firstLine="1680" w:firstLineChars="800"/>
        <w:rPr>
          <w:rFonts w:hint="eastAsia" w:ascii="宋体" w:hAnsi="宋体" w:cs="宋体"/>
          <w:color w:val="auto"/>
          <w:szCs w:val="21"/>
          <w:highlight w:val="none"/>
        </w:rPr>
      </w:pPr>
      <w:r>
        <w:rPr>
          <w:rFonts w:hint="eastAsia" w:ascii="宋体" w:hAnsi="宋体" w:cs="宋体"/>
          <w:color w:val="auto"/>
          <w:szCs w:val="21"/>
          <w:highlight w:val="none"/>
        </w:rPr>
        <w:t>其中社会保险费人民币（大写）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p>
    <w:p w14:paraId="61A3A873">
      <w:pPr>
        <w:snapToGrid w:val="0"/>
        <w:spacing w:line="340" w:lineRule="exact"/>
        <w:ind w:firstLine="1680" w:firstLineChars="800"/>
        <w:rPr>
          <w:rFonts w:hint="eastAsia" w:ascii="宋体" w:hAnsi="宋体" w:cs="宋体"/>
          <w:color w:val="auto"/>
          <w:szCs w:val="21"/>
          <w:highlight w:val="none"/>
        </w:rPr>
      </w:pPr>
      <w:r>
        <w:rPr>
          <w:rFonts w:hint="eastAsia" w:ascii="宋体" w:hAnsi="宋体" w:cs="宋体"/>
          <w:color w:val="auto"/>
          <w:szCs w:val="21"/>
          <w:highlight w:val="none"/>
        </w:rPr>
        <w:t>其他人民币（大写）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 ；</w:t>
      </w:r>
    </w:p>
    <w:p w14:paraId="5E8229FA">
      <w:pPr>
        <w:snapToGrid w:val="0"/>
        <w:spacing w:line="3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（3）增值税：人民币（大写）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p>
    <w:p w14:paraId="429152BB">
      <w:pPr>
        <w:snapToGrid w:val="0"/>
        <w:spacing w:line="3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（4）暂列金额：人民币（大写）</w:t>
      </w:r>
      <w:r>
        <w:rPr>
          <w:rFonts w:hint="eastAsia" w:ascii="宋体" w:hAnsi="宋体" w:cs="宋体"/>
          <w:color w:val="auto"/>
          <w:szCs w:val="21"/>
          <w:highlight w:val="none"/>
          <w:u w:val="single"/>
        </w:rPr>
        <w:t xml:space="preserve">    </w:t>
      </w:r>
      <w:r>
        <w:rPr>
          <w:rFonts w:hint="eastAsia" w:ascii="宋体" w:hAnsi="宋体"/>
          <w:color w:val="auto"/>
          <w:highlight w:val="none"/>
          <w:u w:val="single"/>
        </w:rPr>
        <w:t xml:space="preserve"> </w:t>
      </w:r>
      <w:r>
        <w:rPr>
          <w:rFonts w:hint="eastAsia" w:ascii="宋体" w:hAnsi="宋体" w:cs="宋体"/>
          <w:color w:val="auto"/>
          <w:szCs w:val="21"/>
          <w:highlight w:val="none"/>
          <w:u w:val="single"/>
        </w:rPr>
        <w:t>无</w:t>
      </w:r>
      <w:r>
        <w:rPr>
          <w:rFonts w:hint="eastAsia" w:ascii="宋体" w:hAnsi="宋体"/>
          <w:color w:val="auto"/>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p>
    <w:p w14:paraId="5C1FB3E3">
      <w:pPr>
        <w:snapToGrid w:val="0"/>
        <w:spacing w:line="3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（5）安全生产责任保险费暂估价：人民币（大写）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p>
    <w:p w14:paraId="4744F124">
      <w:pPr>
        <w:snapToGrid w:val="0"/>
        <w:spacing w:line="3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2.</w:t>
      </w:r>
      <w:r>
        <w:rPr>
          <w:rFonts w:hint="eastAsia" w:ascii="宋体" w:hAnsi="宋体" w:cs="宋体"/>
          <w:color w:val="auto"/>
          <w:szCs w:val="21"/>
          <w:highlight w:val="none"/>
        </w:rPr>
        <w:t>合同价格形式：</w:t>
      </w:r>
      <w:r>
        <w:rPr>
          <w:rFonts w:hint="eastAsia" w:ascii="宋体" w:hAnsi="宋体" w:cs="宋体"/>
          <w:color w:val="auto"/>
          <w:szCs w:val="21"/>
          <w:highlight w:val="none"/>
          <w:u w:val="single"/>
        </w:rPr>
        <w:t>固定综合单价</w:t>
      </w:r>
      <w:r>
        <w:rPr>
          <w:rFonts w:hint="eastAsia" w:ascii="宋体" w:hAnsi="宋体" w:cs="宋体"/>
          <w:color w:val="auto"/>
          <w:szCs w:val="21"/>
          <w:highlight w:val="none"/>
        </w:rPr>
        <w:t>。</w:t>
      </w:r>
    </w:p>
    <w:p w14:paraId="3AE3DE93">
      <w:pPr>
        <w:pStyle w:val="250"/>
        <w:spacing w:line="340" w:lineRule="exact"/>
        <w:rPr>
          <w:rFonts w:hint="eastAsia" w:ascii="宋体" w:hAnsi="宋体" w:cs="宋体"/>
          <w:color w:val="auto"/>
          <w:highlight w:val="none"/>
          <w:lang w:eastAsia="zh-CN"/>
        </w:rPr>
      </w:pPr>
      <w:r>
        <w:rPr>
          <w:rFonts w:hint="eastAsia" w:ascii="宋体" w:hAnsi="宋体" w:cs="宋体"/>
          <w:color w:val="auto"/>
          <w:highlight w:val="none"/>
          <w:lang w:eastAsia="zh-CN"/>
        </w:rPr>
        <w:t>五、合同文件构成</w:t>
      </w:r>
    </w:p>
    <w:p w14:paraId="52DE87D7">
      <w:pPr>
        <w:snapToGrid w:val="0"/>
        <w:spacing w:line="34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本协议书与下列文件一起构成合同文件：</w:t>
      </w:r>
    </w:p>
    <w:p w14:paraId="3E0E2629">
      <w:pPr>
        <w:autoSpaceDE w:val="0"/>
        <w:autoSpaceDN w:val="0"/>
        <w:snapToGrid w:val="0"/>
        <w:spacing w:line="3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（1）成交通知书（如果有）；</w:t>
      </w:r>
    </w:p>
    <w:p w14:paraId="3FDAD1AE">
      <w:pPr>
        <w:autoSpaceDE w:val="0"/>
        <w:autoSpaceDN w:val="0"/>
        <w:snapToGrid w:val="0"/>
        <w:spacing w:line="3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（2）竞标函及其附录（如果有）； </w:t>
      </w:r>
    </w:p>
    <w:p w14:paraId="48AAD16F">
      <w:pPr>
        <w:autoSpaceDE w:val="0"/>
        <w:autoSpaceDN w:val="0"/>
        <w:snapToGrid w:val="0"/>
        <w:spacing w:line="3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（3）专用合同条款及其附件；</w:t>
      </w:r>
    </w:p>
    <w:p w14:paraId="5C316544">
      <w:pPr>
        <w:autoSpaceDE w:val="0"/>
        <w:autoSpaceDN w:val="0"/>
        <w:snapToGrid w:val="0"/>
        <w:spacing w:line="3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（4）通用合同条款；</w:t>
      </w:r>
    </w:p>
    <w:p w14:paraId="6E06C8A7">
      <w:pPr>
        <w:autoSpaceDE w:val="0"/>
        <w:autoSpaceDN w:val="0"/>
        <w:snapToGrid w:val="0"/>
        <w:spacing w:line="3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（5）技术标准和要求；</w:t>
      </w:r>
    </w:p>
    <w:p w14:paraId="154C9E8A">
      <w:pPr>
        <w:autoSpaceDE w:val="0"/>
        <w:autoSpaceDN w:val="0"/>
        <w:snapToGrid w:val="0"/>
        <w:spacing w:line="3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（6）已标价工程量清单或预算书；</w:t>
      </w:r>
    </w:p>
    <w:p w14:paraId="376ACEF4">
      <w:pPr>
        <w:autoSpaceDE w:val="0"/>
        <w:autoSpaceDN w:val="0"/>
        <w:snapToGrid w:val="0"/>
        <w:spacing w:line="3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（7）其他合同文件。</w:t>
      </w:r>
    </w:p>
    <w:p w14:paraId="179230AC">
      <w:pPr>
        <w:autoSpaceDE w:val="0"/>
        <w:autoSpaceDN w:val="0"/>
        <w:snapToGrid w:val="0"/>
        <w:spacing w:line="3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在合同订立及履行过程中形成的与合同有关的文件均构成合同文件组成部分。</w:t>
      </w:r>
    </w:p>
    <w:p w14:paraId="5E61FBA4">
      <w:pPr>
        <w:autoSpaceDE w:val="0"/>
        <w:autoSpaceDN w:val="0"/>
        <w:snapToGrid w:val="0"/>
        <w:spacing w:line="3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上述各项合同文件包括合同当事人就该项合同文件所作出的补充和修改，属于同一类内容的文件，应以最新签署的为准。</w:t>
      </w:r>
    </w:p>
    <w:p w14:paraId="6FFFB584">
      <w:pPr>
        <w:pStyle w:val="250"/>
        <w:spacing w:line="340" w:lineRule="exact"/>
        <w:rPr>
          <w:rFonts w:hint="eastAsia" w:ascii="宋体" w:hAnsi="宋体" w:cs="宋体"/>
          <w:color w:val="auto"/>
          <w:highlight w:val="none"/>
          <w:lang w:eastAsia="zh-CN"/>
        </w:rPr>
      </w:pPr>
      <w:r>
        <w:rPr>
          <w:rFonts w:hint="eastAsia" w:ascii="宋体" w:hAnsi="宋体" w:cs="宋体"/>
          <w:color w:val="auto"/>
          <w:highlight w:val="none"/>
          <w:lang w:eastAsia="zh-CN"/>
        </w:rPr>
        <w:t>六、承诺</w:t>
      </w:r>
    </w:p>
    <w:p w14:paraId="3FE37B38">
      <w:pPr>
        <w:snapToGrid w:val="0"/>
        <w:spacing w:line="34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1.发包人承诺按照法律规定履行项目审批手续、筹集工程建设资金并按照合同约定的期限和方式支付合同价款。</w:t>
      </w:r>
    </w:p>
    <w:p w14:paraId="14FAED56">
      <w:pPr>
        <w:snapToGrid w:val="0"/>
        <w:spacing w:line="34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2.承包人承诺按照法律规定及合同约定组织完成工程施工，确保工程质量和安全，不进行转包及违法分包，并在缺陷责任期及保修期内承担相应的工程维修责任。</w:t>
      </w:r>
    </w:p>
    <w:p w14:paraId="796FB57C">
      <w:pPr>
        <w:snapToGrid w:val="0"/>
        <w:spacing w:line="34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3.发包人和承包人通过磋商形式签订合同的，双方理解并同意不再就同一工程另行签订与合同实质性内容相背离的协议。</w:t>
      </w:r>
    </w:p>
    <w:p w14:paraId="4D924D8F">
      <w:pPr>
        <w:snapToGrid w:val="0"/>
        <w:spacing w:line="340" w:lineRule="exact"/>
        <w:ind w:firstLine="420" w:firstLineChars="200"/>
        <w:rPr>
          <w:rFonts w:hint="eastAsia" w:ascii="宋体" w:hAnsi="宋体" w:cs="宋体"/>
          <w:bCs/>
          <w:color w:val="auto"/>
          <w:szCs w:val="21"/>
          <w:highlight w:val="none"/>
        </w:rPr>
      </w:pPr>
      <w:r>
        <w:rPr>
          <w:rFonts w:ascii="宋体" w:hAnsi="宋体" w:cs="宋体"/>
          <w:bCs/>
          <w:color w:val="auto"/>
          <w:szCs w:val="21"/>
          <w:highlight w:val="none"/>
        </w:rPr>
        <w:t>4.</w:t>
      </w:r>
      <w:r>
        <w:rPr>
          <w:rFonts w:hint="eastAsia" w:ascii="宋体" w:hAnsi="宋体" w:cs="宋体"/>
          <w:bCs/>
          <w:color w:val="auto"/>
          <w:szCs w:val="21"/>
          <w:highlight w:val="none"/>
        </w:rPr>
        <w:t>承包人应遵守发包人学校管理制度，包括但不限于施工用水用电管理、安全文明施工管理、  学校其他规章制度。</w:t>
      </w:r>
    </w:p>
    <w:p w14:paraId="00B63601">
      <w:pPr>
        <w:snapToGrid w:val="0"/>
        <w:spacing w:line="340" w:lineRule="exact"/>
        <w:ind w:firstLine="420" w:firstLineChars="200"/>
        <w:rPr>
          <w:color w:val="auto"/>
          <w:highlight w:val="none"/>
        </w:rPr>
      </w:pPr>
      <w:r>
        <w:rPr>
          <w:rFonts w:ascii="宋体" w:hAnsi="宋体" w:cs="宋体"/>
          <w:bCs/>
          <w:color w:val="auto"/>
          <w:szCs w:val="21"/>
          <w:highlight w:val="none"/>
        </w:rPr>
        <w:t>5.</w:t>
      </w:r>
      <w:r>
        <w:rPr>
          <w:rFonts w:hint="eastAsia" w:ascii="宋体" w:hAnsi="宋体" w:cs="宋体"/>
          <w:bCs/>
          <w:color w:val="auto"/>
          <w:szCs w:val="21"/>
          <w:highlight w:val="none"/>
        </w:rPr>
        <w:t>承包人应遵守主体工程建设场地管理制度，与主体施工单位建立良好的配合工作，完成相  关设施交接工作， 做好已完</w:t>
      </w:r>
      <w:r>
        <w:rPr>
          <w:rFonts w:hint="eastAsia"/>
          <w:color w:val="auto"/>
          <w:highlight w:val="none"/>
        </w:rPr>
        <w:t>工程的成品保护工作。</w:t>
      </w:r>
    </w:p>
    <w:p w14:paraId="694269AD">
      <w:pPr>
        <w:pStyle w:val="250"/>
        <w:spacing w:line="340" w:lineRule="exact"/>
        <w:rPr>
          <w:rFonts w:hint="eastAsia" w:ascii="宋体" w:hAnsi="宋体" w:cs="宋体"/>
          <w:color w:val="auto"/>
          <w:highlight w:val="none"/>
          <w:lang w:eastAsia="zh-CN"/>
        </w:rPr>
      </w:pPr>
      <w:r>
        <w:rPr>
          <w:rFonts w:hint="eastAsia" w:ascii="宋体" w:hAnsi="宋体" w:cs="宋体"/>
          <w:color w:val="auto"/>
          <w:highlight w:val="none"/>
          <w:lang w:eastAsia="zh-CN"/>
        </w:rPr>
        <w:t>七、词语含义</w:t>
      </w:r>
    </w:p>
    <w:p w14:paraId="33DCFD39">
      <w:pPr>
        <w:snapToGrid w:val="0"/>
        <w:spacing w:line="34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本协议书中词语含义与第二部分通用合同条款中赋予的含义相同。</w:t>
      </w:r>
    </w:p>
    <w:p w14:paraId="3FEB3DD0">
      <w:pPr>
        <w:pStyle w:val="250"/>
        <w:spacing w:line="340" w:lineRule="exact"/>
        <w:rPr>
          <w:rFonts w:hint="eastAsia" w:ascii="宋体" w:hAnsi="宋体" w:cs="宋体"/>
          <w:color w:val="auto"/>
          <w:highlight w:val="none"/>
          <w:lang w:eastAsia="zh-CN"/>
        </w:rPr>
      </w:pPr>
      <w:r>
        <w:rPr>
          <w:rFonts w:hint="eastAsia" w:ascii="宋体" w:hAnsi="宋体" w:cs="宋体"/>
          <w:color w:val="auto"/>
          <w:highlight w:val="none"/>
          <w:lang w:eastAsia="zh-CN"/>
        </w:rPr>
        <w:t>八、签订时间</w:t>
      </w:r>
    </w:p>
    <w:p w14:paraId="3EAF20B1">
      <w:pPr>
        <w:snapToGrid w:val="0"/>
        <w:spacing w:line="34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本合同于</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年</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月</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日签订。</w:t>
      </w:r>
    </w:p>
    <w:p w14:paraId="5F85EEC1">
      <w:pPr>
        <w:pStyle w:val="250"/>
        <w:spacing w:line="340" w:lineRule="exact"/>
        <w:rPr>
          <w:rFonts w:hint="eastAsia" w:ascii="宋体" w:hAnsi="宋体" w:cs="宋体"/>
          <w:color w:val="auto"/>
          <w:highlight w:val="none"/>
          <w:lang w:eastAsia="zh-CN"/>
        </w:rPr>
      </w:pPr>
      <w:r>
        <w:rPr>
          <w:rFonts w:hint="eastAsia" w:ascii="宋体" w:hAnsi="宋体" w:cs="宋体"/>
          <w:color w:val="auto"/>
          <w:highlight w:val="none"/>
          <w:lang w:eastAsia="zh-CN"/>
        </w:rPr>
        <w:t>九、签订地点</w:t>
      </w:r>
    </w:p>
    <w:p w14:paraId="302554C1">
      <w:pPr>
        <w:snapToGrid w:val="0"/>
        <w:spacing w:line="34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本合同在</w:t>
      </w:r>
      <w:r>
        <w:rPr>
          <w:rFonts w:hint="eastAsia" w:ascii="宋体" w:hAnsi="宋体" w:cs="宋体"/>
          <w:color w:val="auto"/>
          <w:szCs w:val="21"/>
          <w:highlight w:val="none"/>
          <w:u w:val="single"/>
        </w:rPr>
        <w:t>桂林市</w:t>
      </w:r>
      <w:r>
        <w:rPr>
          <w:rFonts w:hint="eastAsia" w:ascii="宋体" w:hAnsi="宋体" w:cs="宋体"/>
          <w:bCs/>
          <w:color w:val="auto"/>
          <w:szCs w:val="21"/>
          <w:highlight w:val="none"/>
        </w:rPr>
        <w:t>签订。</w:t>
      </w:r>
    </w:p>
    <w:p w14:paraId="23314682">
      <w:pPr>
        <w:pStyle w:val="250"/>
        <w:spacing w:line="340" w:lineRule="exact"/>
        <w:rPr>
          <w:rFonts w:hint="eastAsia" w:ascii="宋体" w:hAnsi="宋体" w:cs="宋体"/>
          <w:color w:val="auto"/>
          <w:highlight w:val="none"/>
          <w:lang w:eastAsia="zh-CN"/>
        </w:rPr>
      </w:pPr>
      <w:r>
        <w:rPr>
          <w:rFonts w:hint="eastAsia" w:ascii="宋体" w:hAnsi="宋体" w:cs="宋体"/>
          <w:color w:val="auto"/>
          <w:highlight w:val="none"/>
          <w:lang w:eastAsia="zh-CN"/>
        </w:rPr>
        <w:t>十、补充协议</w:t>
      </w:r>
    </w:p>
    <w:p w14:paraId="346AAD43">
      <w:pPr>
        <w:snapToGrid w:val="0"/>
        <w:spacing w:line="340" w:lineRule="exact"/>
        <w:ind w:firstLine="420" w:firstLineChars="200"/>
        <w:rPr>
          <w:rFonts w:hint="eastAsia" w:ascii="宋体" w:hAnsi="宋体" w:cs="宋体"/>
          <w:b/>
          <w:bCs/>
          <w:color w:val="auto"/>
          <w:szCs w:val="21"/>
          <w:highlight w:val="none"/>
        </w:rPr>
      </w:pPr>
      <w:r>
        <w:rPr>
          <w:rFonts w:hint="eastAsia" w:ascii="宋体" w:hAnsi="宋体" w:cs="宋体"/>
          <w:bCs/>
          <w:color w:val="auto"/>
          <w:szCs w:val="21"/>
          <w:highlight w:val="none"/>
        </w:rPr>
        <w:t>合同未尽事宜，合同当事人另行签订补充协议。补充协议是合同的组成部分。</w:t>
      </w:r>
    </w:p>
    <w:p w14:paraId="7B85BA7A">
      <w:pPr>
        <w:pStyle w:val="250"/>
        <w:spacing w:line="340" w:lineRule="exact"/>
        <w:rPr>
          <w:rFonts w:hint="eastAsia" w:ascii="宋体" w:hAnsi="宋体" w:cs="宋体"/>
          <w:color w:val="auto"/>
          <w:highlight w:val="none"/>
          <w:lang w:eastAsia="zh-CN"/>
        </w:rPr>
      </w:pPr>
      <w:r>
        <w:rPr>
          <w:rFonts w:hint="eastAsia" w:ascii="宋体" w:hAnsi="宋体" w:cs="宋体"/>
          <w:color w:val="auto"/>
          <w:highlight w:val="none"/>
          <w:lang w:eastAsia="zh-CN"/>
        </w:rPr>
        <w:t>十一、合同生效</w:t>
      </w:r>
    </w:p>
    <w:p w14:paraId="544FE40A">
      <w:pPr>
        <w:snapToGrid w:val="0"/>
        <w:spacing w:line="34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本合同自</w:t>
      </w:r>
      <w:r>
        <w:rPr>
          <w:rFonts w:hint="eastAsia" w:ascii="宋体" w:hAnsi="宋体" w:cs="宋体"/>
          <w:bCs/>
          <w:color w:val="auto"/>
          <w:szCs w:val="21"/>
          <w:highlight w:val="none"/>
          <w:u w:val="single"/>
        </w:rPr>
        <w:t>发包人、承包人双方法定代表人或委托代理人签字并加盖单位公章后</w:t>
      </w:r>
      <w:r>
        <w:rPr>
          <w:rFonts w:hint="eastAsia" w:ascii="宋体" w:hAnsi="宋体" w:cs="宋体"/>
          <w:bCs/>
          <w:color w:val="auto"/>
          <w:szCs w:val="21"/>
          <w:highlight w:val="none"/>
        </w:rPr>
        <w:t>生效。</w:t>
      </w:r>
    </w:p>
    <w:p w14:paraId="17EC2814">
      <w:pPr>
        <w:pStyle w:val="250"/>
        <w:spacing w:line="340" w:lineRule="exact"/>
        <w:rPr>
          <w:rFonts w:hint="eastAsia" w:ascii="宋体" w:hAnsi="宋体" w:cs="宋体"/>
          <w:color w:val="auto"/>
          <w:highlight w:val="none"/>
          <w:lang w:eastAsia="zh-CN"/>
        </w:rPr>
      </w:pPr>
      <w:r>
        <w:rPr>
          <w:rFonts w:hint="eastAsia" w:ascii="宋体" w:hAnsi="宋体" w:cs="宋体"/>
          <w:color w:val="auto"/>
          <w:highlight w:val="none"/>
          <w:lang w:eastAsia="zh-CN"/>
        </w:rPr>
        <w:t>十二、合同份数</w:t>
      </w:r>
    </w:p>
    <w:p w14:paraId="59CA55F0">
      <w:pPr>
        <w:snapToGrid w:val="0"/>
        <w:spacing w:line="34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本合同一式九份，均具有同等法律效力，发包人执四份，承包人执四份，采购代理机构执一份。</w:t>
      </w:r>
    </w:p>
    <w:p w14:paraId="424FCDC0">
      <w:pPr>
        <w:spacing w:line="400" w:lineRule="exact"/>
        <w:rPr>
          <w:rFonts w:hint="eastAsia" w:ascii="宋体" w:hAnsi="宋体" w:cs="宋体"/>
          <w:b/>
          <w:color w:val="auto"/>
          <w:szCs w:val="21"/>
          <w:highlight w:val="none"/>
          <w:u w:val="single"/>
        </w:rPr>
      </w:pPr>
      <w:r>
        <w:rPr>
          <w:rFonts w:hint="eastAsia" w:ascii="宋体" w:hAnsi="宋体" w:cs="宋体"/>
          <w:color w:val="auto"/>
          <w:szCs w:val="21"/>
          <w:highlight w:val="none"/>
        </w:rPr>
        <w:t>发包人（公章）：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承包人（公章）：</w:t>
      </w:r>
      <w:r>
        <w:rPr>
          <w:rFonts w:hint="eastAsia" w:ascii="宋体" w:hAnsi="宋体" w:cs="宋体"/>
          <w:color w:val="auto"/>
          <w:szCs w:val="21"/>
          <w:highlight w:val="none"/>
          <w:u w:val="single"/>
        </w:rPr>
        <w:t xml:space="preserve">                                    </w:t>
      </w:r>
    </w:p>
    <w:p w14:paraId="0A95185E">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地  址：</w:t>
      </w:r>
      <w:r>
        <w:rPr>
          <w:rFonts w:hint="eastAsia" w:ascii="宋体" w:hAnsi="宋体" w:cs="宋体"/>
          <w:color w:val="auto"/>
          <w:highlight w:val="none"/>
          <w:u w:val="single"/>
        </w:rPr>
        <w:t xml:space="preserve">            </w:t>
      </w:r>
      <w:r>
        <w:rPr>
          <w:rFonts w:hint="eastAsia" w:ascii="宋体" w:hAnsi="宋体" w:cs="宋体"/>
          <w:color w:val="auto"/>
          <w:szCs w:val="21"/>
          <w:highlight w:val="none"/>
        </w:rPr>
        <w:t xml:space="preserve">                  地 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14D48AEB">
      <w:pPr>
        <w:snapToGrid w:val="0"/>
        <w:spacing w:line="400" w:lineRule="exact"/>
        <w:rPr>
          <w:rFonts w:hint="eastAsia" w:ascii="宋体" w:hAnsi="宋体" w:cs="宋体"/>
          <w:color w:val="auto"/>
          <w:szCs w:val="21"/>
          <w:highlight w:val="none"/>
          <w:u w:val="single"/>
        </w:rPr>
      </w:pPr>
      <w:r>
        <w:rPr>
          <w:rFonts w:hint="eastAsia" w:ascii="宋体" w:hAnsi="宋体" w:cs="宋体"/>
          <w:color w:val="auto"/>
          <w:szCs w:val="21"/>
          <w:highlight w:val="none"/>
        </w:rPr>
        <w:t>法定代表人（签字）：</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法定代表人（签字）：</w:t>
      </w:r>
      <w:r>
        <w:rPr>
          <w:rFonts w:hint="eastAsia" w:ascii="宋体" w:hAnsi="宋体" w:cs="宋体"/>
          <w:color w:val="auto"/>
          <w:szCs w:val="21"/>
          <w:highlight w:val="none"/>
          <w:u w:val="single"/>
        </w:rPr>
        <w:t xml:space="preserve">                </w:t>
      </w:r>
    </w:p>
    <w:p w14:paraId="38E218C3">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委托代理人（签字）：</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委托代理人（签字）：</w:t>
      </w:r>
      <w:r>
        <w:rPr>
          <w:rFonts w:hint="eastAsia" w:ascii="宋体" w:hAnsi="宋体" w:cs="宋体"/>
          <w:color w:val="auto"/>
          <w:szCs w:val="21"/>
          <w:highlight w:val="none"/>
          <w:u w:val="single"/>
        </w:rPr>
        <w:t xml:space="preserve">                 </w:t>
      </w:r>
    </w:p>
    <w:p w14:paraId="54DCBDF1">
      <w:pPr>
        <w:snapToGrid w:val="0"/>
        <w:spacing w:line="400" w:lineRule="exact"/>
        <w:rPr>
          <w:rFonts w:hint="eastAsia" w:ascii="宋体" w:hAnsi="宋体" w:cs="宋体"/>
          <w:color w:val="auto"/>
          <w:szCs w:val="21"/>
          <w:highlight w:val="none"/>
          <w:u w:val="single"/>
        </w:rPr>
      </w:pPr>
      <w:r>
        <w:rPr>
          <w:rFonts w:hint="eastAsia" w:ascii="宋体" w:hAnsi="宋体" w:cs="宋体"/>
          <w:color w:val="auto"/>
          <w:szCs w:val="21"/>
          <w:highlight w:val="none"/>
        </w:rPr>
        <w:t>电  话：</w:t>
      </w:r>
      <w:r>
        <w:rPr>
          <w:rFonts w:hint="eastAsia" w:ascii="宋体" w:hAnsi="宋体" w:cs="宋体"/>
          <w:color w:val="auto"/>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电  话：</w:t>
      </w:r>
      <w:r>
        <w:rPr>
          <w:rFonts w:hint="eastAsia" w:ascii="宋体" w:hAnsi="宋体" w:cs="宋体"/>
          <w:color w:val="auto"/>
          <w:szCs w:val="21"/>
          <w:highlight w:val="none"/>
          <w:u w:val="single"/>
        </w:rPr>
        <w:t xml:space="preserve">                      </w:t>
      </w:r>
    </w:p>
    <w:p w14:paraId="336F9CDF">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传  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传  真：</w:t>
      </w:r>
      <w:r>
        <w:rPr>
          <w:rFonts w:hint="eastAsia" w:ascii="宋体" w:hAnsi="宋体" w:cs="宋体"/>
          <w:color w:val="auto"/>
          <w:szCs w:val="21"/>
          <w:highlight w:val="none"/>
          <w:u w:val="single"/>
        </w:rPr>
        <w:t xml:space="preserve">                    </w:t>
      </w:r>
    </w:p>
    <w:p w14:paraId="5BE1D414">
      <w:pPr>
        <w:snapToGrid w:val="0"/>
        <w:spacing w:line="400" w:lineRule="exact"/>
        <w:rPr>
          <w:rFonts w:hint="eastAsia" w:ascii="宋体" w:hAnsi="宋体" w:cs="宋体"/>
          <w:color w:val="auto"/>
          <w:szCs w:val="21"/>
          <w:highlight w:val="none"/>
          <w:u w:val="single"/>
        </w:rPr>
      </w:pPr>
      <w:r>
        <w:rPr>
          <w:rFonts w:hint="eastAsia" w:ascii="宋体" w:hAnsi="宋体" w:cs="宋体"/>
          <w:color w:val="auto"/>
          <w:szCs w:val="21"/>
          <w:highlight w:val="none"/>
        </w:rPr>
        <w:t>电子信箱：</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电子信箱：</w:t>
      </w:r>
      <w:r>
        <w:rPr>
          <w:rFonts w:hint="eastAsia" w:ascii="宋体" w:hAnsi="宋体" w:cs="宋体"/>
          <w:color w:val="auto"/>
          <w:szCs w:val="21"/>
          <w:highlight w:val="none"/>
          <w:u w:val="single"/>
        </w:rPr>
        <w:t xml:space="preserve">          </w:t>
      </w:r>
    </w:p>
    <w:p w14:paraId="0191DE88">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开户银行：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开户银行：</w:t>
      </w:r>
      <w:r>
        <w:rPr>
          <w:rFonts w:hint="eastAsia" w:ascii="宋体" w:hAnsi="宋体" w:cs="宋体"/>
          <w:color w:val="auto"/>
          <w:szCs w:val="21"/>
          <w:highlight w:val="none"/>
          <w:u w:val="single"/>
        </w:rPr>
        <w:t xml:space="preserve">                    </w:t>
      </w:r>
    </w:p>
    <w:p w14:paraId="5412C406">
      <w:pPr>
        <w:snapToGrid w:val="0"/>
        <w:spacing w:line="400" w:lineRule="exact"/>
        <w:rPr>
          <w:rFonts w:hint="eastAsia" w:ascii="宋体" w:hAnsi="宋体" w:cs="宋体"/>
          <w:color w:val="auto"/>
          <w:szCs w:val="21"/>
          <w:highlight w:val="none"/>
          <w:u w:val="single"/>
        </w:rPr>
      </w:pPr>
      <w:r>
        <w:rPr>
          <w:rFonts w:hint="eastAsia" w:ascii="宋体" w:hAnsi="宋体" w:cs="宋体"/>
          <w:color w:val="auto"/>
          <w:szCs w:val="21"/>
          <w:highlight w:val="none"/>
        </w:rPr>
        <w:t>账  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账  号：</w:t>
      </w:r>
      <w:r>
        <w:rPr>
          <w:rFonts w:hint="eastAsia" w:ascii="宋体" w:hAnsi="宋体" w:cs="宋体"/>
          <w:color w:val="auto"/>
          <w:szCs w:val="21"/>
          <w:highlight w:val="none"/>
          <w:u w:val="single"/>
        </w:rPr>
        <w:t xml:space="preserve">                           </w:t>
      </w:r>
    </w:p>
    <w:p w14:paraId="6EF6F1FF">
      <w:pPr>
        <w:snapToGrid w:val="0"/>
        <w:spacing w:line="400" w:lineRule="exact"/>
        <w:rPr>
          <w:rFonts w:hint="eastAsia" w:ascii="宋体" w:hAnsi="宋体" w:cs="宋体"/>
          <w:color w:val="auto"/>
          <w:szCs w:val="20"/>
          <w:highlight w:val="none"/>
        </w:rPr>
      </w:pPr>
      <w:r>
        <w:rPr>
          <w:rFonts w:hint="eastAsia" w:ascii="宋体" w:hAnsi="宋体" w:cs="宋体"/>
          <w:color w:val="auto"/>
          <w:highlight w:val="none"/>
        </w:rPr>
        <w:t>邮政编码：</w:t>
      </w:r>
      <w:r>
        <w:rPr>
          <w:rFonts w:hint="eastAsia" w:ascii="宋体" w:hAnsi="宋体" w:cs="宋体"/>
          <w:color w:val="auto"/>
          <w:szCs w:val="21"/>
          <w:highlight w:val="none"/>
          <w:u w:val="single"/>
        </w:rPr>
        <w:t xml:space="preserve">                       </w:t>
      </w:r>
      <w:r>
        <w:rPr>
          <w:rFonts w:hint="eastAsia" w:ascii="宋体" w:hAnsi="宋体" w:cs="宋体"/>
          <w:color w:val="auto"/>
          <w:highlight w:val="none"/>
        </w:rPr>
        <w:t> 邮政编码：</w:t>
      </w:r>
      <w:r>
        <w:rPr>
          <w:rFonts w:hint="eastAsia" w:ascii="宋体" w:hAnsi="宋体" w:cs="宋体"/>
          <w:color w:val="auto"/>
          <w:szCs w:val="21"/>
          <w:highlight w:val="none"/>
          <w:u w:val="single"/>
        </w:rPr>
        <w:t xml:space="preserve">                          </w:t>
      </w:r>
    </w:p>
    <w:p w14:paraId="12AEA472">
      <w:pPr>
        <w:snapToGrid w:val="0"/>
        <w:spacing w:line="340" w:lineRule="exact"/>
        <w:rPr>
          <w:rFonts w:hint="eastAsia" w:ascii="宋体" w:hAnsi="宋体" w:cs="宋体"/>
          <w:color w:val="auto"/>
          <w:szCs w:val="21"/>
          <w:highlight w:val="none"/>
          <w:u w:val="single"/>
        </w:rPr>
      </w:pPr>
    </w:p>
    <w:p w14:paraId="50E776F7">
      <w:pPr>
        <w:pStyle w:val="2"/>
        <w:jc w:val="center"/>
        <w:rPr>
          <w:rFonts w:hint="eastAsia" w:ascii="宋体" w:hAnsi="宋体" w:cs="宋体"/>
          <w:color w:val="auto"/>
          <w:kern w:val="0"/>
          <w:szCs w:val="21"/>
          <w:highlight w:val="none"/>
        </w:rPr>
      </w:pPr>
      <w:bookmarkStart w:id="107" w:name="_Toc478389010"/>
      <w:bookmarkStart w:id="108" w:name="_Toc389065256"/>
      <w:bookmarkStart w:id="109" w:name="_Toc395382492"/>
      <w:bookmarkStart w:id="110" w:name="_Toc373478338"/>
      <w:bookmarkStart w:id="111" w:name="_Toc351203632"/>
      <w:bookmarkStart w:id="112" w:name="_Toc373227691"/>
      <w:r>
        <w:rPr>
          <w:rFonts w:hint="eastAsia" w:ascii="宋体" w:hAnsi="宋体" w:cs="宋体"/>
          <w:color w:val="auto"/>
          <w:highlight w:val="none"/>
        </w:rPr>
        <w:t>第二部分 通用合同条款</w:t>
      </w:r>
      <w:bookmarkEnd w:id="107"/>
      <w:bookmarkEnd w:id="108"/>
      <w:bookmarkEnd w:id="109"/>
    </w:p>
    <w:p w14:paraId="5ACBBB7E">
      <w:pPr>
        <w:pStyle w:val="322"/>
        <w:rPr>
          <w:rFonts w:hint="eastAsia" w:ascii="宋体" w:cs="宋体"/>
          <w:color w:val="auto"/>
          <w:highlight w:val="none"/>
        </w:rPr>
      </w:pPr>
      <w:bookmarkStart w:id="113" w:name="_Toc478389011"/>
      <w:bookmarkStart w:id="114" w:name="_Toc337558727"/>
      <w:bookmarkStart w:id="115" w:name="_Toc351203495"/>
      <w:r>
        <w:rPr>
          <w:rFonts w:hint="eastAsia" w:ascii="宋体" w:cs="宋体"/>
          <w:color w:val="auto"/>
          <w:highlight w:val="none"/>
        </w:rPr>
        <w:t>1.</w:t>
      </w:r>
      <w:bookmarkStart w:id="116" w:name="_Toc303538973"/>
      <w:bookmarkEnd w:id="116"/>
      <w:bookmarkStart w:id="117" w:name="_Toc303538972"/>
      <w:bookmarkEnd w:id="117"/>
      <w:bookmarkStart w:id="118" w:name="_Toc303538975"/>
      <w:bookmarkEnd w:id="118"/>
      <w:bookmarkStart w:id="119" w:name="_Toc303538974"/>
      <w:bookmarkEnd w:id="119"/>
      <w:bookmarkStart w:id="120" w:name="_Toc303538976"/>
      <w:bookmarkEnd w:id="120"/>
      <w:bookmarkStart w:id="121" w:name="_Toc296503027"/>
      <w:bookmarkStart w:id="122" w:name="_Toc296346528"/>
      <w:r>
        <w:rPr>
          <w:rFonts w:hint="eastAsia" w:ascii="宋体" w:cs="宋体"/>
          <w:color w:val="auto"/>
          <w:highlight w:val="none"/>
        </w:rPr>
        <w:t xml:space="preserve"> 一般约定</w:t>
      </w:r>
      <w:bookmarkEnd w:id="113"/>
      <w:bookmarkEnd w:id="114"/>
      <w:bookmarkEnd w:id="115"/>
      <w:bookmarkEnd w:id="121"/>
      <w:bookmarkEnd w:id="122"/>
    </w:p>
    <w:p w14:paraId="54E4C1D7">
      <w:pPr>
        <w:pStyle w:val="322"/>
        <w:rPr>
          <w:rFonts w:hint="eastAsia" w:ascii="宋体" w:cs="宋体"/>
          <w:color w:val="auto"/>
          <w:highlight w:val="none"/>
        </w:rPr>
      </w:pPr>
      <w:bookmarkStart w:id="123" w:name="_Toc337558728"/>
      <w:bookmarkStart w:id="124" w:name="_Toc296346529"/>
      <w:bookmarkStart w:id="125" w:name="_Toc296503028"/>
      <w:bookmarkStart w:id="126" w:name="_Toc478389012"/>
      <w:bookmarkStart w:id="127" w:name="_Toc351203496"/>
      <w:r>
        <w:rPr>
          <w:rFonts w:hint="eastAsia" w:ascii="宋体" w:cs="宋体"/>
          <w:color w:val="auto"/>
          <w:highlight w:val="none"/>
        </w:rPr>
        <w:t>1.1词语定义</w:t>
      </w:r>
      <w:bookmarkEnd w:id="123"/>
      <w:bookmarkEnd w:id="124"/>
      <w:bookmarkEnd w:id="125"/>
      <w:r>
        <w:rPr>
          <w:rFonts w:hint="eastAsia" w:ascii="宋体" w:cs="宋体"/>
          <w:color w:val="auto"/>
          <w:highlight w:val="none"/>
        </w:rPr>
        <w:t>与解释</w:t>
      </w:r>
      <w:bookmarkEnd w:id="126"/>
      <w:bookmarkEnd w:id="127"/>
    </w:p>
    <w:p w14:paraId="66ED329D">
      <w:pPr>
        <w:autoSpaceDE w:val="0"/>
        <w:autoSpaceDN w:val="0"/>
        <w:adjustRightInd w:val="0"/>
        <w:spacing w:line="42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合同协议书、通用合同条款、专用合同条款中的下列词语具有本款所赋予的含义：</w:t>
      </w:r>
    </w:p>
    <w:p w14:paraId="34BBA540">
      <w:pPr>
        <w:pStyle w:val="80"/>
        <w:ind w:firstLine="402"/>
        <w:outlineLvl w:val="0"/>
        <w:rPr>
          <w:rFonts w:hint="eastAsia" w:cs="宋体"/>
          <w:b/>
          <w:color w:val="auto"/>
          <w:highlight w:val="none"/>
        </w:rPr>
      </w:pPr>
      <w:bookmarkStart w:id="128" w:name="_Toc478389013"/>
      <w:bookmarkStart w:id="129" w:name="_Toc406419169"/>
      <w:bookmarkStart w:id="130" w:name="_Toc406522044"/>
      <w:r>
        <w:rPr>
          <w:rFonts w:hint="eastAsia" w:cs="宋体"/>
          <w:b/>
          <w:color w:val="auto"/>
          <w:highlight w:val="none"/>
        </w:rPr>
        <w:t>1.1.1 合同</w:t>
      </w:r>
      <w:bookmarkEnd w:id="128"/>
      <w:bookmarkEnd w:id="129"/>
      <w:bookmarkEnd w:id="130"/>
    </w:p>
    <w:p w14:paraId="1DBF5787">
      <w:pPr>
        <w:autoSpaceDE w:val="0"/>
        <w:autoSpaceDN w:val="0"/>
        <w:adjustRightInd w:val="0"/>
        <w:spacing w:line="42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1.1.1.1 合同：是指根据法律规定和合同当事人约定具有约束力的文件，构成合同的文件包括合同协议书、成交通知书（如果有）、投标函及其附录（如果有）、专用合同条款</w:t>
      </w:r>
      <w:r>
        <w:rPr>
          <w:rFonts w:hint="eastAsia" w:ascii="宋体" w:hAnsi="宋体" w:cs="宋体"/>
          <w:color w:val="auto"/>
          <w:szCs w:val="21"/>
          <w:highlight w:val="none"/>
        </w:rPr>
        <w:t>及其附件</w:t>
      </w:r>
      <w:r>
        <w:rPr>
          <w:rFonts w:hint="eastAsia" w:ascii="宋体" w:hAnsi="宋体" w:cs="宋体"/>
          <w:color w:val="auto"/>
          <w:kern w:val="0"/>
          <w:szCs w:val="21"/>
          <w:highlight w:val="none"/>
        </w:rPr>
        <w:t>、通用合同条款、技术标准和要求、图纸（如有）、已标价工程量清单或预算书以及其他合同文件。</w:t>
      </w:r>
    </w:p>
    <w:p w14:paraId="508D9043">
      <w:pPr>
        <w:autoSpaceDE w:val="0"/>
        <w:autoSpaceDN w:val="0"/>
        <w:adjustRightInd w:val="0"/>
        <w:spacing w:line="42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1.1.1.2 合同协议书：是指构成合同的由发包人和承包人共同签署的称为“合同协议书”的书面文件。</w:t>
      </w:r>
    </w:p>
    <w:p w14:paraId="61E43959">
      <w:pPr>
        <w:autoSpaceDE w:val="0"/>
        <w:autoSpaceDN w:val="0"/>
        <w:adjustRightInd w:val="0"/>
        <w:spacing w:line="42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1.1.1.3 成交通知书：是指构成合同的由发包人通知承包人成交的书面文件。</w:t>
      </w:r>
    </w:p>
    <w:p w14:paraId="0B78F176">
      <w:pPr>
        <w:autoSpaceDE w:val="0"/>
        <w:autoSpaceDN w:val="0"/>
        <w:adjustRightInd w:val="0"/>
        <w:spacing w:line="42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1.1.1.4 投标函：是指构成合同的由承包人填写并签署的用于投标的称为“投标函”的文件。</w:t>
      </w:r>
    </w:p>
    <w:p w14:paraId="39D40573">
      <w:pPr>
        <w:autoSpaceDE w:val="0"/>
        <w:autoSpaceDN w:val="0"/>
        <w:adjustRightInd w:val="0"/>
        <w:spacing w:line="42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1.1.1.5 投标函附录：是指构成合同的附在投标函后的称为“投标函附录”的文件。</w:t>
      </w:r>
    </w:p>
    <w:p w14:paraId="15E1CE7E">
      <w:pPr>
        <w:autoSpaceDE w:val="0"/>
        <w:autoSpaceDN w:val="0"/>
        <w:adjustRightInd w:val="0"/>
        <w:spacing w:line="42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1.1.1.6 技术标准和要求：是指构成合同的施工应当遵守的或指导施工的国家、行业或地方的技术标准和要求，以及合同约定的技术标准和要求。</w:t>
      </w:r>
    </w:p>
    <w:p w14:paraId="12BB76B7">
      <w:pPr>
        <w:spacing w:line="42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1.1.1.7 图纸（如有）：是指构成合同的图纸，包括由发包人按照合同约定提供或经发包人批准的设计文件、施工图、鸟瞰图及模型等，以及在合同履行过程中形成的图纸文件。图纸应当按照法律规定审查合格。</w:t>
      </w:r>
    </w:p>
    <w:p w14:paraId="3CC61423">
      <w:pPr>
        <w:autoSpaceDE w:val="0"/>
        <w:autoSpaceDN w:val="0"/>
        <w:adjustRightInd w:val="0"/>
        <w:spacing w:line="420" w:lineRule="exact"/>
        <w:ind w:firstLine="409" w:firstLineChars="195"/>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1.1.1.8 已标价工程量清单：是指构成合同的由承包人按照规定的格式和要求填写并标明价格的工程量清单，包括说明和表格。</w:t>
      </w:r>
    </w:p>
    <w:p w14:paraId="15FF4B66">
      <w:pPr>
        <w:autoSpaceDE w:val="0"/>
        <w:autoSpaceDN w:val="0"/>
        <w:adjustRightInd w:val="0"/>
        <w:spacing w:line="420" w:lineRule="exact"/>
        <w:ind w:firstLine="409" w:firstLineChars="195"/>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1.1.1.9 预算书：是指构成合同的由承包人按照发包人规定的格式和要求编制的工程预算文件。</w:t>
      </w:r>
    </w:p>
    <w:p w14:paraId="7DFC42DF">
      <w:pPr>
        <w:autoSpaceDE w:val="0"/>
        <w:autoSpaceDN w:val="0"/>
        <w:adjustRightInd w:val="0"/>
        <w:spacing w:line="42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1.1.1.10 其他合同文件：是指经合同当事人约定的与工程施工有关的具有合同约束力的文件或书面协议。合同当事人可以在专用合同条款中进行约定。</w:t>
      </w:r>
    </w:p>
    <w:p w14:paraId="519E5567">
      <w:pPr>
        <w:pStyle w:val="80"/>
        <w:ind w:firstLine="402"/>
        <w:outlineLvl w:val="0"/>
        <w:rPr>
          <w:rFonts w:hint="eastAsia" w:cs="宋体"/>
          <w:b/>
          <w:color w:val="auto"/>
          <w:highlight w:val="none"/>
        </w:rPr>
      </w:pPr>
      <w:bookmarkStart w:id="131" w:name="_Toc406419170"/>
      <w:bookmarkStart w:id="132" w:name="_Toc406522045"/>
      <w:bookmarkStart w:id="133" w:name="_Toc478389014"/>
      <w:r>
        <w:rPr>
          <w:rFonts w:hint="eastAsia" w:cs="宋体"/>
          <w:b/>
          <w:color w:val="auto"/>
          <w:highlight w:val="none"/>
        </w:rPr>
        <w:t>1.1.2 合同当事人及其他相关方</w:t>
      </w:r>
      <w:bookmarkEnd w:id="131"/>
      <w:bookmarkEnd w:id="132"/>
      <w:bookmarkEnd w:id="133"/>
    </w:p>
    <w:p w14:paraId="423F3BF1">
      <w:pPr>
        <w:autoSpaceDE w:val="0"/>
        <w:autoSpaceDN w:val="0"/>
        <w:adjustRightInd w:val="0"/>
        <w:spacing w:line="42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1.1.2.1 合同当事人：是指发包人和（或）承包人。</w:t>
      </w:r>
    </w:p>
    <w:p w14:paraId="0EEB5921">
      <w:pPr>
        <w:autoSpaceDE w:val="0"/>
        <w:autoSpaceDN w:val="0"/>
        <w:adjustRightInd w:val="0"/>
        <w:spacing w:line="42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1.1.2.2 发包人：是指与承包人签订合同协议书的当事人及取得该当事人资格的合法继承人。</w:t>
      </w:r>
    </w:p>
    <w:p w14:paraId="75C712E3">
      <w:pPr>
        <w:autoSpaceDE w:val="0"/>
        <w:autoSpaceDN w:val="0"/>
        <w:adjustRightInd w:val="0"/>
        <w:spacing w:line="42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1.1.2.3 承包人：是指与发包人签订合同协议书的，具有相应工程施工承包资质的当事人及取得该当事人资格的合法继承人。</w:t>
      </w:r>
    </w:p>
    <w:p w14:paraId="712C8EBD">
      <w:pPr>
        <w:autoSpaceDE w:val="0"/>
        <w:autoSpaceDN w:val="0"/>
        <w:adjustRightInd w:val="0"/>
        <w:spacing w:line="42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1.1.2.4 监理人：是指在专用合同条款中指明的，受发包人委托按照法律规定进行工程监督管理的法人或其他组织。</w:t>
      </w:r>
    </w:p>
    <w:p w14:paraId="556CE7AA">
      <w:pPr>
        <w:autoSpaceDE w:val="0"/>
        <w:autoSpaceDN w:val="0"/>
        <w:adjustRightInd w:val="0"/>
        <w:spacing w:line="42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1.1.2.5 设计人：是指在专用合同条款中指明的，受发包人委托负责工程设计并具备相应工程设计资质的法人或其他组织。</w:t>
      </w:r>
    </w:p>
    <w:p w14:paraId="4E003A1A">
      <w:pPr>
        <w:spacing w:line="420" w:lineRule="exact"/>
        <w:ind w:firstLine="409" w:firstLineChars="195"/>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1.1.2.6 分包人：</w:t>
      </w:r>
      <w:bookmarkStart w:id="134" w:name="#go5"/>
      <w:bookmarkEnd w:id="134"/>
      <w:r>
        <w:rPr>
          <w:rFonts w:hint="eastAsia" w:ascii="宋体" w:hAnsi="宋体" w:cs="宋体"/>
          <w:color w:val="auto"/>
          <w:kern w:val="0"/>
          <w:szCs w:val="21"/>
          <w:highlight w:val="none"/>
        </w:rPr>
        <w:t>是指按照法律规定和合同约定，分包部分工程或工作，并与承包人签订分包合同的具有相应资质的法人。</w:t>
      </w:r>
    </w:p>
    <w:p w14:paraId="79C1CD03">
      <w:pPr>
        <w:autoSpaceDE w:val="0"/>
        <w:autoSpaceDN w:val="0"/>
        <w:adjustRightInd w:val="0"/>
        <w:spacing w:line="42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1.1.2.7 发包人代表：是指由发包人任命并派驻施工现场在发包人授权范围内行使发包人权利的人。</w:t>
      </w:r>
    </w:p>
    <w:p w14:paraId="1AE2D691">
      <w:pPr>
        <w:autoSpaceDE w:val="0"/>
        <w:autoSpaceDN w:val="0"/>
        <w:adjustRightInd w:val="0"/>
        <w:spacing w:line="42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1.1.2.8 项目经理：是指由承包人任命并派驻施工现场，在承包人授权范围内负责合同履行，且按照法律规定具有相应资格的项目负责人。</w:t>
      </w:r>
    </w:p>
    <w:p w14:paraId="0B4E3080">
      <w:pPr>
        <w:spacing w:line="42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1.1.2.9 总监理工程师：是指由监理人任命并派驻施工现场进行工程监理的总负责人。</w:t>
      </w:r>
    </w:p>
    <w:p w14:paraId="51A75E57">
      <w:pPr>
        <w:pStyle w:val="80"/>
        <w:ind w:firstLine="402"/>
        <w:outlineLvl w:val="0"/>
        <w:rPr>
          <w:rFonts w:hint="eastAsia" w:cs="宋体"/>
          <w:b/>
          <w:color w:val="auto"/>
          <w:highlight w:val="none"/>
        </w:rPr>
      </w:pPr>
      <w:bookmarkStart w:id="135" w:name="_Toc406522046"/>
      <w:bookmarkStart w:id="136" w:name="_Toc478389015"/>
      <w:bookmarkStart w:id="137" w:name="_Toc406419171"/>
      <w:r>
        <w:rPr>
          <w:rFonts w:hint="eastAsia" w:cs="宋体"/>
          <w:b/>
          <w:color w:val="auto"/>
          <w:highlight w:val="none"/>
        </w:rPr>
        <w:t>1.1.3 工程和设备</w:t>
      </w:r>
      <w:bookmarkEnd w:id="135"/>
      <w:bookmarkEnd w:id="136"/>
      <w:bookmarkEnd w:id="137"/>
    </w:p>
    <w:p w14:paraId="1CDB0028">
      <w:pPr>
        <w:spacing w:line="42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1.1.3.1 工程：是指与合同协议书中工程承包范围对应的永久工程和（或）临时工程。</w:t>
      </w:r>
    </w:p>
    <w:p w14:paraId="18A1BC20">
      <w:pPr>
        <w:spacing w:line="42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1.1.3.2 永久工程：是指按合同约定建造并移交给发包人的工程，包括工程设备。</w:t>
      </w:r>
    </w:p>
    <w:p w14:paraId="0FBAD6F1">
      <w:pPr>
        <w:spacing w:line="42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1.1.3.3 临时工程：是指为完成合同约定的永久工程所修建的各类临时性工程，不包括施工设备。</w:t>
      </w:r>
    </w:p>
    <w:p w14:paraId="0DD4A1B0">
      <w:pPr>
        <w:spacing w:line="42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1.1.3.4 单位工程：是指在合同协议书中指明的，具备独立施工条件并能形成独立使用功能的永久工程。</w:t>
      </w:r>
    </w:p>
    <w:p w14:paraId="314B9104">
      <w:pPr>
        <w:spacing w:line="42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1.1.3.5 工程设备：是指构成永久工程的机电设备、金属结构设备、仪器及其他类似的设备和装置。</w:t>
      </w:r>
    </w:p>
    <w:p w14:paraId="3B070325">
      <w:pPr>
        <w:spacing w:line="42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1.1.3.6 施工设备：是指为完成合同约定的各项工作所需的设备、器具和其他物品，但不包括工程设备、临时工程和材料。</w:t>
      </w:r>
    </w:p>
    <w:p w14:paraId="1710813B">
      <w:pPr>
        <w:spacing w:line="42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1.1.3.7 施工现场：是指用于工程施工的场所，以及在专用合同条款中指明作为施工场所组成部分的其他场所，包括永久占地和临时占地。</w:t>
      </w:r>
    </w:p>
    <w:p w14:paraId="6F3A5F4A">
      <w:pPr>
        <w:spacing w:line="42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1.1.3.8临时设施：是指为完成合同约定的各项工作所服务的临时性生产和生活设施。</w:t>
      </w:r>
    </w:p>
    <w:p w14:paraId="2D669631">
      <w:pPr>
        <w:spacing w:line="42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1.1.3.9 永久占地：是指专用合同条款中指明为实施工程需永久占用的土地。</w:t>
      </w:r>
    </w:p>
    <w:p w14:paraId="539C9677">
      <w:pPr>
        <w:spacing w:line="42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1.1.3.10 临时占地：是指专用合同条款中指明为实施工程需要临时占用的土地。</w:t>
      </w:r>
    </w:p>
    <w:p w14:paraId="394523B4">
      <w:pPr>
        <w:pStyle w:val="80"/>
        <w:ind w:firstLine="402"/>
        <w:outlineLvl w:val="0"/>
        <w:rPr>
          <w:rFonts w:hint="eastAsia" w:cs="宋体"/>
          <w:b/>
          <w:color w:val="auto"/>
          <w:highlight w:val="none"/>
        </w:rPr>
      </w:pPr>
      <w:bookmarkStart w:id="138" w:name="_Toc406522047"/>
      <w:bookmarkStart w:id="139" w:name="_Toc406419172"/>
      <w:bookmarkStart w:id="140" w:name="_Toc478389016"/>
      <w:r>
        <w:rPr>
          <w:rFonts w:hint="eastAsia" w:cs="宋体"/>
          <w:b/>
          <w:color w:val="auto"/>
          <w:highlight w:val="none"/>
        </w:rPr>
        <w:t>1.1.4 日期和期限</w:t>
      </w:r>
      <w:bookmarkEnd w:id="138"/>
      <w:bookmarkEnd w:id="139"/>
      <w:bookmarkEnd w:id="140"/>
    </w:p>
    <w:p w14:paraId="2C778D61">
      <w:pPr>
        <w:spacing w:line="42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1.1.4.1 开工日期：包括计划开工日期和实际开工日期。计划开工日期是指合同协议书约定的开工日期；实际开工日期是指监理人按照第7.3.2项〔开工通知〕约定发出的符合法律规定的开工通知中载明的开工日期。</w:t>
      </w:r>
    </w:p>
    <w:p w14:paraId="017785AE">
      <w:pPr>
        <w:spacing w:line="42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1.1.4.2 竣工日期：包括计划竣工日期和实际竣工日期。计划竣工日期是指合同协议书约定的竣工日期；实际竣工日期按照第13.2.3项〔竣工日期〕的约定确定。 </w:t>
      </w:r>
    </w:p>
    <w:p w14:paraId="6150039B">
      <w:pPr>
        <w:spacing w:line="420" w:lineRule="exact"/>
        <w:ind w:firstLine="426" w:firstLineChars="203"/>
        <w:rPr>
          <w:rFonts w:hint="eastAsia" w:ascii="宋体" w:hAnsi="宋体" w:cs="宋体"/>
          <w:color w:val="auto"/>
          <w:szCs w:val="21"/>
          <w:highlight w:val="none"/>
        </w:rPr>
      </w:pPr>
      <w:r>
        <w:rPr>
          <w:rFonts w:hint="eastAsia" w:ascii="宋体" w:hAnsi="宋体" w:cs="宋体"/>
          <w:color w:val="auto"/>
          <w:kern w:val="0"/>
          <w:szCs w:val="21"/>
          <w:highlight w:val="none"/>
        </w:rPr>
        <w:t>1.1.4.3 工期：是指在合同协议书约定的承包人完成工程所需的期限，包括按照合同约定所作的期限变更。</w:t>
      </w:r>
    </w:p>
    <w:p w14:paraId="55A72F45">
      <w:pPr>
        <w:spacing w:line="42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1.1.4.4 缺陷责任期：是指承包人按照合同约定承担缺陷修复义务，且发包人预留质量保证金的期限，自工程实际竣工日期起计算。</w:t>
      </w:r>
    </w:p>
    <w:p w14:paraId="09CD46D5">
      <w:pPr>
        <w:spacing w:line="42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1.1.4.5 保修期：是指承包人按照合同约定对工程承担保修责任的期限，从工程竣工验收合格之日起计算。</w:t>
      </w:r>
    </w:p>
    <w:p w14:paraId="232307E9">
      <w:pPr>
        <w:spacing w:line="42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1.1.4.6 基准日期：招标发包的工程以投标截止日前28天的日期为基准日期，直接发包的工程以合同签订日前28天的日期为基准日期。</w:t>
      </w:r>
    </w:p>
    <w:p w14:paraId="11F347C5">
      <w:pPr>
        <w:spacing w:line="42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1.1.4.7 天：除特别指明外，均指日历天。合同中按天计算时间的，开始当天不计入，从次日开始计算，期限最后一天的截止时间为当天24</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00时。</w:t>
      </w:r>
    </w:p>
    <w:p w14:paraId="3D15070A">
      <w:pPr>
        <w:pStyle w:val="80"/>
        <w:ind w:firstLine="402"/>
        <w:outlineLvl w:val="0"/>
        <w:rPr>
          <w:rFonts w:hint="eastAsia" w:cs="宋体"/>
          <w:b/>
          <w:color w:val="auto"/>
          <w:highlight w:val="none"/>
        </w:rPr>
      </w:pPr>
      <w:bookmarkStart w:id="141" w:name="_Toc406419173"/>
      <w:bookmarkStart w:id="142" w:name="_Toc478389017"/>
      <w:bookmarkStart w:id="143" w:name="_Toc406522048"/>
      <w:r>
        <w:rPr>
          <w:rFonts w:hint="eastAsia" w:cs="宋体"/>
          <w:b/>
          <w:color w:val="auto"/>
          <w:highlight w:val="none"/>
        </w:rPr>
        <w:t>1.1.5 合同价格和费用</w:t>
      </w:r>
      <w:bookmarkEnd w:id="141"/>
      <w:bookmarkEnd w:id="142"/>
      <w:bookmarkEnd w:id="143"/>
    </w:p>
    <w:p w14:paraId="6ABBE67E">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kern w:val="0"/>
          <w:szCs w:val="21"/>
          <w:highlight w:val="none"/>
        </w:rPr>
        <w:t>1.1.5.1 签约合同价：是指</w:t>
      </w:r>
      <w:r>
        <w:rPr>
          <w:rFonts w:hint="eastAsia" w:ascii="宋体" w:hAnsi="宋体" w:cs="宋体"/>
          <w:color w:val="auto"/>
          <w:szCs w:val="21"/>
          <w:highlight w:val="none"/>
        </w:rPr>
        <w:t>发包人和承包人在合同协议书中确定的总金额，包括安全文明施工费、暂估价及暂列金额等。</w:t>
      </w:r>
    </w:p>
    <w:p w14:paraId="45866423">
      <w:pPr>
        <w:spacing w:line="42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1.1.5.2 合同价格：是指发包人用于支付承包人按照合同约定完成承包范围内全部工作的金额，包括合同履行过程中按合同约定发生的价格变化。</w:t>
      </w:r>
    </w:p>
    <w:p w14:paraId="4FBC6FED">
      <w:pPr>
        <w:spacing w:line="42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1.1.5.3 费用：是指为履行合同所发生的或将要发生的所有必需的开支，包括管理费和应分摊的其他费用，但不包括利润。</w:t>
      </w:r>
    </w:p>
    <w:p w14:paraId="0B1EAF71">
      <w:pPr>
        <w:spacing w:line="42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1.1.5.4 暂估价：是指发包人在工程量清单或预算书中提供的用于支付必然发生但暂时不能确定价格的材料、工程设备的单价、专业工程以及服务工作的金额。</w:t>
      </w:r>
    </w:p>
    <w:p w14:paraId="333D3B72">
      <w:pPr>
        <w:spacing w:line="42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1.1.5.5 暂列金额：是指发包人在工程量清单或预算书中暂定并包括在合同价格中的一笔款项，用于工程合同签订时尚未确定或者不可预见的所需材料、工程设备、服务的采购，施工中可能发生的工程变更、合同约定调整因素出现时的合同价格调整以及发生的索赔、现场签证确认等的费用。</w:t>
      </w:r>
    </w:p>
    <w:p w14:paraId="4F1E637F">
      <w:pPr>
        <w:spacing w:line="42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1.1.5.6 计日工：是指合同履行过程中，承包人完成发包人提出的零星工作或需要采用计日工计价的变更工作时，按合同中约定的单价计价的一种方式。</w:t>
      </w:r>
    </w:p>
    <w:p w14:paraId="5BDBEC3B">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kern w:val="0"/>
          <w:szCs w:val="21"/>
          <w:highlight w:val="none"/>
        </w:rPr>
        <w:t>1.1.5.7 质量保证金</w:t>
      </w:r>
      <w:bookmarkStart w:id="144" w:name="#go2"/>
      <w:bookmarkEnd w:id="144"/>
      <w:r>
        <w:rPr>
          <w:rFonts w:hint="eastAsia" w:ascii="宋体" w:hAnsi="宋体" w:cs="宋体"/>
          <w:color w:val="auto"/>
          <w:kern w:val="0"/>
          <w:szCs w:val="21"/>
          <w:highlight w:val="none"/>
        </w:rPr>
        <w:t>：是指按照第15.3款〔质量保证金〕约定承包人用于保证其在缺陷责任期内履行缺陷修补义务的担保</w:t>
      </w:r>
      <w:r>
        <w:rPr>
          <w:rFonts w:hint="eastAsia" w:ascii="宋体" w:hAnsi="宋体" w:cs="宋体"/>
          <w:color w:val="auto"/>
          <w:szCs w:val="21"/>
          <w:highlight w:val="none"/>
        </w:rPr>
        <w:t>。</w:t>
      </w:r>
    </w:p>
    <w:p w14:paraId="1F027F42">
      <w:pPr>
        <w:spacing w:line="42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1.1.5.8 总价项目：是指在现行国家、行业以及地方的计量规则中无工程量计算规则，在已标价工程量清单或预算书中以总价或以费率形式计算的项目。</w:t>
      </w:r>
    </w:p>
    <w:p w14:paraId="3DD8C910">
      <w:pPr>
        <w:pStyle w:val="80"/>
        <w:ind w:firstLine="402"/>
        <w:outlineLvl w:val="0"/>
        <w:rPr>
          <w:rFonts w:hint="eastAsia" w:cs="宋体"/>
          <w:b/>
          <w:color w:val="auto"/>
          <w:highlight w:val="none"/>
        </w:rPr>
      </w:pPr>
      <w:bookmarkStart w:id="145" w:name="_Toc406419174"/>
      <w:bookmarkStart w:id="146" w:name="_Toc406522049"/>
      <w:bookmarkStart w:id="147" w:name="_Toc478389018"/>
      <w:r>
        <w:rPr>
          <w:rFonts w:hint="eastAsia" w:cs="宋体"/>
          <w:b/>
          <w:color w:val="auto"/>
          <w:highlight w:val="none"/>
        </w:rPr>
        <w:t>1.1.6 其他</w:t>
      </w:r>
      <w:bookmarkEnd w:id="145"/>
      <w:bookmarkEnd w:id="146"/>
      <w:bookmarkEnd w:id="147"/>
    </w:p>
    <w:p w14:paraId="40A64C98">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1.1.6.1 书面形式：是指合同文件、信函、电报、传真等可以有形地表现所载内容的形式。</w:t>
      </w:r>
    </w:p>
    <w:p w14:paraId="46D53EA2">
      <w:pPr>
        <w:pStyle w:val="322"/>
        <w:rPr>
          <w:rFonts w:hint="eastAsia" w:ascii="宋体" w:cs="宋体"/>
          <w:color w:val="auto"/>
          <w:highlight w:val="none"/>
        </w:rPr>
      </w:pPr>
      <w:bookmarkStart w:id="148" w:name="_Toc351203497"/>
      <w:bookmarkStart w:id="149" w:name="_Toc337558729"/>
      <w:bookmarkStart w:id="150" w:name="_Toc478389019"/>
      <w:bookmarkStart w:id="151" w:name="_Toc296503029"/>
      <w:bookmarkStart w:id="152" w:name="_Toc296346530"/>
      <w:r>
        <w:rPr>
          <w:rFonts w:hint="eastAsia" w:ascii="宋体" w:cs="宋体"/>
          <w:color w:val="auto"/>
          <w:highlight w:val="none"/>
        </w:rPr>
        <w:t>1.2语言文字</w:t>
      </w:r>
      <w:bookmarkEnd w:id="148"/>
      <w:bookmarkEnd w:id="149"/>
      <w:bookmarkEnd w:id="150"/>
      <w:bookmarkEnd w:id="151"/>
      <w:bookmarkEnd w:id="152"/>
    </w:p>
    <w:p w14:paraId="7DD09767">
      <w:pPr>
        <w:autoSpaceDE w:val="0"/>
        <w:autoSpaceDN w:val="0"/>
        <w:adjustRightInd w:val="0"/>
        <w:spacing w:line="42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合同以中国的汉语简体文字编写、解释和说明。合同当事人在专用合同条款中约定使用两种以上语言时，汉语为优先解释和说明合同的语言。</w:t>
      </w:r>
    </w:p>
    <w:p w14:paraId="464D405B">
      <w:pPr>
        <w:pStyle w:val="322"/>
        <w:rPr>
          <w:rFonts w:hint="eastAsia" w:ascii="宋体" w:cs="宋体"/>
          <w:color w:val="auto"/>
          <w:highlight w:val="none"/>
        </w:rPr>
      </w:pPr>
      <w:bookmarkStart w:id="153" w:name="_Toc478389020"/>
      <w:bookmarkStart w:id="154" w:name="_Toc351203498"/>
      <w:bookmarkStart w:id="155" w:name="_Toc296503030"/>
      <w:bookmarkStart w:id="156" w:name="_Toc337558730"/>
      <w:bookmarkStart w:id="157" w:name="_Toc296346531"/>
      <w:r>
        <w:rPr>
          <w:rFonts w:hint="eastAsia" w:ascii="宋体" w:cs="宋体"/>
          <w:color w:val="auto"/>
          <w:highlight w:val="none"/>
        </w:rPr>
        <w:t>1.3法律</w:t>
      </w:r>
      <w:bookmarkEnd w:id="153"/>
      <w:bookmarkEnd w:id="154"/>
      <w:bookmarkEnd w:id="155"/>
      <w:bookmarkEnd w:id="156"/>
      <w:bookmarkEnd w:id="157"/>
    </w:p>
    <w:p w14:paraId="1CAAB94E">
      <w:pPr>
        <w:autoSpaceDE w:val="0"/>
        <w:autoSpaceDN w:val="0"/>
        <w:adjustRightInd w:val="0"/>
        <w:spacing w:line="42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合同所称法律是指中华人民共和国法律、行政法规、部门规章，以及工程所在地的地方性法规、自治条例、单行条例和地方规章等。</w:t>
      </w:r>
    </w:p>
    <w:p w14:paraId="5C939B6F">
      <w:pPr>
        <w:autoSpaceDE w:val="0"/>
        <w:autoSpaceDN w:val="0"/>
        <w:adjustRightInd w:val="0"/>
        <w:spacing w:line="42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合同当事人可以在专用合同条款中约定合同适用的其他规范性文件。</w:t>
      </w:r>
    </w:p>
    <w:p w14:paraId="25BED0B6">
      <w:pPr>
        <w:pStyle w:val="322"/>
        <w:rPr>
          <w:rFonts w:hint="eastAsia" w:ascii="宋体" w:cs="宋体"/>
          <w:color w:val="auto"/>
          <w:highlight w:val="none"/>
        </w:rPr>
      </w:pPr>
      <w:bookmarkStart w:id="158" w:name="_Toc351203499"/>
      <w:bookmarkStart w:id="159" w:name="_Toc478389021"/>
      <w:r>
        <w:rPr>
          <w:rFonts w:hint="eastAsia" w:ascii="宋体" w:cs="宋体"/>
          <w:color w:val="auto"/>
          <w:highlight w:val="none"/>
        </w:rPr>
        <w:t>1.4 标准和规范</w:t>
      </w:r>
      <w:bookmarkEnd w:id="158"/>
      <w:bookmarkEnd w:id="159"/>
    </w:p>
    <w:p w14:paraId="2459925D">
      <w:pPr>
        <w:autoSpaceDE w:val="0"/>
        <w:autoSpaceDN w:val="0"/>
        <w:adjustRightInd w:val="0"/>
        <w:spacing w:line="420" w:lineRule="exact"/>
        <w:ind w:firstLine="426"/>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1.4.1 适用于工程的国家标准、行业标准、工程所在地的地方性标准，以及相应的规范、规程等，合同当事人有特别要求的，应在专用合同条款中约定。</w:t>
      </w:r>
    </w:p>
    <w:p w14:paraId="1B50AEC3">
      <w:pPr>
        <w:autoSpaceDE w:val="0"/>
        <w:autoSpaceDN w:val="0"/>
        <w:adjustRightInd w:val="0"/>
        <w:spacing w:line="420" w:lineRule="exact"/>
        <w:ind w:firstLine="426"/>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1.4.2 发包人要求使用国外标准、规范的，发包人负责提供原文版本和中文译本，并在专用合同条款中约定提供标准规范的名称、份数和时间。</w:t>
      </w:r>
    </w:p>
    <w:p w14:paraId="014D326E">
      <w:pPr>
        <w:autoSpaceDE w:val="0"/>
        <w:autoSpaceDN w:val="0"/>
        <w:adjustRightInd w:val="0"/>
        <w:spacing w:line="420" w:lineRule="exact"/>
        <w:ind w:firstLine="426"/>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1.4.3 发包人对工程的技术标准、功能要求高于或严于现行国家、行业或地方标准的，应当在专用合同条款中予以明确。除专用合同条款另有约定外，应视为承包人在签订合同前已充分预见前述技术标准和功能要求的复杂程度，签约合同价中已包含由此产生的费用。</w:t>
      </w:r>
    </w:p>
    <w:p w14:paraId="0994534C">
      <w:pPr>
        <w:pStyle w:val="322"/>
        <w:rPr>
          <w:rFonts w:hint="eastAsia" w:ascii="宋体" w:cs="宋体"/>
          <w:color w:val="auto"/>
          <w:highlight w:val="none"/>
        </w:rPr>
      </w:pPr>
      <w:bookmarkStart w:id="160" w:name="_Toc351203500"/>
      <w:bookmarkStart w:id="161" w:name="_Toc478389022"/>
      <w:r>
        <w:rPr>
          <w:rFonts w:hint="eastAsia" w:ascii="宋体" w:cs="宋体"/>
          <w:color w:val="auto"/>
          <w:highlight w:val="none"/>
        </w:rPr>
        <w:t>1</w:t>
      </w:r>
      <w:bookmarkStart w:id="162" w:name="_Toc337558731"/>
      <w:bookmarkStart w:id="163" w:name="_Toc296346532"/>
      <w:bookmarkStart w:id="164" w:name="_Toc296503031"/>
      <w:r>
        <w:rPr>
          <w:rFonts w:hint="eastAsia" w:ascii="宋体" w:cs="宋体"/>
          <w:color w:val="auto"/>
          <w:highlight w:val="none"/>
        </w:rPr>
        <w:t>.5 合同文件的优先顺序</w:t>
      </w:r>
      <w:bookmarkEnd w:id="160"/>
      <w:bookmarkEnd w:id="161"/>
    </w:p>
    <w:bookmarkEnd w:id="162"/>
    <w:bookmarkEnd w:id="163"/>
    <w:bookmarkEnd w:id="164"/>
    <w:p w14:paraId="1A4C39F8">
      <w:pPr>
        <w:autoSpaceDE w:val="0"/>
        <w:autoSpaceDN w:val="0"/>
        <w:adjustRightInd w:val="0"/>
        <w:spacing w:line="42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组成合同的各项文件应互相解释，互为说明。除专用合同条款另有约定外，解释合同文件的优先顺序如下：</w:t>
      </w:r>
    </w:p>
    <w:p w14:paraId="79589646">
      <w:pPr>
        <w:autoSpaceDE w:val="0"/>
        <w:autoSpaceDN w:val="0"/>
        <w:adjustRightInd w:val="0"/>
        <w:spacing w:line="42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（1）合同协议书；</w:t>
      </w:r>
    </w:p>
    <w:p w14:paraId="568A064F">
      <w:pPr>
        <w:autoSpaceDE w:val="0"/>
        <w:autoSpaceDN w:val="0"/>
        <w:adjustRightInd w:val="0"/>
        <w:spacing w:line="42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（2）成交通知书（如果有）；</w:t>
      </w:r>
    </w:p>
    <w:p w14:paraId="0820E523">
      <w:pPr>
        <w:autoSpaceDE w:val="0"/>
        <w:autoSpaceDN w:val="0"/>
        <w:adjustRightInd w:val="0"/>
        <w:spacing w:line="42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（3）投标函及其附录（如果有）；</w:t>
      </w:r>
    </w:p>
    <w:p w14:paraId="71031A6C">
      <w:pPr>
        <w:autoSpaceDE w:val="0"/>
        <w:autoSpaceDN w:val="0"/>
        <w:adjustRightInd w:val="0"/>
        <w:spacing w:line="42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（4）专用合同条款</w:t>
      </w:r>
      <w:r>
        <w:rPr>
          <w:rFonts w:hint="eastAsia" w:ascii="宋体" w:hAnsi="宋体" w:cs="宋体"/>
          <w:color w:val="auto"/>
          <w:szCs w:val="21"/>
          <w:highlight w:val="none"/>
        </w:rPr>
        <w:t>及其附件</w:t>
      </w:r>
      <w:r>
        <w:rPr>
          <w:rFonts w:hint="eastAsia" w:ascii="宋体" w:hAnsi="宋体" w:cs="宋体"/>
          <w:color w:val="auto"/>
          <w:kern w:val="0"/>
          <w:szCs w:val="21"/>
          <w:highlight w:val="none"/>
        </w:rPr>
        <w:t>；</w:t>
      </w:r>
    </w:p>
    <w:p w14:paraId="1F198F9B">
      <w:pPr>
        <w:autoSpaceDE w:val="0"/>
        <w:autoSpaceDN w:val="0"/>
        <w:adjustRightInd w:val="0"/>
        <w:spacing w:line="42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（5）通用合同条款；</w:t>
      </w:r>
    </w:p>
    <w:p w14:paraId="32A6F637">
      <w:pPr>
        <w:autoSpaceDE w:val="0"/>
        <w:autoSpaceDN w:val="0"/>
        <w:adjustRightInd w:val="0"/>
        <w:spacing w:line="42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（6）技术标准和要求；</w:t>
      </w:r>
    </w:p>
    <w:p w14:paraId="4A406BB4">
      <w:pPr>
        <w:autoSpaceDE w:val="0"/>
        <w:autoSpaceDN w:val="0"/>
        <w:adjustRightInd w:val="0"/>
        <w:spacing w:line="42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（7）已标价工程量清单或预算书；</w:t>
      </w:r>
    </w:p>
    <w:p w14:paraId="2470BC6C">
      <w:pPr>
        <w:autoSpaceDE w:val="0"/>
        <w:autoSpaceDN w:val="0"/>
        <w:adjustRightInd w:val="0"/>
        <w:spacing w:line="42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（8）其他合同文件。</w:t>
      </w:r>
    </w:p>
    <w:p w14:paraId="13F94185">
      <w:pPr>
        <w:autoSpaceDE w:val="0"/>
        <w:autoSpaceDN w:val="0"/>
        <w:adjustRightInd w:val="0"/>
        <w:spacing w:line="42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9）（GB50500-2013）《建设工程工程量清单计价规范》及其广西实施细则及《关于建筑业实施营业税改征增值税后广西壮族自治区建设工程计价依据调整的通知》（桂建标〔2019〕12号）、（GB50854~50862-2013）《建设工程工程量计算规范广西壮族自治区实施细则》（修订本）。</w:t>
      </w:r>
    </w:p>
    <w:p w14:paraId="5C534D54">
      <w:pPr>
        <w:autoSpaceDE w:val="0"/>
        <w:autoSpaceDN w:val="0"/>
        <w:adjustRightInd w:val="0"/>
        <w:spacing w:line="42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上述各项合同文件包括合同当事人就该项合同文件所作出的补充和修改，属于同一类内容的文件，应以最新签署的为准。</w:t>
      </w:r>
    </w:p>
    <w:p w14:paraId="02CA6A55">
      <w:pPr>
        <w:spacing w:line="420" w:lineRule="exact"/>
        <w:ind w:firstLine="447" w:firstLineChars="213"/>
        <w:rPr>
          <w:rFonts w:hint="eastAsia" w:ascii="宋体" w:hAnsi="宋体" w:cs="宋体"/>
          <w:color w:val="auto"/>
          <w:szCs w:val="21"/>
          <w:highlight w:val="none"/>
        </w:rPr>
      </w:pPr>
      <w:r>
        <w:rPr>
          <w:rFonts w:hint="eastAsia" w:ascii="宋体" w:hAnsi="宋体" w:cs="宋体"/>
          <w:color w:val="auto"/>
          <w:szCs w:val="21"/>
          <w:highlight w:val="none"/>
        </w:rPr>
        <w:t>在合同订立及履行过程中形成的与合同有关的文件均构成合同文件组成部分，并根据其性质确定优先解释顺序。</w:t>
      </w:r>
    </w:p>
    <w:p w14:paraId="2A5DF80D">
      <w:pPr>
        <w:pStyle w:val="322"/>
        <w:rPr>
          <w:rFonts w:hint="eastAsia" w:ascii="宋体" w:cs="宋体"/>
          <w:color w:val="auto"/>
          <w:highlight w:val="none"/>
        </w:rPr>
      </w:pPr>
      <w:bookmarkStart w:id="165" w:name="_Toc351203501"/>
      <w:bookmarkStart w:id="166" w:name="_Toc478389023"/>
      <w:r>
        <w:rPr>
          <w:rFonts w:hint="eastAsia" w:ascii="宋体" w:cs="宋体"/>
          <w:color w:val="auto"/>
          <w:highlight w:val="none"/>
        </w:rPr>
        <w:t>1</w:t>
      </w:r>
      <w:bookmarkStart w:id="167" w:name="_Toc296503032"/>
      <w:bookmarkStart w:id="168" w:name="_Toc296346533"/>
      <w:bookmarkStart w:id="169" w:name="_Toc337558732"/>
      <w:r>
        <w:rPr>
          <w:rFonts w:hint="eastAsia" w:ascii="宋体" w:cs="宋体"/>
          <w:color w:val="auto"/>
          <w:highlight w:val="none"/>
        </w:rPr>
        <w:t>.6图纸和承包人文件</w:t>
      </w:r>
      <w:bookmarkEnd w:id="165"/>
      <w:bookmarkEnd w:id="166"/>
    </w:p>
    <w:bookmarkEnd w:id="167"/>
    <w:bookmarkEnd w:id="168"/>
    <w:bookmarkEnd w:id="169"/>
    <w:p w14:paraId="7201D4E7">
      <w:pPr>
        <w:spacing w:line="420" w:lineRule="exact"/>
        <w:ind w:firstLine="420" w:firstLineChars="200"/>
        <w:jc w:val="left"/>
        <w:outlineLvl w:val="0"/>
        <w:rPr>
          <w:rFonts w:hint="eastAsia" w:ascii="宋体" w:hAnsi="宋体" w:cs="宋体"/>
          <w:color w:val="auto"/>
          <w:kern w:val="0"/>
          <w:szCs w:val="21"/>
          <w:highlight w:val="none"/>
        </w:rPr>
      </w:pPr>
      <w:bookmarkStart w:id="170" w:name="_Toc478389024"/>
      <w:bookmarkStart w:id="171" w:name="_Toc406522055"/>
      <w:r>
        <w:rPr>
          <w:rFonts w:hint="eastAsia" w:ascii="宋体" w:hAnsi="宋体" w:cs="宋体"/>
          <w:color w:val="auto"/>
          <w:kern w:val="0"/>
          <w:szCs w:val="21"/>
          <w:highlight w:val="none"/>
        </w:rPr>
        <w:t>1.6.1 图纸的提供和交底</w:t>
      </w:r>
      <w:bookmarkEnd w:id="170"/>
      <w:bookmarkEnd w:id="171"/>
    </w:p>
    <w:p w14:paraId="4B518C04">
      <w:pPr>
        <w:spacing w:line="42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发包人应按照专用合同条款约定的期限、数量和内容向承包人免费提供图纸，并组织承包人、监理人和设计人进行图纸会审和设计交底。发包人至迟不得晚于第7.3.2项〔开工通知〕载明的开工日期前14天向承包人提供图纸。</w:t>
      </w:r>
    </w:p>
    <w:p w14:paraId="12755716">
      <w:pPr>
        <w:spacing w:line="42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因发包人未按合同约定提供图纸导致承包人费用增加和（或）工期延误的，按照第7.5.1项〔因发包人原因导致工期延误〕约定办理。</w:t>
      </w:r>
    </w:p>
    <w:p w14:paraId="3A9AB478">
      <w:pPr>
        <w:spacing w:line="420" w:lineRule="exact"/>
        <w:ind w:firstLine="420" w:firstLineChars="200"/>
        <w:jc w:val="left"/>
        <w:outlineLvl w:val="0"/>
        <w:rPr>
          <w:rFonts w:hint="eastAsia" w:ascii="宋体" w:hAnsi="宋体" w:cs="宋体"/>
          <w:color w:val="auto"/>
          <w:kern w:val="0"/>
          <w:szCs w:val="21"/>
          <w:highlight w:val="none"/>
        </w:rPr>
      </w:pPr>
      <w:bookmarkStart w:id="172" w:name="_Toc478389025"/>
      <w:bookmarkStart w:id="173" w:name="_Toc406522056"/>
      <w:r>
        <w:rPr>
          <w:rFonts w:hint="eastAsia" w:ascii="宋体" w:hAnsi="宋体" w:cs="宋体"/>
          <w:color w:val="auto"/>
          <w:kern w:val="0"/>
          <w:szCs w:val="21"/>
          <w:highlight w:val="none"/>
        </w:rPr>
        <w:t>1.6.2 图纸的错误</w:t>
      </w:r>
      <w:bookmarkEnd w:id="172"/>
      <w:bookmarkEnd w:id="173"/>
    </w:p>
    <w:p w14:paraId="5C0A3263">
      <w:pPr>
        <w:spacing w:line="42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承包人在收到发包人提供的图纸后，发现图纸存在差错、遗漏或缺陷的，应及时通知监理人。监理人接到该通知后，应附具相关意见并立即报送发包人，发包人应在收到监理人报送的通知后的合理时间内作出决定。合理时间是指发包人在收到监理人的报送通知后，尽其努力且不懈怠地完成图纸修改补充所需的时间。</w:t>
      </w:r>
    </w:p>
    <w:p w14:paraId="0E3BF528">
      <w:pPr>
        <w:spacing w:line="420" w:lineRule="exact"/>
        <w:ind w:firstLine="420" w:firstLineChars="200"/>
        <w:jc w:val="left"/>
        <w:outlineLvl w:val="0"/>
        <w:rPr>
          <w:rFonts w:hint="eastAsia" w:ascii="宋体" w:hAnsi="宋体" w:cs="宋体"/>
          <w:color w:val="auto"/>
          <w:kern w:val="0"/>
          <w:szCs w:val="21"/>
          <w:highlight w:val="none"/>
        </w:rPr>
      </w:pPr>
      <w:bookmarkStart w:id="174" w:name="_Toc406522057"/>
      <w:bookmarkStart w:id="175" w:name="_Toc478389026"/>
      <w:r>
        <w:rPr>
          <w:rFonts w:hint="eastAsia" w:ascii="宋体" w:hAnsi="宋体" w:cs="宋体"/>
          <w:color w:val="auto"/>
          <w:kern w:val="0"/>
          <w:szCs w:val="21"/>
          <w:highlight w:val="none"/>
        </w:rPr>
        <w:t>1.6.3 图纸的修改和补充</w:t>
      </w:r>
      <w:bookmarkEnd w:id="174"/>
      <w:bookmarkEnd w:id="175"/>
    </w:p>
    <w:p w14:paraId="2D38B64E">
      <w:pPr>
        <w:spacing w:line="42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图纸需要修改和补充的，应经图纸原设计人及审批部门同意，并由监理人在工程或工程相应部位施工前将修改后的图纸或补充图纸提交给承包人，承包人应按修改或补充后的图纸施工。</w:t>
      </w:r>
    </w:p>
    <w:p w14:paraId="73B69FB5">
      <w:pPr>
        <w:spacing w:line="420" w:lineRule="exact"/>
        <w:ind w:firstLine="420" w:firstLineChars="200"/>
        <w:jc w:val="left"/>
        <w:outlineLvl w:val="0"/>
        <w:rPr>
          <w:rFonts w:hint="eastAsia" w:ascii="宋体" w:hAnsi="宋体" w:cs="宋体"/>
          <w:color w:val="auto"/>
          <w:kern w:val="0"/>
          <w:szCs w:val="21"/>
          <w:highlight w:val="none"/>
        </w:rPr>
      </w:pPr>
      <w:bookmarkStart w:id="176" w:name="_Toc406522058"/>
      <w:bookmarkStart w:id="177" w:name="_Toc478389027"/>
      <w:r>
        <w:rPr>
          <w:rFonts w:hint="eastAsia" w:ascii="宋体" w:hAnsi="宋体" w:cs="宋体"/>
          <w:color w:val="auto"/>
          <w:kern w:val="0"/>
          <w:szCs w:val="21"/>
          <w:highlight w:val="none"/>
        </w:rPr>
        <w:t>1.6.4 承包人文件</w:t>
      </w:r>
      <w:bookmarkEnd w:id="176"/>
      <w:bookmarkEnd w:id="177"/>
    </w:p>
    <w:p w14:paraId="4019C6A2">
      <w:pPr>
        <w:spacing w:line="42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承包人应按照专用合同条款的约定提供应当由其编制的与工程施工有关的文件，并按照专用合同条款约定的期限、数量和形式提交监理人，并由监理人报送发包人。</w:t>
      </w:r>
    </w:p>
    <w:p w14:paraId="37E613A3">
      <w:pPr>
        <w:spacing w:line="42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14:paraId="108C2571">
      <w:pPr>
        <w:spacing w:line="420" w:lineRule="exact"/>
        <w:ind w:firstLine="420" w:firstLineChars="200"/>
        <w:jc w:val="left"/>
        <w:outlineLvl w:val="0"/>
        <w:rPr>
          <w:rFonts w:hint="eastAsia" w:ascii="宋体" w:hAnsi="宋体" w:cs="宋体"/>
          <w:color w:val="auto"/>
          <w:kern w:val="0"/>
          <w:szCs w:val="21"/>
          <w:highlight w:val="none"/>
        </w:rPr>
      </w:pPr>
      <w:bookmarkStart w:id="178" w:name="_Toc478389028"/>
      <w:bookmarkStart w:id="179" w:name="_Toc406522059"/>
      <w:r>
        <w:rPr>
          <w:rFonts w:hint="eastAsia" w:ascii="宋体" w:hAnsi="宋体" w:cs="宋体"/>
          <w:color w:val="auto"/>
          <w:kern w:val="0"/>
          <w:szCs w:val="21"/>
          <w:highlight w:val="none"/>
        </w:rPr>
        <w:t>1.6.5 图纸和承包人文件的保管</w:t>
      </w:r>
      <w:bookmarkEnd w:id="178"/>
      <w:bookmarkEnd w:id="179"/>
    </w:p>
    <w:p w14:paraId="6B850FA1">
      <w:pPr>
        <w:spacing w:line="42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除专用合同条款另有约定外，承包人应在施工现场另外保存一套完整的图纸和承包人文件，供发包人、监理人及有关人员进行工程检查时使用。</w:t>
      </w:r>
    </w:p>
    <w:p w14:paraId="6AB57A70">
      <w:pPr>
        <w:pStyle w:val="322"/>
        <w:rPr>
          <w:rFonts w:hint="eastAsia" w:ascii="宋体" w:cs="宋体"/>
          <w:color w:val="auto"/>
          <w:highlight w:val="none"/>
        </w:rPr>
      </w:pPr>
      <w:bookmarkStart w:id="180" w:name="_Toc478389029"/>
      <w:bookmarkStart w:id="181" w:name="_Toc351203502"/>
      <w:r>
        <w:rPr>
          <w:rFonts w:hint="eastAsia" w:ascii="宋体" w:cs="宋体"/>
          <w:color w:val="auto"/>
          <w:highlight w:val="none"/>
        </w:rPr>
        <w:t>1</w:t>
      </w:r>
      <w:bookmarkStart w:id="182" w:name="_Toc337558733"/>
      <w:bookmarkStart w:id="183" w:name="_Toc296346534"/>
      <w:bookmarkStart w:id="184" w:name="_Toc296503033"/>
      <w:r>
        <w:rPr>
          <w:rFonts w:hint="eastAsia" w:ascii="宋体" w:cs="宋体"/>
          <w:color w:val="auto"/>
          <w:highlight w:val="none"/>
        </w:rPr>
        <w:t>.7联络</w:t>
      </w:r>
      <w:bookmarkEnd w:id="180"/>
      <w:bookmarkEnd w:id="181"/>
    </w:p>
    <w:bookmarkEnd w:id="182"/>
    <w:bookmarkEnd w:id="183"/>
    <w:bookmarkEnd w:id="184"/>
    <w:p w14:paraId="4F270AB4">
      <w:pPr>
        <w:autoSpaceDE w:val="0"/>
        <w:autoSpaceDN w:val="0"/>
        <w:adjustRightInd w:val="0"/>
        <w:spacing w:line="42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1.7.1 与合同有关的通知、批准、证明、证书、指示、指令、要求、请求、同意、意见、确定和决定等，均应采用书面形式，并应在合同约定的期限内送达接收人和送达地点。</w:t>
      </w:r>
    </w:p>
    <w:p w14:paraId="27D28A70">
      <w:pPr>
        <w:autoSpaceDE w:val="0"/>
        <w:autoSpaceDN w:val="0"/>
        <w:adjustRightInd w:val="0"/>
        <w:spacing w:line="42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1.7.2 发包人和承包人应在专用合同条款中约定各自的送达接收人和送达地点。任何一方合同当事人指定的接收人或送达地点发生变动的，应提前3天以书面形式通知对方。</w:t>
      </w:r>
    </w:p>
    <w:p w14:paraId="5315A581">
      <w:pPr>
        <w:autoSpaceDE w:val="0"/>
        <w:autoSpaceDN w:val="0"/>
        <w:adjustRightInd w:val="0"/>
        <w:spacing w:line="42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1.7.3 发包人和承包人应当及时签收另一方送达至送达地点和指定接收人的来往信函。拒不签收的，由此增加的费</w:t>
      </w:r>
      <w:r>
        <w:rPr>
          <w:rStyle w:val="77"/>
          <w:rFonts w:cs="宋体"/>
          <w:color w:val="auto"/>
          <w:highlight w:val="none"/>
        </w:rPr>
        <w:t>用和（或）延误的工期由拒绝接收一方承担。</w:t>
      </w:r>
    </w:p>
    <w:p w14:paraId="007B3643">
      <w:pPr>
        <w:pStyle w:val="322"/>
        <w:rPr>
          <w:rFonts w:hint="eastAsia" w:ascii="宋体" w:cs="宋体"/>
          <w:color w:val="auto"/>
          <w:highlight w:val="none"/>
        </w:rPr>
      </w:pPr>
      <w:bookmarkStart w:id="185" w:name="_Toc351203503"/>
      <w:bookmarkStart w:id="186" w:name="_Toc478389030"/>
      <w:r>
        <w:rPr>
          <w:rFonts w:hint="eastAsia" w:ascii="宋体" w:cs="宋体"/>
          <w:color w:val="auto"/>
          <w:highlight w:val="none"/>
        </w:rPr>
        <w:t>1</w:t>
      </w:r>
      <w:bookmarkStart w:id="187" w:name="_Toc296346536"/>
      <w:bookmarkStart w:id="188" w:name="_Toc337558734"/>
      <w:bookmarkStart w:id="189" w:name="_Toc296503035"/>
      <w:r>
        <w:rPr>
          <w:rFonts w:hint="eastAsia" w:ascii="宋体" w:cs="宋体"/>
          <w:color w:val="auto"/>
          <w:highlight w:val="none"/>
        </w:rPr>
        <w:t>.8严禁贿赂</w:t>
      </w:r>
      <w:bookmarkEnd w:id="185"/>
      <w:bookmarkEnd w:id="186"/>
    </w:p>
    <w:bookmarkEnd w:id="187"/>
    <w:bookmarkEnd w:id="188"/>
    <w:bookmarkEnd w:id="189"/>
    <w:p w14:paraId="11DD4723">
      <w:pPr>
        <w:pStyle w:val="80"/>
        <w:rPr>
          <w:rFonts w:hint="eastAsia" w:cs="宋体"/>
          <w:color w:val="auto"/>
          <w:sz w:val="21"/>
          <w:highlight w:val="none"/>
        </w:rPr>
      </w:pPr>
      <w:r>
        <w:rPr>
          <w:rFonts w:hint="eastAsia" w:cs="宋体"/>
          <w:color w:val="auto"/>
          <w:sz w:val="21"/>
          <w:highlight w:val="none"/>
        </w:rPr>
        <w:t>合同当事人不得以贿赂或变相贿赂的方式，谋取非法利益或损害对方权益。因一方合同当事人的贿赂造成对方损失的，应赔偿损失，并承担相应的法律责任。</w:t>
      </w:r>
    </w:p>
    <w:p w14:paraId="70FED64A">
      <w:pPr>
        <w:pStyle w:val="80"/>
        <w:rPr>
          <w:rFonts w:hint="eastAsia" w:cs="宋体"/>
          <w:color w:val="auto"/>
          <w:sz w:val="21"/>
          <w:highlight w:val="none"/>
        </w:rPr>
      </w:pPr>
      <w:r>
        <w:rPr>
          <w:rFonts w:hint="eastAsia" w:cs="宋体"/>
          <w:color w:val="auto"/>
          <w:sz w:val="21"/>
          <w:highlight w:val="none"/>
        </w:rPr>
        <w:t>承包人不得与监理人或发包人聘请的第三方串通损害发包人利益。未经发包人书面同意，承包人不得为监理人提供合同约定以外的通讯设备、交通工具及其他任何形式的利益，不得向监理人支付报酬。</w:t>
      </w:r>
    </w:p>
    <w:p w14:paraId="7B6FD2A6">
      <w:pPr>
        <w:pStyle w:val="322"/>
        <w:rPr>
          <w:rFonts w:hint="eastAsia" w:ascii="宋体" w:cs="宋体"/>
          <w:color w:val="auto"/>
          <w:highlight w:val="none"/>
        </w:rPr>
      </w:pPr>
      <w:bookmarkStart w:id="190" w:name="_Toc351203504"/>
      <w:bookmarkStart w:id="191" w:name="_Toc478389031"/>
      <w:r>
        <w:rPr>
          <w:rFonts w:hint="eastAsia" w:ascii="宋体" w:cs="宋体"/>
          <w:color w:val="auto"/>
          <w:highlight w:val="none"/>
        </w:rPr>
        <w:t>1</w:t>
      </w:r>
      <w:bookmarkStart w:id="192" w:name="_Toc296503036"/>
      <w:bookmarkStart w:id="193" w:name="_Toc337558735"/>
      <w:bookmarkStart w:id="194" w:name="_Toc296346537"/>
      <w:r>
        <w:rPr>
          <w:rFonts w:hint="eastAsia" w:ascii="宋体" w:cs="宋体"/>
          <w:color w:val="auto"/>
          <w:highlight w:val="none"/>
        </w:rPr>
        <w:t>.9化石、文物</w:t>
      </w:r>
      <w:bookmarkEnd w:id="190"/>
      <w:bookmarkEnd w:id="191"/>
    </w:p>
    <w:bookmarkEnd w:id="192"/>
    <w:bookmarkEnd w:id="193"/>
    <w:bookmarkEnd w:id="194"/>
    <w:p w14:paraId="0BF112FC">
      <w:pPr>
        <w:pStyle w:val="80"/>
        <w:rPr>
          <w:rFonts w:hint="eastAsia" w:cs="宋体"/>
          <w:color w:val="auto"/>
          <w:sz w:val="21"/>
          <w:highlight w:val="none"/>
        </w:rPr>
      </w:pPr>
      <w:r>
        <w:rPr>
          <w:rFonts w:hint="eastAsia" w:cs="宋体"/>
          <w:color w:val="auto"/>
          <w:sz w:val="21"/>
          <w:highlight w:val="none"/>
        </w:rPr>
        <w:t>在施工现场发掘的所有文物、古迹以及具有地质研究或考古价值的其他遗迹、化石、钱币或物品属于国家所有。一旦发现上述文物，承包人应采取合理有效的保护措施，防止任何人员移动或损坏上述物品，并立即报告有关行政管理部门，同时通知监理人。</w:t>
      </w:r>
    </w:p>
    <w:p w14:paraId="3A71F795">
      <w:pPr>
        <w:pStyle w:val="80"/>
        <w:rPr>
          <w:rFonts w:hint="eastAsia" w:cs="宋体"/>
          <w:color w:val="auto"/>
          <w:sz w:val="21"/>
          <w:highlight w:val="none"/>
        </w:rPr>
      </w:pPr>
      <w:r>
        <w:rPr>
          <w:rFonts w:hint="eastAsia" w:cs="宋体"/>
          <w:color w:val="auto"/>
          <w:sz w:val="21"/>
          <w:highlight w:val="none"/>
        </w:rPr>
        <w:t>发包人、监理人和承包人应按有关行政管理部门要求采取妥善的保护措施，由此增加的费用和（或）延误的工期由发包人承担。</w:t>
      </w:r>
    </w:p>
    <w:p w14:paraId="4133E526">
      <w:pPr>
        <w:pStyle w:val="80"/>
        <w:rPr>
          <w:rFonts w:hint="eastAsia" w:cs="宋体"/>
          <w:color w:val="auto"/>
          <w:sz w:val="21"/>
          <w:highlight w:val="none"/>
        </w:rPr>
      </w:pPr>
      <w:r>
        <w:rPr>
          <w:rFonts w:hint="eastAsia" w:cs="宋体"/>
          <w:color w:val="auto"/>
          <w:sz w:val="21"/>
          <w:highlight w:val="none"/>
        </w:rPr>
        <w:t>承包人发现文物后不及时报告或隐瞒不报，致使文物丢失或损坏的，应赔偿损失，并承担相应的法律责任。</w:t>
      </w:r>
    </w:p>
    <w:p w14:paraId="7EEAAA5C">
      <w:pPr>
        <w:pStyle w:val="322"/>
        <w:rPr>
          <w:rFonts w:hint="eastAsia" w:ascii="宋体" w:cs="宋体"/>
          <w:color w:val="auto"/>
          <w:highlight w:val="none"/>
        </w:rPr>
      </w:pPr>
      <w:bookmarkStart w:id="195" w:name="_Toc478389032"/>
      <w:bookmarkStart w:id="196" w:name="_Toc351203505"/>
      <w:r>
        <w:rPr>
          <w:rFonts w:hint="eastAsia" w:ascii="宋体" w:cs="宋体"/>
          <w:color w:val="auto"/>
          <w:highlight w:val="none"/>
        </w:rPr>
        <w:t>1</w:t>
      </w:r>
      <w:bookmarkStart w:id="197" w:name="_Toc337558736"/>
      <w:r>
        <w:rPr>
          <w:rFonts w:hint="eastAsia" w:ascii="宋体" w:cs="宋体"/>
          <w:color w:val="auto"/>
          <w:highlight w:val="none"/>
        </w:rPr>
        <w:t>.10交通运输</w:t>
      </w:r>
      <w:bookmarkEnd w:id="195"/>
      <w:bookmarkEnd w:id="196"/>
    </w:p>
    <w:bookmarkEnd w:id="197"/>
    <w:p w14:paraId="0B96772C">
      <w:pPr>
        <w:pStyle w:val="80"/>
        <w:outlineLvl w:val="0"/>
        <w:rPr>
          <w:rFonts w:hint="eastAsia" w:cs="宋体"/>
          <w:color w:val="auto"/>
          <w:sz w:val="21"/>
          <w:highlight w:val="none"/>
        </w:rPr>
      </w:pPr>
      <w:bookmarkStart w:id="198" w:name="_Toc478389033"/>
      <w:bookmarkStart w:id="199" w:name="_Toc406522064"/>
      <w:r>
        <w:rPr>
          <w:rFonts w:hint="eastAsia" w:cs="宋体"/>
          <w:color w:val="auto"/>
          <w:sz w:val="21"/>
          <w:highlight w:val="none"/>
        </w:rPr>
        <w:t>1.10.1 出入现场的权利</w:t>
      </w:r>
      <w:bookmarkEnd w:id="198"/>
      <w:bookmarkEnd w:id="199"/>
    </w:p>
    <w:p w14:paraId="26668E41">
      <w:pPr>
        <w:pStyle w:val="80"/>
        <w:rPr>
          <w:rFonts w:hint="eastAsia" w:cs="宋体"/>
          <w:color w:val="auto"/>
          <w:sz w:val="21"/>
          <w:highlight w:val="none"/>
        </w:rPr>
      </w:pPr>
      <w:r>
        <w:rPr>
          <w:rFonts w:hint="eastAsia" w:cs="宋体"/>
          <w:color w:val="auto"/>
          <w:sz w:val="21"/>
          <w:highlight w:val="none"/>
        </w:rPr>
        <w:t>除专用合同条款另有约定外，发包人应根据施工需要，负责取得出入施工现场所需的批准手续和全部权利，以及取得因施工所需修建道路、桥梁以及其他基础设施的权利，并承担相关手续费用和建设费用。承包人应协助发包人办理修建场内外道路、桥梁以及其他基础设施的手续。</w:t>
      </w:r>
    </w:p>
    <w:p w14:paraId="476C2117">
      <w:pPr>
        <w:pStyle w:val="80"/>
        <w:rPr>
          <w:rFonts w:hint="eastAsia" w:cs="宋体"/>
          <w:color w:val="auto"/>
          <w:sz w:val="21"/>
          <w:highlight w:val="none"/>
        </w:rPr>
      </w:pPr>
      <w:r>
        <w:rPr>
          <w:rFonts w:hint="eastAsia" w:cs="宋体"/>
          <w:color w:val="auto"/>
          <w:sz w:val="21"/>
          <w:highlight w:val="none"/>
        </w:rPr>
        <w:t>承包人应在订立合同前查勘施工现场，并根据工程规模及技术参数合理预见工程施工所需的进出施工现场的方式、手段、路径等。因承包人未合理预见所增加的费用和（或）延误的工期由承包人承担。</w:t>
      </w:r>
    </w:p>
    <w:p w14:paraId="1A3E4227">
      <w:pPr>
        <w:pStyle w:val="80"/>
        <w:outlineLvl w:val="0"/>
        <w:rPr>
          <w:rFonts w:hint="eastAsia" w:cs="宋体"/>
          <w:color w:val="auto"/>
          <w:sz w:val="21"/>
          <w:highlight w:val="none"/>
        </w:rPr>
      </w:pPr>
      <w:bookmarkStart w:id="200" w:name="_Toc478389034"/>
      <w:bookmarkStart w:id="201" w:name="_Toc406522065"/>
      <w:r>
        <w:rPr>
          <w:rFonts w:hint="eastAsia" w:cs="宋体"/>
          <w:color w:val="auto"/>
          <w:sz w:val="21"/>
          <w:highlight w:val="none"/>
        </w:rPr>
        <w:t>1.10.2 场外交通</w:t>
      </w:r>
      <w:bookmarkEnd w:id="200"/>
      <w:bookmarkEnd w:id="201"/>
    </w:p>
    <w:p w14:paraId="617CA0FE">
      <w:pPr>
        <w:pStyle w:val="80"/>
        <w:rPr>
          <w:rFonts w:hint="eastAsia" w:cs="宋体"/>
          <w:color w:val="auto"/>
          <w:sz w:val="21"/>
          <w:highlight w:val="none"/>
        </w:rPr>
      </w:pPr>
      <w:r>
        <w:rPr>
          <w:rFonts w:hint="eastAsia" w:cs="宋体"/>
          <w:color w:val="auto"/>
          <w:sz w:val="21"/>
          <w:highlight w:val="none"/>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14:paraId="05390D6A">
      <w:pPr>
        <w:pStyle w:val="80"/>
        <w:rPr>
          <w:rFonts w:hint="eastAsia" w:cs="宋体"/>
          <w:color w:val="auto"/>
          <w:sz w:val="21"/>
          <w:highlight w:val="none"/>
        </w:rPr>
      </w:pPr>
      <w:r>
        <w:rPr>
          <w:rFonts w:hint="eastAsia" w:cs="宋体"/>
          <w:color w:val="auto"/>
          <w:sz w:val="21"/>
          <w:highlight w:val="none"/>
        </w:rPr>
        <w:t>1.10.3场内交通</w:t>
      </w:r>
    </w:p>
    <w:p w14:paraId="78C44683">
      <w:pPr>
        <w:pStyle w:val="80"/>
        <w:rPr>
          <w:rFonts w:hint="eastAsia" w:cs="宋体"/>
          <w:color w:val="auto"/>
          <w:sz w:val="21"/>
          <w:highlight w:val="none"/>
        </w:rPr>
      </w:pPr>
      <w:r>
        <w:rPr>
          <w:rFonts w:hint="eastAsia" w:cs="宋体"/>
          <w:color w:val="auto"/>
          <w:sz w:val="21"/>
          <w:highlight w:val="none"/>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14:paraId="1CD219D6">
      <w:pPr>
        <w:pStyle w:val="80"/>
        <w:rPr>
          <w:rFonts w:hint="eastAsia" w:cs="宋体"/>
          <w:color w:val="auto"/>
          <w:sz w:val="21"/>
          <w:highlight w:val="none"/>
        </w:rPr>
      </w:pPr>
      <w:r>
        <w:rPr>
          <w:rFonts w:hint="eastAsia" w:cs="宋体"/>
          <w:color w:val="auto"/>
          <w:sz w:val="21"/>
          <w:highlight w:val="none"/>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14:paraId="4335DF2A">
      <w:pPr>
        <w:pStyle w:val="80"/>
        <w:rPr>
          <w:rFonts w:hint="eastAsia" w:cs="宋体"/>
          <w:color w:val="auto"/>
          <w:sz w:val="21"/>
          <w:highlight w:val="none"/>
        </w:rPr>
      </w:pPr>
      <w:r>
        <w:rPr>
          <w:rFonts w:hint="eastAsia" w:cs="宋体"/>
          <w:color w:val="auto"/>
          <w:sz w:val="21"/>
          <w:highlight w:val="none"/>
        </w:rPr>
        <w:t>场外交通和场内交通的边界由合同当事人在专用合同条款中约定。</w:t>
      </w:r>
    </w:p>
    <w:p w14:paraId="04BF1F7C">
      <w:pPr>
        <w:pStyle w:val="80"/>
        <w:outlineLvl w:val="0"/>
        <w:rPr>
          <w:rFonts w:hint="eastAsia" w:cs="宋体"/>
          <w:color w:val="auto"/>
          <w:sz w:val="21"/>
          <w:highlight w:val="none"/>
        </w:rPr>
      </w:pPr>
      <w:bookmarkStart w:id="202" w:name="_Toc406522066"/>
      <w:bookmarkStart w:id="203" w:name="_Toc478389035"/>
      <w:r>
        <w:rPr>
          <w:rFonts w:hint="eastAsia" w:cs="宋体"/>
          <w:color w:val="auto"/>
          <w:sz w:val="21"/>
          <w:highlight w:val="none"/>
        </w:rPr>
        <w:t>1.10.4 超大件和超重件的运输</w:t>
      </w:r>
      <w:bookmarkEnd w:id="202"/>
      <w:bookmarkEnd w:id="203"/>
    </w:p>
    <w:p w14:paraId="332787A1">
      <w:pPr>
        <w:pStyle w:val="80"/>
        <w:rPr>
          <w:rFonts w:hint="eastAsia" w:cs="宋体"/>
          <w:color w:val="auto"/>
          <w:sz w:val="21"/>
          <w:highlight w:val="none"/>
        </w:rPr>
      </w:pPr>
      <w:r>
        <w:rPr>
          <w:rFonts w:hint="eastAsia" w:cs="宋体"/>
          <w:color w:val="auto"/>
          <w:sz w:val="21"/>
          <w:highlight w:val="none"/>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0E8AEC14">
      <w:pPr>
        <w:pStyle w:val="80"/>
        <w:outlineLvl w:val="0"/>
        <w:rPr>
          <w:rFonts w:hint="eastAsia" w:cs="宋体"/>
          <w:color w:val="auto"/>
          <w:sz w:val="21"/>
          <w:highlight w:val="none"/>
        </w:rPr>
      </w:pPr>
      <w:bookmarkStart w:id="204" w:name="_Toc406522067"/>
      <w:bookmarkStart w:id="205" w:name="_Toc478389036"/>
      <w:r>
        <w:rPr>
          <w:rFonts w:hint="eastAsia" w:cs="宋体"/>
          <w:color w:val="auto"/>
          <w:sz w:val="21"/>
          <w:highlight w:val="none"/>
        </w:rPr>
        <w:t>1.10.5 道路和桥梁的损坏责任</w:t>
      </w:r>
      <w:bookmarkEnd w:id="204"/>
      <w:bookmarkEnd w:id="205"/>
    </w:p>
    <w:p w14:paraId="028F84C6">
      <w:pPr>
        <w:pStyle w:val="80"/>
        <w:rPr>
          <w:rFonts w:hint="eastAsia" w:cs="宋体"/>
          <w:color w:val="auto"/>
          <w:sz w:val="21"/>
          <w:highlight w:val="none"/>
        </w:rPr>
      </w:pPr>
      <w:r>
        <w:rPr>
          <w:rFonts w:hint="eastAsia" w:cs="宋体"/>
          <w:color w:val="auto"/>
          <w:sz w:val="21"/>
          <w:highlight w:val="none"/>
        </w:rPr>
        <w:t>因承包人运输造成施工场地内外公共道路和桥梁损坏的，由承包人承担修复损坏的全部费用和可能引起的赔偿。</w:t>
      </w:r>
    </w:p>
    <w:p w14:paraId="56E55AAC">
      <w:pPr>
        <w:pStyle w:val="80"/>
        <w:outlineLvl w:val="0"/>
        <w:rPr>
          <w:rFonts w:hint="eastAsia" w:cs="宋体"/>
          <w:color w:val="auto"/>
          <w:sz w:val="21"/>
          <w:highlight w:val="none"/>
        </w:rPr>
      </w:pPr>
      <w:bookmarkStart w:id="206" w:name="_Toc406522068"/>
      <w:bookmarkStart w:id="207" w:name="_Toc478389037"/>
      <w:r>
        <w:rPr>
          <w:rFonts w:hint="eastAsia" w:cs="宋体"/>
          <w:color w:val="auto"/>
          <w:sz w:val="21"/>
          <w:highlight w:val="none"/>
        </w:rPr>
        <w:t>1.10.6 水路和航空运输</w:t>
      </w:r>
      <w:bookmarkEnd w:id="206"/>
      <w:bookmarkEnd w:id="207"/>
    </w:p>
    <w:p w14:paraId="37D461E9">
      <w:pPr>
        <w:pStyle w:val="80"/>
        <w:rPr>
          <w:rFonts w:hint="eastAsia" w:cs="宋体"/>
          <w:color w:val="auto"/>
          <w:sz w:val="21"/>
          <w:highlight w:val="none"/>
        </w:rPr>
      </w:pPr>
      <w:r>
        <w:rPr>
          <w:rFonts w:hint="eastAsia" w:cs="宋体"/>
          <w:color w:val="auto"/>
          <w:sz w:val="21"/>
          <w:highlight w:val="none"/>
        </w:rPr>
        <w:t>本款前述各项的内容适用于水路运输和航空运输，其中“道路”一词的</w:t>
      </w:r>
      <w:r>
        <w:rPr>
          <w:rFonts w:hint="eastAsia" w:cs="宋体"/>
          <w:color w:val="auto"/>
          <w:sz w:val="21"/>
          <w:highlight w:val="none"/>
          <w:lang w:eastAsia="zh-CN"/>
        </w:rPr>
        <w:t>含</w:t>
      </w:r>
      <w:r>
        <w:rPr>
          <w:rFonts w:hint="eastAsia" w:cs="宋体"/>
          <w:color w:val="auto"/>
          <w:sz w:val="21"/>
          <w:highlight w:val="none"/>
        </w:rPr>
        <w:t>义包括河道、航线、船闸、机场、码头、堤防以及水路或航空运输中其他相似结构物；“车辆”一词的涵义包括船舶和飞机等。</w:t>
      </w:r>
    </w:p>
    <w:p w14:paraId="69BD07ED">
      <w:pPr>
        <w:pStyle w:val="322"/>
        <w:rPr>
          <w:rFonts w:hint="eastAsia" w:ascii="宋体" w:cs="宋体"/>
          <w:color w:val="auto"/>
          <w:highlight w:val="none"/>
        </w:rPr>
      </w:pPr>
      <w:bookmarkStart w:id="208" w:name="_Toc478389038"/>
      <w:bookmarkStart w:id="209" w:name="_Toc351203506"/>
      <w:r>
        <w:rPr>
          <w:rFonts w:hint="eastAsia" w:ascii="宋体" w:cs="宋体"/>
          <w:color w:val="auto"/>
          <w:highlight w:val="none"/>
        </w:rPr>
        <w:t>1</w:t>
      </w:r>
      <w:bookmarkStart w:id="210" w:name="_Toc337558737"/>
      <w:bookmarkStart w:id="211" w:name="_Toc296503037"/>
      <w:bookmarkStart w:id="212" w:name="_Toc296346538"/>
      <w:r>
        <w:rPr>
          <w:rFonts w:hint="eastAsia" w:ascii="宋体" w:cs="宋体"/>
          <w:color w:val="auto"/>
          <w:highlight w:val="none"/>
        </w:rPr>
        <w:t>.11知识产权</w:t>
      </w:r>
      <w:bookmarkEnd w:id="208"/>
      <w:bookmarkEnd w:id="209"/>
      <w:bookmarkEnd w:id="210"/>
    </w:p>
    <w:bookmarkEnd w:id="211"/>
    <w:bookmarkEnd w:id="212"/>
    <w:p w14:paraId="13E5F89A">
      <w:pPr>
        <w:pStyle w:val="80"/>
        <w:rPr>
          <w:rFonts w:hint="eastAsia" w:cs="宋体"/>
          <w:color w:val="auto"/>
          <w:sz w:val="21"/>
          <w:highlight w:val="none"/>
        </w:rPr>
      </w:pPr>
      <w:r>
        <w:rPr>
          <w:rFonts w:hint="eastAsia" w:cs="宋体"/>
          <w:color w:val="auto"/>
          <w:sz w:val="21"/>
          <w:highlight w:val="none"/>
        </w:rP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14:paraId="787ED5D4">
      <w:pPr>
        <w:pStyle w:val="80"/>
        <w:rPr>
          <w:rFonts w:hint="eastAsia" w:cs="宋体"/>
          <w:color w:val="auto"/>
          <w:sz w:val="21"/>
          <w:highlight w:val="none"/>
        </w:rPr>
      </w:pPr>
      <w:r>
        <w:rPr>
          <w:rFonts w:hint="eastAsia" w:cs="宋体"/>
          <w:color w:val="auto"/>
          <w:sz w:val="21"/>
          <w:highlight w:val="none"/>
        </w:rP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14:paraId="34DE1476">
      <w:pPr>
        <w:pStyle w:val="80"/>
        <w:rPr>
          <w:rFonts w:hint="eastAsia" w:cs="宋体"/>
          <w:color w:val="auto"/>
          <w:sz w:val="21"/>
          <w:highlight w:val="none"/>
        </w:rPr>
      </w:pPr>
      <w:r>
        <w:rPr>
          <w:rFonts w:hint="eastAsia" w:cs="宋体"/>
          <w:color w:val="auto"/>
          <w:sz w:val="21"/>
          <w:highlight w:val="none"/>
        </w:rPr>
        <w:t>1.11.3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14:paraId="46C3C2D1">
      <w:pPr>
        <w:pStyle w:val="80"/>
        <w:rPr>
          <w:rFonts w:hint="eastAsia" w:cs="宋体"/>
          <w:color w:val="auto"/>
          <w:sz w:val="21"/>
          <w:highlight w:val="none"/>
        </w:rPr>
      </w:pPr>
      <w:r>
        <w:rPr>
          <w:rFonts w:hint="eastAsia" w:cs="宋体"/>
          <w:color w:val="auto"/>
          <w:sz w:val="21"/>
          <w:highlight w:val="none"/>
        </w:rPr>
        <w:t>1.11.4除专用合同条款另有约定外，承包人在合同签订前和签订时已确定采用的专利、专有技术、技术秘密的使用费已包含在签约合同价中。</w:t>
      </w:r>
    </w:p>
    <w:p w14:paraId="5F159E7F">
      <w:pPr>
        <w:pStyle w:val="322"/>
        <w:rPr>
          <w:rFonts w:hint="eastAsia" w:ascii="宋体" w:cs="宋体"/>
          <w:color w:val="auto"/>
          <w:highlight w:val="none"/>
        </w:rPr>
      </w:pPr>
      <w:bookmarkStart w:id="213" w:name="_Toc478389039"/>
      <w:bookmarkStart w:id="214" w:name="_Toc351203507"/>
      <w:r>
        <w:rPr>
          <w:rFonts w:hint="eastAsia" w:ascii="宋体" w:cs="宋体"/>
          <w:color w:val="auto"/>
          <w:highlight w:val="none"/>
        </w:rPr>
        <w:t>1</w:t>
      </w:r>
      <w:bookmarkStart w:id="215" w:name="_Toc337558738"/>
      <w:r>
        <w:rPr>
          <w:rFonts w:hint="eastAsia" w:ascii="宋体" w:cs="宋体"/>
          <w:color w:val="auto"/>
          <w:highlight w:val="none"/>
        </w:rPr>
        <w:t>.12保密</w:t>
      </w:r>
      <w:bookmarkEnd w:id="213"/>
      <w:bookmarkEnd w:id="214"/>
    </w:p>
    <w:bookmarkEnd w:id="215"/>
    <w:p w14:paraId="5B6E4E6B">
      <w:pPr>
        <w:pStyle w:val="80"/>
        <w:rPr>
          <w:rFonts w:hint="eastAsia" w:cs="宋体"/>
          <w:color w:val="auto"/>
          <w:sz w:val="21"/>
          <w:highlight w:val="none"/>
        </w:rPr>
      </w:pPr>
      <w:r>
        <w:rPr>
          <w:rFonts w:hint="eastAsia" w:cs="宋体"/>
          <w:color w:val="auto"/>
          <w:sz w:val="21"/>
          <w:highlight w:val="none"/>
        </w:rPr>
        <w:t>除法律规定或合同另有约定外，未经发包人同意，承包人不得将发包人提供的图纸、文件以及声明需要保密的资料信息等商业秘密泄露给第三方。</w:t>
      </w:r>
    </w:p>
    <w:p w14:paraId="31C3485F">
      <w:pPr>
        <w:pStyle w:val="80"/>
        <w:rPr>
          <w:rFonts w:hint="eastAsia" w:cs="宋体"/>
          <w:color w:val="auto"/>
          <w:sz w:val="21"/>
          <w:highlight w:val="none"/>
        </w:rPr>
      </w:pPr>
      <w:r>
        <w:rPr>
          <w:rFonts w:hint="eastAsia" w:cs="宋体"/>
          <w:color w:val="auto"/>
          <w:sz w:val="21"/>
          <w:highlight w:val="none"/>
        </w:rPr>
        <w:t>除法律规定或合同另有约定外，未经承包人同意，发包人不得将承包人提供的技术秘密及声明需要保密的资料信息等商业秘密泄露给第三方。</w:t>
      </w:r>
    </w:p>
    <w:p w14:paraId="2BBC34C3">
      <w:pPr>
        <w:pStyle w:val="322"/>
        <w:rPr>
          <w:rFonts w:hint="eastAsia" w:ascii="宋体" w:cs="宋体"/>
          <w:color w:val="auto"/>
          <w:highlight w:val="none"/>
        </w:rPr>
      </w:pPr>
      <w:bookmarkStart w:id="216" w:name="_Toc478389040"/>
      <w:bookmarkStart w:id="217" w:name="_Toc351203508"/>
      <w:r>
        <w:rPr>
          <w:rFonts w:hint="eastAsia" w:ascii="宋体" w:cs="宋体"/>
          <w:color w:val="auto"/>
          <w:highlight w:val="none"/>
        </w:rPr>
        <w:t>1.13工程量清单错误的修正</w:t>
      </w:r>
      <w:bookmarkEnd w:id="216"/>
      <w:bookmarkEnd w:id="217"/>
    </w:p>
    <w:p w14:paraId="6E40E4EB">
      <w:pPr>
        <w:pStyle w:val="80"/>
        <w:rPr>
          <w:rFonts w:hint="eastAsia" w:cs="宋体"/>
          <w:color w:val="auto"/>
          <w:sz w:val="21"/>
          <w:highlight w:val="none"/>
        </w:rPr>
      </w:pPr>
      <w:r>
        <w:rPr>
          <w:rFonts w:hint="eastAsia" w:cs="宋体"/>
          <w:color w:val="auto"/>
          <w:sz w:val="21"/>
          <w:highlight w:val="none"/>
        </w:rPr>
        <w:t>除专用合同条款另有约定外，发包人提供的工程量清单，应被认为是准确的和完整的。出现下列情形之一时，发包人应予以修正，并相应调整合同价格：</w:t>
      </w:r>
    </w:p>
    <w:p w14:paraId="4A9B0188">
      <w:pPr>
        <w:pStyle w:val="80"/>
        <w:rPr>
          <w:rFonts w:hint="eastAsia" w:cs="宋体"/>
          <w:color w:val="auto"/>
          <w:sz w:val="21"/>
          <w:highlight w:val="none"/>
        </w:rPr>
      </w:pPr>
      <w:r>
        <w:rPr>
          <w:rFonts w:hint="eastAsia" w:cs="宋体"/>
          <w:color w:val="auto"/>
          <w:sz w:val="21"/>
          <w:highlight w:val="none"/>
        </w:rPr>
        <w:t>（1）工程量清单存在缺项、漏项的；</w:t>
      </w:r>
    </w:p>
    <w:p w14:paraId="3796A97B">
      <w:pPr>
        <w:pStyle w:val="80"/>
        <w:rPr>
          <w:rFonts w:hint="eastAsia" w:cs="宋体"/>
          <w:color w:val="auto"/>
          <w:sz w:val="21"/>
          <w:highlight w:val="none"/>
        </w:rPr>
      </w:pPr>
      <w:r>
        <w:rPr>
          <w:rFonts w:hint="eastAsia" w:cs="宋体"/>
          <w:color w:val="auto"/>
          <w:sz w:val="21"/>
          <w:highlight w:val="none"/>
        </w:rPr>
        <w:t>（2）工程量清单偏差超出专用合同条款约定的工程量偏差范围的；</w:t>
      </w:r>
    </w:p>
    <w:p w14:paraId="29F09CD1">
      <w:pPr>
        <w:pStyle w:val="80"/>
        <w:rPr>
          <w:rFonts w:hint="eastAsia" w:cs="宋体"/>
          <w:color w:val="auto"/>
          <w:sz w:val="21"/>
          <w:highlight w:val="none"/>
        </w:rPr>
      </w:pPr>
      <w:r>
        <w:rPr>
          <w:rFonts w:hint="eastAsia" w:cs="宋体"/>
          <w:color w:val="auto"/>
          <w:sz w:val="21"/>
          <w:highlight w:val="none"/>
        </w:rPr>
        <w:t>（3）未按照国家现行计量规范强制性规定计量的。</w:t>
      </w:r>
    </w:p>
    <w:p w14:paraId="0EBCBC32">
      <w:pPr>
        <w:pStyle w:val="322"/>
        <w:rPr>
          <w:rFonts w:hint="eastAsia" w:ascii="宋体" w:cs="宋体"/>
          <w:color w:val="auto"/>
          <w:highlight w:val="none"/>
        </w:rPr>
      </w:pPr>
      <w:bookmarkStart w:id="218" w:name="_Toc351203509"/>
      <w:bookmarkStart w:id="219" w:name="_Toc478389041"/>
      <w:r>
        <w:rPr>
          <w:rFonts w:hint="eastAsia" w:ascii="宋体" w:cs="宋体"/>
          <w:color w:val="auto"/>
          <w:highlight w:val="none"/>
        </w:rPr>
        <w:t>2</w:t>
      </w:r>
      <w:bookmarkStart w:id="220" w:name="_Toc337558739"/>
      <w:bookmarkStart w:id="221" w:name="_Toc296503038"/>
      <w:bookmarkStart w:id="222" w:name="_Toc296346539"/>
      <w:r>
        <w:rPr>
          <w:rFonts w:hint="eastAsia" w:ascii="宋体" w:cs="宋体"/>
          <w:color w:val="auto"/>
          <w:highlight w:val="none"/>
        </w:rPr>
        <w:t>. 发包人</w:t>
      </w:r>
      <w:bookmarkEnd w:id="218"/>
      <w:bookmarkEnd w:id="219"/>
    </w:p>
    <w:bookmarkEnd w:id="220"/>
    <w:bookmarkEnd w:id="221"/>
    <w:bookmarkEnd w:id="222"/>
    <w:p w14:paraId="798C7B77">
      <w:pPr>
        <w:pStyle w:val="322"/>
        <w:rPr>
          <w:rFonts w:hint="eastAsia" w:ascii="宋体" w:cs="宋体"/>
          <w:color w:val="auto"/>
          <w:highlight w:val="none"/>
        </w:rPr>
      </w:pPr>
      <w:bookmarkStart w:id="223" w:name="_Toc478389042"/>
      <w:bookmarkStart w:id="224" w:name="_Toc351203510"/>
      <w:r>
        <w:rPr>
          <w:rFonts w:hint="eastAsia" w:ascii="宋体" w:cs="宋体"/>
          <w:color w:val="auto"/>
          <w:highlight w:val="none"/>
        </w:rPr>
        <w:t>2</w:t>
      </w:r>
      <w:bookmarkStart w:id="225" w:name="_Toc296503039"/>
      <w:bookmarkStart w:id="226" w:name="_Toc337558740"/>
      <w:bookmarkStart w:id="227" w:name="_Toc296346540"/>
      <w:r>
        <w:rPr>
          <w:rFonts w:hint="eastAsia" w:ascii="宋体" w:cs="宋体"/>
          <w:color w:val="auto"/>
          <w:highlight w:val="none"/>
        </w:rPr>
        <w:t>.1 许可或批准</w:t>
      </w:r>
      <w:bookmarkEnd w:id="223"/>
      <w:bookmarkEnd w:id="224"/>
    </w:p>
    <w:p w14:paraId="1D697201">
      <w:pPr>
        <w:pStyle w:val="80"/>
        <w:rPr>
          <w:rFonts w:hint="eastAsia" w:cs="宋体"/>
          <w:color w:val="auto"/>
          <w:sz w:val="21"/>
          <w:highlight w:val="none"/>
        </w:rPr>
      </w:pPr>
      <w:r>
        <w:rPr>
          <w:rFonts w:hint="eastAsia" w:cs="宋体"/>
          <w:color w:val="auto"/>
          <w:sz w:val="21"/>
          <w:highlight w:val="none"/>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14:paraId="714747E2">
      <w:pPr>
        <w:pStyle w:val="80"/>
        <w:rPr>
          <w:rFonts w:hint="eastAsia" w:cs="宋体"/>
          <w:color w:val="auto"/>
          <w:sz w:val="21"/>
          <w:highlight w:val="none"/>
        </w:rPr>
      </w:pPr>
      <w:r>
        <w:rPr>
          <w:rFonts w:hint="eastAsia" w:cs="宋体"/>
          <w:color w:val="auto"/>
          <w:sz w:val="21"/>
          <w:highlight w:val="none"/>
        </w:rPr>
        <w:t>因发包人原因未能及时办理完毕前述许可、批准或备案，由发包人承担由此增加的费用和（或）延误的工期，并支付承包人合理的利润。</w:t>
      </w:r>
    </w:p>
    <w:p w14:paraId="569D99CB">
      <w:pPr>
        <w:pStyle w:val="322"/>
        <w:rPr>
          <w:rFonts w:hint="eastAsia" w:ascii="宋体" w:cs="宋体"/>
          <w:color w:val="auto"/>
          <w:highlight w:val="none"/>
        </w:rPr>
      </w:pPr>
      <w:bookmarkStart w:id="228" w:name="_Toc478389043"/>
      <w:bookmarkStart w:id="229" w:name="_Toc351203511"/>
      <w:r>
        <w:rPr>
          <w:rFonts w:hint="eastAsia" w:ascii="宋体" w:cs="宋体"/>
          <w:color w:val="auto"/>
          <w:highlight w:val="none"/>
        </w:rPr>
        <w:t>2.2 发包人代表</w:t>
      </w:r>
      <w:bookmarkEnd w:id="228"/>
      <w:bookmarkEnd w:id="229"/>
    </w:p>
    <w:p w14:paraId="7721E1C6">
      <w:pPr>
        <w:pStyle w:val="80"/>
        <w:rPr>
          <w:rFonts w:hint="eastAsia" w:cs="宋体"/>
          <w:color w:val="auto"/>
          <w:sz w:val="21"/>
          <w:highlight w:val="none"/>
        </w:rPr>
      </w:pPr>
      <w:r>
        <w:rPr>
          <w:rFonts w:hint="eastAsia" w:cs="宋体"/>
          <w:color w:val="auto"/>
          <w:sz w:val="21"/>
          <w:highlight w:val="none"/>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14:paraId="69DF71BF">
      <w:pPr>
        <w:pStyle w:val="80"/>
        <w:rPr>
          <w:rFonts w:hint="eastAsia" w:cs="宋体"/>
          <w:color w:val="auto"/>
          <w:sz w:val="21"/>
          <w:highlight w:val="none"/>
        </w:rPr>
      </w:pPr>
      <w:r>
        <w:rPr>
          <w:rFonts w:hint="eastAsia" w:cs="宋体"/>
          <w:color w:val="auto"/>
          <w:sz w:val="21"/>
          <w:highlight w:val="none"/>
        </w:rPr>
        <w:t>发包人代表不能按照合同约定履行其职责及义务，并导致合同无法继续正常履行的，承包人可以要求发包人撤换发包人代表。</w:t>
      </w:r>
    </w:p>
    <w:p w14:paraId="3C1BA04D">
      <w:pPr>
        <w:pStyle w:val="80"/>
        <w:rPr>
          <w:rFonts w:hint="eastAsia" w:cs="宋体"/>
          <w:color w:val="auto"/>
          <w:sz w:val="21"/>
          <w:highlight w:val="none"/>
        </w:rPr>
      </w:pPr>
      <w:r>
        <w:rPr>
          <w:rFonts w:hint="eastAsia" w:cs="宋体"/>
          <w:color w:val="auto"/>
          <w:sz w:val="21"/>
          <w:highlight w:val="none"/>
        </w:rPr>
        <w:t>不属于法定必须监理的工程，监理人的职权可以由发包人代表或发包人指定的其他人员行使</w:t>
      </w:r>
    </w:p>
    <w:p w14:paraId="0AE183BE">
      <w:pPr>
        <w:pStyle w:val="322"/>
        <w:rPr>
          <w:rFonts w:hint="eastAsia" w:ascii="宋体" w:cs="宋体"/>
          <w:color w:val="auto"/>
          <w:highlight w:val="none"/>
        </w:rPr>
      </w:pPr>
      <w:bookmarkStart w:id="230" w:name="_Toc478389044"/>
      <w:bookmarkStart w:id="231" w:name="_Toc351203512"/>
      <w:r>
        <w:rPr>
          <w:rFonts w:hint="eastAsia" w:ascii="宋体" w:cs="宋体"/>
          <w:color w:val="auto"/>
          <w:highlight w:val="none"/>
        </w:rPr>
        <w:t>2.3 发包人人员</w:t>
      </w:r>
      <w:bookmarkEnd w:id="230"/>
      <w:bookmarkEnd w:id="231"/>
    </w:p>
    <w:p w14:paraId="0887B45E">
      <w:pPr>
        <w:pStyle w:val="80"/>
        <w:rPr>
          <w:rFonts w:hint="eastAsia" w:cs="宋体"/>
          <w:color w:val="auto"/>
          <w:sz w:val="21"/>
          <w:highlight w:val="none"/>
        </w:rPr>
      </w:pPr>
      <w:r>
        <w:rPr>
          <w:rFonts w:hint="eastAsia" w:cs="宋体"/>
          <w:color w:val="auto"/>
          <w:sz w:val="21"/>
          <w:highlight w:val="none"/>
        </w:rPr>
        <w:t>发包人应要求在施工现场的发包人人员遵守法律及有关安全、质量、环境保护、文明施工等规定，并保障承包人免于承受因发包人人员未遵守上述要求给承包人造成的损失和责任。</w:t>
      </w:r>
    </w:p>
    <w:p w14:paraId="591F314B">
      <w:pPr>
        <w:pStyle w:val="80"/>
        <w:rPr>
          <w:rFonts w:hint="eastAsia" w:cs="宋体"/>
          <w:color w:val="auto"/>
          <w:sz w:val="21"/>
          <w:highlight w:val="none"/>
        </w:rPr>
      </w:pPr>
      <w:r>
        <w:rPr>
          <w:rFonts w:hint="eastAsia" w:cs="宋体"/>
          <w:color w:val="auto"/>
          <w:sz w:val="21"/>
          <w:highlight w:val="none"/>
        </w:rPr>
        <w:t>发包人人员包括发包人代表及其他由发包人派驻施工现场的人员。</w:t>
      </w:r>
      <w:bookmarkEnd w:id="225"/>
      <w:bookmarkEnd w:id="226"/>
      <w:bookmarkEnd w:id="227"/>
    </w:p>
    <w:p w14:paraId="1CB2FE76">
      <w:pPr>
        <w:pStyle w:val="322"/>
        <w:rPr>
          <w:rFonts w:hint="eastAsia" w:ascii="宋体" w:cs="宋体"/>
          <w:color w:val="auto"/>
          <w:highlight w:val="none"/>
        </w:rPr>
      </w:pPr>
      <w:bookmarkStart w:id="232" w:name="_Toc351203513"/>
      <w:bookmarkStart w:id="233" w:name="_Toc478389045"/>
      <w:r>
        <w:rPr>
          <w:rFonts w:hint="eastAsia" w:ascii="宋体" w:cs="宋体"/>
          <w:color w:val="auto"/>
          <w:highlight w:val="none"/>
        </w:rPr>
        <w:t>2</w:t>
      </w:r>
      <w:bookmarkStart w:id="234" w:name="_Toc296346541"/>
      <w:bookmarkStart w:id="235" w:name="_Toc337558741"/>
      <w:bookmarkStart w:id="236" w:name="_Toc296503040"/>
      <w:r>
        <w:rPr>
          <w:rFonts w:hint="eastAsia" w:ascii="宋体" w:cs="宋体"/>
          <w:color w:val="auto"/>
          <w:highlight w:val="none"/>
        </w:rPr>
        <w:t>.4 施工现场、施工条件和基础资料的提供</w:t>
      </w:r>
      <w:bookmarkEnd w:id="232"/>
      <w:bookmarkEnd w:id="233"/>
      <w:bookmarkEnd w:id="234"/>
      <w:bookmarkEnd w:id="235"/>
      <w:bookmarkEnd w:id="236"/>
    </w:p>
    <w:p w14:paraId="19D8C425">
      <w:pPr>
        <w:pStyle w:val="80"/>
        <w:rPr>
          <w:rFonts w:hint="eastAsia" w:cs="宋体"/>
          <w:color w:val="auto"/>
          <w:sz w:val="21"/>
          <w:highlight w:val="none"/>
        </w:rPr>
      </w:pPr>
      <w:r>
        <w:rPr>
          <w:rFonts w:hint="eastAsia" w:cs="宋体"/>
          <w:color w:val="auto"/>
          <w:sz w:val="21"/>
          <w:highlight w:val="none"/>
        </w:rPr>
        <w:t>2.4.1 提供施工现场</w:t>
      </w:r>
    </w:p>
    <w:p w14:paraId="2BE979AA">
      <w:pPr>
        <w:pStyle w:val="80"/>
        <w:rPr>
          <w:rFonts w:hint="eastAsia" w:cs="宋体"/>
          <w:color w:val="auto"/>
          <w:sz w:val="21"/>
          <w:highlight w:val="none"/>
        </w:rPr>
      </w:pPr>
      <w:r>
        <w:rPr>
          <w:rFonts w:hint="eastAsia" w:cs="宋体"/>
          <w:color w:val="auto"/>
          <w:sz w:val="21"/>
          <w:highlight w:val="none"/>
        </w:rPr>
        <w:t>除专用合同条款另有约定外，发包人应最迟于开工日期7天前向承包人移交施工现场。</w:t>
      </w:r>
    </w:p>
    <w:p w14:paraId="36ED2768">
      <w:pPr>
        <w:pStyle w:val="80"/>
        <w:rPr>
          <w:rFonts w:hint="eastAsia" w:cs="宋体"/>
          <w:color w:val="auto"/>
          <w:sz w:val="21"/>
          <w:highlight w:val="none"/>
        </w:rPr>
      </w:pPr>
      <w:r>
        <w:rPr>
          <w:rFonts w:hint="eastAsia" w:cs="宋体"/>
          <w:color w:val="auto"/>
          <w:sz w:val="21"/>
          <w:highlight w:val="none"/>
        </w:rPr>
        <w:t>2.4.2 提供施工条件</w:t>
      </w:r>
    </w:p>
    <w:p w14:paraId="430D808C">
      <w:pPr>
        <w:pStyle w:val="80"/>
        <w:rPr>
          <w:rFonts w:hint="eastAsia" w:cs="宋体"/>
          <w:color w:val="auto"/>
          <w:sz w:val="21"/>
          <w:highlight w:val="none"/>
        </w:rPr>
      </w:pPr>
      <w:r>
        <w:rPr>
          <w:rFonts w:hint="eastAsia" w:cs="宋体"/>
          <w:color w:val="auto"/>
          <w:sz w:val="21"/>
          <w:highlight w:val="none"/>
        </w:rPr>
        <w:t>除专用合同条款另有约定外，发包人应负责提供施工所需要的条件，包括：</w:t>
      </w:r>
    </w:p>
    <w:p w14:paraId="78094470">
      <w:pPr>
        <w:pStyle w:val="80"/>
        <w:rPr>
          <w:rFonts w:hint="eastAsia" w:cs="宋体"/>
          <w:color w:val="auto"/>
          <w:sz w:val="21"/>
          <w:highlight w:val="none"/>
        </w:rPr>
      </w:pPr>
      <w:r>
        <w:rPr>
          <w:rFonts w:hint="eastAsia" w:cs="宋体"/>
          <w:color w:val="auto"/>
          <w:sz w:val="21"/>
          <w:highlight w:val="none"/>
        </w:rPr>
        <w:t>（1）将施工用水、电力、通讯线路等施工所必需的条件接至施工现场内；</w:t>
      </w:r>
    </w:p>
    <w:p w14:paraId="169364C4">
      <w:pPr>
        <w:pStyle w:val="80"/>
        <w:rPr>
          <w:rFonts w:hint="eastAsia" w:cs="宋体"/>
          <w:color w:val="auto"/>
          <w:sz w:val="21"/>
          <w:highlight w:val="none"/>
        </w:rPr>
      </w:pPr>
      <w:r>
        <w:rPr>
          <w:rFonts w:hint="eastAsia" w:cs="宋体"/>
          <w:color w:val="auto"/>
          <w:sz w:val="21"/>
          <w:highlight w:val="none"/>
        </w:rPr>
        <w:t>（2）保证向承包人提供正常施工所需要的进入施工现场的交通条件；</w:t>
      </w:r>
    </w:p>
    <w:p w14:paraId="2F8D7238">
      <w:pPr>
        <w:pStyle w:val="80"/>
        <w:rPr>
          <w:rFonts w:hint="eastAsia" w:cs="宋体"/>
          <w:color w:val="auto"/>
          <w:sz w:val="21"/>
          <w:highlight w:val="none"/>
        </w:rPr>
      </w:pPr>
      <w:r>
        <w:rPr>
          <w:rFonts w:hint="eastAsia" w:cs="宋体"/>
          <w:color w:val="auto"/>
          <w:sz w:val="21"/>
          <w:highlight w:val="none"/>
        </w:rPr>
        <w:t>（3）协调处理施工现场周围地下管线和邻近建筑物、构筑物、古树名木的保护工作，并承担相关费用；</w:t>
      </w:r>
    </w:p>
    <w:p w14:paraId="60639EF7">
      <w:pPr>
        <w:pStyle w:val="80"/>
        <w:rPr>
          <w:rFonts w:hint="eastAsia" w:cs="宋体"/>
          <w:color w:val="auto"/>
          <w:sz w:val="21"/>
          <w:highlight w:val="none"/>
        </w:rPr>
      </w:pPr>
      <w:r>
        <w:rPr>
          <w:rFonts w:hint="eastAsia" w:cs="宋体"/>
          <w:color w:val="auto"/>
          <w:sz w:val="21"/>
          <w:highlight w:val="none"/>
        </w:rPr>
        <w:t>（4）按照专用合同条款约定应提供的其他设施和条件。</w:t>
      </w:r>
    </w:p>
    <w:p w14:paraId="68D654A7">
      <w:pPr>
        <w:pStyle w:val="80"/>
        <w:rPr>
          <w:rFonts w:hint="eastAsia" w:cs="宋体"/>
          <w:color w:val="auto"/>
          <w:sz w:val="21"/>
          <w:highlight w:val="none"/>
        </w:rPr>
      </w:pPr>
      <w:r>
        <w:rPr>
          <w:rFonts w:hint="eastAsia" w:cs="宋体"/>
          <w:color w:val="auto"/>
          <w:sz w:val="21"/>
          <w:highlight w:val="none"/>
        </w:rPr>
        <w:t>2.4.3 提供基础资料</w:t>
      </w:r>
    </w:p>
    <w:p w14:paraId="017A6C3B">
      <w:pPr>
        <w:pStyle w:val="80"/>
        <w:rPr>
          <w:rFonts w:hint="eastAsia" w:cs="宋体"/>
          <w:color w:val="auto"/>
          <w:sz w:val="21"/>
          <w:highlight w:val="none"/>
        </w:rPr>
      </w:pPr>
      <w:r>
        <w:rPr>
          <w:rFonts w:hint="eastAsia" w:cs="宋体"/>
          <w:color w:val="auto"/>
          <w:sz w:val="21"/>
          <w:highlight w:val="none"/>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14:paraId="5096B394">
      <w:pPr>
        <w:pStyle w:val="80"/>
        <w:rPr>
          <w:rFonts w:hint="eastAsia" w:cs="宋体"/>
          <w:color w:val="auto"/>
          <w:sz w:val="21"/>
          <w:highlight w:val="none"/>
        </w:rPr>
      </w:pPr>
      <w:r>
        <w:rPr>
          <w:rFonts w:hint="eastAsia" w:cs="宋体"/>
          <w:color w:val="auto"/>
          <w:sz w:val="21"/>
          <w:highlight w:val="none"/>
        </w:rPr>
        <w:t>按照法律规定确需在开工后方能提供的基础资料，发包人应尽其努力及时地在相应工程施工前的合理期限内提供，合理期限应以不影响承包人的正常施工为限。</w:t>
      </w:r>
    </w:p>
    <w:p w14:paraId="40740BAF">
      <w:pPr>
        <w:pStyle w:val="80"/>
        <w:rPr>
          <w:rFonts w:hint="eastAsia" w:cs="宋体"/>
          <w:color w:val="auto"/>
          <w:sz w:val="21"/>
          <w:highlight w:val="none"/>
        </w:rPr>
      </w:pPr>
      <w:r>
        <w:rPr>
          <w:rFonts w:hint="eastAsia" w:cs="宋体"/>
          <w:color w:val="auto"/>
          <w:sz w:val="21"/>
          <w:highlight w:val="none"/>
        </w:rPr>
        <w:t>2.4.4 逾期提供的责任</w:t>
      </w:r>
    </w:p>
    <w:p w14:paraId="3EF1127D">
      <w:pPr>
        <w:pStyle w:val="80"/>
        <w:rPr>
          <w:rFonts w:hint="eastAsia" w:cs="宋体"/>
          <w:color w:val="auto"/>
          <w:sz w:val="21"/>
          <w:highlight w:val="none"/>
        </w:rPr>
      </w:pPr>
      <w:r>
        <w:rPr>
          <w:rFonts w:hint="eastAsia" w:cs="宋体"/>
          <w:color w:val="auto"/>
          <w:sz w:val="21"/>
          <w:highlight w:val="none"/>
        </w:rPr>
        <w:t>因发包人原因未能按合同约定及时向承包人提供施工现场、施工条件、基础资料的，由发包人承担由此增加的费用和（或）延误的工期。</w:t>
      </w:r>
    </w:p>
    <w:p w14:paraId="415F1E0D">
      <w:pPr>
        <w:pStyle w:val="322"/>
        <w:rPr>
          <w:rFonts w:hint="eastAsia" w:ascii="宋体" w:cs="宋体"/>
          <w:color w:val="auto"/>
          <w:highlight w:val="none"/>
        </w:rPr>
      </w:pPr>
      <w:bookmarkStart w:id="237" w:name="_Toc351203514"/>
      <w:bookmarkStart w:id="238" w:name="_Toc478389046"/>
      <w:r>
        <w:rPr>
          <w:rFonts w:hint="eastAsia" w:ascii="宋体" w:cs="宋体"/>
          <w:color w:val="auto"/>
          <w:highlight w:val="none"/>
        </w:rPr>
        <w:t>2</w:t>
      </w:r>
      <w:bookmarkStart w:id="239" w:name="_Toc296346543"/>
      <w:bookmarkStart w:id="240" w:name="_Toc337558745"/>
      <w:bookmarkStart w:id="241" w:name="_Toc296503042"/>
      <w:r>
        <w:rPr>
          <w:rFonts w:hint="eastAsia" w:ascii="宋体" w:cs="宋体"/>
          <w:color w:val="auto"/>
          <w:highlight w:val="none"/>
        </w:rPr>
        <w:t>.5 资</w:t>
      </w:r>
      <w:bookmarkEnd w:id="239"/>
      <w:bookmarkEnd w:id="240"/>
      <w:bookmarkEnd w:id="241"/>
      <w:r>
        <w:rPr>
          <w:rFonts w:hint="eastAsia" w:ascii="宋体" w:cs="宋体"/>
          <w:color w:val="auto"/>
          <w:highlight w:val="none"/>
        </w:rPr>
        <w:t>金来源证明及支付担保</w:t>
      </w:r>
      <w:bookmarkEnd w:id="237"/>
      <w:bookmarkEnd w:id="238"/>
    </w:p>
    <w:p w14:paraId="7910ADFD">
      <w:pPr>
        <w:pStyle w:val="80"/>
        <w:rPr>
          <w:rFonts w:hint="eastAsia" w:cs="宋体"/>
          <w:color w:val="auto"/>
          <w:sz w:val="21"/>
          <w:highlight w:val="none"/>
        </w:rPr>
      </w:pPr>
      <w:r>
        <w:rPr>
          <w:rFonts w:hint="eastAsia" w:cs="宋体"/>
          <w:color w:val="auto"/>
          <w:sz w:val="21"/>
          <w:highlight w:val="none"/>
        </w:rPr>
        <w:t>除专用合同条款另有约定外，发包人应在收到承包人要求提供资金来源证明的书面通知后28天内，向承包人提供能够按照合同约定支付合同价款的相应资金来源证明。</w:t>
      </w:r>
    </w:p>
    <w:p w14:paraId="0FEFB7E0">
      <w:pPr>
        <w:pStyle w:val="80"/>
        <w:rPr>
          <w:rFonts w:hint="eastAsia" w:cs="宋体"/>
          <w:color w:val="auto"/>
          <w:sz w:val="21"/>
          <w:highlight w:val="none"/>
        </w:rPr>
      </w:pPr>
      <w:r>
        <w:rPr>
          <w:rFonts w:hint="eastAsia" w:cs="宋体"/>
          <w:color w:val="auto"/>
          <w:sz w:val="21"/>
          <w:highlight w:val="none"/>
        </w:rPr>
        <w:t>除专用合同条款另有约定外，发包人要求承包人提供履约保证金的，发包人应当向承包人提供支付担保。支付担保可以采用银行保函或担保公司担保等形式，具体由合同当事人在专用合同条款中约定。</w:t>
      </w:r>
    </w:p>
    <w:p w14:paraId="7A6DD4AD">
      <w:pPr>
        <w:pStyle w:val="322"/>
        <w:rPr>
          <w:rFonts w:hint="eastAsia" w:ascii="宋体" w:cs="宋体"/>
          <w:color w:val="auto"/>
          <w:highlight w:val="none"/>
        </w:rPr>
      </w:pPr>
      <w:bookmarkStart w:id="242" w:name="_Toc478389047"/>
      <w:bookmarkStart w:id="243" w:name="_Toc351203515"/>
      <w:r>
        <w:rPr>
          <w:rFonts w:hint="eastAsia" w:ascii="宋体" w:cs="宋体"/>
          <w:color w:val="auto"/>
          <w:highlight w:val="none"/>
        </w:rPr>
        <w:t>2.6 支付合同价款</w:t>
      </w:r>
      <w:bookmarkEnd w:id="242"/>
      <w:bookmarkEnd w:id="243"/>
    </w:p>
    <w:p w14:paraId="6284FBEA">
      <w:pPr>
        <w:pStyle w:val="80"/>
        <w:rPr>
          <w:rFonts w:hint="eastAsia" w:cs="宋体"/>
          <w:color w:val="auto"/>
          <w:sz w:val="21"/>
          <w:highlight w:val="none"/>
        </w:rPr>
      </w:pPr>
      <w:r>
        <w:rPr>
          <w:rFonts w:hint="eastAsia" w:cs="宋体"/>
          <w:color w:val="auto"/>
          <w:sz w:val="21"/>
          <w:highlight w:val="none"/>
        </w:rPr>
        <w:t>发包人应按合同约定向承包人及时支付合同价款。</w:t>
      </w:r>
    </w:p>
    <w:p w14:paraId="22C11EA5">
      <w:pPr>
        <w:pStyle w:val="322"/>
        <w:rPr>
          <w:rFonts w:hint="eastAsia" w:ascii="宋体" w:cs="宋体"/>
          <w:color w:val="auto"/>
          <w:highlight w:val="none"/>
        </w:rPr>
      </w:pPr>
      <w:bookmarkStart w:id="244" w:name="_Toc478389048"/>
      <w:bookmarkStart w:id="245" w:name="_Toc351203516"/>
      <w:r>
        <w:rPr>
          <w:rFonts w:hint="eastAsia" w:ascii="宋体" w:cs="宋体"/>
          <w:color w:val="auto"/>
          <w:highlight w:val="none"/>
        </w:rPr>
        <w:t>2.7 组织竣工验收</w:t>
      </w:r>
      <w:bookmarkEnd w:id="244"/>
      <w:bookmarkEnd w:id="245"/>
    </w:p>
    <w:p w14:paraId="65C1633A">
      <w:pPr>
        <w:pStyle w:val="80"/>
        <w:rPr>
          <w:rFonts w:hint="eastAsia" w:cs="宋体"/>
          <w:color w:val="auto"/>
          <w:sz w:val="21"/>
          <w:highlight w:val="none"/>
        </w:rPr>
      </w:pPr>
      <w:r>
        <w:rPr>
          <w:rFonts w:hint="eastAsia" w:cs="宋体"/>
          <w:color w:val="auto"/>
          <w:sz w:val="21"/>
          <w:highlight w:val="none"/>
        </w:rPr>
        <w:t>发包人应按合同约定及时组织竣工验收。</w:t>
      </w:r>
    </w:p>
    <w:p w14:paraId="47088641">
      <w:pPr>
        <w:pStyle w:val="322"/>
        <w:rPr>
          <w:rFonts w:hint="eastAsia" w:ascii="宋体" w:cs="宋体"/>
          <w:color w:val="auto"/>
          <w:highlight w:val="none"/>
        </w:rPr>
      </w:pPr>
      <w:bookmarkStart w:id="246" w:name="_Toc351203517"/>
      <w:bookmarkStart w:id="247" w:name="_Toc478389049"/>
      <w:r>
        <w:rPr>
          <w:rFonts w:hint="eastAsia" w:ascii="宋体" w:cs="宋体"/>
          <w:color w:val="auto"/>
          <w:highlight w:val="none"/>
        </w:rPr>
        <w:t>2.8 现场统一管理协议</w:t>
      </w:r>
      <w:bookmarkEnd w:id="246"/>
      <w:bookmarkEnd w:id="247"/>
    </w:p>
    <w:p w14:paraId="2D1351D1">
      <w:pPr>
        <w:pStyle w:val="80"/>
        <w:rPr>
          <w:rFonts w:hint="eastAsia" w:cs="宋体"/>
          <w:color w:val="auto"/>
          <w:sz w:val="21"/>
          <w:highlight w:val="none"/>
        </w:rPr>
      </w:pPr>
      <w:r>
        <w:rPr>
          <w:rFonts w:hint="eastAsia" w:cs="宋体"/>
          <w:color w:val="auto"/>
          <w:sz w:val="21"/>
          <w:highlight w:val="none"/>
        </w:rPr>
        <w:t>发包人应与承包人、由发包人直接发包的专业工程的承包人签订施工现场统一管理协议，明确各方的权利义务。施工现场统一管理协议作为专用合同条款的附件。</w:t>
      </w:r>
    </w:p>
    <w:p w14:paraId="59368F79">
      <w:pPr>
        <w:pStyle w:val="322"/>
        <w:rPr>
          <w:rFonts w:hint="eastAsia" w:ascii="宋体" w:cs="宋体"/>
          <w:color w:val="auto"/>
          <w:highlight w:val="none"/>
        </w:rPr>
      </w:pPr>
      <w:bookmarkStart w:id="248" w:name="_Toc478389050"/>
      <w:bookmarkStart w:id="249" w:name="_Toc351203518"/>
      <w:r>
        <w:rPr>
          <w:rFonts w:hint="eastAsia" w:ascii="宋体" w:cs="宋体"/>
          <w:color w:val="auto"/>
          <w:highlight w:val="none"/>
        </w:rPr>
        <w:t>3</w:t>
      </w:r>
      <w:bookmarkStart w:id="250" w:name="_Toc296346546"/>
      <w:bookmarkStart w:id="251" w:name="_Toc337558746"/>
      <w:bookmarkStart w:id="252" w:name="_Toc296503045"/>
      <w:r>
        <w:rPr>
          <w:rFonts w:hint="eastAsia" w:ascii="宋体" w:cs="宋体"/>
          <w:color w:val="auto"/>
          <w:highlight w:val="none"/>
        </w:rPr>
        <w:t>. 承包人</w:t>
      </w:r>
      <w:bookmarkEnd w:id="248"/>
      <w:bookmarkEnd w:id="249"/>
    </w:p>
    <w:bookmarkEnd w:id="250"/>
    <w:bookmarkEnd w:id="251"/>
    <w:bookmarkEnd w:id="252"/>
    <w:p w14:paraId="1D2AF8EA">
      <w:pPr>
        <w:pStyle w:val="322"/>
        <w:rPr>
          <w:rFonts w:hint="eastAsia" w:ascii="宋体" w:cs="宋体"/>
          <w:color w:val="auto"/>
          <w:highlight w:val="none"/>
        </w:rPr>
      </w:pPr>
      <w:bookmarkStart w:id="253" w:name="_Toc351203519"/>
      <w:bookmarkStart w:id="254" w:name="_Toc478389051"/>
      <w:r>
        <w:rPr>
          <w:rFonts w:hint="eastAsia" w:ascii="宋体" w:cs="宋体"/>
          <w:color w:val="auto"/>
          <w:highlight w:val="none"/>
        </w:rPr>
        <w:t>3</w:t>
      </w:r>
      <w:bookmarkStart w:id="255" w:name="_Toc296346547"/>
      <w:bookmarkStart w:id="256" w:name="_Toc337558747"/>
      <w:bookmarkStart w:id="257" w:name="_Toc296503046"/>
      <w:r>
        <w:rPr>
          <w:rFonts w:hint="eastAsia" w:ascii="宋体" w:cs="宋体"/>
          <w:color w:val="auto"/>
          <w:highlight w:val="none"/>
        </w:rPr>
        <w:t>.1 承包人的一般义务</w:t>
      </w:r>
      <w:bookmarkEnd w:id="253"/>
      <w:bookmarkEnd w:id="254"/>
    </w:p>
    <w:bookmarkEnd w:id="255"/>
    <w:bookmarkEnd w:id="256"/>
    <w:bookmarkEnd w:id="257"/>
    <w:p w14:paraId="149BE853">
      <w:pPr>
        <w:pStyle w:val="80"/>
        <w:rPr>
          <w:rFonts w:hint="eastAsia" w:cs="宋体"/>
          <w:color w:val="auto"/>
          <w:sz w:val="21"/>
          <w:highlight w:val="none"/>
        </w:rPr>
      </w:pPr>
      <w:r>
        <w:rPr>
          <w:rFonts w:hint="eastAsia" w:cs="宋体"/>
          <w:color w:val="auto"/>
          <w:sz w:val="21"/>
          <w:highlight w:val="none"/>
        </w:rPr>
        <w:t>承包人在履行合同过程中应遵守法律和工程建设标准规范，并履行以下义务：</w:t>
      </w:r>
    </w:p>
    <w:p w14:paraId="3C2C7E49">
      <w:pPr>
        <w:pStyle w:val="80"/>
        <w:rPr>
          <w:rFonts w:hint="eastAsia" w:cs="宋体"/>
          <w:color w:val="auto"/>
          <w:sz w:val="21"/>
          <w:highlight w:val="none"/>
        </w:rPr>
      </w:pPr>
      <w:r>
        <w:rPr>
          <w:rFonts w:hint="eastAsia" w:cs="宋体"/>
          <w:color w:val="auto"/>
          <w:sz w:val="21"/>
          <w:highlight w:val="none"/>
        </w:rPr>
        <w:t>办理法律规定应由承包人办理的许可和批准，并将办理结果书面报送发包人留存；</w:t>
      </w:r>
    </w:p>
    <w:p w14:paraId="11F590F6">
      <w:pPr>
        <w:pStyle w:val="80"/>
        <w:rPr>
          <w:rFonts w:hint="eastAsia" w:cs="宋体"/>
          <w:color w:val="auto"/>
          <w:sz w:val="21"/>
          <w:highlight w:val="none"/>
        </w:rPr>
      </w:pPr>
      <w:r>
        <w:rPr>
          <w:rFonts w:hint="eastAsia" w:cs="宋体"/>
          <w:color w:val="auto"/>
          <w:sz w:val="21"/>
          <w:highlight w:val="none"/>
        </w:rPr>
        <w:t>（2）按法律规定和合同约定完成工程，并在保修期内承担保修义务；</w:t>
      </w:r>
    </w:p>
    <w:p w14:paraId="14C6EA10">
      <w:pPr>
        <w:pStyle w:val="80"/>
        <w:rPr>
          <w:rFonts w:hint="eastAsia" w:cs="宋体"/>
          <w:color w:val="auto"/>
          <w:sz w:val="21"/>
          <w:highlight w:val="none"/>
        </w:rPr>
      </w:pPr>
      <w:r>
        <w:rPr>
          <w:rFonts w:hint="eastAsia" w:cs="宋体"/>
          <w:color w:val="auto"/>
          <w:sz w:val="21"/>
          <w:highlight w:val="none"/>
        </w:rPr>
        <w:t>（3）按法律规定和合同约定采取施工安全和环境保护措施，办理工伤保险，确保工程及人员、材料、设备和设施的安全；</w:t>
      </w:r>
    </w:p>
    <w:p w14:paraId="2E0E203C">
      <w:pPr>
        <w:pStyle w:val="80"/>
        <w:rPr>
          <w:rFonts w:hint="eastAsia" w:cs="宋体"/>
          <w:color w:val="auto"/>
          <w:sz w:val="21"/>
          <w:highlight w:val="none"/>
        </w:rPr>
      </w:pPr>
      <w:r>
        <w:rPr>
          <w:rFonts w:hint="eastAsia" w:cs="宋体"/>
          <w:color w:val="auto"/>
          <w:sz w:val="21"/>
          <w:highlight w:val="none"/>
        </w:rPr>
        <w:t>（4）按合同约定的工作内容和施工进度要求，编制施工组织设计和施工措施计划，并对所有施工作业和施工方法的完备性和安全可靠性负责；</w:t>
      </w:r>
    </w:p>
    <w:p w14:paraId="6EF76F04">
      <w:pPr>
        <w:pStyle w:val="80"/>
        <w:rPr>
          <w:rFonts w:hint="eastAsia" w:cs="宋体"/>
          <w:color w:val="auto"/>
          <w:sz w:val="21"/>
          <w:highlight w:val="none"/>
        </w:rPr>
      </w:pPr>
      <w:r>
        <w:rPr>
          <w:rFonts w:hint="eastAsia" w:cs="宋体"/>
          <w:color w:val="auto"/>
          <w:sz w:val="21"/>
          <w:highlight w:val="none"/>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256AE8C3">
      <w:pPr>
        <w:pStyle w:val="80"/>
        <w:rPr>
          <w:rFonts w:hint="eastAsia" w:cs="宋体"/>
          <w:color w:val="auto"/>
          <w:sz w:val="21"/>
          <w:highlight w:val="none"/>
        </w:rPr>
      </w:pPr>
      <w:r>
        <w:rPr>
          <w:rFonts w:hint="eastAsia" w:cs="宋体"/>
          <w:color w:val="auto"/>
          <w:sz w:val="21"/>
          <w:highlight w:val="none"/>
        </w:rPr>
        <w:t>（6）按照第6.3款〔环境保护〕约定负责施工场地及其周边环境与生态的保护工作；</w:t>
      </w:r>
    </w:p>
    <w:p w14:paraId="11704182">
      <w:pPr>
        <w:pStyle w:val="80"/>
        <w:rPr>
          <w:rFonts w:hint="eastAsia" w:cs="宋体"/>
          <w:color w:val="auto"/>
          <w:sz w:val="21"/>
          <w:highlight w:val="none"/>
        </w:rPr>
      </w:pPr>
      <w:r>
        <w:rPr>
          <w:rFonts w:hint="eastAsia" w:cs="宋体"/>
          <w:color w:val="auto"/>
          <w:sz w:val="21"/>
          <w:highlight w:val="none"/>
        </w:rPr>
        <w:t>（7）按第6.1款〔安全文明施工〕约定采取施工安全措施，确保工程及其人员、材料、设备和设施的安全，防止因工程施工造成的人身伤害和财产损失；</w:t>
      </w:r>
    </w:p>
    <w:p w14:paraId="1A8DC257">
      <w:pPr>
        <w:pStyle w:val="80"/>
        <w:rPr>
          <w:rFonts w:hint="eastAsia" w:cs="宋体"/>
          <w:color w:val="auto"/>
          <w:sz w:val="21"/>
          <w:highlight w:val="none"/>
        </w:rPr>
      </w:pPr>
      <w:r>
        <w:rPr>
          <w:rFonts w:hint="eastAsia" w:cs="宋体"/>
          <w:color w:val="auto"/>
          <w:sz w:val="21"/>
          <w:highlight w:val="none"/>
        </w:rPr>
        <w:t>（8）将发包人按合同约定支付的各项价款专用于合同工程，且应及时支付其雇用人员工资，并及时向分包人支付合同价款；</w:t>
      </w:r>
    </w:p>
    <w:p w14:paraId="4B653A3A">
      <w:pPr>
        <w:pStyle w:val="80"/>
        <w:rPr>
          <w:rFonts w:hint="eastAsia" w:cs="宋体"/>
          <w:color w:val="auto"/>
          <w:sz w:val="21"/>
          <w:highlight w:val="none"/>
        </w:rPr>
      </w:pPr>
      <w:r>
        <w:rPr>
          <w:rFonts w:hint="eastAsia" w:cs="宋体"/>
          <w:color w:val="auto"/>
          <w:sz w:val="21"/>
          <w:highlight w:val="none"/>
        </w:rPr>
        <w:t>（9）按照法律规定和合同约定编制竣工资料，完成竣工资料立卷及归档，并按专用合同条款约定的竣工资料的套数、内容、时间等要求移交发包人；</w:t>
      </w:r>
    </w:p>
    <w:p w14:paraId="0577ACDF">
      <w:pPr>
        <w:pStyle w:val="80"/>
        <w:rPr>
          <w:rFonts w:hint="eastAsia" w:cs="宋体"/>
          <w:color w:val="auto"/>
          <w:sz w:val="21"/>
          <w:highlight w:val="none"/>
        </w:rPr>
      </w:pPr>
      <w:r>
        <w:rPr>
          <w:rFonts w:hint="eastAsia" w:cs="宋体"/>
          <w:color w:val="auto"/>
          <w:sz w:val="21"/>
          <w:highlight w:val="none"/>
        </w:rPr>
        <w:t>（10）应履行的其他义务。</w:t>
      </w:r>
    </w:p>
    <w:p w14:paraId="5B2FACC5">
      <w:pPr>
        <w:pStyle w:val="322"/>
        <w:rPr>
          <w:rFonts w:hint="eastAsia" w:ascii="宋体" w:cs="宋体"/>
          <w:color w:val="auto"/>
          <w:highlight w:val="none"/>
        </w:rPr>
      </w:pPr>
      <w:bookmarkStart w:id="258" w:name="_Toc351203520"/>
      <w:bookmarkStart w:id="259" w:name="_Toc478389052"/>
      <w:r>
        <w:rPr>
          <w:rFonts w:hint="eastAsia" w:ascii="宋体" w:cs="宋体"/>
          <w:color w:val="auto"/>
          <w:highlight w:val="none"/>
        </w:rPr>
        <w:t>3</w:t>
      </w:r>
      <w:bookmarkStart w:id="260" w:name="_Toc296346548"/>
      <w:bookmarkStart w:id="261" w:name="_Toc296503047"/>
      <w:bookmarkStart w:id="262" w:name="_Toc337558748"/>
      <w:r>
        <w:rPr>
          <w:rFonts w:hint="eastAsia" w:ascii="宋体" w:cs="宋体"/>
          <w:color w:val="auto"/>
          <w:highlight w:val="none"/>
        </w:rPr>
        <w:t xml:space="preserve">.2 </w:t>
      </w:r>
      <w:bookmarkEnd w:id="258"/>
      <w:r>
        <w:rPr>
          <w:rFonts w:hint="eastAsia" w:ascii="宋体" w:cs="宋体"/>
          <w:color w:val="auto"/>
          <w:highlight w:val="none"/>
        </w:rPr>
        <w:t>项目经理</w:t>
      </w:r>
      <w:bookmarkEnd w:id="259"/>
    </w:p>
    <w:bookmarkEnd w:id="260"/>
    <w:bookmarkEnd w:id="261"/>
    <w:bookmarkEnd w:id="262"/>
    <w:p w14:paraId="4F03DF87">
      <w:pPr>
        <w:pStyle w:val="80"/>
        <w:rPr>
          <w:rFonts w:hint="eastAsia" w:cs="宋体"/>
          <w:color w:val="auto"/>
          <w:sz w:val="21"/>
          <w:highlight w:val="none"/>
        </w:rPr>
      </w:pPr>
      <w:r>
        <w:rPr>
          <w:rFonts w:hint="eastAsia" w:cs="宋体"/>
          <w:color w:val="auto"/>
          <w:sz w:val="21"/>
          <w:highlight w:val="none"/>
        </w:rPr>
        <w:t>3.2.1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14:paraId="62A30F57">
      <w:pPr>
        <w:pStyle w:val="80"/>
        <w:rPr>
          <w:rFonts w:hint="eastAsia" w:cs="宋体"/>
          <w:color w:val="auto"/>
          <w:sz w:val="21"/>
          <w:highlight w:val="none"/>
        </w:rPr>
      </w:pPr>
      <w:r>
        <w:rPr>
          <w:rFonts w:hint="eastAsia" w:cs="宋体"/>
          <w:color w:val="auto"/>
          <w:sz w:val="21"/>
          <w:highlight w:val="none"/>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14:paraId="24905985">
      <w:pPr>
        <w:pStyle w:val="80"/>
        <w:rPr>
          <w:rFonts w:hint="eastAsia" w:cs="宋体"/>
          <w:color w:val="auto"/>
          <w:sz w:val="21"/>
          <w:highlight w:val="none"/>
        </w:rPr>
      </w:pPr>
      <w:r>
        <w:rPr>
          <w:rFonts w:hint="eastAsia" w:cs="宋体"/>
          <w:color w:val="auto"/>
          <w:sz w:val="21"/>
          <w:highlight w:val="none"/>
        </w:rPr>
        <w:t>承包人违反上述约定的，应按照专用合同条款的约定，承担违约责任。</w:t>
      </w:r>
    </w:p>
    <w:p w14:paraId="50C6FFC8">
      <w:pPr>
        <w:pStyle w:val="80"/>
        <w:rPr>
          <w:rFonts w:hint="eastAsia" w:cs="宋体"/>
          <w:color w:val="auto"/>
          <w:sz w:val="21"/>
          <w:highlight w:val="none"/>
        </w:rPr>
      </w:pPr>
      <w:r>
        <w:rPr>
          <w:rFonts w:hint="eastAsia" w:cs="宋体"/>
          <w:color w:val="auto"/>
          <w:sz w:val="21"/>
          <w:highlight w:val="none"/>
        </w:rPr>
        <w:t>3.2.2项目经理按合同约定组织工程实施。在紧急情况下为确保施工安全和人员安全，在无法与发包人代表和总监理工程师及时取得联系时，项目经理有权采取必要的措施保证与工程有关的人身、财产和工程的安全，但应在48小时内向发包人代表和总监理工程师提交书面报告。</w:t>
      </w:r>
    </w:p>
    <w:p w14:paraId="7D4F8BE5">
      <w:pPr>
        <w:pStyle w:val="80"/>
        <w:rPr>
          <w:rFonts w:hint="eastAsia" w:cs="宋体"/>
          <w:color w:val="auto"/>
          <w:sz w:val="21"/>
          <w:highlight w:val="none"/>
        </w:rPr>
      </w:pPr>
      <w:r>
        <w:rPr>
          <w:rFonts w:hint="eastAsia" w:cs="宋体"/>
          <w:color w:val="auto"/>
          <w:sz w:val="21"/>
          <w:highlight w:val="none"/>
        </w:rPr>
        <w:t>3.2.3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14:paraId="6FB6D423">
      <w:pPr>
        <w:pStyle w:val="80"/>
        <w:rPr>
          <w:rFonts w:hint="eastAsia" w:cs="宋体"/>
          <w:color w:val="auto"/>
          <w:sz w:val="21"/>
          <w:highlight w:val="none"/>
        </w:rPr>
      </w:pPr>
      <w:r>
        <w:rPr>
          <w:rFonts w:hint="eastAsia" w:cs="宋体"/>
          <w:color w:val="auto"/>
          <w:sz w:val="21"/>
          <w:highlight w:val="none"/>
        </w:rPr>
        <w:t>3.2.4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继任项目经理继续履行第3.2.1项约定的职责。承包人无正当理由拒绝更换项目经理的，应按照专用合同条款的约定承担违约责任。</w:t>
      </w:r>
    </w:p>
    <w:p w14:paraId="53F53DF9">
      <w:pPr>
        <w:pStyle w:val="80"/>
        <w:rPr>
          <w:rFonts w:hint="eastAsia" w:cs="宋体"/>
          <w:color w:val="auto"/>
          <w:sz w:val="21"/>
          <w:highlight w:val="none"/>
        </w:rPr>
      </w:pPr>
      <w:r>
        <w:rPr>
          <w:rFonts w:hint="eastAsia" w:cs="宋体"/>
          <w:color w:val="auto"/>
          <w:sz w:val="21"/>
          <w:highlight w:val="none"/>
        </w:rPr>
        <w:t>3.2.5项目经理因特殊情况授权其下属人员履行其某项工作职责的，该下属人员应具备履行相应职责的能力，并应提前7天将上述人员的姓名和授权范围书面通知监理人，并征得发包人书面同意。</w:t>
      </w:r>
    </w:p>
    <w:p w14:paraId="02574BA8">
      <w:pPr>
        <w:pStyle w:val="322"/>
        <w:rPr>
          <w:rFonts w:hint="eastAsia" w:ascii="宋体" w:cs="宋体"/>
          <w:color w:val="auto"/>
          <w:highlight w:val="none"/>
        </w:rPr>
      </w:pPr>
      <w:bookmarkStart w:id="263" w:name="_Toc478389053"/>
      <w:bookmarkStart w:id="264" w:name="_Toc351203521"/>
      <w:r>
        <w:rPr>
          <w:rFonts w:hint="eastAsia" w:ascii="宋体" w:cs="宋体"/>
          <w:color w:val="auto"/>
          <w:highlight w:val="none"/>
        </w:rPr>
        <w:t>3</w:t>
      </w:r>
      <w:bookmarkStart w:id="265" w:name="_Toc296503048"/>
      <w:bookmarkStart w:id="266" w:name="_Toc296346549"/>
      <w:bookmarkStart w:id="267" w:name="_Toc337558749"/>
      <w:r>
        <w:rPr>
          <w:rFonts w:hint="eastAsia" w:ascii="宋体" w:cs="宋体"/>
          <w:color w:val="auto"/>
          <w:highlight w:val="none"/>
        </w:rPr>
        <w:t xml:space="preserve">.3 </w:t>
      </w:r>
      <w:bookmarkEnd w:id="265"/>
      <w:bookmarkEnd w:id="266"/>
      <w:r>
        <w:rPr>
          <w:rFonts w:hint="eastAsia" w:ascii="宋体" w:cs="宋体"/>
          <w:color w:val="auto"/>
          <w:highlight w:val="none"/>
        </w:rPr>
        <w:t>承包人人员</w:t>
      </w:r>
      <w:bookmarkEnd w:id="263"/>
      <w:bookmarkEnd w:id="264"/>
    </w:p>
    <w:bookmarkEnd w:id="267"/>
    <w:p w14:paraId="69FE2978">
      <w:pPr>
        <w:pStyle w:val="80"/>
        <w:rPr>
          <w:rFonts w:hint="eastAsia" w:cs="宋体"/>
          <w:color w:val="auto"/>
          <w:sz w:val="21"/>
          <w:highlight w:val="none"/>
        </w:rPr>
      </w:pPr>
      <w:r>
        <w:rPr>
          <w:rFonts w:hint="eastAsia" w:cs="宋体"/>
          <w:color w:val="auto"/>
          <w:sz w:val="21"/>
          <w:highlight w:val="none"/>
        </w:rPr>
        <w:t>3.3.1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14:paraId="5689DEB3">
      <w:pPr>
        <w:pStyle w:val="80"/>
        <w:rPr>
          <w:rFonts w:hint="eastAsia" w:cs="宋体"/>
          <w:color w:val="auto"/>
          <w:sz w:val="21"/>
          <w:highlight w:val="none"/>
        </w:rPr>
      </w:pPr>
      <w:r>
        <w:rPr>
          <w:rFonts w:hint="eastAsia" w:cs="宋体"/>
          <w:color w:val="auto"/>
          <w:sz w:val="21"/>
          <w:highlight w:val="none"/>
        </w:rPr>
        <w:t>3.3.2承包人派驻到施工现场的主要施工管理人员应相对稳定。施工过程中如有变动，承包人应及时向监理人提交施工现场人员变动情况的报告。承包人更换主要施工管理人员时，应提前7天书面通知监理人，并征得发包人书面同意。通知中应当载明继任人员的注册执业资格、管理经验等资料。特殊工种作业人员均应持有相应的资格证明，监理人可以随时检查。</w:t>
      </w:r>
    </w:p>
    <w:p w14:paraId="02315E69">
      <w:pPr>
        <w:pStyle w:val="80"/>
        <w:rPr>
          <w:rFonts w:hint="eastAsia" w:cs="宋体"/>
          <w:color w:val="auto"/>
          <w:sz w:val="21"/>
          <w:highlight w:val="none"/>
        </w:rPr>
      </w:pPr>
      <w:r>
        <w:rPr>
          <w:rFonts w:hint="eastAsia" w:cs="宋体"/>
          <w:color w:val="auto"/>
          <w:sz w:val="21"/>
          <w:highlight w:val="none"/>
        </w:rPr>
        <w:t>3.3.3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14:paraId="3AFF8C68">
      <w:pPr>
        <w:pStyle w:val="80"/>
        <w:rPr>
          <w:rFonts w:hint="eastAsia" w:cs="宋体"/>
          <w:color w:val="auto"/>
          <w:sz w:val="21"/>
          <w:highlight w:val="none"/>
        </w:rPr>
      </w:pPr>
      <w:r>
        <w:rPr>
          <w:rFonts w:hint="eastAsia" w:cs="宋体"/>
          <w:color w:val="auto"/>
          <w:sz w:val="21"/>
          <w:highlight w:val="none"/>
        </w:rPr>
        <w:t>3.3.4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14:paraId="78BA3657">
      <w:pPr>
        <w:pStyle w:val="80"/>
        <w:rPr>
          <w:rFonts w:hint="eastAsia" w:cs="宋体"/>
          <w:color w:val="auto"/>
          <w:sz w:val="21"/>
          <w:highlight w:val="none"/>
        </w:rPr>
      </w:pPr>
      <w:r>
        <w:rPr>
          <w:rFonts w:hint="eastAsia" w:cs="宋体"/>
          <w:color w:val="auto"/>
          <w:sz w:val="21"/>
          <w:highlight w:val="none"/>
        </w:rPr>
        <w:t>3.3.5承包人擅自更换主要施工管理人员，或前述人员未经监理人或发包人同意擅自离开施工现场的，应按照专用合同条款约定承担违约责任。</w:t>
      </w:r>
    </w:p>
    <w:p w14:paraId="1AC3A02B">
      <w:pPr>
        <w:pStyle w:val="322"/>
        <w:rPr>
          <w:rFonts w:hint="eastAsia" w:ascii="宋体" w:cs="宋体"/>
          <w:color w:val="auto"/>
          <w:highlight w:val="none"/>
        </w:rPr>
      </w:pPr>
      <w:bookmarkStart w:id="268" w:name="_Toc478389054"/>
      <w:bookmarkStart w:id="269" w:name="_Toc351203522"/>
      <w:r>
        <w:rPr>
          <w:rFonts w:hint="eastAsia" w:ascii="宋体" w:cs="宋体"/>
          <w:color w:val="auto"/>
          <w:highlight w:val="none"/>
        </w:rPr>
        <w:t>3</w:t>
      </w:r>
      <w:bookmarkStart w:id="270" w:name="_Toc296503050"/>
      <w:bookmarkStart w:id="271" w:name="_Toc337558750"/>
      <w:bookmarkStart w:id="272" w:name="_Toc296346551"/>
      <w:r>
        <w:rPr>
          <w:rFonts w:hint="eastAsia" w:ascii="宋体" w:cs="宋体"/>
          <w:color w:val="auto"/>
          <w:highlight w:val="none"/>
        </w:rPr>
        <w:t>.4 承包人现场查勘</w:t>
      </w:r>
      <w:bookmarkEnd w:id="268"/>
      <w:bookmarkEnd w:id="269"/>
    </w:p>
    <w:bookmarkEnd w:id="270"/>
    <w:bookmarkEnd w:id="271"/>
    <w:bookmarkEnd w:id="272"/>
    <w:p w14:paraId="5DE44F23">
      <w:pPr>
        <w:pStyle w:val="80"/>
        <w:rPr>
          <w:rFonts w:hint="eastAsia" w:cs="宋体"/>
          <w:color w:val="auto"/>
          <w:sz w:val="21"/>
          <w:highlight w:val="none"/>
        </w:rPr>
      </w:pPr>
      <w:r>
        <w:rPr>
          <w:rFonts w:hint="eastAsia" w:cs="宋体"/>
          <w:color w:val="auto"/>
          <w:sz w:val="21"/>
          <w:highlight w:val="none"/>
        </w:rPr>
        <w:t>承包人应对基于发包人按照第2.4.3项〔提供基础资料〕提交的基础资料所做出的解释和推断负责，但因基础资料存在错误、遗漏导致承包人解释或推断失实的，由发包人承担责任。</w:t>
      </w:r>
    </w:p>
    <w:p w14:paraId="1ABCD06D">
      <w:pPr>
        <w:pStyle w:val="80"/>
        <w:rPr>
          <w:rFonts w:hint="eastAsia" w:cs="宋体"/>
          <w:color w:val="auto"/>
          <w:sz w:val="21"/>
          <w:highlight w:val="none"/>
        </w:rPr>
      </w:pPr>
      <w:r>
        <w:rPr>
          <w:rFonts w:hint="eastAsia" w:cs="宋体"/>
          <w:color w:val="auto"/>
          <w:sz w:val="21"/>
          <w:highlight w:val="none"/>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14:paraId="5894AFDA">
      <w:pPr>
        <w:pStyle w:val="322"/>
        <w:rPr>
          <w:rFonts w:hint="eastAsia" w:ascii="宋体" w:cs="宋体"/>
          <w:color w:val="auto"/>
          <w:highlight w:val="none"/>
        </w:rPr>
      </w:pPr>
      <w:bookmarkStart w:id="273" w:name="_Toc351203523"/>
      <w:bookmarkStart w:id="274" w:name="_Toc478389055"/>
      <w:r>
        <w:rPr>
          <w:rFonts w:hint="eastAsia" w:ascii="宋体" w:cs="宋体"/>
          <w:color w:val="auto"/>
          <w:highlight w:val="none"/>
        </w:rPr>
        <w:t>3</w:t>
      </w:r>
      <w:bookmarkStart w:id="275" w:name="_Toc296346552"/>
      <w:bookmarkStart w:id="276" w:name="_Toc337558751"/>
      <w:bookmarkStart w:id="277" w:name="_Toc296503051"/>
      <w:r>
        <w:rPr>
          <w:rFonts w:hint="eastAsia" w:ascii="宋体" w:cs="宋体"/>
          <w:color w:val="auto"/>
          <w:highlight w:val="none"/>
        </w:rPr>
        <w:t>.5 分包</w:t>
      </w:r>
      <w:bookmarkEnd w:id="273"/>
      <w:bookmarkEnd w:id="274"/>
    </w:p>
    <w:bookmarkEnd w:id="275"/>
    <w:bookmarkEnd w:id="276"/>
    <w:bookmarkEnd w:id="277"/>
    <w:p w14:paraId="5B2B1842">
      <w:pPr>
        <w:pStyle w:val="80"/>
        <w:rPr>
          <w:rFonts w:hint="eastAsia" w:cs="宋体"/>
          <w:color w:val="auto"/>
          <w:sz w:val="21"/>
          <w:highlight w:val="none"/>
        </w:rPr>
      </w:pPr>
      <w:r>
        <w:rPr>
          <w:rFonts w:hint="eastAsia" w:cs="宋体"/>
          <w:color w:val="auto"/>
          <w:sz w:val="21"/>
          <w:highlight w:val="none"/>
        </w:rPr>
        <w:t>3.5.1 分包的一般约定</w:t>
      </w:r>
    </w:p>
    <w:p w14:paraId="1F4E828E">
      <w:pPr>
        <w:pStyle w:val="80"/>
        <w:rPr>
          <w:rFonts w:hint="eastAsia" w:cs="宋体"/>
          <w:color w:val="auto"/>
          <w:sz w:val="21"/>
          <w:highlight w:val="none"/>
        </w:rPr>
      </w:pPr>
      <w:r>
        <w:rPr>
          <w:rFonts w:hint="eastAsia" w:cs="宋体"/>
          <w:color w:val="auto"/>
          <w:sz w:val="21"/>
          <w:highlight w:val="none"/>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14:paraId="21F34E9D">
      <w:pPr>
        <w:pStyle w:val="80"/>
        <w:rPr>
          <w:rFonts w:hint="eastAsia" w:cs="宋体"/>
          <w:color w:val="auto"/>
          <w:sz w:val="21"/>
          <w:highlight w:val="none"/>
        </w:rPr>
      </w:pPr>
      <w:r>
        <w:rPr>
          <w:rFonts w:hint="eastAsia" w:cs="宋体"/>
          <w:color w:val="auto"/>
          <w:sz w:val="21"/>
          <w:highlight w:val="none"/>
        </w:rPr>
        <w:t>承包人不得以劳务分包的名义转包或违法分包工程。</w:t>
      </w:r>
    </w:p>
    <w:p w14:paraId="0E1BAC63">
      <w:pPr>
        <w:pStyle w:val="80"/>
        <w:rPr>
          <w:rFonts w:hint="eastAsia" w:cs="宋体"/>
          <w:color w:val="auto"/>
          <w:sz w:val="21"/>
          <w:highlight w:val="none"/>
        </w:rPr>
      </w:pPr>
      <w:r>
        <w:rPr>
          <w:rFonts w:hint="eastAsia" w:cs="宋体"/>
          <w:color w:val="auto"/>
          <w:sz w:val="21"/>
          <w:highlight w:val="none"/>
        </w:rPr>
        <w:t>3.5.2 分包的确定</w:t>
      </w:r>
    </w:p>
    <w:p w14:paraId="56B11327">
      <w:pPr>
        <w:pStyle w:val="80"/>
        <w:rPr>
          <w:rFonts w:hint="eastAsia" w:cs="宋体"/>
          <w:color w:val="auto"/>
          <w:sz w:val="21"/>
          <w:highlight w:val="none"/>
        </w:rPr>
      </w:pPr>
      <w:r>
        <w:rPr>
          <w:rFonts w:hint="eastAsia" w:cs="宋体"/>
          <w:color w:val="auto"/>
          <w:sz w:val="21"/>
          <w:highlight w:val="none"/>
        </w:rPr>
        <w:t>承包人应按专用合同条款的约定进行分包，确定分包人。已标价工程量清单或预算书中给定暂估价的专业工程，按照第10.7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14:paraId="62389A0E">
      <w:pPr>
        <w:pStyle w:val="80"/>
        <w:rPr>
          <w:rFonts w:hint="eastAsia" w:cs="宋体"/>
          <w:color w:val="auto"/>
          <w:sz w:val="21"/>
          <w:highlight w:val="none"/>
        </w:rPr>
      </w:pPr>
      <w:r>
        <w:rPr>
          <w:rFonts w:hint="eastAsia" w:cs="宋体"/>
          <w:color w:val="auto"/>
          <w:sz w:val="21"/>
          <w:highlight w:val="none"/>
        </w:rPr>
        <w:t>3.5.3 分包管理</w:t>
      </w:r>
    </w:p>
    <w:p w14:paraId="307AF197">
      <w:pPr>
        <w:pStyle w:val="80"/>
        <w:rPr>
          <w:rFonts w:hint="eastAsia" w:cs="宋体"/>
          <w:color w:val="auto"/>
          <w:sz w:val="21"/>
          <w:highlight w:val="none"/>
        </w:rPr>
      </w:pPr>
      <w:r>
        <w:rPr>
          <w:rFonts w:hint="eastAsia" w:cs="宋体"/>
          <w:color w:val="auto"/>
          <w:sz w:val="21"/>
          <w:highlight w:val="none"/>
        </w:rPr>
        <w:t>承包人应向监理人提交分包人的主要施工管理人员表，并对分包人的施工人员进行实名制管理，包括但不限于进出场管理、登记造册以及各种证照的办理。</w:t>
      </w:r>
    </w:p>
    <w:p w14:paraId="7792F3E9">
      <w:pPr>
        <w:pStyle w:val="80"/>
        <w:rPr>
          <w:rFonts w:hint="eastAsia" w:cs="宋体"/>
          <w:color w:val="auto"/>
          <w:sz w:val="21"/>
          <w:highlight w:val="none"/>
        </w:rPr>
      </w:pPr>
      <w:r>
        <w:rPr>
          <w:rFonts w:hint="eastAsia" w:cs="宋体"/>
          <w:color w:val="auto"/>
          <w:sz w:val="21"/>
          <w:highlight w:val="none"/>
        </w:rPr>
        <w:t>3.5.4 分包合同价款</w:t>
      </w:r>
    </w:p>
    <w:p w14:paraId="5BA42B7A">
      <w:pPr>
        <w:pStyle w:val="80"/>
        <w:rPr>
          <w:rFonts w:hint="eastAsia" w:cs="宋体"/>
          <w:color w:val="auto"/>
          <w:sz w:val="21"/>
          <w:highlight w:val="none"/>
        </w:rPr>
      </w:pPr>
      <w:r>
        <w:rPr>
          <w:rFonts w:hint="eastAsia" w:cs="宋体"/>
          <w:color w:val="auto"/>
          <w:sz w:val="21"/>
          <w:highlight w:val="none"/>
        </w:rPr>
        <w:t>（1）除本项第（2）目约定的情况或专用合同条款另有约定外，分包合同价款由承包人与分包人结算，未经承包人同意，发包人不得向分包人支付分包工程价款；</w:t>
      </w:r>
    </w:p>
    <w:p w14:paraId="4424CEA6">
      <w:pPr>
        <w:pStyle w:val="80"/>
        <w:rPr>
          <w:rFonts w:hint="eastAsia" w:cs="宋体"/>
          <w:color w:val="auto"/>
          <w:sz w:val="21"/>
          <w:highlight w:val="none"/>
        </w:rPr>
      </w:pPr>
      <w:r>
        <w:rPr>
          <w:rFonts w:hint="eastAsia" w:cs="宋体"/>
          <w:color w:val="auto"/>
          <w:sz w:val="21"/>
          <w:highlight w:val="none"/>
        </w:rPr>
        <w:t>（2）生效法律文书要求发包人向分包人支付分包合同价款的，发包人有权从应付承包人工程款中扣除该部分款项。</w:t>
      </w:r>
    </w:p>
    <w:p w14:paraId="53187C49">
      <w:pPr>
        <w:pStyle w:val="80"/>
        <w:rPr>
          <w:rFonts w:hint="eastAsia" w:cs="宋体"/>
          <w:color w:val="auto"/>
          <w:sz w:val="21"/>
          <w:highlight w:val="none"/>
        </w:rPr>
      </w:pPr>
      <w:r>
        <w:rPr>
          <w:rFonts w:hint="eastAsia" w:cs="宋体"/>
          <w:color w:val="auto"/>
          <w:sz w:val="21"/>
          <w:highlight w:val="none"/>
        </w:rPr>
        <w:t>3.5.5 分包合同权益的转让</w:t>
      </w:r>
    </w:p>
    <w:p w14:paraId="6D64EF62">
      <w:pPr>
        <w:pStyle w:val="80"/>
        <w:rPr>
          <w:rFonts w:hint="eastAsia" w:cs="宋体"/>
          <w:color w:val="auto"/>
          <w:sz w:val="21"/>
          <w:highlight w:val="none"/>
        </w:rPr>
      </w:pPr>
      <w:r>
        <w:rPr>
          <w:rFonts w:hint="eastAsia" w:cs="宋体"/>
          <w:color w:val="auto"/>
          <w:sz w:val="21"/>
          <w:highlight w:val="none"/>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bookmarkStart w:id="278" w:name="_Toc351203524"/>
    </w:p>
    <w:p w14:paraId="54406DE6">
      <w:pPr>
        <w:pStyle w:val="322"/>
        <w:rPr>
          <w:rFonts w:hint="eastAsia" w:ascii="宋体" w:cs="宋体"/>
          <w:color w:val="auto"/>
          <w:highlight w:val="none"/>
        </w:rPr>
      </w:pPr>
      <w:bookmarkStart w:id="279" w:name="_Toc478389056"/>
      <w:r>
        <w:rPr>
          <w:rFonts w:hint="eastAsia" w:ascii="宋体" w:cs="宋体"/>
          <w:color w:val="auto"/>
          <w:highlight w:val="none"/>
        </w:rPr>
        <w:t>3.6 工程照管与成品、半成品保护</w:t>
      </w:r>
      <w:bookmarkEnd w:id="278"/>
      <w:bookmarkEnd w:id="279"/>
    </w:p>
    <w:p w14:paraId="46C4EE97">
      <w:pPr>
        <w:pStyle w:val="80"/>
        <w:rPr>
          <w:rFonts w:hint="eastAsia" w:cs="宋体"/>
          <w:color w:val="auto"/>
          <w:sz w:val="21"/>
          <w:highlight w:val="none"/>
        </w:rPr>
      </w:pPr>
      <w:r>
        <w:rPr>
          <w:rFonts w:hint="eastAsia" w:cs="宋体"/>
          <w:color w:val="auto"/>
          <w:sz w:val="21"/>
          <w:highlight w:val="none"/>
        </w:rPr>
        <w:t>（1）除专用合同条款另有约定外，自发包人向承包人移交施工现场之日起，承包人应负责照管工程及工程相关的材料、工程设备，直到颁发工程接收证书之日止。</w:t>
      </w:r>
    </w:p>
    <w:p w14:paraId="0C01EF20">
      <w:pPr>
        <w:pStyle w:val="80"/>
        <w:rPr>
          <w:rFonts w:hint="eastAsia" w:cs="宋体"/>
          <w:color w:val="auto"/>
          <w:sz w:val="21"/>
          <w:highlight w:val="none"/>
        </w:rPr>
      </w:pPr>
      <w:r>
        <w:rPr>
          <w:rFonts w:hint="eastAsia" w:cs="宋体"/>
          <w:color w:val="auto"/>
          <w:sz w:val="21"/>
          <w:highlight w:val="none"/>
        </w:rPr>
        <w:t>（2）在承包人负责照管期间，因承包人原因造成工程、材料、工程设备损坏的，由承包人负责修复或更换，并承担由此增加的费用和（或）延误的工期。</w:t>
      </w:r>
    </w:p>
    <w:p w14:paraId="413F510D">
      <w:pPr>
        <w:pStyle w:val="80"/>
        <w:rPr>
          <w:rFonts w:hint="eastAsia" w:cs="宋体"/>
          <w:color w:val="auto"/>
          <w:sz w:val="21"/>
          <w:highlight w:val="none"/>
        </w:rPr>
      </w:pPr>
      <w:r>
        <w:rPr>
          <w:rFonts w:hint="eastAsia" w:cs="宋体"/>
          <w:color w:val="auto"/>
          <w:sz w:val="21"/>
          <w:highlight w:val="none"/>
        </w:rPr>
        <w:t>（3）对合同内分期完成的成品和半成品，在工程接收证书颁发前，由承包人承担保护责任。因承包人原因造成成品或半成品损坏的，由承包人负责修复或更换，并承担由此增加的费用和（或）延误的工期。</w:t>
      </w:r>
    </w:p>
    <w:p w14:paraId="351542EE">
      <w:pPr>
        <w:pStyle w:val="322"/>
        <w:rPr>
          <w:rFonts w:hint="eastAsia" w:ascii="宋体" w:cs="宋体"/>
          <w:color w:val="auto"/>
          <w:highlight w:val="none"/>
        </w:rPr>
      </w:pPr>
      <w:bookmarkStart w:id="280" w:name="_Toc351203525"/>
      <w:bookmarkStart w:id="281" w:name="_Toc478389057"/>
      <w:r>
        <w:rPr>
          <w:rFonts w:hint="eastAsia" w:ascii="宋体" w:cs="宋体"/>
          <w:color w:val="auto"/>
          <w:highlight w:val="none"/>
        </w:rPr>
        <w:t>3</w:t>
      </w:r>
      <w:bookmarkStart w:id="282" w:name="_Toc337558752"/>
      <w:bookmarkStart w:id="283" w:name="_Toc296503052"/>
      <w:bookmarkStart w:id="284" w:name="_Toc296346553"/>
      <w:r>
        <w:rPr>
          <w:rFonts w:hint="eastAsia" w:ascii="宋体" w:cs="宋体"/>
          <w:color w:val="auto"/>
          <w:highlight w:val="none"/>
        </w:rPr>
        <w:t>.7 履约保证金</w:t>
      </w:r>
      <w:bookmarkEnd w:id="280"/>
      <w:bookmarkEnd w:id="281"/>
    </w:p>
    <w:bookmarkEnd w:id="282"/>
    <w:bookmarkEnd w:id="283"/>
    <w:bookmarkEnd w:id="284"/>
    <w:p w14:paraId="0BB56AD2">
      <w:pPr>
        <w:pStyle w:val="80"/>
        <w:rPr>
          <w:rFonts w:hint="eastAsia" w:cs="宋体"/>
          <w:color w:val="auto"/>
          <w:sz w:val="21"/>
          <w:highlight w:val="none"/>
        </w:rPr>
      </w:pPr>
      <w:r>
        <w:rPr>
          <w:rFonts w:hint="eastAsia" w:cs="宋体"/>
          <w:color w:val="auto"/>
          <w:sz w:val="21"/>
          <w:highlight w:val="none"/>
        </w:rPr>
        <w:t>发包人需要承包人提供履约保证金的，由合同当事人在专用合同条款中约定履约保证金的方式、金额及期限等。履约保证金可以采用银行保函或担保公司担保等形式，具体由合同当事人在专用合同条款中约定。</w:t>
      </w:r>
    </w:p>
    <w:p w14:paraId="49CFC345">
      <w:pPr>
        <w:pStyle w:val="80"/>
        <w:rPr>
          <w:rFonts w:hint="eastAsia" w:cs="宋体"/>
          <w:color w:val="auto"/>
          <w:sz w:val="21"/>
          <w:highlight w:val="none"/>
        </w:rPr>
      </w:pPr>
      <w:r>
        <w:rPr>
          <w:rFonts w:hint="eastAsia" w:cs="宋体"/>
          <w:color w:val="auto"/>
          <w:sz w:val="21"/>
          <w:highlight w:val="none"/>
        </w:rPr>
        <w:t>因承包人原因导致工期延长的，继续提供履约保证金所增加的费用由承包人承担；非因承包人原因导致工期延长的，继续提供履约保证金所增加的费用由发包人承担。</w:t>
      </w:r>
    </w:p>
    <w:p w14:paraId="428304C2">
      <w:pPr>
        <w:pStyle w:val="322"/>
        <w:rPr>
          <w:rFonts w:hint="eastAsia" w:ascii="宋体" w:cs="宋体"/>
          <w:color w:val="auto"/>
          <w:highlight w:val="none"/>
        </w:rPr>
      </w:pPr>
      <w:bookmarkStart w:id="285" w:name="_Toc478389058"/>
      <w:bookmarkStart w:id="286" w:name="_Toc351203526"/>
      <w:r>
        <w:rPr>
          <w:rFonts w:hint="eastAsia" w:ascii="宋体" w:cs="宋体"/>
          <w:color w:val="auto"/>
          <w:highlight w:val="none"/>
        </w:rPr>
        <w:t>3.8 联合体</w:t>
      </w:r>
      <w:bookmarkEnd w:id="285"/>
      <w:bookmarkEnd w:id="286"/>
    </w:p>
    <w:p w14:paraId="375A6663">
      <w:pPr>
        <w:pStyle w:val="80"/>
        <w:rPr>
          <w:rFonts w:hint="eastAsia" w:cs="宋体"/>
          <w:color w:val="auto"/>
          <w:sz w:val="21"/>
          <w:highlight w:val="none"/>
        </w:rPr>
      </w:pPr>
      <w:r>
        <w:rPr>
          <w:rFonts w:hint="eastAsia" w:cs="宋体"/>
          <w:color w:val="auto"/>
          <w:sz w:val="21"/>
          <w:highlight w:val="none"/>
        </w:rPr>
        <w:t>3.8.1联合体各方应共同与发包人签订合同协议书。联合体各方应为履行合同向发包人承担连带责任。</w:t>
      </w:r>
    </w:p>
    <w:p w14:paraId="2216AAA0">
      <w:pPr>
        <w:pStyle w:val="80"/>
        <w:rPr>
          <w:rFonts w:hint="eastAsia" w:cs="宋体"/>
          <w:color w:val="auto"/>
          <w:sz w:val="21"/>
          <w:highlight w:val="none"/>
        </w:rPr>
      </w:pPr>
      <w:r>
        <w:rPr>
          <w:rFonts w:hint="eastAsia" w:cs="宋体"/>
          <w:color w:val="auto"/>
          <w:sz w:val="21"/>
          <w:highlight w:val="none"/>
        </w:rPr>
        <w:t>3.8.2联合体协议经发包人确认后作为合同附件。在履行合同过程中，未经发包人同意，不得修改联合体协议。</w:t>
      </w:r>
    </w:p>
    <w:p w14:paraId="5A9C7A9D">
      <w:pPr>
        <w:pStyle w:val="80"/>
        <w:rPr>
          <w:rFonts w:hint="eastAsia" w:cs="宋体"/>
          <w:color w:val="auto"/>
          <w:sz w:val="21"/>
          <w:highlight w:val="none"/>
        </w:rPr>
      </w:pPr>
      <w:r>
        <w:rPr>
          <w:rFonts w:hint="eastAsia" w:cs="宋体"/>
          <w:color w:val="auto"/>
          <w:sz w:val="21"/>
          <w:highlight w:val="none"/>
        </w:rPr>
        <w:t>3.8.3联合体牵头人负责与发包人和监理人联系，并接受指示，负责组织联合体各成员全面履行合同。</w:t>
      </w:r>
    </w:p>
    <w:p w14:paraId="4018C59B">
      <w:pPr>
        <w:pStyle w:val="322"/>
        <w:rPr>
          <w:rFonts w:hint="eastAsia" w:ascii="宋体" w:cs="宋体"/>
          <w:color w:val="auto"/>
          <w:highlight w:val="none"/>
        </w:rPr>
      </w:pPr>
      <w:bookmarkStart w:id="287" w:name="_Toc478389059"/>
      <w:bookmarkStart w:id="288" w:name="_Toc351203527"/>
      <w:r>
        <w:rPr>
          <w:rFonts w:hint="eastAsia" w:ascii="宋体" w:cs="宋体"/>
          <w:color w:val="auto"/>
          <w:highlight w:val="none"/>
        </w:rPr>
        <w:t>4</w:t>
      </w:r>
      <w:bookmarkStart w:id="289" w:name="_Toc296503053"/>
      <w:bookmarkStart w:id="290" w:name="_Toc296346554"/>
      <w:bookmarkStart w:id="291" w:name="_Toc337558753"/>
      <w:r>
        <w:rPr>
          <w:rFonts w:hint="eastAsia" w:ascii="宋体" w:cs="宋体"/>
          <w:color w:val="auto"/>
          <w:highlight w:val="none"/>
        </w:rPr>
        <w:t>. 监</w:t>
      </w:r>
      <w:bookmarkEnd w:id="289"/>
      <w:bookmarkEnd w:id="290"/>
      <w:r>
        <w:rPr>
          <w:rFonts w:hint="eastAsia" w:ascii="宋体" w:cs="宋体"/>
          <w:color w:val="auto"/>
          <w:highlight w:val="none"/>
        </w:rPr>
        <w:t>理人</w:t>
      </w:r>
      <w:bookmarkEnd w:id="287"/>
      <w:bookmarkEnd w:id="288"/>
    </w:p>
    <w:bookmarkEnd w:id="291"/>
    <w:p w14:paraId="1161ACB8">
      <w:pPr>
        <w:pStyle w:val="322"/>
        <w:rPr>
          <w:rFonts w:hint="eastAsia" w:ascii="宋体" w:cs="宋体"/>
          <w:color w:val="auto"/>
          <w:highlight w:val="none"/>
        </w:rPr>
      </w:pPr>
      <w:bookmarkStart w:id="292" w:name="_Toc478389060"/>
      <w:bookmarkStart w:id="293" w:name="_Toc351203528"/>
      <w:r>
        <w:rPr>
          <w:rFonts w:hint="eastAsia" w:ascii="宋体" w:cs="宋体"/>
          <w:color w:val="auto"/>
          <w:highlight w:val="none"/>
        </w:rPr>
        <w:t>4</w:t>
      </w:r>
      <w:bookmarkStart w:id="294" w:name="_Toc296346555"/>
      <w:bookmarkStart w:id="295" w:name="_Toc296503054"/>
      <w:bookmarkStart w:id="296" w:name="_Toc337558754"/>
      <w:r>
        <w:rPr>
          <w:rFonts w:hint="eastAsia" w:ascii="宋体" w:cs="宋体"/>
          <w:color w:val="auto"/>
          <w:highlight w:val="none"/>
        </w:rPr>
        <w:t>.1监理人的一般规定</w:t>
      </w:r>
      <w:bookmarkEnd w:id="292"/>
      <w:bookmarkEnd w:id="293"/>
    </w:p>
    <w:bookmarkEnd w:id="294"/>
    <w:bookmarkEnd w:id="295"/>
    <w:bookmarkEnd w:id="296"/>
    <w:p w14:paraId="6B2BC76A">
      <w:pPr>
        <w:pStyle w:val="80"/>
        <w:rPr>
          <w:rFonts w:hint="eastAsia" w:cs="宋体"/>
          <w:color w:val="auto"/>
          <w:sz w:val="21"/>
          <w:highlight w:val="none"/>
        </w:rPr>
      </w:pPr>
      <w:r>
        <w:rPr>
          <w:rFonts w:hint="eastAsia" w:cs="宋体"/>
          <w:color w:val="auto"/>
          <w:sz w:val="21"/>
          <w:highlight w:val="none"/>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14:paraId="098E0CAC">
      <w:pPr>
        <w:pStyle w:val="80"/>
        <w:rPr>
          <w:rFonts w:hint="eastAsia" w:cs="宋体"/>
          <w:color w:val="auto"/>
          <w:sz w:val="21"/>
          <w:highlight w:val="none"/>
        </w:rPr>
      </w:pPr>
      <w:r>
        <w:rPr>
          <w:rFonts w:hint="eastAsia" w:cs="宋体"/>
          <w:color w:val="auto"/>
          <w:sz w:val="21"/>
          <w:highlight w:val="none"/>
        </w:rPr>
        <w:t>除专用合同条款另有约定外，监理人在施工现场的办公场所、生活场所由承包人提供，所发生的费用由发包人承担。</w:t>
      </w:r>
    </w:p>
    <w:p w14:paraId="2988C9F9">
      <w:pPr>
        <w:pStyle w:val="322"/>
        <w:rPr>
          <w:rFonts w:hint="eastAsia" w:ascii="宋体" w:cs="宋体"/>
          <w:color w:val="auto"/>
          <w:highlight w:val="none"/>
        </w:rPr>
      </w:pPr>
      <w:bookmarkStart w:id="297" w:name="_Toc351203529"/>
      <w:bookmarkStart w:id="298" w:name="_Toc478389061"/>
      <w:r>
        <w:rPr>
          <w:rFonts w:hint="eastAsia" w:ascii="宋体" w:cs="宋体"/>
          <w:color w:val="auto"/>
          <w:highlight w:val="none"/>
        </w:rPr>
        <w:t>4</w:t>
      </w:r>
      <w:bookmarkStart w:id="299" w:name="_Toc337558755"/>
      <w:r>
        <w:rPr>
          <w:rFonts w:hint="eastAsia" w:ascii="宋体" w:cs="宋体"/>
          <w:color w:val="auto"/>
          <w:highlight w:val="none"/>
        </w:rPr>
        <w:t>.2监理人员</w:t>
      </w:r>
      <w:bookmarkEnd w:id="297"/>
      <w:bookmarkEnd w:id="298"/>
    </w:p>
    <w:bookmarkEnd w:id="299"/>
    <w:p w14:paraId="7FB924BA">
      <w:pPr>
        <w:pStyle w:val="80"/>
        <w:rPr>
          <w:rFonts w:hint="eastAsia" w:cs="宋体"/>
          <w:color w:val="auto"/>
          <w:sz w:val="21"/>
          <w:highlight w:val="none"/>
        </w:rPr>
      </w:pPr>
      <w:r>
        <w:rPr>
          <w:rFonts w:hint="eastAsia" w:cs="宋体"/>
          <w:color w:val="auto"/>
          <w:sz w:val="21"/>
          <w:highlight w:val="none"/>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14:paraId="7CC2FA83">
      <w:pPr>
        <w:pStyle w:val="322"/>
        <w:rPr>
          <w:rFonts w:hint="eastAsia" w:ascii="宋体" w:cs="宋体"/>
          <w:color w:val="auto"/>
          <w:highlight w:val="none"/>
        </w:rPr>
      </w:pPr>
      <w:bookmarkStart w:id="300" w:name="_Toc351203530"/>
      <w:bookmarkStart w:id="301" w:name="_Toc478389062"/>
      <w:r>
        <w:rPr>
          <w:rFonts w:hint="eastAsia" w:ascii="宋体" w:cs="宋体"/>
          <w:color w:val="auto"/>
          <w:highlight w:val="none"/>
        </w:rPr>
        <w:t>4</w:t>
      </w:r>
      <w:bookmarkStart w:id="302" w:name="_Toc296346556"/>
      <w:bookmarkStart w:id="303" w:name="_Toc296503055"/>
      <w:bookmarkStart w:id="304" w:name="_Toc337558756"/>
      <w:r>
        <w:rPr>
          <w:rFonts w:hint="eastAsia" w:ascii="宋体" w:cs="宋体"/>
          <w:color w:val="auto"/>
          <w:highlight w:val="none"/>
        </w:rPr>
        <w:t>.3</w:t>
      </w:r>
      <w:bookmarkEnd w:id="302"/>
      <w:bookmarkEnd w:id="303"/>
      <w:r>
        <w:rPr>
          <w:rFonts w:hint="eastAsia" w:ascii="宋体" w:cs="宋体"/>
          <w:color w:val="auto"/>
          <w:highlight w:val="none"/>
        </w:rPr>
        <w:t>监理人的指</w:t>
      </w:r>
      <w:bookmarkEnd w:id="304"/>
      <w:r>
        <w:rPr>
          <w:rFonts w:hint="eastAsia" w:ascii="宋体" w:cs="宋体"/>
          <w:color w:val="auto"/>
          <w:highlight w:val="none"/>
        </w:rPr>
        <w:t>示</w:t>
      </w:r>
      <w:bookmarkEnd w:id="300"/>
      <w:bookmarkEnd w:id="301"/>
    </w:p>
    <w:p w14:paraId="5F117909">
      <w:pPr>
        <w:pStyle w:val="80"/>
        <w:rPr>
          <w:rFonts w:hint="eastAsia" w:cs="宋体"/>
          <w:color w:val="auto"/>
          <w:sz w:val="21"/>
          <w:highlight w:val="none"/>
        </w:rPr>
      </w:pPr>
      <w:r>
        <w:rPr>
          <w:rFonts w:hint="eastAsia" w:cs="宋体"/>
          <w:color w:val="auto"/>
          <w:sz w:val="21"/>
          <w:highlight w:val="none"/>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14:paraId="3C5D3B71">
      <w:pPr>
        <w:pStyle w:val="80"/>
        <w:rPr>
          <w:rFonts w:hint="eastAsia" w:cs="宋体"/>
          <w:color w:val="auto"/>
          <w:sz w:val="21"/>
          <w:highlight w:val="none"/>
        </w:rPr>
      </w:pPr>
      <w:r>
        <w:rPr>
          <w:rFonts w:hint="eastAsia" w:cs="宋体"/>
          <w:color w:val="auto"/>
          <w:sz w:val="21"/>
          <w:highlight w:val="none"/>
        </w:rPr>
        <w:t>监理人发出的指示应送达承包人项目经理或经项目经理授权接收的人员。因监理人未能按合同约定发出指示、指示延误或发出错误指示而导致承包人费用增加和（或）工期延误的，由发包人承担相应责任。除专用合同条款另有约定外，总监理工程师不应将第4.4款〔商定或确定〕约定应由总监理工程师作出确定的权力授权或委托给其他监理人员。</w:t>
      </w:r>
    </w:p>
    <w:p w14:paraId="5FBE2A7A">
      <w:pPr>
        <w:pStyle w:val="80"/>
        <w:rPr>
          <w:rFonts w:hint="eastAsia" w:cs="宋体"/>
          <w:color w:val="auto"/>
          <w:sz w:val="21"/>
          <w:highlight w:val="none"/>
        </w:rPr>
      </w:pPr>
      <w:r>
        <w:rPr>
          <w:rFonts w:hint="eastAsia" w:cs="宋体"/>
          <w:color w:val="auto"/>
          <w:sz w:val="21"/>
          <w:highlight w:val="none"/>
        </w:rPr>
        <w:t>承包人对监理人发出的指示有疑问的，应向监理人提出书面异议，监理人应在48小时内对该指示予以确认、更改或撤销，监理人逾期未回复的，承包人有权拒绝执行上述指示。</w:t>
      </w:r>
    </w:p>
    <w:p w14:paraId="1D706EA7">
      <w:pPr>
        <w:pStyle w:val="80"/>
        <w:rPr>
          <w:rFonts w:hint="eastAsia" w:cs="宋体"/>
          <w:color w:val="auto"/>
          <w:sz w:val="21"/>
          <w:highlight w:val="none"/>
        </w:rPr>
      </w:pPr>
      <w:r>
        <w:rPr>
          <w:rFonts w:hint="eastAsia" w:cs="宋体"/>
          <w:color w:val="auto"/>
          <w:sz w:val="21"/>
          <w:highlight w:val="none"/>
        </w:rPr>
        <w:t>监理人对承包人的任何工作、工程或其采用的材料和工程设备未在约定的或合理期限内提出意见的，视为批准，但不免除或减轻承包人对该工作、工程、材料、工程设备等应承担的责任和义务。</w:t>
      </w:r>
    </w:p>
    <w:p w14:paraId="7D51B875">
      <w:pPr>
        <w:pStyle w:val="322"/>
        <w:rPr>
          <w:rFonts w:hint="eastAsia" w:ascii="宋体" w:cs="宋体"/>
          <w:color w:val="auto"/>
          <w:sz w:val="32"/>
          <w:highlight w:val="none"/>
        </w:rPr>
      </w:pPr>
      <w:bookmarkStart w:id="305" w:name="_Toc351203531"/>
      <w:bookmarkStart w:id="306" w:name="_Toc478389063"/>
      <w:r>
        <w:rPr>
          <w:rFonts w:hint="eastAsia" w:ascii="宋体" w:cs="宋体"/>
          <w:color w:val="auto"/>
          <w:highlight w:val="none"/>
        </w:rPr>
        <w:t>4</w:t>
      </w:r>
      <w:bookmarkStart w:id="307" w:name="_Toc337558757"/>
      <w:bookmarkStart w:id="308" w:name="_Toc296503057"/>
      <w:bookmarkStart w:id="309" w:name="_Toc296346558"/>
      <w:r>
        <w:rPr>
          <w:rFonts w:hint="eastAsia" w:ascii="宋体" w:cs="宋体"/>
          <w:color w:val="auto"/>
          <w:highlight w:val="none"/>
        </w:rPr>
        <w:t>.4 商定或确定</w:t>
      </w:r>
      <w:bookmarkEnd w:id="305"/>
      <w:bookmarkEnd w:id="306"/>
    </w:p>
    <w:bookmarkEnd w:id="307"/>
    <w:bookmarkEnd w:id="308"/>
    <w:bookmarkEnd w:id="309"/>
    <w:p w14:paraId="431E5EC2">
      <w:pPr>
        <w:pStyle w:val="80"/>
        <w:rPr>
          <w:rFonts w:hint="eastAsia" w:cs="宋体"/>
          <w:color w:val="auto"/>
          <w:sz w:val="21"/>
          <w:highlight w:val="none"/>
        </w:rPr>
      </w:pPr>
      <w:r>
        <w:rPr>
          <w:rFonts w:hint="eastAsia" w:cs="宋体"/>
          <w:color w:val="auto"/>
          <w:sz w:val="21"/>
          <w:highlight w:val="none"/>
        </w:rPr>
        <w:t>合同当事人进行商定或确定时，总监理工程师应当会同合同当事人尽量通过协商达成一致，不能达成一致的，由总监理工程师按照合同约定审慎做出公正的确定。</w:t>
      </w:r>
    </w:p>
    <w:p w14:paraId="7F2614DC">
      <w:pPr>
        <w:pStyle w:val="80"/>
        <w:rPr>
          <w:rFonts w:hint="eastAsia" w:cs="宋体"/>
          <w:color w:val="auto"/>
          <w:sz w:val="21"/>
          <w:highlight w:val="none"/>
        </w:rPr>
      </w:pPr>
      <w:r>
        <w:rPr>
          <w:rFonts w:hint="eastAsia" w:cs="宋体"/>
          <w:color w:val="auto"/>
          <w:sz w:val="21"/>
          <w:highlight w:val="none"/>
        </w:rPr>
        <w:t>总监理工程师应将确定以书面形式通知发包人和承包人，并附详细依据。合同当事人对总监理工程师的确定没有异议的，按照总监理工程师的确定执行。任何一方合同当事人有异议，按照第20条〔争议解决〕约定处理。争议解决前，合同当事人暂按总监理工程师的确定执行；争议解决后，争议解决的结果与总监理工程师的确定不一致的，按照争议解决的结果执行，由此造成的损失由责任人承担。</w:t>
      </w:r>
    </w:p>
    <w:p w14:paraId="72FB3AB3">
      <w:pPr>
        <w:pStyle w:val="322"/>
        <w:rPr>
          <w:rFonts w:hint="eastAsia" w:ascii="宋体" w:cs="宋体"/>
          <w:color w:val="auto"/>
          <w:highlight w:val="none"/>
        </w:rPr>
      </w:pPr>
      <w:bookmarkStart w:id="310" w:name="_Toc351203532"/>
      <w:bookmarkStart w:id="311" w:name="_Toc478389064"/>
      <w:r>
        <w:rPr>
          <w:rFonts w:hint="eastAsia" w:ascii="宋体" w:cs="宋体"/>
          <w:color w:val="auto"/>
          <w:highlight w:val="none"/>
        </w:rPr>
        <w:t>5</w:t>
      </w:r>
      <w:bookmarkStart w:id="312" w:name="_Toc337558758"/>
      <w:r>
        <w:rPr>
          <w:rFonts w:hint="eastAsia" w:ascii="宋体" w:cs="宋体"/>
          <w:color w:val="auto"/>
          <w:highlight w:val="none"/>
        </w:rPr>
        <w:t>. 工程质量</w:t>
      </w:r>
      <w:bookmarkEnd w:id="310"/>
      <w:bookmarkEnd w:id="311"/>
    </w:p>
    <w:bookmarkEnd w:id="312"/>
    <w:p w14:paraId="2B07CBC1">
      <w:pPr>
        <w:pStyle w:val="322"/>
        <w:rPr>
          <w:rFonts w:hint="eastAsia" w:ascii="宋体" w:cs="宋体"/>
          <w:color w:val="auto"/>
          <w:highlight w:val="none"/>
        </w:rPr>
      </w:pPr>
      <w:bookmarkStart w:id="313" w:name="_Toc351203533"/>
      <w:bookmarkStart w:id="314" w:name="_Toc478389065"/>
      <w:r>
        <w:rPr>
          <w:rFonts w:hint="eastAsia" w:ascii="宋体" w:cs="宋体"/>
          <w:color w:val="auto"/>
          <w:highlight w:val="none"/>
        </w:rPr>
        <w:t>5</w:t>
      </w:r>
      <w:bookmarkStart w:id="315" w:name="_Toc337558759"/>
      <w:r>
        <w:rPr>
          <w:rFonts w:hint="eastAsia" w:ascii="宋体" w:cs="宋体"/>
          <w:color w:val="auto"/>
          <w:highlight w:val="none"/>
        </w:rPr>
        <w:t>.1质量要求</w:t>
      </w:r>
      <w:bookmarkEnd w:id="313"/>
      <w:bookmarkEnd w:id="314"/>
    </w:p>
    <w:bookmarkEnd w:id="315"/>
    <w:p w14:paraId="65208626">
      <w:pPr>
        <w:pStyle w:val="80"/>
        <w:rPr>
          <w:rFonts w:hint="eastAsia" w:cs="宋体"/>
          <w:color w:val="auto"/>
          <w:sz w:val="21"/>
          <w:highlight w:val="none"/>
        </w:rPr>
      </w:pPr>
      <w:r>
        <w:rPr>
          <w:rFonts w:hint="eastAsia" w:cs="宋体"/>
          <w:color w:val="auto"/>
          <w:sz w:val="21"/>
          <w:highlight w:val="none"/>
        </w:rPr>
        <w:t>5.1.1工程质量标准必须符合现行国家有关工程施工质量验收规范和标准的要求。有关工程质量的特殊标准或要求由合同当事人在专用合同条款中约定。</w:t>
      </w:r>
    </w:p>
    <w:p w14:paraId="2BC7543F">
      <w:pPr>
        <w:pStyle w:val="80"/>
        <w:rPr>
          <w:rFonts w:hint="eastAsia" w:cs="宋体"/>
          <w:color w:val="auto"/>
          <w:sz w:val="21"/>
          <w:highlight w:val="none"/>
        </w:rPr>
      </w:pPr>
      <w:r>
        <w:rPr>
          <w:rFonts w:hint="eastAsia" w:cs="宋体"/>
          <w:color w:val="auto"/>
          <w:sz w:val="21"/>
          <w:highlight w:val="none"/>
        </w:rPr>
        <w:t>5.1.2因发包人原因造成工程质量未达到合同约定标准的，由发包人承担由此增加的费用和（或）延误的工期，并支付承包人合理的利润。</w:t>
      </w:r>
    </w:p>
    <w:p w14:paraId="18F7B2B5">
      <w:pPr>
        <w:pStyle w:val="80"/>
        <w:rPr>
          <w:rFonts w:hint="eastAsia" w:cs="宋体"/>
          <w:color w:val="auto"/>
          <w:sz w:val="21"/>
          <w:highlight w:val="none"/>
        </w:rPr>
      </w:pPr>
      <w:r>
        <w:rPr>
          <w:rFonts w:hint="eastAsia" w:cs="宋体"/>
          <w:color w:val="auto"/>
          <w:sz w:val="21"/>
          <w:highlight w:val="none"/>
        </w:rPr>
        <w:t>5.1.3因承包人原因造成工程质量未达到合同约定标准的，发包人有权要求承包人返工直至工程质量达到合同约定的标准为止，并由承包人承担由此增加的费用和（或）延误的工期。</w:t>
      </w:r>
    </w:p>
    <w:p w14:paraId="718F779B">
      <w:pPr>
        <w:pStyle w:val="322"/>
        <w:rPr>
          <w:rFonts w:hint="eastAsia" w:ascii="宋体" w:cs="宋体"/>
          <w:color w:val="auto"/>
          <w:highlight w:val="none"/>
        </w:rPr>
      </w:pPr>
      <w:bookmarkStart w:id="316" w:name="_Toc478389066"/>
      <w:bookmarkStart w:id="317" w:name="_Toc351203534"/>
      <w:r>
        <w:rPr>
          <w:rFonts w:hint="eastAsia" w:ascii="宋体" w:cs="宋体"/>
          <w:color w:val="auto"/>
          <w:highlight w:val="none"/>
        </w:rPr>
        <w:t>5</w:t>
      </w:r>
      <w:bookmarkStart w:id="318" w:name="_Toc337558760"/>
      <w:r>
        <w:rPr>
          <w:rFonts w:hint="eastAsia" w:ascii="宋体" w:cs="宋体"/>
          <w:color w:val="auto"/>
          <w:highlight w:val="none"/>
        </w:rPr>
        <w:t>.2质量保证措施</w:t>
      </w:r>
      <w:bookmarkEnd w:id="316"/>
      <w:bookmarkEnd w:id="317"/>
    </w:p>
    <w:bookmarkEnd w:id="318"/>
    <w:p w14:paraId="27EC7BCF">
      <w:pPr>
        <w:pStyle w:val="80"/>
        <w:rPr>
          <w:rFonts w:hint="eastAsia" w:cs="宋体"/>
          <w:color w:val="auto"/>
          <w:sz w:val="21"/>
          <w:highlight w:val="none"/>
        </w:rPr>
      </w:pPr>
      <w:r>
        <w:rPr>
          <w:rFonts w:hint="eastAsia" w:cs="宋体"/>
          <w:color w:val="auto"/>
          <w:sz w:val="21"/>
          <w:highlight w:val="none"/>
        </w:rPr>
        <w:t>5.2.1 发包人的质量管理</w:t>
      </w:r>
    </w:p>
    <w:p w14:paraId="36566979">
      <w:pPr>
        <w:pStyle w:val="80"/>
        <w:rPr>
          <w:rFonts w:hint="eastAsia" w:cs="宋体"/>
          <w:color w:val="auto"/>
          <w:sz w:val="21"/>
          <w:highlight w:val="none"/>
        </w:rPr>
      </w:pPr>
      <w:r>
        <w:rPr>
          <w:rFonts w:hint="eastAsia" w:cs="宋体"/>
          <w:color w:val="auto"/>
          <w:sz w:val="21"/>
          <w:highlight w:val="none"/>
        </w:rPr>
        <w:t>发包人应按照法律规定及合同约定完成与工程质量有关的各项工作。</w:t>
      </w:r>
    </w:p>
    <w:p w14:paraId="2C19266B">
      <w:pPr>
        <w:pStyle w:val="80"/>
        <w:rPr>
          <w:rFonts w:hint="eastAsia" w:cs="宋体"/>
          <w:color w:val="auto"/>
          <w:sz w:val="21"/>
          <w:highlight w:val="none"/>
        </w:rPr>
      </w:pPr>
      <w:r>
        <w:rPr>
          <w:rFonts w:hint="eastAsia" w:cs="宋体"/>
          <w:color w:val="auto"/>
          <w:sz w:val="21"/>
          <w:highlight w:val="none"/>
        </w:rPr>
        <w:t>5.2.2 承包人的质量管理</w:t>
      </w:r>
    </w:p>
    <w:p w14:paraId="5BE39A15">
      <w:pPr>
        <w:pStyle w:val="80"/>
        <w:rPr>
          <w:rFonts w:hint="eastAsia" w:cs="宋体"/>
          <w:color w:val="auto"/>
          <w:sz w:val="21"/>
          <w:highlight w:val="none"/>
        </w:rPr>
      </w:pPr>
      <w:r>
        <w:rPr>
          <w:rFonts w:hint="eastAsia" w:cs="宋体"/>
          <w:color w:val="auto"/>
          <w:sz w:val="21"/>
          <w:highlight w:val="none"/>
        </w:rPr>
        <w:t>承包人按照第7.1款〔施工组织设计〕约定向发包人和监理人提交工程质量保证体系及措施文件，建立完善的质量检查制度，并提交相应的工程质量文件。对于发包人和监理人违反法律规定和合同约定的错误指示，承包人有权拒绝实施。</w:t>
      </w:r>
    </w:p>
    <w:p w14:paraId="459AEED8">
      <w:pPr>
        <w:pStyle w:val="80"/>
        <w:rPr>
          <w:rFonts w:hint="eastAsia" w:cs="宋体"/>
          <w:color w:val="auto"/>
          <w:sz w:val="21"/>
          <w:highlight w:val="none"/>
        </w:rPr>
      </w:pPr>
      <w:r>
        <w:rPr>
          <w:rFonts w:hint="eastAsia" w:cs="宋体"/>
          <w:color w:val="auto"/>
          <w:sz w:val="21"/>
          <w:highlight w:val="none"/>
        </w:rPr>
        <w:t>承包人应对施工人员进行质量教育和技术培训，定期考核施工人员的劳动技能，严格执行施工规范和操作规程。</w:t>
      </w:r>
    </w:p>
    <w:p w14:paraId="63C9BECA">
      <w:pPr>
        <w:pStyle w:val="80"/>
        <w:rPr>
          <w:rFonts w:hint="eastAsia" w:cs="宋体"/>
          <w:color w:val="auto"/>
          <w:sz w:val="21"/>
          <w:highlight w:val="none"/>
        </w:rPr>
      </w:pPr>
      <w:r>
        <w:rPr>
          <w:rFonts w:hint="eastAsia" w:cs="宋体"/>
          <w:color w:val="auto"/>
          <w:sz w:val="21"/>
          <w:highlight w:val="none"/>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14:paraId="4DA941EB">
      <w:pPr>
        <w:pStyle w:val="80"/>
        <w:rPr>
          <w:rFonts w:hint="eastAsia" w:cs="宋体"/>
          <w:color w:val="auto"/>
          <w:sz w:val="21"/>
          <w:highlight w:val="none"/>
        </w:rPr>
      </w:pPr>
      <w:r>
        <w:rPr>
          <w:rFonts w:hint="eastAsia" w:cs="宋体"/>
          <w:color w:val="auto"/>
          <w:sz w:val="21"/>
          <w:highlight w:val="none"/>
        </w:rPr>
        <w:t>5.2.3 监理人的质量检查和检验</w:t>
      </w:r>
    </w:p>
    <w:p w14:paraId="7152BBD8">
      <w:pPr>
        <w:pStyle w:val="80"/>
        <w:rPr>
          <w:rFonts w:hint="eastAsia" w:cs="宋体"/>
          <w:color w:val="auto"/>
          <w:sz w:val="21"/>
          <w:highlight w:val="none"/>
        </w:rPr>
      </w:pPr>
      <w:r>
        <w:rPr>
          <w:rFonts w:hint="eastAsia" w:cs="宋体"/>
          <w:color w:val="auto"/>
          <w:sz w:val="21"/>
          <w:highlight w:val="none"/>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14:paraId="0DFD47C1">
      <w:pPr>
        <w:pStyle w:val="80"/>
        <w:rPr>
          <w:rFonts w:hint="eastAsia" w:cs="宋体"/>
          <w:color w:val="auto"/>
          <w:sz w:val="21"/>
          <w:highlight w:val="none"/>
        </w:rPr>
      </w:pPr>
      <w:r>
        <w:rPr>
          <w:rFonts w:hint="eastAsia" w:cs="宋体"/>
          <w:color w:val="auto"/>
          <w:sz w:val="21"/>
          <w:highlight w:val="none"/>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14:paraId="48B67B5F">
      <w:pPr>
        <w:pStyle w:val="322"/>
        <w:rPr>
          <w:rFonts w:hint="eastAsia" w:ascii="宋体" w:cs="宋体"/>
          <w:color w:val="auto"/>
          <w:highlight w:val="none"/>
        </w:rPr>
      </w:pPr>
      <w:bookmarkStart w:id="319" w:name="_Toc351203535"/>
      <w:bookmarkStart w:id="320" w:name="_Toc478389067"/>
      <w:r>
        <w:rPr>
          <w:rFonts w:hint="eastAsia" w:ascii="宋体" w:cs="宋体"/>
          <w:color w:val="auto"/>
          <w:highlight w:val="none"/>
        </w:rPr>
        <w:t>5</w:t>
      </w:r>
      <w:bookmarkStart w:id="321" w:name="_Toc337558761"/>
      <w:r>
        <w:rPr>
          <w:rFonts w:hint="eastAsia" w:ascii="宋体" w:cs="宋体"/>
          <w:color w:val="auto"/>
          <w:highlight w:val="none"/>
        </w:rPr>
        <w:t>.3 隐蔽工程检查</w:t>
      </w:r>
      <w:bookmarkEnd w:id="319"/>
      <w:bookmarkEnd w:id="320"/>
    </w:p>
    <w:bookmarkEnd w:id="321"/>
    <w:p w14:paraId="1BA7D790">
      <w:pPr>
        <w:pStyle w:val="80"/>
        <w:rPr>
          <w:rFonts w:hint="eastAsia" w:cs="宋体"/>
          <w:color w:val="auto"/>
          <w:sz w:val="21"/>
          <w:highlight w:val="none"/>
        </w:rPr>
      </w:pPr>
      <w:r>
        <w:rPr>
          <w:rFonts w:hint="eastAsia" w:cs="宋体"/>
          <w:color w:val="auto"/>
          <w:sz w:val="21"/>
          <w:highlight w:val="none"/>
        </w:rPr>
        <w:t>5.3.1承包人自检</w:t>
      </w:r>
    </w:p>
    <w:p w14:paraId="11055FF2">
      <w:pPr>
        <w:pStyle w:val="80"/>
        <w:rPr>
          <w:rFonts w:hint="eastAsia" w:cs="宋体"/>
          <w:color w:val="auto"/>
          <w:sz w:val="21"/>
          <w:highlight w:val="none"/>
        </w:rPr>
      </w:pPr>
      <w:r>
        <w:rPr>
          <w:rFonts w:hint="eastAsia" w:cs="宋体"/>
          <w:color w:val="auto"/>
          <w:sz w:val="21"/>
          <w:highlight w:val="none"/>
        </w:rPr>
        <w:t>承包人应当对工程隐蔽部位进行自检，并经自检确认是否具备覆盖条件。</w:t>
      </w:r>
    </w:p>
    <w:p w14:paraId="163E75F9">
      <w:pPr>
        <w:pStyle w:val="80"/>
        <w:rPr>
          <w:rFonts w:hint="eastAsia" w:cs="宋体"/>
          <w:color w:val="auto"/>
          <w:sz w:val="21"/>
          <w:highlight w:val="none"/>
        </w:rPr>
      </w:pPr>
      <w:r>
        <w:rPr>
          <w:rFonts w:hint="eastAsia" w:cs="宋体"/>
          <w:color w:val="auto"/>
          <w:sz w:val="21"/>
          <w:highlight w:val="none"/>
        </w:rPr>
        <w:t>5.3.2检查程序</w:t>
      </w:r>
    </w:p>
    <w:p w14:paraId="754087A1">
      <w:pPr>
        <w:pStyle w:val="80"/>
        <w:rPr>
          <w:rFonts w:hint="eastAsia" w:cs="宋体"/>
          <w:color w:val="auto"/>
          <w:sz w:val="21"/>
          <w:highlight w:val="none"/>
        </w:rPr>
      </w:pPr>
      <w:r>
        <w:rPr>
          <w:rFonts w:hint="eastAsia" w:cs="宋体"/>
          <w:color w:val="auto"/>
          <w:sz w:val="21"/>
          <w:highlight w:val="none"/>
        </w:rPr>
        <w:t>除专用合同条款另有约定外，工程隐蔽部位经承包人自检确认具备覆盖条件的，承包人应在共同检查前48小时书面通知监理人检查，通知中应载明隐蔽检查的内容、时间和地点，并应附有自检记录和必要的检查资料。</w:t>
      </w:r>
    </w:p>
    <w:p w14:paraId="47A011D7">
      <w:pPr>
        <w:pStyle w:val="80"/>
        <w:rPr>
          <w:rFonts w:hint="eastAsia" w:cs="宋体"/>
          <w:color w:val="auto"/>
          <w:sz w:val="21"/>
          <w:highlight w:val="none"/>
        </w:rPr>
      </w:pPr>
      <w:r>
        <w:rPr>
          <w:rFonts w:hint="eastAsia" w:cs="宋体"/>
          <w:color w:val="auto"/>
          <w:sz w:val="21"/>
          <w:highlight w:val="none"/>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14:paraId="62D943BD">
      <w:pPr>
        <w:pStyle w:val="80"/>
        <w:rPr>
          <w:rFonts w:hint="eastAsia" w:cs="宋体"/>
          <w:color w:val="auto"/>
          <w:sz w:val="21"/>
          <w:highlight w:val="none"/>
        </w:rPr>
      </w:pPr>
      <w:r>
        <w:rPr>
          <w:rFonts w:hint="eastAsia" w:cs="宋体"/>
          <w:color w:val="auto"/>
          <w:sz w:val="21"/>
          <w:highlight w:val="none"/>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5.3.3项〔重新检查〕的约定重新检查。</w:t>
      </w:r>
    </w:p>
    <w:p w14:paraId="4408934F">
      <w:pPr>
        <w:pStyle w:val="80"/>
        <w:rPr>
          <w:rFonts w:hint="eastAsia" w:cs="宋体"/>
          <w:color w:val="auto"/>
          <w:sz w:val="21"/>
          <w:highlight w:val="none"/>
        </w:rPr>
      </w:pPr>
      <w:r>
        <w:rPr>
          <w:rFonts w:hint="eastAsia" w:cs="宋体"/>
          <w:color w:val="auto"/>
          <w:sz w:val="21"/>
          <w:highlight w:val="none"/>
        </w:rPr>
        <w:t>5.3.3 重新检查</w:t>
      </w:r>
    </w:p>
    <w:p w14:paraId="18081BE3">
      <w:pPr>
        <w:pStyle w:val="80"/>
        <w:rPr>
          <w:rFonts w:hint="eastAsia" w:cs="宋体"/>
          <w:color w:val="auto"/>
          <w:sz w:val="21"/>
          <w:highlight w:val="none"/>
        </w:rPr>
      </w:pPr>
      <w:r>
        <w:rPr>
          <w:rFonts w:hint="eastAsia" w:cs="宋体"/>
          <w:color w:val="auto"/>
          <w:sz w:val="21"/>
          <w:highlight w:val="none"/>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14:paraId="0A22934F">
      <w:pPr>
        <w:pStyle w:val="80"/>
        <w:rPr>
          <w:rFonts w:hint="eastAsia" w:cs="宋体"/>
          <w:color w:val="auto"/>
          <w:sz w:val="21"/>
          <w:highlight w:val="none"/>
        </w:rPr>
      </w:pPr>
      <w:r>
        <w:rPr>
          <w:rFonts w:hint="eastAsia" w:cs="宋体"/>
          <w:color w:val="auto"/>
          <w:sz w:val="21"/>
          <w:highlight w:val="none"/>
        </w:rPr>
        <w:t>5.3.4 承包人私自覆盖</w:t>
      </w:r>
    </w:p>
    <w:p w14:paraId="6B79E7E2">
      <w:pPr>
        <w:pStyle w:val="80"/>
        <w:rPr>
          <w:rFonts w:hint="eastAsia" w:cs="宋体"/>
          <w:color w:val="auto"/>
          <w:sz w:val="21"/>
          <w:highlight w:val="none"/>
        </w:rPr>
      </w:pPr>
      <w:r>
        <w:rPr>
          <w:rFonts w:hint="eastAsia" w:cs="宋体"/>
          <w:color w:val="auto"/>
          <w:sz w:val="21"/>
          <w:highlight w:val="none"/>
        </w:rPr>
        <w:t>承包人未通知监理人到场检查，私自将工程隐蔽部位覆盖的，监理人有权指示承包人钻孔探测或揭开检查，无论工程隐蔽部位质量是否合格，由此增加的费用和（或）延误的工期均由承包人承担。</w:t>
      </w:r>
    </w:p>
    <w:p w14:paraId="3EC1AD0E">
      <w:pPr>
        <w:pStyle w:val="322"/>
        <w:rPr>
          <w:rFonts w:hint="eastAsia" w:ascii="宋体" w:cs="宋体"/>
          <w:color w:val="auto"/>
          <w:highlight w:val="none"/>
        </w:rPr>
      </w:pPr>
      <w:bookmarkStart w:id="322" w:name="_Toc351203536"/>
      <w:bookmarkStart w:id="323" w:name="_Toc478389068"/>
      <w:r>
        <w:rPr>
          <w:rFonts w:hint="eastAsia" w:ascii="宋体" w:cs="宋体"/>
          <w:color w:val="auto"/>
          <w:highlight w:val="none"/>
        </w:rPr>
        <w:t>5</w:t>
      </w:r>
      <w:bookmarkStart w:id="324" w:name="_Toc337558762"/>
      <w:r>
        <w:rPr>
          <w:rFonts w:hint="eastAsia" w:ascii="宋体" w:cs="宋体"/>
          <w:color w:val="auto"/>
          <w:highlight w:val="none"/>
        </w:rPr>
        <w:t>.4不合格工程的处理</w:t>
      </w:r>
      <w:bookmarkEnd w:id="322"/>
      <w:bookmarkEnd w:id="323"/>
    </w:p>
    <w:bookmarkEnd w:id="324"/>
    <w:p w14:paraId="2718D7EA">
      <w:pPr>
        <w:pStyle w:val="80"/>
        <w:rPr>
          <w:rFonts w:hint="eastAsia" w:cs="宋体"/>
          <w:color w:val="auto"/>
          <w:sz w:val="21"/>
          <w:highlight w:val="none"/>
        </w:rPr>
      </w:pPr>
      <w:r>
        <w:rPr>
          <w:rFonts w:hint="eastAsia" w:cs="宋体"/>
          <w:color w:val="auto"/>
          <w:sz w:val="21"/>
          <w:highlight w:val="none"/>
        </w:rPr>
        <w:t xml:space="preserve">5.4.1因承包人原因造成工程不合格的，发包人有权随时要求承包人采取补救措施，直至达到合同要求的质量标准，由此增加的费用和（或）延误的工期由承包人承担。无法补救的，按照第13.2.4项〔拒绝接收全部或部分工程〕约定执行。 </w:t>
      </w:r>
    </w:p>
    <w:p w14:paraId="7F200013">
      <w:pPr>
        <w:pStyle w:val="80"/>
        <w:rPr>
          <w:rFonts w:hint="eastAsia" w:cs="宋体"/>
          <w:color w:val="auto"/>
          <w:sz w:val="21"/>
          <w:highlight w:val="none"/>
        </w:rPr>
      </w:pPr>
      <w:r>
        <w:rPr>
          <w:rFonts w:hint="eastAsia" w:cs="宋体"/>
          <w:color w:val="auto"/>
          <w:sz w:val="21"/>
          <w:highlight w:val="none"/>
        </w:rPr>
        <w:t>5.4.2因发包人原因造成工程不合格的，由此增加的费用和（或）延误的工期由发包人承担，并支付承包人合理的利润。</w:t>
      </w:r>
    </w:p>
    <w:p w14:paraId="09AFD177">
      <w:pPr>
        <w:pStyle w:val="322"/>
        <w:rPr>
          <w:rFonts w:hint="eastAsia" w:ascii="宋体" w:cs="宋体"/>
          <w:color w:val="auto"/>
          <w:highlight w:val="none"/>
        </w:rPr>
      </w:pPr>
      <w:bookmarkStart w:id="325" w:name="_Toc351203537"/>
      <w:bookmarkStart w:id="326" w:name="_Toc478389069"/>
      <w:r>
        <w:rPr>
          <w:rFonts w:hint="eastAsia" w:ascii="宋体" w:cs="宋体"/>
          <w:color w:val="auto"/>
          <w:highlight w:val="none"/>
        </w:rPr>
        <w:t>5.5 质量争议检测</w:t>
      </w:r>
      <w:bookmarkEnd w:id="325"/>
      <w:bookmarkEnd w:id="326"/>
    </w:p>
    <w:p w14:paraId="39037FBF">
      <w:pPr>
        <w:pStyle w:val="80"/>
        <w:rPr>
          <w:rFonts w:hint="eastAsia" w:cs="宋体"/>
          <w:color w:val="auto"/>
          <w:sz w:val="21"/>
          <w:highlight w:val="none"/>
        </w:rPr>
      </w:pPr>
      <w:r>
        <w:rPr>
          <w:rFonts w:hint="eastAsia" w:cs="宋体"/>
          <w:color w:val="auto"/>
          <w:sz w:val="21"/>
          <w:highlight w:val="none"/>
        </w:rPr>
        <w:t>合同当事人对工程质量有争议的，由双方协商确定的工程质量检测机构鉴定，由此产生的费用及因此造成的损失，由责任方承担。</w:t>
      </w:r>
    </w:p>
    <w:p w14:paraId="5648A118">
      <w:pPr>
        <w:pStyle w:val="80"/>
        <w:rPr>
          <w:rFonts w:hint="eastAsia" w:cs="宋体"/>
          <w:color w:val="auto"/>
          <w:sz w:val="21"/>
          <w:highlight w:val="none"/>
        </w:rPr>
      </w:pPr>
      <w:r>
        <w:rPr>
          <w:rFonts w:hint="eastAsia" w:cs="宋体"/>
          <w:color w:val="auto"/>
          <w:sz w:val="21"/>
          <w:highlight w:val="none"/>
        </w:rPr>
        <w:t>合同当事人均有责任的，由双方根据其责任分别承担。合同当事人无法达成一致的，按照第4.4款〔商定或确定〕执行。</w:t>
      </w:r>
    </w:p>
    <w:p w14:paraId="3B590656">
      <w:pPr>
        <w:pStyle w:val="322"/>
        <w:rPr>
          <w:rFonts w:hint="eastAsia" w:ascii="宋体" w:cs="宋体"/>
          <w:color w:val="auto"/>
          <w:highlight w:val="none"/>
        </w:rPr>
      </w:pPr>
      <w:bookmarkStart w:id="327" w:name="_Toc351203538"/>
      <w:bookmarkStart w:id="328" w:name="_Toc478389070"/>
      <w:r>
        <w:rPr>
          <w:rFonts w:hint="eastAsia" w:ascii="宋体" w:cs="宋体"/>
          <w:color w:val="auto"/>
          <w:highlight w:val="none"/>
        </w:rPr>
        <w:t>6</w:t>
      </w:r>
      <w:bookmarkStart w:id="329" w:name="_Toc337558763"/>
      <w:r>
        <w:rPr>
          <w:rFonts w:hint="eastAsia" w:ascii="宋体" w:cs="宋体"/>
          <w:color w:val="auto"/>
          <w:highlight w:val="none"/>
        </w:rPr>
        <w:t>. 安全文明施工与环境保护</w:t>
      </w:r>
      <w:bookmarkEnd w:id="327"/>
      <w:bookmarkEnd w:id="328"/>
    </w:p>
    <w:bookmarkEnd w:id="329"/>
    <w:p w14:paraId="6154EB4E">
      <w:pPr>
        <w:pStyle w:val="322"/>
        <w:rPr>
          <w:rFonts w:hint="eastAsia" w:ascii="宋体" w:cs="宋体"/>
          <w:color w:val="auto"/>
          <w:highlight w:val="none"/>
        </w:rPr>
      </w:pPr>
      <w:bookmarkStart w:id="330" w:name="_Toc351203539"/>
      <w:bookmarkStart w:id="331" w:name="_Toc478389071"/>
      <w:r>
        <w:rPr>
          <w:rFonts w:hint="eastAsia" w:ascii="宋体" w:cs="宋体"/>
          <w:color w:val="auto"/>
          <w:highlight w:val="none"/>
        </w:rPr>
        <w:t>6</w:t>
      </w:r>
      <w:bookmarkStart w:id="332" w:name="_Toc337558764"/>
      <w:r>
        <w:rPr>
          <w:rFonts w:hint="eastAsia" w:ascii="宋体" w:cs="宋体"/>
          <w:color w:val="auto"/>
          <w:highlight w:val="none"/>
        </w:rPr>
        <w:t>.1安全文明施工</w:t>
      </w:r>
      <w:bookmarkEnd w:id="330"/>
      <w:bookmarkEnd w:id="331"/>
    </w:p>
    <w:bookmarkEnd w:id="332"/>
    <w:p w14:paraId="11D3F5EA">
      <w:pPr>
        <w:pStyle w:val="80"/>
        <w:rPr>
          <w:rFonts w:hint="eastAsia" w:cs="宋体"/>
          <w:color w:val="auto"/>
          <w:sz w:val="21"/>
          <w:highlight w:val="none"/>
        </w:rPr>
      </w:pPr>
      <w:r>
        <w:rPr>
          <w:rFonts w:hint="eastAsia" w:cs="宋体"/>
          <w:color w:val="auto"/>
          <w:sz w:val="21"/>
          <w:highlight w:val="none"/>
        </w:rPr>
        <w:t>6.1.1安全生产要求</w:t>
      </w:r>
    </w:p>
    <w:p w14:paraId="0B8DDF0A">
      <w:pPr>
        <w:pStyle w:val="80"/>
        <w:rPr>
          <w:rFonts w:hint="eastAsia" w:cs="宋体"/>
          <w:color w:val="auto"/>
          <w:sz w:val="21"/>
          <w:highlight w:val="none"/>
        </w:rPr>
      </w:pPr>
      <w:r>
        <w:rPr>
          <w:rFonts w:hint="eastAsia" w:cs="宋体"/>
          <w:color w:val="auto"/>
          <w:sz w:val="21"/>
          <w:highlight w:val="none"/>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14:paraId="5CB22B9E">
      <w:pPr>
        <w:pStyle w:val="80"/>
        <w:rPr>
          <w:rFonts w:hint="eastAsia" w:cs="宋体"/>
          <w:color w:val="auto"/>
          <w:sz w:val="21"/>
          <w:highlight w:val="none"/>
        </w:rPr>
      </w:pPr>
      <w:r>
        <w:rPr>
          <w:rFonts w:hint="eastAsia" w:cs="宋体"/>
          <w:color w:val="auto"/>
          <w:sz w:val="21"/>
          <w:highlight w:val="none"/>
        </w:rPr>
        <w:t>在施工过程中，如遇到突发的地质变动、事先未知的地下施工障碍等影响施工安全的紧急情况，承包人应及时报告监理人和发包人，发包人应当及时下令停工并报有关行政管理部门采取应急措施。</w:t>
      </w:r>
    </w:p>
    <w:p w14:paraId="3A4033F3">
      <w:pPr>
        <w:pStyle w:val="80"/>
        <w:rPr>
          <w:rFonts w:hint="eastAsia" w:cs="宋体"/>
          <w:color w:val="auto"/>
          <w:sz w:val="21"/>
          <w:highlight w:val="none"/>
        </w:rPr>
      </w:pPr>
      <w:r>
        <w:rPr>
          <w:rFonts w:hint="eastAsia" w:cs="宋体"/>
          <w:color w:val="auto"/>
          <w:sz w:val="21"/>
          <w:highlight w:val="none"/>
        </w:rPr>
        <w:t>因安全生产需要暂停施工的，按照第7.8款〔暂停施工〕的约定执行。</w:t>
      </w:r>
    </w:p>
    <w:p w14:paraId="4C15CC2A">
      <w:pPr>
        <w:pStyle w:val="80"/>
        <w:rPr>
          <w:rFonts w:hint="eastAsia" w:cs="宋体"/>
          <w:color w:val="auto"/>
          <w:sz w:val="21"/>
          <w:highlight w:val="none"/>
        </w:rPr>
      </w:pPr>
      <w:r>
        <w:rPr>
          <w:rFonts w:hint="eastAsia" w:cs="宋体"/>
          <w:color w:val="auto"/>
          <w:sz w:val="21"/>
          <w:highlight w:val="none"/>
        </w:rPr>
        <w:t>6.1.2 安全生产保证措施</w:t>
      </w:r>
    </w:p>
    <w:p w14:paraId="7B464DC2">
      <w:pPr>
        <w:pStyle w:val="80"/>
        <w:rPr>
          <w:rFonts w:hint="eastAsia" w:cs="宋体"/>
          <w:color w:val="auto"/>
          <w:sz w:val="21"/>
          <w:highlight w:val="none"/>
        </w:rPr>
      </w:pPr>
      <w:r>
        <w:rPr>
          <w:rFonts w:hint="eastAsia" w:cs="宋体"/>
          <w:color w:val="auto"/>
          <w:sz w:val="21"/>
          <w:highlight w:val="none"/>
        </w:rPr>
        <w:t>承包人应当按照有关规定编制安全技术措施或者专项施工方案，建立安全生产责任制度、治安保卫制度及安全生产教育培训制度，并按安全生产法律规定及合同约定履行安全职责，如实编制工程安全生产的有关记录，接受发包人、监理人及安全监督部门的检查与监督。</w:t>
      </w:r>
    </w:p>
    <w:p w14:paraId="5321F7E6">
      <w:pPr>
        <w:pStyle w:val="80"/>
        <w:rPr>
          <w:rFonts w:hint="eastAsia" w:cs="宋体"/>
          <w:color w:val="auto"/>
          <w:sz w:val="21"/>
          <w:highlight w:val="none"/>
        </w:rPr>
      </w:pPr>
      <w:r>
        <w:rPr>
          <w:rFonts w:hint="eastAsia" w:cs="宋体"/>
          <w:color w:val="auto"/>
          <w:sz w:val="21"/>
          <w:highlight w:val="none"/>
        </w:rPr>
        <w:t>6.1.3特别安全生产事项</w:t>
      </w:r>
    </w:p>
    <w:p w14:paraId="59300619">
      <w:pPr>
        <w:pStyle w:val="80"/>
        <w:rPr>
          <w:rFonts w:hint="eastAsia" w:cs="宋体"/>
          <w:color w:val="auto"/>
          <w:sz w:val="21"/>
          <w:highlight w:val="none"/>
        </w:rPr>
      </w:pPr>
      <w:r>
        <w:rPr>
          <w:rFonts w:hint="eastAsia" w:cs="宋体"/>
          <w:color w:val="auto"/>
          <w:sz w:val="21"/>
          <w:highlight w:val="none"/>
        </w:rPr>
        <w:t>承包人应按照法律规定进行施工，开工前做好安全技术交底工作，施工过程中做好各项安全防护措施。承包人为实施合同而雇用的特殊工种的人员应受过专门的培训并已取得有关管理机构颁发的上岗证书。</w:t>
      </w:r>
    </w:p>
    <w:p w14:paraId="2266DB3B">
      <w:pPr>
        <w:pStyle w:val="80"/>
        <w:rPr>
          <w:rFonts w:hint="eastAsia" w:cs="宋体"/>
          <w:color w:val="auto"/>
          <w:sz w:val="21"/>
          <w:highlight w:val="none"/>
        </w:rPr>
      </w:pPr>
      <w:r>
        <w:rPr>
          <w:rFonts w:hint="eastAsia" w:cs="宋体"/>
          <w:color w:val="auto"/>
          <w:sz w:val="21"/>
          <w:highlight w:val="none"/>
        </w:rPr>
        <w:t xml:space="preserve">承包人在动力设备、输电线路、地下管道、密封防震车间、易燃易爆地段以及临街交通要道附近施工时，施工开始前应向发包人和监理人提出安全防护措施，经发包人认可后实施。 </w:t>
      </w:r>
    </w:p>
    <w:p w14:paraId="5EF51A5B">
      <w:pPr>
        <w:pStyle w:val="80"/>
        <w:rPr>
          <w:rFonts w:hint="eastAsia" w:cs="宋体"/>
          <w:color w:val="auto"/>
          <w:sz w:val="21"/>
          <w:highlight w:val="none"/>
        </w:rPr>
      </w:pPr>
      <w:r>
        <w:rPr>
          <w:rFonts w:hint="eastAsia" w:cs="宋体"/>
          <w:color w:val="auto"/>
          <w:sz w:val="21"/>
          <w:highlight w:val="none"/>
        </w:rPr>
        <w:t>实施爆破作业，在放射、毒害性环境中施工（含储存、运输、使用）及使用毒害性、腐蚀性物品施工时，承包人应在施工前7天以书面通知发包人和监理人，并报送相应的安全防护措施，经发包人认可后实施。</w:t>
      </w:r>
    </w:p>
    <w:p w14:paraId="7C011089">
      <w:pPr>
        <w:pStyle w:val="80"/>
        <w:rPr>
          <w:rFonts w:hint="eastAsia" w:cs="宋体"/>
          <w:color w:val="auto"/>
          <w:sz w:val="21"/>
          <w:highlight w:val="none"/>
        </w:rPr>
      </w:pPr>
      <w:r>
        <w:rPr>
          <w:rFonts w:hint="eastAsia" w:cs="宋体"/>
          <w:color w:val="auto"/>
          <w:sz w:val="21"/>
          <w:highlight w:val="none"/>
        </w:rPr>
        <w:t>需单独编制危险性较大分部分项专项工程施工方案的，及要求进行专家论证的超过一定规模的危险性较大的分部分项工程，承包人应及时编制和组织论证。</w:t>
      </w:r>
    </w:p>
    <w:p w14:paraId="4FE46529">
      <w:pPr>
        <w:pStyle w:val="80"/>
        <w:rPr>
          <w:rFonts w:hint="eastAsia" w:cs="宋体"/>
          <w:color w:val="auto"/>
          <w:sz w:val="21"/>
          <w:highlight w:val="none"/>
        </w:rPr>
      </w:pPr>
      <w:r>
        <w:rPr>
          <w:rFonts w:hint="eastAsia" w:cs="宋体"/>
          <w:color w:val="auto"/>
          <w:sz w:val="21"/>
          <w:highlight w:val="none"/>
        </w:rPr>
        <w:t>6.1.4 治安保卫</w:t>
      </w:r>
    </w:p>
    <w:p w14:paraId="0809A672">
      <w:pPr>
        <w:pStyle w:val="80"/>
        <w:rPr>
          <w:rFonts w:hint="eastAsia" w:cs="宋体"/>
          <w:color w:val="auto"/>
          <w:sz w:val="21"/>
          <w:highlight w:val="none"/>
        </w:rPr>
      </w:pPr>
      <w:r>
        <w:rPr>
          <w:rFonts w:hint="eastAsia" w:cs="宋体"/>
          <w:color w:val="auto"/>
          <w:sz w:val="21"/>
          <w:highlight w:val="none"/>
        </w:rPr>
        <w:t>除专用合同条款另有约定外，发包人应与当地公安部门协商，在现场建立治安管理机构或联防组织，统一管理施工场地的治安保卫事项，履行合同工程的治安保卫职责。</w:t>
      </w:r>
    </w:p>
    <w:p w14:paraId="75432101">
      <w:pPr>
        <w:pStyle w:val="80"/>
        <w:rPr>
          <w:rFonts w:hint="eastAsia" w:cs="宋体"/>
          <w:color w:val="auto"/>
          <w:sz w:val="21"/>
          <w:highlight w:val="none"/>
        </w:rPr>
      </w:pPr>
      <w:r>
        <w:rPr>
          <w:rFonts w:hint="eastAsia" w:cs="宋体"/>
          <w:color w:val="auto"/>
          <w:sz w:val="21"/>
          <w:highlight w:val="none"/>
        </w:rPr>
        <w:t>发包人和承包人除应协助现场治安管理机构或联防组织维护施工场地的社会治安外，还应做好包括生活区在内的各自管辖区的治安保卫工作。</w:t>
      </w:r>
    </w:p>
    <w:p w14:paraId="2B56090B">
      <w:pPr>
        <w:pStyle w:val="80"/>
        <w:rPr>
          <w:rFonts w:hint="eastAsia" w:cs="宋体"/>
          <w:color w:val="auto"/>
          <w:sz w:val="21"/>
          <w:highlight w:val="none"/>
        </w:rPr>
      </w:pPr>
      <w:r>
        <w:rPr>
          <w:rFonts w:hint="eastAsia" w:cs="宋体"/>
          <w:color w:val="auto"/>
          <w:sz w:val="21"/>
          <w:highlight w:val="none"/>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报告。发包人和承包人应积极协助当地有关部门采取措施平息事态，防止事态扩大，尽量避免人员伤亡和财产损失。</w:t>
      </w:r>
    </w:p>
    <w:p w14:paraId="1EA5B135">
      <w:pPr>
        <w:pStyle w:val="80"/>
        <w:rPr>
          <w:rFonts w:hint="eastAsia" w:cs="宋体"/>
          <w:color w:val="auto"/>
          <w:sz w:val="21"/>
          <w:highlight w:val="none"/>
        </w:rPr>
      </w:pPr>
      <w:r>
        <w:rPr>
          <w:rFonts w:hint="eastAsia" w:cs="宋体"/>
          <w:color w:val="auto"/>
          <w:sz w:val="21"/>
          <w:highlight w:val="none"/>
        </w:rPr>
        <w:t>6.1.5 文明施工</w:t>
      </w:r>
    </w:p>
    <w:p w14:paraId="558BF94C">
      <w:pPr>
        <w:pStyle w:val="80"/>
        <w:rPr>
          <w:rFonts w:hint="eastAsia" w:cs="宋体"/>
          <w:color w:val="auto"/>
          <w:sz w:val="21"/>
          <w:highlight w:val="none"/>
        </w:rPr>
      </w:pPr>
      <w:r>
        <w:rPr>
          <w:rFonts w:hint="eastAsia" w:cs="宋体"/>
          <w:color w:val="auto"/>
          <w:sz w:val="21"/>
          <w:highlight w:val="none"/>
        </w:rPr>
        <w:t>承包人在工程施工期间，应当采取措施保持施工现场平整，物料堆放整齐。工程所在地有关行政管理部门有特殊要求的，按照其要求执行。合同当事人对文明施工有其他要求的，可以在专用合同条款中明确。</w:t>
      </w:r>
    </w:p>
    <w:p w14:paraId="75E7B78A">
      <w:pPr>
        <w:pStyle w:val="80"/>
        <w:rPr>
          <w:rFonts w:hint="eastAsia" w:cs="宋体"/>
          <w:color w:val="auto"/>
          <w:sz w:val="21"/>
          <w:highlight w:val="none"/>
        </w:rPr>
      </w:pPr>
      <w:r>
        <w:rPr>
          <w:rFonts w:hint="eastAsia" w:cs="宋体"/>
          <w:color w:val="auto"/>
          <w:sz w:val="21"/>
          <w:highlight w:val="none"/>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14:paraId="55792EA7">
      <w:pPr>
        <w:pStyle w:val="80"/>
        <w:rPr>
          <w:rFonts w:hint="eastAsia" w:cs="宋体"/>
          <w:color w:val="auto"/>
          <w:sz w:val="21"/>
          <w:highlight w:val="none"/>
        </w:rPr>
      </w:pPr>
      <w:r>
        <w:rPr>
          <w:rFonts w:hint="eastAsia" w:cs="宋体"/>
          <w:color w:val="auto"/>
          <w:sz w:val="21"/>
          <w:highlight w:val="none"/>
        </w:rPr>
        <w:t>6.1.6 安全文明施工费</w:t>
      </w:r>
    </w:p>
    <w:p w14:paraId="24FFB0E2">
      <w:pPr>
        <w:pStyle w:val="80"/>
        <w:rPr>
          <w:rFonts w:hint="eastAsia" w:cs="宋体"/>
          <w:color w:val="auto"/>
          <w:sz w:val="21"/>
          <w:highlight w:val="none"/>
        </w:rPr>
      </w:pPr>
      <w:r>
        <w:rPr>
          <w:rFonts w:hint="eastAsia" w:cs="宋体"/>
          <w:color w:val="auto"/>
          <w:sz w:val="21"/>
          <w:highlight w:val="none"/>
        </w:rPr>
        <w:t>安全文明施工费由发包人承担，发包人不得以任何形式扣减该部分费用。因基准日期后合同所适用的法律或有关规定发生变化，增加的安全文明施工费由发包人承担。</w:t>
      </w:r>
    </w:p>
    <w:p w14:paraId="00319D61">
      <w:pPr>
        <w:pStyle w:val="80"/>
        <w:rPr>
          <w:rFonts w:hint="eastAsia" w:cs="宋体"/>
          <w:color w:val="auto"/>
          <w:sz w:val="21"/>
          <w:highlight w:val="none"/>
        </w:rPr>
      </w:pPr>
      <w:r>
        <w:rPr>
          <w:rFonts w:hint="eastAsia" w:cs="宋体"/>
          <w:color w:val="auto"/>
          <w:sz w:val="21"/>
          <w:highlight w:val="none"/>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14:paraId="0A6F4C76">
      <w:pPr>
        <w:pStyle w:val="80"/>
        <w:rPr>
          <w:rFonts w:hint="eastAsia" w:cs="宋体"/>
          <w:color w:val="auto"/>
          <w:sz w:val="21"/>
          <w:highlight w:val="none"/>
        </w:rPr>
      </w:pPr>
      <w:r>
        <w:rPr>
          <w:rFonts w:hint="eastAsia" w:cs="宋体"/>
          <w:color w:val="auto"/>
          <w:sz w:val="21"/>
          <w:highlight w:val="none"/>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发包人违约的情形〕执行。</w:t>
      </w:r>
    </w:p>
    <w:p w14:paraId="6AD50383">
      <w:pPr>
        <w:pStyle w:val="80"/>
        <w:rPr>
          <w:rFonts w:hint="eastAsia" w:cs="宋体"/>
          <w:color w:val="auto"/>
          <w:sz w:val="21"/>
          <w:highlight w:val="none"/>
        </w:rPr>
      </w:pPr>
      <w:r>
        <w:rPr>
          <w:rFonts w:hint="eastAsia" w:cs="宋体"/>
          <w:color w:val="auto"/>
          <w:sz w:val="21"/>
          <w:highlight w:val="none"/>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14:paraId="08F4AD19">
      <w:pPr>
        <w:pStyle w:val="80"/>
        <w:rPr>
          <w:rFonts w:hint="eastAsia" w:cs="宋体"/>
          <w:color w:val="auto"/>
          <w:sz w:val="21"/>
          <w:highlight w:val="none"/>
        </w:rPr>
      </w:pPr>
      <w:r>
        <w:rPr>
          <w:rFonts w:hint="eastAsia" w:cs="宋体"/>
          <w:color w:val="auto"/>
          <w:sz w:val="21"/>
          <w:highlight w:val="none"/>
        </w:rPr>
        <w:t>6.1.7 紧急情况处理</w:t>
      </w:r>
    </w:p>
    <w:p w14:paraId="2DA14DA8">
      <w:pPr>
        <w:pStyle w:val="80"/>
        <w:rPr>
          <w:rFonts w:hint="eastAsia" w:cs="宋体"/>
          <w:color w:val="auto"/>
          <w:sz w:val="21"/>
          <w:highlight w:val="none"/>
        </w:rPr>
      </w:pPr>
      <w:r>
        <w:rPr>
          <w:rFonts w:hint="eastAsia" w:cs="宋体"/>
          <w:color w:val="auto"/>
          <w:sz w:val="21"/>
          <w:highlight w:val="none"/>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14:paraId="202CFB01">
      <w:pPr>
        <w:pStyle w:val="80"/>
        <w:rPr>
          <w:rFonts w:hint="eastAsia" w:cs="宋体"/>
          <w:color w:val="auto"/>
          <w:sz w:val="21"/>
          <w:highlight w:val="none"/>
        </w:rPr>
      </w:pPr>
      <w:r>
        <w:rPr>
          <w:rFonts w:hint="eastAsia" w:cs="宋体"/>
          <w:color w:val="auto"/>
          <w:sz w:val="21"/>
          <w:highlight w:val="none"/>
        </w:rPr>
        <w:t>6.1.8 事故处理</w:t>
      </w:r>
    </w:p>
    <w:p w14:paraId="78A60816">
      <w:pPr>
        <w:pStyle w:val="80"/>
        <w:rPr>
          <w:rFonts w:hint="eastAsia" w:cs="宋体"/>
          <w:color w:val="auto"/>
          <w:sz w:val="21"/>
          <w:highlight w:val="none"/>
        </w:rPr>
      </w:pPr>
      <w:r>
        <w:rPr>
          <w:rFonts w:hint="eastAsia" w:cs="宋体"/>
          <w:color w:val="auto"/>
          <w:sz w:val="21"/>
          <w:highlight w:val="none"/>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14913313">
      <w:pPr>
        <w:pStyle w:val="80"/>
        <w:rPr>
          <w:rFonts w:hint="eastAsia" w:cs="宋体"/>
          <w:color w:val="auto"/>
          <w:sz w:val="21"/>
          <w:highlight w:val="none"/>
        </w:rPr>
      </w:pPr>
      <w:r>
        <w:rPr>
          <w:rFonts w:hint="eastAsia" w:cs="宋体"/>
          <w:color w:val="auto"/>
          <w:sz w:val="21"/>
          <w:highlight w:val="none"/>
        </w:rPr>
        <w:t xml:space="preserve"> 6.1.9 安全生产责任</w:t>
      </w:r>
    </w:p>
    <w:p w14:paraId="216115C7">
      <w:pPr>
        <w:pStyle w:val="80"/>
        <w:outlineLvl w:val="0"/>
        <w:rPr>
          <w:rFonts w:hint="eastAsia" w:cs="宋体"/>
          <w:color w:val="auto"/>
          <w:sz w:val="21"/>
          <w:highlight w:val="none"/>
        </w:rPr>
      </w:pPr>
      <w:bookmarkStart w:id="333" w:name="_Toc406522103"/>
      <w:bookmarkStart w:id="334" w:name="_Toc478389072"/>
      <w:r>
        <w:rPr>
          <w:rFonts w:hint="eastAsia" w:cs="宋体"/>
          <w:color w:val="auto"/>
          <w:sz w:val="21"/>
          <w:highlight w:val="none"/>
        </w:rPr>
        <w:t>6.1.9.1 发包人的安全责任</w:t>
      </w:r>
      <w:bookmarkEnd w:id="333"/>
      <w:bookmarkEnd w:id="334"/>
    </w:p>
    <w:p w14:paraId="248D3DC6">
      <w:pPr>
        <w:pStyle w:val="80"/>
        <w:rPr>
          <w:rFonts w:hint="eastAsia" w:cs="宋体"/>
          <w:color w:val="auto"/>
          <w:sz w:val="21"/>
          <w:highlight w:val="none"/>
        </w:rPr>
      </w:pPr>
      <w:r>
        <w:rPr>
          <w:rFonts w:hint="eastAsia" w:cs="宋体"/>
          <w:color w:val="auto"/>
          <w:sz w:val="21"/>
          <w:highlight w:val="none"/>
        </w:rPr>
        <w:t xml:space="preserve"> 发包人应负责赔偿以下各种情况造成的损失：</w:t>
      </w:r>
    </w:p>
    <w:p w14:paraId="59879D89">
      <w:pPr>
        <w:pStyle w:val="80"/>
        <w:rPr>
          <w:rFonts w:hint="eastAsia" w:cs="宋体"/>
          <w:color w:val="auto"/>
          <w:sz w:val="21"/>
          <w:highlight w:val="none"/>
        </w:rPr>
      </w:pPr>
      <w:r>
        <w:rPr>
          <w:rFonts w:hint="eastAsia" w:cs="宋体"/>
          <w:color w:val="auto"/>
          <w:sz w:val="21"/>
          <w:highlight w:val="none"/>
        </w:rPr>
        <w:t>（1）工程或工程的任何部分对土地的占用所造成的第三者财产损失；</w:t>
      </w:r>
    </w:p>
    <w:p w14:paraId="42B36AFC">
      <w:pPr>
        <w:pStyle w:val="80"/>
        <w:rPr>
          <w:rFonts w:hint="eastAsia" w:cs="宋体"/>
          <w:color w:val="auto"/>
          <w:sz w:val="21"/>
          <w:highlight w:val="none"/>
        </w:rPr>
      </w:pPr>
      <w:r>
        <w:rPr>
          <w:rFonts w:hint="eastAsia" w:cs="宋体"/>
          <w:color w:val="auto"/>
          <w:sz w:val="21"/>
          <w:highlight w:val="none"/>
        </w:rPr>
        <w:t>（2）由于发包人原因在施工场地及其毗邻地带造成的第三者人身伤亡和财产损失；</w:t>
      </w:r>
    </w:p>
    <w:p w14:paraId="781C13B2">
      <w:pPr>
        <w:pStyle w:val="80"/>
        <w:rPr>
          <w:rFonts w:hint="eastAsia" w:cs="宋体"/>
          <w:color w:val="auto"/>
          <w:sz w:val="21"/>
          <w:highlight w:val="none"/>
        </w:rPr>
      </w:pPr>
      <w:r>
        <w:rPr>
          <w:rFonts w:hint="eastAsia" w:cs="宋体"/>
          <w:color w:val="auto"/>
          <w:sz w:val="21"/>
          <w:highlight w:val="none"/>
        </w:rPr>
        <w:t>（3）由于发包人原因对承包人、监理人造成的人员人身伤亡和财产损失；</w:t>
      </w:r>
    </w:p>
    <w:p w14:paraId="682C7ECF">
      <w:pPr>
        <w:pStyle w:val="80"/>
        <w:rPr>
          <w:rFonts w:hint="eastAsia" w:cs="宋体"/>
          <w:color w:val="auto"/>
          <w:sz w:val="21"/>
          <w:highlight w:val="none"/>
        </w:rPr>
      </w:pPr>
      <w:r>
        <w:rPr>
          <w:rFonts w:hint="eastAsia" w:cs="宋体"/>
          <w:color w:val="auto"/>
          <w:sz w:val="21"/>
          <w:highlight w:val="none"/>
        </w:rPr>
        <w:t>（4）由于发包人原因造成的发包人自身人员的人身伤害以及财产损失。</w:t>
      </w:r>
    </w:p>
    <w:p w14:paraId="0E09C1D0">
      <w:pPr>
        <w:pStyle w:val="80"/>
        <w:outlineLvl w:val="0"/>
        <w:rPr>
          <w:rFonts w:hint="eastAsia" w:cs="宋体"/>
          <w:color w:val="auto"/>
          <w:sz w:val="21"/>
          <w:highlight w:val="none"/>
        </w:rPr>
      </w:pPr>
      <w:bookmarkStart w:id="335" w:name="_Toc478389073"/>
      <w:bookmarkStart w:id="336" w:name="_Toc406522104"/>
      <w:r>
        <w:rPr>
          <w:rFonts w:hint="eastAsia" w:cs="宋体"/>
          <w:color w:val="auto"/>
          <w:sz w:val="21"/>
          <w:highlight w:val="none"/>
        </w:rPr>
        <w:t>6.1.9.2 承包人的安全责任</w:t>
      </w:r>
      <w:bookmarkEnd w:id="335"/>
      <w:bookmarkEnd w:id="336"/>
    </w:p>
    <w:p w14:paraId="275D10A5">
      <w:pPr>
        <w:pStyle w:val="80"/>
        <w:rPr>
          <w:rFonts w:hint="eastAsia" w:cs="宋体"/>
          <w:color w:val="auto"/>
          <w:sz w:val="21"/>
          <w:highlight w:val="none"/>
        </w:rPr>
      </w:pPr>
      <w:r>
        <w:rPr>
          <w:rFonts w:hint="eastAsia" w:cs="宋体"/>
          <w:color w:val="auto"/>
          <w:sz w:val="21"/>
          <w:highlight w:val="none"/>
        </w:rPr>
        <w:t>由于承包人原因在施工场地内及其毗邻地带造成的发包人、监理人以及第三者人员伤亡和财产损失，由承包人负责赔偿。</w:t>
      </w:r>
    </w:p>
    <w:p w14:paraId="385459BE">
      <w:pPr>
        <w:pStyle w:val="322"/>
        <w:rPr>
          <w:rFonts w:hint="eastAsia" w:ascii="宋体" w:cs="宋体"/>
          <w:color w:val="auto"/>
          <w:highlight w:val="none"/>
        </w:rPr>
      </w:pPr>
      <w:bookmarkStart w:id="337" w:name="_Toc478389074"/>
      <w:bookmarkStart w:id="338" w:name="_Toc351203540"/>
      <w:r>
        <w:rPr>
          <w:rFonts w:hint="eastAsia" w:ascii="宋体" w:cs="宋体"/>
          <w:color w:val="auto"/>
          <w:highlight w:val="none"/>
        </w:rPr>
        <w:t>6</w:t>
      </w:r>
      <w:bookmarkStart w:id="339" w:name="_Toc337558765"/>
      <w:r>
        <w:rPr>
          <w:rFonts w:hint="eastAsia" w:ascii="宋体" w:cs="宋体"/>
          <w:color w:val="auto"/>
          <w:highlight w:val="none"/>
        </w:rPr>
        <w:t>.2 职业健康</w:t>
      </w:r>
      <w:bookmarkEnd w:id="337"/>
      <w:bookmarkEnd w:id="338"/>
    </w:p>
    <w:bookmarkEnd w:id="339"/>
    <w:p w14:paraId="170392A9">
      <w:pPr>
        <w:pStyle w:val="80"/>
        <w:outlineLvl w:val="0"/>
        <w:rPr>
          <w:rFonts w:hint="eastAsia" w:cs="宋体"/>
          <w:color w:val="auto"/>
          <w:sz w:val="21"/>
          <w:highlight w:val="none"/>
        </w:rPr>
      </w:pPr>
      <w:bookmarkStart w:id="340" w:name="_Toc406522106"/>
      <w:bookmarkStart w:id="341" w:name="_Toc478389075"/>
      <w:r>
        <w:rPr>
          <w:rFonts w:hint="eastAsia" w:cs="宋体"/>
          <w:color w:val="auto"/>
          <w:sz w:val="21"/>
          <w:highlight w:val="none"/>
        </w:rPr>
        <w:t>6.2.1 劳动保护</w:t>
      </w:r>
      <w:bookmarkEnd w:id="340"/>
      <w:bookmarkEnd w:id="341"/>
    </w:p>
    <w:p w14:paraId="7F1E1F8D">
      <w:pPr>
        <w:pStyle w:val="80"/>
        <w:rPr>
          <w:rFonts w:hint="eastAsia" w:cs="宋体"/>
          <w:color w:val="auto"/>
          <w:sz w:val="21"/>
          <w:highlight w:val="none"/>
        </w:rPr>
      </w:pPr>
      <w:r>
        <w:rPr>
          <w:rFonts w:hint="eastAsia" w:cs="宋体"/>
          <w:color w:val="auto"/>
          <w:sz w:val="21"/>
          <w:highlight w:val="none"/>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14:paraId="41AD7356">
      <w:pPr>
        <w:pStyle w:val="80"/>
        <w:rPr>
          <w:rFonts w:hint="eastAsia" w:cs="宋体"/>
          <w:color w:val="auto"/>
          <w:sz w:val="21"/>
          <w:highlight w:val="none"/>
        </w:rPr>
      </w:pPr>
      <w:r>
        <w:rPr>
          <w:rFonts w:hint="eastAsia" w:cs="宋体"/>
          <w:color w:val="auto"/>
          <w:sz w:val="21"/>
          <w:highlight w:val="none"/>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14:paraId="362E81AF">
      <w:pPr>
        <w:pStyle w:val="80"/>
        <w:rPr>
          <w:rFonts w:hint="eastAsia" w:cs="宋体"/>
          <w:color w:val="auto"/>
          <w:sz w:val="21"/>
          <w:highlight w:val="none"/>
        </w:rPr>
      </w:pPr>
      <w:r>
        <w:rPr>
          <w:rFonts w:hint="eastAsia" w:cs="宋体"/>
          <w:color w:val="auto"/>
          <w:sz w:val="21"/>
          <w:highlight w:val="none"/>
        </w:rPr>
        <w:t>承包人应按法律规定安排工作时间，保证其雇佣人员享有休息和休假的权利。因工程施工的特殊需要占用休假日或延长工作时间的，应不超过法律规定的限度，并按法律规定给予补休或付酬。</w:t>
      </w:r>
    </w:p>
    <w:p w14:paraId="3131EF71">
      <w:pPr>
        <w:pStyle w:val="80"/>
        <w:outlineLvl w:val="0"/>
        <w:rPr>
          <w:rFonts w:hint="eastAsia" w:cs="宋体"/>
          <w:color w:val="auto"/>
          <w:sz w:val="21"/>
          <w:highlight w:val="none"/>
        </w:rPr>
      </w:pPr>
      <w:bookmarkStart w:id="342" w:name="_Toc478389076"/>
      <w:bookmarkStart w:id="343" w:name="_Toc406522107"/>
      <w:r>
        <w:rPr>
          <w:rFonts w:hint="eastAsia" w:cs="宋体"/>
          <w:color w:val="auto"/>
          <w:sz w:val="21"/>
          <w:highlight w:val="none"/>
        </w:rPr>
        <w:t>6.2.2 生活条件</w:t>
      </w:r>
      <w:bookmarkEnd w:id="342"/>
      <w:bookmarkEnd w:id="343"/>
    </w:p>
    <w:p w14:paraId="63BB85DC">
      <w:pPr>
        <w:pStyle w:val="80"/>
        <w:rPr>
          <w:rFonts w:hint="eastAsia" w:cs="宋体"/>
          <w:color w:val="auto"/>
          <w:sz w:val="21"/>
          <w:highlight w:val="none"/>
        </w:rPr>
      </w:pPr>
      <w:r>
        <w:rPr>
          <w:rFonts w:hint="eastAsia" w:cs="宋体"/>
          <w:color w:val="auto"/>
          <w:sz w:val="21"/>
          <w:highlight w:val="none"/>
        </w:rPr>
        <w:t>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14:paraId="2C0B3186">
      <w:pPr>
        <w:pStyle w:val="322"/>
        <w:rPr>
          <w:rFonts w:hint="eastAsia" w:ascii="宋体" w:cs="宋体"/>
          <w:color w:val="auto"/>
          <w:highlight w:val="none"/>
        </w:rPr>
      </w:pPr>
      <w:bookmarkStart w:id="344" w:name="_Toc351203541"/>
      <w:bookmarkStart w:id="345" w:name="_Toc478389077"/>
      <w:r>
        <w:rPr>
          <w:rFonts w:hint="eastAsia" w:ascii="宋体" w:cs="宋体"/>
          <w:color w:val="auto"/>
          <w:highlight w:val="none"/>
        </w:rPr>
        <w:t>6</w:t>
      </w:r>
      <w:bookmarkStart w:id="346" w:name="_Toc337558766"/>
      <w:r>
        <w:rPr>
          <w:rFonts w:hint="eastAsia" w:ascii="宋体" w:cs="宋体"/>
          <w:color w:val="auto"/>
          <w:highlight w:val="none"/>
        </w:rPr>
        <w:t>.3 环境保护</w:t>
      </w:r>
      <w:bookmarkEnd w:id="344"/>
      <w:bookmarkEnd w:id="345"/>
    </w:p>
    <w:bookmarkEnd w:id="346"/>
    <w:p w14:paraId="4477AB09">
      <w:pPr>
        <w:pStyle w:val="80"/>
        <w:rPr>
          <w:rFonts w:hint="eastAsia" w:cs="宋体"/>
          <w:color w:val="auto"/>
          <w:sz w:val="21"/>
          <w:highlight w:val="none"/>
        </w:rPr>
      </w:pPr>
      <w:r>
        <w:rPr>
          <w:rFonts w:hint="eastAsia" w:cs="宋体"/>
          <w:color w:val="auto"/>
          <w:sz w:val="21"/>
          <w:highlight w:val="none"/>
        </w:rPr>
        <w:t>承包人应在施工组织设计中列明环境保护的具体措施。在合同履行期间，承包人应采取合理措施保护施工现场环境。对施工作业过程中可能引起的大气、水、噪音以及固体废物污染采取具体可行的防范措施。</w:t>
      </w:r>
    </w:p>
    <w:p w14:paraId="3DE94B71">
      <w:pPr>
        <w:pStyle w:val="80"/>
        <w:rPr>
          <w:rFonts w:hint="eastAsia" w:cs="宋体"/>
          <w:color w:val="auto"/>
          <w:sz w:val="21"/>
          <w:highlight w:val="none"/>
        </w:rPr>
      </w:pPr>
      <w:r>
        <w:rPr>
          <w:rFonts w:hint="eastAsia" w:cs="宋体"/>
          <w:color w:val="auto"/>
          <w:sz w:val="21"/>
          <w:highlight w:val="none"/>
        </w:rPr>
        <w:t>承包人应当承担因其原因引起的环境污染侵权损害赔偿责任，因上述环境污染引起纠纷而导致暂停施工的，由此增加的费用和（或）延误的工期由承包人承担。</w:t>
      </w:r>
    </w:p>
    <w:p w14:paraId="39FFF95B">
      <w:pPr>
        <w:pStyle w:val="322"/>
        <w:rPr>
          <w:rFonts w:hint="eastAsia" w:ascii="宋体" w:cs="宋体"/>
          <w:color w:val="auto"/>
          <w:highlight w:val="none"/>
        </w:rPr>
      </w:pPr>
      <w:bookmarkStart w:id="347" w:name="_Toc351203542"/>
      <w:bookmarkStart w:id="348" w:name="_Toc478389078"/>
      <w:r>
        <w:rPr>
          <w:rFonts w:hint="eastAsia" w:ascii="宋体" w:cs="宋体"/>
          <w:color w:val="auto"/>
          <w:highlight w:val="none"/>
        </w:rPr>
        <w:t>7</w:t>
      </w:r>
      <w:bookmarkStart w:id="349" w:name="_Toc337558767"/>
      <w:r>
        <w:rPr>
          <w:rFonts w:hint="eastAsia" w:ascii="宋体" w:cs="宋体"/>
          <w:color w:val="auto"/>
          <w:highlight w:val="none"/>
        </w:rPr>
        <w:t>. 工期和进度</w:t>
      </w:r>
      <w:bookmarkEnd w:id="347"/>
      <w:bookmarkEnd w:id="348"/>
    </w:p>
    <w:bookmarkEnd w:id="349"/>
    <w:p w14:paraId="2C0DE097">
      <w:pPr>
        <w:pStyle w:val="322"/>
        <w:rPr>
          <w:rFonts w:hint="eastAsia" w:ascii="宋体" w:cs="宋体"/>
          <w:color w:val="auto"/>
          <w:highlight w:val="none"/>
        </w:rPr>
      </w:pPr>
      <w:bookmarkStart w:id="350" w:name="_Toc351203543"/>
      <w:bookmarkStart w:id="351" w:name="_Toc478389079"/>
      <w:r>
        <w:rPr>
          <w:rFonts w:hint="eastAsia" w:ascii="宋体" w:cs="宋体"/>
          <w:color w:val="auto"/>
          <w:highlight w:val="none"/>
        </w:rPr>
        <w:t>7</w:t>
      </w:r>
      <w:bookmarkStart w:id="352" w:name="_Toc337558768"/>
      <w:bookmarkStart w:id="353" w:name="_Toc296346567"/>
      <w:bookmarkStart w:id="354" w:name="_Toc296503066"/>
      <w:r>
        <w:rPr>
          <w:rFonts w:hint="eastAsia" w:ascii="宋体" w:cs="宋体"/>
          <w:color w:val="auto"/>
          <w:highlight w:val="none"/>
        </w:rPr>
        <w:t>.1施工组织设计</w:t>
      </w:r>
      <w:bookmarkEnd w:id="350"/>
      <w:bookmarkEnd w:id="351"/>
    </w:p>
    <w:bookmarkEnd w:id="352"/>
    <w:p w14:paraId="2B6DD41A">
      <w:pPr>
        <w:pStyle w:val="80"/>
        <w:outlineLvl w:val="0"/>
        <w:rPr>
          <w:rFonts w:hint="eastAsia" w:cs="宋体"/>
          <w:color w:val="auto"/>
          <w:sz w:val="21"/>
          <w:highlight w:val="none"/>
        </w:rPr>
      </w:pPr>
      <w:bookmarkStart w:id="355" w:name="_Toc478389080"/>
      <w:bookmarkStart w:id="356" w:name="_Toc406522111"/>
      <w:r>
        <w:rPr>
          <w:rFonts w:hint="eastAsia" w:cs="宋体"/>
          <w:color w:val="auto"/>
          <w:sz w:val="21"/>
          <w:highlight w:val="none"/>
        </w:rPr>
        <w:t>7.1.1 施工组织设计的内容</w:t>
      </w:r>
      <w:bookmarkEnd w:id="355"/>
      <w:bookmarkEnd w:id="356"/>
    </w:p>
    <w:p w14:paraId="2F6EBBB8">
      <w:pPr>
        <w:pStyle w:val="80"/>
        <w:rPr>
          <w:rFonts w:hint="eastAsia" w:cs="宋体"/>
          <w:color w:val="auto"/>
          <w:sz w:val="21"/>
          <w:highlight w:val="none"/>
        </w:rPr>
      </w:pPr>
      <w:r>
        <w:rPr>
          <w:rFonts w:hint="eastAsia" w:cs="宋体"/>
          <w:color w:val="auto"/>
          <w:sz w:val="21"/>
          <w:highlight w:val="none"/>
        </w:rPr>
        <w:t xml:space="preserve"> 施工组织设计应包含以下内容：</w:t>
      </w:r>
    </w:p>
    <w:p w14:paraId="46244641">
      <w:pPr>
        <w:pStyle w:val="80"/>
        <w:rPr>
          <w:rFonts w:hint="eastAsia" w:cs="宋体"/>
          <w:color w:val="auto"/>
          <w:sz w:val="21"/>
          <w:highlight w:val="none"/>
        </w:rPr>
      </w:pPr>
      <w:r>
        <w:rPr>
          <w:rFonts w:hint="eastAsia" w:cs="宋体"/>
          <w:color w:val="auto"/>
          <w:sz w:val="21"/>
          <w:highlight w:val="none"/>
        </w:rPr>
        <w:t xml:space="preserve">（1）施工方案； </w:t>
      </w:r>
    </w:p>
    <w:p w14:paraId="78A7FF3B">
      <w:pPr>
        <w:pStyle w:val="80"/>
        <w:rPr>
          <w:rFonts w:hint="eastAsia" w:cs="宋体"/>
          <w:color w:val="auto"/>
          <w:sz w:val="21"/>
          <w:highlight w:val="none"/>
        </w:rPr>
      </w:pPr>
      <w:r>
        <w:rPr>
          <w:rFonts w:hint="eastAsia" w:cs="宋体"/>
          <w:color w:val="auto"/>
          <w:sz w:val="21"/>
          <w:highlight w:val="none"/>
        </w:rPr>
        <w:t>（2）施工现场平面布置图；</w:t>
      </w:r>
    </w:p>
    <w:p w14:paraId="5FF76F8B">
      <w:pPr>
        <w:pStyle w:val="80"/>
        <w:rPr>
          <w:rFonts w:hint="eastAsia" w:cs="宋体"/>
          <w:color w:val="auto"/>
          <w:sz w:val="21"/>
          <w:highlight w:val="none"/>
        </w:rPr>
      </w:pPr>
      <w:r>
        <w:rPr>
          <w:rFonts w:hint="eastAsia" w:cs="宋体"/>
          <w:color w:val="auto"/>
          <w:sz w:val="21"/>
          <w:highlight w:val="none"/>
        </w:rPr>
        <w:t xml:space="preserve">（3）施工进度计划和保证措施； </w:t>
      </w:r>
    </w:p>
    <w:p w14:paraId="327F241A">
      <w:pPr>
        <w:pStyle w:val="80"/>
        <w:rPr>
          <w:rFonts w:hint="eastAsia" w:cs="宋体"/>
          <w:color w:val="auto"/>
          <w:sz w:val="21"/>
          <w:highlight w:val="none"/>
        </w:rPr>
      </w:pPr>
      <w:r>
        <w:rPr>
          <w:rFonts w:hint="eastAsia" w:cs="宋体"/>
          <w:color w:val="auto"/>
          <w:sz w:val="21"/>
          <w:highlight w:val="none"/>
        </w:rPr>
        <w:t>（4）劳动力及材料供应计划；</w:t>
      </w:r>
    </w:p>
    <w:p w14:paraId="5298D5E8">
      <w:pPr>
        <w:pStyle w:val="80"/>
        <w:rPr>
          <w:rFonts w:hint="eastAsia" w:cs="宋体"/>
          <w:color w:val="auto"/>
          <w:sz w:val="21"/>
          <w:highlight w:val="none"/>
        </w:rPr>
      </w:pPr>
      <w:r>
        <w:rPr>
          <w:rFonts w:hint="eastAsia" w:cs="宋体"/>
          <w:color w:val="auto"/>
          <w:sz w:val="21"/>
          <w:highlight w:val="none"/>
        </w:rPr>
        <w:t>（5）施工机械设备的选用；</w:t>
      </w:r>
    </w:p>
    <w:p w14:paraId="4C5304AA">
      <w:pPr>
        <w:pStyle w:val="80"/>
        <w:rPr>
          <w:rFonts w:hint="eastAsia" w:cs="宋体"/>
          <w:color w:val="auto"/>
          <w:sz w:val="21"/>
          <w:highlight w:val="none"/>
        </w:rPr>
      </w:pPr>
      <w:r>
        <w:rPr>
          <w:rFonts w:hint="eastAsia" w:cs="宋体"/>
          <w:color w:val="auto"/>
          <w:sz w:val="21"/>
          <w:highlight w:val="none"/>
        </w:rPr>
        <w:t>（6）质量保证体系及措施；</w:t>
      </w:r>
    </w:p>
    <w:p w14:paraId="27E6D05E">
      <w:pPr>
        <w:pStyle w:val="80"/>
        <w:rPr>
          <w:rFonts w:hint="eastAsia" w:cs="宋体"/>
          <w:color w:val="auto"/>
          <w:sz w:val="21"/>
          <w:highlight w:val="none"/>
        </w:rPr>
      </w:pPr>
      <w:r>
        <w:rPr>
          <w:rFonts w:hint="eastAsia" w:cs="宋体"/>
          <w:color w:val="auto"/>
          <w:sz w:val="21"/>
          <w:highlight w:val="none"/>
        </w:rPr>
        <w:t>（7）安全生产、文明施工措施；</w:t>
      </w:r>
    </w:p>
    <w:p w14:paraId="5CD45B1F">
      <w:pPr>
        <w:pStyle w:val="80"/>
        <w:rPr>
          <w:rFonts w:hint="eastAsia" w:cs="宋体"/>
          <w:color w:val="auto"/>
          <w:sz w:val="21"/>
          <w:highlight w:val="none"/>
        </w:rPr>
      </w:pPr>
      <w:r>
        <w:rPr>
          <w:rFonts w:hint="eastAsia" w:cs="宋体"/>
          <w:color w:val="auto"/>
          <w:sz w:val="21"/>
          <w:highlight w:val="none"/>
        </w:rPr>
        <w:t>（8）环境保护、成本控制措施；</w:t>
      </w:r>
    </w:p>
    <w:p w14:paraId="59B89E36">
      <w:pPr>
        <w:pStyle w:val="80"/>
        <w:rPr>
          <w:rFonts w:hint="eastAsia" w:cs="宋体"/>
          <w:color w:val="auto"/>
          <w:sz w:val="21"/>
          <w:highlight w:val="none"/>
        </w:rPr>
      </w:pPr>
      <w:r>
        <w:rPr>
          <w:rFonts w:hint="eastAsia" w:cs="宋体"/>
          <w:color w:val="auto"/>
          <w:sz w:val="21"/>
          <w:highlight w:val="none"/>
        </w:rPr>
        <w:t>（9）合同当事人约定的其他内容。</w:t>
      </w:r>
    </w:p>
    <w:p w14:paraId="1A9A5151">
      <w:pPr>
        <w:pStyle w:val="80"/>
        <w:outlineLvl w:val="0"/>
        <w:rPr>
          <w:rFonts w:hint="eastAsia" w:cs="宋体"/>
          <w:color w:val="auto"/>
          <w:sz w:val="21"/>
          <w:highlight w:val="none"/>
        </w:rPr>
      </w:pPr>
      <w:bookmarkStart w:id="357" w:name="_Toc478389081"/>
      <w:bookmarkStart w:id="358" w:name="_Toc406522112"/>
      <w:r>
        <w:rPr>
          <w:rFonts w:hint="eastAsia" w:cs="宋体"/>
          <w:color w:val="auto"/>
          <w:sz w:val="21"/>
          <w:highlight w:val="none"/>
        </w:rPr>
        <w:t>7.1.2 施工组织设计的提交和修改</w:t>
      </w:r>
      <w:bookmarkEnd w:id="357"/>
      <w:bookmarkEnd w:id="358"/>
    </w:p>
    <w:p w14:paraId="2D2E3FC8">
      <w:pPr>
        <w:pStyle w:val="80"/>
        <w:rPr>
          <w:rFonts w:hint="eastAsia" w:cs="宋体"/>
          <w:color w:val="auto"/>
          <w:sz w:val="21"/>
          <w:highlight w:val="none"/>
        </w:rPr>
      </w:pPr>
      <w:r>
        <w:rPr>
          <w:rFonts w:hint="eastAsia" w:cs="宋体"/>
          <w:color w:val="auto"/>
          <w:sz w:val="21"/>
          <w:highlight w:val="none"/>
        </w:rPr>
        <w:t>除专用合同条款另有约定外，承包人应在合同签订后14天内，但至迟不得晚于第7.3.2项〔开工通知〕载明的开工日期前7天，向监理人提交详细的施工组织设计，并由监理人报送发包人。除专用合同条款另有约定外，发包人和监理人应在监理人收到施工组织设计后7天内确认或提出修改意见。对发包人和监理人提出的合理意见和要求，承包人应自费修改完善。根据工程实际情况需要修改施工组织设计的，承包人应向发包人和监理人提交修改后的施工组织设计。</w:t>
      </w:r>
    </w:p>
    <w:p w14:paraId="6251ADB3">
      <w:pPr>
        <w:pStyle w:val="80"/>
        <w:rPr>
          <w:rFonts w:hint="eastAsia" w:cs="宋体"/>
          <w:color w:val="auto"/>
          <w:sz w:val="21"/>
          <w:highlight w:val="none"/>
        </w:rPr>
      </w:pPr>
      <w:r>
        <w:rPr>
          <w:rFonts w:hint="eastAsia" w:cs="宋体"/>
          <w:color w:val="auto"/>
          <w:sz w:val="21"/>
          <w:highlight w:val="none"/>
        </w:rPr>
        <w:t>施工进度计划的编制和修改按照第7.2款〔施工进度计划〕执行。</w:t>
      </w:r>
    </w:p>
    <w:p w14:paraId="7281A841">
      <w:pPr>
        <w:pStyle w:val="322"/>
        <w:rPr>
          <w:rFonts w:hint="eastAsia" w:ascii="宋体" w:cs="宋体"/>
          <w:color w:val="auto"/>
          <w:highlight w:val="none"/>
        </w:rPr>
      </w:pPr>
      <w:bookmarkStart w:id="359" w:name="_Toc478389082"/>
      <w:bookmarkStart w:id="360" w:name="_Toc351203544"/>
      <w:r>
        <w:rPr>
          <w:rFonts w:hint="eastAsia" w:ascii="宋体" w:cs="宋体"/>
          <w:color w:val="auto"/>
          <w:highlight w:val="none"/>
        </w:rPr>
        <w:t>7</w:t>
      </w:r>
      <w:bookmarkStart w:id="361" w:name="_Toc337558769"/>
      <w:r>
        <w:rPr>
          <w:rFonts w:hint="eastAsia" w:ascii="宋体" w:cs="宋体"/>
          <w:color w:val="auto"/>
          <w:highlight w:val="none"/>
        </w:rPr>
        <w:t>.2 施工进度计划</w:t>
      </w:r>
      <w:bookmarkEnd w:id="359"/>
      <w:bookmarkEnd w:id="360"/>
    </w:p>
    <w:bookmarkEnd w:id="361"/>
    <w:p w14:paraId="7320CBF5">
      <w:pPr>
        <w:pStyle w:val="80"/>
        <w:rPr>
          <w:rFonts w:hint="eastAsia" w:cs="宋体"/>
          <w:color w:val="auto"/>
          <w:sz w:val="21"/>
          <w:highlight w:val="none"/>
        </w:rPr>
      </w:pPr>
      <w:r>
        <w:rPr>
          <w:rFonts w:hint="eastAsia" w:cs="宋体"/>
          <w:color w:val="auto"/>
          <w:sz w:val="21"/>
          <w:highlight w:val="none"/>
        </w:rPr>
        <w:t>7.2.1 施工进度计划的编制</w:t>
      </w:r>
    </w:p>
    <w:p w14:paraId="4C3D6A11">
      <w:pPr>
        <w:pStyle w:val="80"/>
        <w:rPr>
          <w:rFonts w:hint="eastAsia" w:cs="宋体"/>
          <w:color w:val="auto"/>
          <w:sz w:val="21"/>
          <w:highlight w:val="none"/>
        </w:rPr>
      </w:pPr>
      <w:r>
        <w:rPr>
          <w:rFonts w:hint="eastAsia" w:cs="宋体"/>
          <w:color w:val="auto"/>
          <w:sz w:val="21"/>
          <w:highlight w:val="none"/>
        </w:rPr>
        <w:t>承包人应按照第7.1款〔施工组织设计〕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14:paraId="6B1AF5F3">
      <w:pPr>
        <w:pStyle w:val="80"/>
        <w:rPr>
          <w:rFonts w:hint="eastAsia" w:cs="宋体"/>
          <w:color w:val="auto"/>
          <w:sz w:val="21"/>
          <w:highlight w:val="none"/>
        </w:rPr>
      </w:pPr>
      <w:r>
        <w:rPr>
          <w:rFonts w:hint="eastAsia" w:cs="宋体"/>
          <w:color w:val="auto"/>
          <w:sz w:val="21"/>
          <w:highlight w:val="none"/>
        </w:rPr>
        <w:t>7.2.2 施工进度计划的修订</w:t>
      </w:r>
    </w:p>
    <w:p w14:paraId="045A5B13">
      <w:pPr>
        <w:pStyle w:val="80"/>
        <w:rPr>
          <w:rFonts w:hint="eastAsia" w:cs="宋体"/>
          <w:color w:val="auto"/>
          <w:sz w:val="21"/>
          <w:highlight w:val="none"/>
        </w:rPr>
      </w:pPr>
      <w:r>
        <w:rPr>
          <w:rFonts w:hint="eastAsia" w:cs="宋体"/>
          <w:color w:val="auto"/>
          <w:sz w:val="21"/>
          <w:highlight w:val="none"/>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14:paraId="19649BAE">
      <w:pPr>
        <w:pStyle w:val="322"/>
        <w:rPr>
          <w:rFonts w:hint="eastAsia" w:ascii="宋体" w:cs="宋体"/>
          <w:color w:val="auto"/>
          <w:highlight w:val="none"/>
        </w:rPr>
      </w:pPr>
      <w:bookmarkStart w:id="362" w:name="_Toc351203545"/>
      <w:bookmarkStart w:id="363" w:name="_Toc478389083"/>
      <w:r>
        <w:rPr>
          <w:rFonts w:hint="eastAsia" w:ascii="宋体" w:cs="宋体"/>
          <w:color w:val="auto"/>
          <w:highlight w:val="none"/>
        </w:rPr>
        <w:t>7</w:t>
      </w:r>
      <w:bookmarkStart w:id="364" w:name="_Toc337558770"/>
      <w:r>
        <w:rPr>
          <w:rFonts w:hint="eastAsia" w:ascii="宋体" w:cs="宋体"/>
          <w:color w:val="auto"/>
          <w:highlight w:val="none"/>
        </w:rPr>
        <w:t>.3 开工</w:t>
      </w:r>
      <w:bookmarkEnd w:id="362"/>
      <w:bookmarkEnd w:id="363"/>
    </w:p>
    <w:p w14:paraId="43B52965">
      <w:pPr>
        <w:pStyle w:val="80"/>
        <w:rPr>
          <w:rFonts w:hint="eastAsia" w:cs="宋体"/>
          <w:color w:val="auto"/>
          <w:sz w:val="21"/>
          <w:highlight w:val="none"/>
        </w:rPr>
      </w:pPr>
      <w:r>
        <w:rPr>
          <w:rFonts w:hint="eastAsia" w:cs="宋体"/>
          <w:color w:val="auto"/>
          <w:sz w:val="21"/>
          <w:highlight w:val="none"/>
        </w:rPr>
        <w:t>7.3.1 开工准备</w:t>
      </w:r>
    </w:p>
    <w:p w14:paraId="1801D099">
      <w:pPr>
        <w:pStyle w:val="80"/>
        <w:rPr>
          <w:rFonts w:hint="eastAsia" w:cs="宋体"/>
          <w:color w:val="auto"/>
          <w:sz w:val="21"/>
          <w:highlight w:val="none"/>
        </w:rPr>
      </w:pPr>
      <w:r>
        <w:rPr>
          <w:rFonts w:hint="eastAsia" w:cs="宋体"/>
          <w:color w:val="auto"/>
          <w:sz w:val="21"/>
          <w:highlight w:val="none"/>
        </w:rPr>
        <w:t>除专用合同条款另有约定外，承包人应按照第7.1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14:paraId="18AC4D4F">
      <w:pPr>
        <w:pStyle w:val="80"/>
        <w:rPr>
          <w:rFonts w:hint="eastAsia" w:cs="宋体"/>
          <w:color w:val="auto"/>
          <w:sz w:val="21"/>
          <w:highlight w:val="none"/>
        </w:rPr>
      </w:pPr>
      <w:r>
        <w:rPr>
          <w:rFonts w:hint="eastAsia" w:cs="宋体"/>
          <w:color w:val="auto"/>
          <w:sz w:val="21"/>
          <w:highlight w:val="none"/>
        </w:rPr>
        <w:t>除专用合同条款另有约定外，合同当事人应按约定完成开工准备工作。</w:t>
      </w:r>
    </w:p>
    <w:p w14:paraId="251E8D5E">
      <w:pPr>
        <w:pStyle w:val="80"/>
        <w:rPr>
          <w:rFonts w:hint="eastAsia" w:cs="宋体"/>
          <w:color w:val="auto"/>
          <w:sz w:val="21"/>
          <w:highlight w:val="none"/>
        </w:rPr>
      </w:pPr>
      <w:r>
        <w:rPr>
          <w:rFonts w:hint="eastAsia" w:cs="宋体"/>
          <w:color w:val="auto"/>
          <w:sz w:val="21"/>
          <w:highlight w:val="none"/>
        </w:rPr>
        <w:t>7.3.2 开工通知</w:t>
      </w:r>
    </w:p>
    <w:bookmarkEnd w:id="364"/>
    <w:p w14:paraId="2022156F">
      <w:pPr>
        <w:pStyle w:val="80"/>
        <w:rPr>
          <w:rFonts w:hint="eastAsia" w:cs="宋体"/>
          <w:color w:val="auto"/>
          <w:sz w:val="21"/>
          <w:highlight w:val="none"/>
        </w:rPr>
      </w:pPr>
      <w:r>
        <w:rPr>
          <w:rFonts w:hint="eastAsia" w:cs="宋体"/>
          <w:color w:val="auto"/>
          <w:sz w:val="21"/>
          <w:highlight w:val="none"/>
        </w:rPr>
        <w:t>发包人应按照法律规定获得工程施工所需的许可。经发包人同意后，监理人发出的开工通知应符合法律规定。监理人应在计划开工日期7天前向承包人发出开工通知，工期自开工通知中载明的开工日期起算。</w:t>
      </w:r>
    </w:p>
    <w:p w14:paraId="569D0556">
      <w:pPr>
        <w:pStyle w:val="80"/>
        <w:rPr>
          <w:rFonts w:hint="eastAsia" w:cs="宋体"/>
          <w:color w:val="auto"/>
          <w:sz w:val="21"/>
          <w:highlight w:val="none"/>
        </w:rPr>
      </w:pPr>
      <w:r>
        <w:rPr>
          <w:rFonts w:hint="eastAsia" w:cs="宋体"/>
          <w:color w:val="auto"/>
          <w:sz w:val="21"/>
          <w:highlight w:val="none"/>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14:paraId="60E28F0E">
      <w:pPr>
        <w:pStyle w:val="322"/>
        <w:rPr>
          <w:rFonts w:hint="eastAsia" w:ascii="宋体" w:cs="宋体"/>
          <w:color w:val="auto"/>
          <w:highlight w:val="none"/>
        </w:rPr>
      </w:pPr>
      <w:bookmarkStart w:id="365" w:name="_Toc478389084"/>
      <w:bookmarkStart w:id="366" w:name="_Toc351203546"/>
      <w:r>
        <w:rPr>
          <w:rFonts w:hint="eastAsia" w:ascii="宋体" w:cs="宋体"/>
          <w:color w:val="auto"/>
          <w:highlight w:val="none"/>
        </w:rPr>
        <w:t>7.4测量放线</w:t>
      </w:r>
      <w:bookmarkEnd w:id="365"/>
      <w:bookmarkEnd w:id="366"/>
    </w:p>
    <w:p w14:paraId="6E96EB9E">
      <w:pPr>
        <w:pStyle w:val="80"/>
        <w:rPr>
          <w:rFonts w:hint="eastAsia" w:cs="宋体"/>
          <w:color w:val="auto"/>
          <w:sz w:val="21"/>
          <w:highlight w:val="none"/>
        </w:rPr>
      </w:pPr>
      <w:r>
        <w:rPr>
          <w:rFonts w:hint="eastAsia" w:cs="宋体"/>
          <w:color w:val="auto"/>
          <w:sz w:val="21"/>
          <w:highlight w:val="none"/>
        </w:rPr>
        <w:t>7.4.1除专用合同条款另有约定外，发包人应在至迟不得晚于第7.3.2项〔开工通知〕载明的开工日期前7天通过监理人向承包人提供测量基准点、基准线和水准点及其书面资料。发包人应对其提供的测量基准点、基准线和水准点及其书面资料的真实性、准确性和完整性负责。</w:t>
      </w:r>
    </w:p>
    <w:p w14:paraId="2ED9FCF1">
      <w:pPr>
        <w:pStyle w:val="80"/>
        <w:rPr>
          <w:rFonts w:hint="eastAsia" w:cs="宋体"/>
          <w:color w:val="auto"/>
          <w:sz w:val="21"/>
          <w:highlight w:val="none"/>
        </w:rPr>
      </w:pPr>
      <w:r>
        <w:rPr>
          <w:rFonts w:hint="eastAsia" w:cs="宋体"/>
          <w:color w:val="auto"/>
          <w:sz w:val="21"/>
          <w:highlight w:val="none"/>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14:paraId="7BC97CCB">
      <w:pPr>
        <w:pStyle w:val="80"/>
        <w:rPr>
          <w:rFonts w:hint="eastAsia" w:cs="宋体"/>
          <w:color w:val="auto"/>
          <w:sz w:val="21"/>
          <w:highlight w:val="none"/>
        </w:rPr>
      </w:pPr>
      <w:r>
        <w:rPr>
          <w:rFonts w:hint="eastAsia" w:cs="宋体"/>
          <w:color w:val="auto"/>
          <w:sz w:val="21"/>
          <w:highlight w:val="none"/>
        </w:rPr>
        <w:t>7.4.2承包人负责施工过程中的全部施工测量放线工作，并配置具有相应资质的人员、合格的仪器、设备和其他物品。承包人应矫正工程的位置、标高、尺寸或准线中出现的任何差错，并对工程各部分的定位负责。</w:t>
      </w:r>
    </w:p>
    <w:p w14:paraId="7BC57061">
      <w:pPr>
        <w:pStyle w:val="80"/>
        <w:rPr>
          <w:rFonts w:hint="eastAsia" w:cs="宋体"/>
          <w:color w:val="auto"/>
          <w:sz w:val="21"/>
          <w:highlight w:val="none"/>
        </w:rPr>
      </w:pPr>
      <w:r>
        <w:rPr>
          <w:rFonts w:hint="eastAsia" w:cs="宋体"/>
          <w:color w:val="auto"/>
          <w:sz w:val="21"/>
          <w:highlight w:val="none"/>
        </w:rPr>
        <w:t>施工过程中对施工现场内水准点等测量标志物的保护工作由承包人负责。</w:t>
      </w:r>
      <w:bookmarkStart w:id="367" w:name="_Toc351203547"/>
    </w:p>
    <w:p w14:paraId="60752429">
      <w:pPr>
        <w:pStyle w:val="322"/>
        <w:rPr>
          <w:rFonts w:hint="eastAsia" w:ascii="宋体" w:cs="宋体"/>
          <w:color w:val="auto"/>
          <w:highlight w:val="none"/>
        </w:rPr>
      </w:pPr>
      <w:bookmarkStart w:id="368" w:name="_Toc478389085"/>
      <w:r>
        <w:rPr>
          <w:rFonts w:hint="eastAsia" w:ascii="宋体" w:cs="宋体"/>
          <w:color w:val="auto"/>
          <w:highlight w:val="none"/>
        </w:rPr>
        <w:t>7</w:t>
      </w:r>
      <w:bookmarkEnd w:id="353"/>
      <w:bookmarkEnd w:id="354"/>
      <w:bookmarkStart w:id="369" w:name="_Toc296503073"/>
      <w:bookmarkStart w:id="370" w:name="_Toc337558772"/>
      <w:bookmarkStart w:id="371" w:name="_Toc296346574"/>
      <w:r>
        <w:rPr>
          <w:rFonts w:hint="eastAsia" w:ascii="宋体" w:cs="宋体"/>
          <w:color w:val="auto"/>
          <w:highlight w:val="none"/>
        </w:rPr>
        <w:t>.5 工期延误</w:t>
      </w:r>
      <w:bookmarkEnd w:id="367"/>
      <w:bookmarkEnd w:id="368"/>
    </w:p>
    <w:bookmarkEnd w:id="369"/>
    <w:bookmarkEnd w:id="370"/>
    <w:bookmarkEnd w:id="371"/>
    <w:p w14:paraId="08F91A88">
      <w:pPr>
        <w:pStyle w:val="80"/>
        <w:rPr>
          <w:rFonts w:hint="eastAsia" w:cs="宋体"/>
          <w:color w:val="auto"/>
          <w:sz w:val="21"/>
          <w:highlight w:val="none"/>
        </w:rPr>
      </w:pPr>
      <w:r>
        <w:rPr>
          <w:rFonts w:hint="eastAsia" w:cs="宋体"/>
          <w:color w:val="auto"/>
          <w:sz w:val="21"/>
          <w:highlight w:val="none"/>
        </w:rPr>
        <w:t>7.5.1 因发包人原因导致工期延误</w:t>
      </w:r>
    </w:p>
    <w:p w14:paraId="577B7A85">
      <w:pPr>
        <w:pStyle w:val="80"/>
        <w:rPr>
          <w:rFonts w:hint="eastAsia" w:cs="宋体"/>
          <w:color w:val="auto"/>
          <w:sz w:val="21"/>
          <w:highlight w:val="none"/>
        </w:rPr>
      </w:pPr>
      <w:r>
        <w:rPr>
          <w:rFonts w:hint="eastAsia" w:cs="宋体"/>
          <w:color w:val="auto"/>
          <w:sz w:val="21"/>
          <w:highlight w:val="none"/>
        </w:rPr>
        <w:t xml:space="preserve">在合同履行过程中，因下列情况导致工期延误和（或）费用增加的，由发包人承担由此延误的工期和（或）增加的费用，且发包人应支付承包人合理的利润： </w:t>
      </w:r>
    </w:p>
    <w:p w14:paraId="3718131D">
      <w:pPr>
        <w:pStyle w:val="80"/>
        <w:rPr>
          <w:rFonts w:hint="eastAsia" w:cs="宋体"/>
          <w:color w:val="auto"/>
          <w:sz w:val="21"/>
          <w:highlight w:val="none"/>
        </w:rPr>
      </w:pPr>
      <w:r>
        <w:rPr>
          <w:rFonts w:hint="eastAsia" w:cs="宋体"/>
          <w:color w:val="auto"/>
          <w:sz w:val="21"/>
          <w:highlight w:val="none"/>
        </w:rPr>
        <w:t>（1）发包人未能按合同约定提供图纸或所提供图纸不符合合同约定的；</w:t>
      </w:r>
    </w:p>
    <w:p w14:paraId="31A20E5C">
      <w:pPr>
        <w:pStyle w:val="80"/>
        <w:rPr>
          <w:rFonts w:hint="eastAsia" w:cs="宋体"/>
          <w:color w:val="auto"/>
          <w:sz w:val="21"/>
          <w:highlight w:val="none"/>
        </w:rPr>
      </w:pPr>
      <w:r>
        <w:rPr>
          <w:rFonts w:hint="eastAsia" w:cs="宋体"/>
          <w:color w:val="auto"/>
          <w:sz w:val="21"/>
          <w:highlight w:val="none"/>
        </w:rPr>
        <w:t>（2）发包人未能按合同约定提供施工现场、施工条件、基础资料、许可、批准等开工条件的；</w:t>
      </w:r>
    </w:p>
    <w:p w14:paraId="310DBC8F">
      <w:pPr>
        <w:pStyle w:val="80"/>
        <w:rPr>
          <w:rFonts w:hint="eastAsia" w:cs="宋体"/>
          <w:color w:val="auto"/>
          <w:sz w:val="21"/>
          <w:highlight w:val="none"/>
        </w:rPr>
      </w:pPr>
      <w:r>
        <w:rPr>
          <w:rFonts w:hint="eastAsia" w:cs="宋体"/>
          <w:color w:val="auto"/>
          <w:sz w:val="21"/>
          <w:highlight w:val="none"/>
        </w:rPr>
        <w:t>（3）发包人提供的测量基准点、基准线和水准点及其书面资料存在错误或疏漏的；</w:t>
      </w:r>
    </w:p>
    <w:p w14:paraId="77078B51">
      <w:pPr>
        <w:pStyle w:val="80"/>
        <w:rPr>
          <w:rFonts w:hint="eastAsia" w:cs="宋体"/>
          <w:color w:val="auto"/>
          <w:sz w:val="21"/>
          <w:highlight w:val="none"/>
        </w:rPr>
      </w:pPr>
      <w:r>
        <w:rPr>
          <w:rFonts w:hint="eastAsia" w:cs="宋体"/>
          <w:color w:val="auto"/>
          <w:sz w:val="21"/>
          <w:highlight w:val="none"/>
        </w:rPr>
        <w:t>（4）发包人未能在计划开工日期之日起7天内同意下达开工通知的；</w:t>
      </w:r>
    </w:p>
    <w:p w14:paraId="7778ACAA">
      <w:pPr>
        <w:pStyle w:val="80"/>
        <w:rPr>
          <w:rFonts w:hint="eastAsia" w:cs="宋体"/>
          <w:color w:val="auto"/>
          <w:sz w:val="21"/>
          <w:highlight w:val="none"/>
        </w:rPr>
      </w:pPr>
      <w:r>
        <w:rPr>
          <w:rFonts w:hint="eastAsia" w:cs="宋体"/>
          <w:color w:val="auto"/>
          <w:sz w:val="21"/>
          <w:highlight w:val="none"/>
        </w:rPr>
        <w:t>（5）发包人未能按合同约定日期支付工程预付款、进度款或竣工结算款的；</w:t>
      </w:r>
    </w:p>
    <w:p w14:paraId="6B84FAE7">
      <w:pPr>
        <w:pStyle w:val="80"/>
        <w:rPr>
          <w:rFonts w:hint="eastAsia" w:cs="宋体"/>
          <w:color w:val="auto"/>
          <w:sz w:val="21"/>
          <w:highlight w:val="none"/>
        </w:rPr>
      </w:pPr>
      <w:r>
        <w:rPr>
          <w:rFonts w:hint="eastAsia" w:cs="宋体"/>
          <w:color w:val="auto"/>
          <w:sz w:val="21"/>
          <w:highlight w:val="none"/>
        </w:rPr>
        <w:t>（6）监理人未按合同约定发出指示、批准等文件的；</w:t>
      </w:r>
    </w:p>
    <w:p w14:paraId="679A6794">
      <w:pPr>
        <w:pStyle w:val="80"/>
        <w:rPr>
          <w:rFonts w:hint="eastAsia" w:cs="宋体"/>
          <w:color w:val="auto"/>
          <w:sz w:val="21"/>
          <w:highlight w:val="none"/>
        </w:rPr>
      </w:pPr>
      <w:r>
        <w:rPr>
          <w:rFonts w:hint="eastAsia" w:cs="宋体"/>
          <w:color w:val="auto"/>
          <w:sz w:val="21"/>
          <w:highlight w:val="none"/>
        </w:rPr>
        <w:t>（7）专用合同条款中约定的其他情形。</w:t>
      </w:r>
    </w:p>
    <w:p w14:paraId="298475C1">
      <w:pPr>
        <w:pStyle w:val="80"/>
        <w:rPr>
          <w:rFonts w:hint="eastAsia" w:cs="宋体"/>
          <w:color w:val="auto"/>
          <w:sz w:val="21"/>
          <w:highlight w:val="none"/>
        </w:rPr>
      </w:pPr>
      <w:r>
        <w:rPr>
          <w:rFonts w:hint="eastAsia" w:cs="宋体"/>
          <w:color w:val="auto"/>
          <w:sz w:val="21"/>
          <w:highlight w:val="none"/>
        </w:rPr>
        <w:t>因发包人原因未按计划开工日期开工的，发包人应按实际开工日期顺延竣工日期，确保实际工期不低于合同约定的工期总日历天数。因发包人原因导致工期延误需要修订施工进度计划的，按照第7.2.2项〔施工进度计划的修订〕执行。</w:t>
      </w:r>
    </w:p>
    <w:p w14:paraId="59A6308C">
      <w:pPr>
        <w:pStyle w:val="80"/>
        <w:rPr>
          <w:rFonts w:hint="eastAsia" w:cs="宋体"/>
          <w:color w:val="auto"/>
          <w:sz w:val="21"/>
          <w:highlight w:val="none"/>
        </w:rPr>
      </w:pPr>
      <w:r>
        <w:rPr>
          <w:rFonts w:hint="eastAsia" w:cs="宋体"/>
          <w:color w:val="auto"/>
          <w:sz w:val="21"/>
          <w:highlight w:val="none"/>
        </w:rPr>
        <w:t>7.5.2 因承包人原因导致工期延误</w:t>
      </w:r>
    </w:p>
    <w:p w14:paraId="57A156FB">
      <w:pPr>
        <w:pStyle w:val="80"/>
        <w:rPr>
          <w:rFonts w:hint="eastAsia" w:cs="宋体"/>
          <w:color w:val="auto"/>
          <w:sz w:val="21"/>
          <w:highlight w:val="none"/>
        </w:rPr>
      </w:pPr>
      <w:bookmarkStart w:id="372" w:name="_Toc296346577"/>
      <w:bookmarkStart w:id="373" w:name="_Toc296503076"/>
      <w:r>
        <w:rPr>
          <w:rFonts w:hint="eastAsia" w:cs="宋体"/>
          <w:color w:val="auto"/>
          <w:sz w:val="21"/>
          <w:highlight w:val="none"/>
        </w:rPr>
        <w:t>因</w:t>
      </w:r>
      <w:bookmarkEnd w:id="372"/>
      <w:bookmarkEnd w:id="373"/>
      <w:r>
        <w:rPr>
          <w:rFonts w:hint="eastAsia" w:cs="宋体"/>
          <w:color w:val="auto"/>
          <w:sz w:val="21"/>
          <w:highlight w:val="none"/>
        </w:rPr>
        <w:t>承包人原因造成工期延误的，可以在专用合同条款中约定逾期竣工违约金的计算方法和逾期竣工违约金的上限。承包人支付逾期竣工违约金后，不免除承包人继续完成工程及修补缺陷的义务。</w:t>
      </w:r>
    </w:p>
    <w:p w14:paraId="6392B924">
      <w:pPr>
        <w:pStyle w:val="322"/>
        <w:rPr>
          <w:rFonts w:hint="eastAsia" w:ascii="宋体" w:cs="宋体"/>
          <w:color w:val="auto"/>
          <w:highlight w:val="none"/>
        </w:rPr>
      </w:pPr>
      <w:bookmarkStart w:id="374" w:name="_Toc478389086"/>
      <w:bookmarkStart w:id="375" w:name="_Toc351203548"/>
      <w:r>
        <w:rPr>
          <w:rFonts w:hint="eastAsia" w:ascii="宋体" w:cs="宋体"/>
          <w:color w:val="auto"/>
          <w:highlight w:val="none"/>
        </w:rPr>
        <w:t>7</w:t>
      </w:r>
      <w:bookmarkStart w:id="376" w:name="_Toc296503074"/>
      <w:bookmarkStart w:id="377" w:name="_Toc296346575"/>
      <w:bookmarkStart w:id="378" w:name="_Toc337558773"/>
      <w:bookmarkStart w:id="379" w:name="_Toc296503077"/>
      <w:bookmarkStart w:id="380" w:name="_Toc296346578"/>
      <w:r>
        <w:rPr>
          <w:rFonts w:hint="eastAsia" w:ascii="宋体" w:cs="宋体"/>
          <w:color w:val="auto"/>
          <w:highlight w:val="none"/>
        </w:rPr>
        <w:t>.6 不利物质条件</w:t>
      </w:r>
      <w:bookmarkEnd w:id="374"/>
      <w:bookmarkEnd w:id="375"/>
    </w:p>
    <w:bookmarkEnd w:id="376"/>
    <w:bookmarkEnd w:id="377"/>
    <w:bookmarkEnd w:id="378"/>
    <w:p w14:paraId="0ED591BE">
      <w:pPr>
        <w:pStyle w:val="80"/>
        <w:rPr>
          <w:rFonts w:hint="eastAsia" w:cs="宋体"/>
          <w:color w:val="auto"/>
          <w:sz w:val="21"/>
          <w:highlight w:val="none"/>
        </w:rPr>
      </w:pPr>
      <w:r>
        <w:rPr>
          <w:rFonts w:hint="eastAsia" w:cs="宋体"/>
          <w:color w:val="auto"/>
          <w:sz w:val="21"/>
          <w:highlight w:val="none"/>
        </w:rPr>
        <w:t>不利物质条件是指有经验的承包人在施工现场遇到的不可预见的自然物质条件、非自然的物质障碍和污染物，包括地表以下物质条件和水文条件以及专用合同条款约定的其他情形，但不包括气候条件。</w:t>
      </w:r>
    </w:p>
    <w:p w14:paraId="3244DC93">
      <w:pPr>
        <w:pStyle w:val="80"/>
        <w:rPr>
          <w:rFonts w:hint="eastAsia" w:cs="宋体"/>
          <w:color w:val="auto"/>
          <w:sz w:val="21"/>
          <w:highlight w:val="none"/>
        </w:rPr>
      </w:pPr>
      <w:r>
        <w:rPr>
          <w:rFonts w:hint="eastAsia" w:cs="宋体"/>
          <w:color w:val="auto"/>
          <w:sz w:val="21"/>
          <w:highlight w:val="none"/>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变更〕约定执行。承包人因采取合理措施而增加的费用和（或）延误的工期由发包人承担。</w:t>
      </w:r>
    </w:p>
    <w:p w14:paraId="16CEAFDF">
      <w:pPr>
        <w:pStyle w:val="322"/>
        <w:rPr>
          <w:rFonts w:hint="eastAsia" w:ascii="宋体" w:cs="宋体"/>
          <w:color w:val="auto"/>
          <w:highlight w:val="none"/>
        </w:rPr>
      </w:pPr>
      <w:bookmarkStart w:id="381" w:name="_Toc351203549"/>
      <w:bookmarkStart w:id="382" w:name="_Toc478389087"/>
      <w:r>
        <w:rPr>
          <w:rFonts w:hint="eastAsia" w:ascii="宋体" w:cs="宋体"/>
          <w:color w:val="auto"/>
          <w:highlight w:val="none"/>
        </w:rPr>
        <w:t>7</w:t>
      </w:r>
      <w:bookmarkStart w:id="383" w:name="_Toc296503075"/>
      <w:bookmarkStart w:id="384" w:name="_Toc296346576"/>
      <w:bookmarkStart w:id="385" w:name="_Toc337558774"/>
      <w:r>
        <w:rPr>
          <w:rFonts w:hint="eastAsia" w:ascii="宋体" w:cs="宋体"/>
          <w:color w:val="auto"/>
          <w:highlight w:val="none"/>
        </w:rPr>
        <w:t>.7 异常恶劣的气候条件</w:t>
      </w:r>
      <w:bookmarkEnd w:id="381"/>
      <w:bookmarkEnd w:id="382"/>
    </w:p>
    <w:bookmarkEnd w:id="383"/>
    <w:bookmarkEnd w:id="384"/>
    <w:bookmarkEnd w:id="385"/>
    <w:p w14:paraId="123DC7E5">
      <w:pPr>
        <w:pStyle w:val="80"/>
        <w:rPr>
          <w:rFonts w:hint="eastAsia" w:cs="宋体"/>
          <w:color w:val="auto"/>
          <w:sz w:val="21"/>
          <w:highlight w:val="none"/>
        </w:rPr>
      </w:pPr>
      <w:r>
        <w:rPr>
          <w:rFonts w:hint="eastAsia" w:cs="宋体"/>
          <w:color w:val="auto"/>
          <w:sz w:val="21"/>
          <w:highlight w:val="none"/>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14:paraId="672A5369">
      <w:pPr>
        <w:pStyle w:val="80"/>
        <w:rPr>
          <w:rFonts w:hint="eastAsia" w:cs="宋体"/>
          <w:color w:val="auto"/>
          <w:sz w:val="21"/>
          <w:highlight w:val="none"/>
        </w:rPr>
      </w:pPr>
      <w:r>
        <w:rPr>
          <w:rFonts w:hint="eastAsia" w:cs="宋体"/>
          <w:color w:val="auto"/>
          <w:sz w:val="21"/>
          <w:highlight w:val="none"/>
        </w:rPr>
        <w:t>承包人应采取克服异常恶劣的气候条件的合理措施继续施工，并及时通知发包人和监理人。监理人经发包人同意后应当及时发出指示，指示构成变更的，按第10条〔变更〕约定办理。承包人因采取合理措施而增加的费用和（或）延误的工期由发包人承担。</w:t>
      </w:r>
      <w:bookmarkStart w:id="386" w:name="_Toc351203550"/>
    </w:p>
    <w:p w14:paraId="5DCEDE53">
      <w:pPr>
        <w:pStyle w:val="322"/>
        <w:rPr>
          <w:rFonts w:hint="eastAsia" w:ascii="宋体" w:cs="宋体"/>
          <w:color w:val="auto"/>
          <w:highlight w:val="none"/>
        </w:rPr>
      </w:pPr>
      <w:bookmarkStart w:id="387" w:name="_Toc478389088"/>
      <w:r>
        <w:rPr>
          <w:rFonts w:hint="eastAsia" w:ascii="宋体" w:cs="宋体"/>
          <w:color w:val="auto"/>
          <w:highlight w:val="none"/>
        </w:rPr>
        <w:t>7</w:t>
      </w:r>
      <w:bookmarkStart w:id="388" w:name="_Toc337558775"/>
      <w:r>
        <w:rPr>
          <w:rFonts w:hint="eastAsia" w:ascii="宋体" w:cs="宋体"/>
          <w:color w:val="auto"/>
          <w:highlight w:val="none"/>
        </w:rPr>
        <w:t>.8 暂停施工</w:t>
      </w:r>
      <w:bookmarkEnd w:id="386"/>
      <w:bookmarkEnd w:id="387"/>
    </w:p>
    <w:bookmarkEnd w:id="379"/>
    <w:bookmarkEnd w:id="380"/>
    <w:bookmarkEnd w:id="388"/>
    <w:p w14:paraId="643407AB">
      <w:pPr>
        <w:pStyle w:val="80"/>
        <w:rPr>
          <w:rFonts w:hint="eastAsia" w:cs="宋体"/>
          <w:color w:val="auto"/>
          <w:sz w:val="21"/>
          <w:highlight w:val="none"/>
        </w:rPr>
      </w:pPr>
      <w:r>
        <w:rPr>
          <w:rFonts w:hint="eastAsia" w:cs="宋体"/>
          <w:color w:val="auto"/>
          <w:sz w:val="21"/>
          <w:highlight w:val="none"/>
        </w:rPr>
        <w:t>7.8.1发包人原因引起的暂停施工</w:t>
      </w:r>
    </w:p>
    <w:p w14:paraId="3B170C14">
      <w:pPr>
        <w:pStyle w:val="80"/>
        <w:rPr>
          <w:rFonts w:hint="eastAsia" w:cs="宋体"/>
          <w:color w:val="auto"/>
          <w:sz w:val="21"/>
          <w:highlight w:val="none"/>
        </w:rPr>
      </w:pPr>
      <w:r>
        <w:rPr>
          <w:rFonts w:hint="eastAsia" w:cs="宋体"/>
          <w:color w:val="auto"/>
          <w:sz w:val="21"/>
          <w:highlight w:val="none"/>
        </w:rPr>
        <w:t>因发包人原因引起暂停施工的，监理人经发包人同意后，应及时下达暂停施工指示。情况紧急且监理人未及时下达暂停施工指示的，按照第7.8.4项〔紧急情况下的暂停施工〕执行。</w:t>
      </w:r>
    </w:p>
    <w:p w14:paraId="7E3736C0">
      <w:pPr>
        <w:pStyle w:val="80"/>
        <w:rPr>
          <w:rFonts w:hint="eastAsia" w:cs="宋体"/>
          <w:color w:val="auto"/>
          <w:sz w:val="21"/>
          <w:highlight w:val="none"/>
        </w:rPr>
      </w:pPr>
      <w:r>
        <w:rPr>
          <w:rFonts w:hint="eastAsia" w:cs="宋体"/>
          <w:color w:val="auto"/>
          <w:sz w:val="21"/>
          <w:highlight w:val="none"/>
        </w:rPr>
        <w:t>因发包人原因引起的暂停施工，发包人应承担由此增加的费用和（或）延误的工期，并支付承包人合理的利润。</w:t>
      </w:r>
    </w:p>
    <w:p w14:paraId="273C5BA3">
      <w:pPr>
        <w:pStyle w:val="80"/>
        <w:rPr>
          <w:rFonts w:hint="eastAsia" w:cs="宋体"/>
          <w:color w:val="auto"/>
          <w:sz w:val="21"/>
          <w:highlight w:val="none"/>
        </w:rPr>
      </w:pPr>
      <w:r>
        <w:rPr>
          <w:rFonts w:hint="eastAsia" w:cs="宋体"/>
          <w:color w:val="auto"/>
          <w:sz w:val="21"/>
          <w:highlight w:val="none"/>
        </w:rPr>
        <w:t>7.8.2 承包人原因引起的暂停施工</w:t>
      </w:r>
    </w:p>
    <w:p w14:paraId="519447AB">
      <w:pPr>
        <w:pStyle w:val="80"/>
        <w:rPr>
          <w:rFonts w:hint="eastAsia" w:cs="宋体"/>
          <w:color w:val="auto"/>
          <w:sz w:val="21"/>
          <w:highlight w:val="none"/>
        </w:rPr>
      </w:pPr>
      <w:r>
        <w:rPr>
          <w:rFonts w:hint="eastAsia" w:cs="宋体"/>
          <w:color w:val="auto"/>
          <w:sz w:val="21"/>
          <w:highlight w:val="none"/>
        </w:rPr>
        <w:t>因承包人原因引起的暂停施工，承包人应承担由此增加的费用和（或）延误的工期，且承包人在收到监理人复工指示后84天内仍未复工的，视为第16.2.1项〔承包人违约的情形〕第（7）目约定的承包人无法继续履行合同的情形。</w:t>
      </w:r>
    </w:p>
    <w:p w14:paraId="408E4197">
      <w:pPr>
        <w:pStyle w:val="80"/>
        <w:rPr>
          <w:rFonts w:hint="eastAsia" w:cs="宋体"/>
          <w:color w:val="auto"/>
          <w:sz w:val="21"/>
          <w:highlight w:val="none"/>
        </w:rPr>
      </w:pPr>
      <w:r>
        <w:rPr>
          <w:rFonts w:hint="eastAsia" w:cs="宋体"/>
          <w:color w:val="auto"/>
          <w:sz w:val="21"/>
          <w:highlight w:val="none"/>
        </w:rPr>
        <w:t>7.8.3 指示暂停施工</w:t>
      </w:r>
    </w:p>
    <w:p w14:paraId="2C7708DC">
      <w:pPr>
        <w:pStyle w:val="80"/>
        <w:rPr>
          <w:rFonts w:hint="eastAsia" w:cs="宋体"/>
          <w:color w:val="auto"/>
          <w:sz w:val="21"/>
          <w:highlight w:val="none"/>
        </w:rPr>
      </w:pPr>
      <w:r>
        <w:rPr>
          <w:rFonts w:hint="eastAsia" w:cs="宋体"/>
          <w:color w:val="auto"/>
          <w:sz w:val="21"/>
          <w:highlight w:val="none"/>
        </w:rPr>
        <w:t>监理人认为有必要时，并经发包人批准后，可向承包人作出暂停施工的指示，承包人应按监理人指示暂停施工。</w:t>
      </w:r>
    </w:p>
    <w:p w14:paraId="6D9BB2F1">
      <w:pPr>
        <w:pStyle w:val="80"/>
        <w:rPr>
          <w:rFonts w:hint="eastAsia" w:cs="宋体"/>
          <w:color w:val="auto"/>
          <w:sz w:val="21"/>
          <w:highlight w:val="none"/>
        </w:rPr>
      </w:pPr>
      <w:r>
        <w:rPr>
          <w:rFonts w:hint="eastAsia" w:cs="宋体"/>
          <w:color w:val="auto"/>
          <w:sz w:val="21"/>
          <w:highlight w:val="none"/>
        </w:rPr>
        <w:t>7.8.4 紧急情况下的暂停施工</w:t>
      </w:r>
    </w:p>
    <w:p w14:paraId="092CAB49">
      <w:pPr>
        <w:pStyle w:val="80"/>
        <w:rPr>
          <w:rFonts w:hint="eastAsia" w:cs="宋体"/>
          <w:color w:val="auto"/>
          <w:sz w:val="21"/>
          <w:highlight w:val="none"/>
        </w:rPr>
      </w:pPr>
      <w:r>
        <w:rPr>
          <w:rFonts w:hint="eastAsia" w:cs="宋体"/>
          <w:color w:val="auto"/>
          <w:sz w:val="21"/>
          <w:highlight w:val="none"/>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争议解决〕约定处理。</w:t>
      </w:r>
    </w:p>
    <w:p w14:paraId="11B3BA02">
      <w:pPr>
        <w:pStyle w:val="80"/>
        <w:rPr>
          <w:rFonts w:hint="eastAsia" w:cs="宋体"/>
          <w:color w:val="auto"/>
          <w:sz w:val="21"/>
          <w:highlight w:val="none"/>
        </w:rPr>
      </w:pPr>
      <w:r>
        <w:rPr>
          <w:rFonts w:hint="eastAsia" w:cs="宋体"/>
          <w:color w:val="auto"/>
          <w:sz w:val="21"/>
          <w:highlight w:val="none"/>
        </w:rPr>
        <w:t>7.8.5 暂停施工后的复工</w:t>
      </w:r>
    </w:p>
    <w:p w14:paraId="36F391D4">
      <w:pPr>
        <w:pStyle w:val="80"/>
        <w:rPr>
          <w:rFonts w:hint="eastAsia" w:cs="宋体"/>
          <w:color w:val="auto"/>
          <w:sz w:val="21"/>
          <w:highlight w:val="none"/>
        </w:rPr>
      </w:pPr>
      <w:r>
        <w:rPr>
          <w:rFonts w:hint="eastAsia" w:cs="宋体"/>
          <w:color w:val="auto"/>
          <w:sz w:val="21"/>
          <w:highlight w:val="none"/>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14:paraId="392E4736">
      <w:pPr>
        <w:pStyle w:val="80"/>
        <w:rPr>
          <w:rFonts w:hint="eastAsia" w:cs="宋体"/>
          <w:color w:val="auto"/>
          <w:sz w:val="21"/>
          <w:highlight w:val="none"/>
        </w:rPr>
      </w:pPr>
      <w:r>
        <w:rPr>
          <w:rFonts w:hint="eastAsia" w:cs="宋体"/>
          <w:color w:val="auto"/>
          <w:sz w:val="21"/>
          <w:highlight w:val="none"/>
        </w:rPr>
        <w:t>承包人无故拖延和拒绝复工的，承包人承担由此增加的费用和（或）延误的工期；因发包人原因无法按时复工的，按照第7.5.1项〔因发包人原因导致工期延误〕约定办理。</w:t>
      </w:r>
    </w:p>
    <w:p w14:paraId="3F6EAA40">
      <w:pPr>
        <w:pStyle w:val="80"/>
        <w:rPr>
          <w:rFonts w:hint="eastAsia" w:cs="宋体"/>
          <w:color w:val="auto"/>
          <w:sz w:val="21"/>
          <w:highlight w:val="none"/>
        </w:rPr>
      </w:pPr>
      <w:r>
        <w:rPr>
          <w:rFonts w:hint="eastAsia" w:cs="宋体"/>
          <w:color w:val="auto"/>
          <w:sz w:val="21"/>
          <w:highlight w:val="none"/>
        </w:rPr>
        <w:t>7.8.6 暂停施工持续56天以上</w:t>
      </w:r>
    </w:p>
    <w:p w14:paraId="1386259B">
      <w:pPr>
        <w:pStyle w:val="80"/>
        <w:rPr>
          <w:rFonts w:hint="eastAsia" w:cs="宋体"/>
          <w:color w:val="auto"/>
          <w:sz w:val="21"/>
          <w:highlight w:val="none"/>
        </w:rPr>
      </w:pPr>
      <w:r>
        <w:rPr>
          <w:rFonts w:hint="eastAsia" w:cs="宋体"/>
          <w:color w:val="auto"/>
          <w:sz w:val="21"/>
          <w:highlight w:val="none"/>
        </w:rPr>
        <w:t>监理人发出暂停施工指示后56天内未向承包人发出复工通知，除该项停工属于第7.8.2项〔承包人原因引起的暂停施工〕及第17条〔不可抗力〕约定的情形外，承包人可向发包人提交书面通知，要求发包人在收到书面通知后28天内准许已暂停施工的部分或全部工程继续施工。发包人逾期不予批准的，则承包人可以通知发包人，将工程受影响的部分视为按第10.1款〔变更的范围〕第（2）项的可取消工作。</w:t>
      </w:r>
    </w:p>
    <w:p w14:paraId="1C5D624F">
      <w:pPr>
        <w:pStyle w:val="80"/>
        <w:rPr>
          <w:rFonts w:hint="eastAsia" w:cs="宋体"/>
          <w:color w:val="auto"/>
          <w:sz w:val="21"/>
          <w:highlight w:val="none"/>
        </w:rPr>
      </w:pPr>
      <w:r>
        <w:rPr>
          <w:rFonts w:hint="eastAsia" w:cs="宋体"/>
          <w:color w:val="auto"/>
          <w:sz w:val="21"/>
          <w:highlight w:val="none"/>
        </w:rPr>
        <w:t>暂停施工持续84天以上不复工的，且不属于第7.8.2项〔承包人原因引起的暂停施工〕及第17条〔不可抗力〕约定的情形，并影响到整个工程以及合同目的实现的，承包人有权提出价格调整要求，或者解除合同。解除合同的，按照第16.1.3项〔因发包人违约解除合同〕执行。</w:t>
      </w:r>
    </w:p>
    <w:p w14:paraId="4591309D">
      <w:pPr>
        <w:pStyle w:val="80"/>
        <w:rPr>
          <w:rFonts w:hint="eastAsia" w:cs="宋体"/>
          <w:color w:val="auto"/>
          <w:sz w:val="21"/>
          <w:highlight w:val="none"/>
        </w:rPr>
      </w:pPr>
      <w:r>
        <w:rPr>
          <w:rFonts w:hint="eastAsia" w:cs="宋体"/>
          <w:color w:val="auto"/>
          <w:sz w:val="21"/>
          <w:highlight w:val="none"/>
        </w:rPr>
        <w:t>7.8.7 暂停施工期间的工程照管</w:t>
      </w:r>
    </w:p>
    <w:p w14:paraId="6E02CE8D">
      <w:pPr>
        <w:pStyle w:val="80"/>
        <w:rPr>
          <w:rFonts w:hint="eastAsia" w:cs="宋体"/>
          <w:color w:val="auto"/>
          <w:sz w:val="21"/>
          <w:highlight w:val="none"/>
        </w:rPr>
      </w:pPr>
      <w:r>
        <w:rPr>
          <w:rFonts w:hint="eastAsia" w:cs="宋体"/>
          <w:color w:val="auto"/>
          <w:sz w:val="21"/>
          <w:highlight w:val="none"/>
        </w:rPr>
        <w:t>暂停施工期间，承包人应负责妥善照管工程并提供安全保障，由此增加的费用由责任方承担</w:t>
      </w:r>
    </w:p>
    <w:p w14:paraId="7CBAD70D">
      <w:pPr>
        <w:pStyle w:val="80"/>
        <w:rPr>
          <w:rFonts w:hint="eastAsia" w:cs="宋体"/>
          <w:color w:val="auto"/>
          <w:sz w:val="21"/>
          <w:highlight w:val="none"/>
        </w:rPr>
      </w:pPr>
      <w:r>
        <w:rPr>
          <w:rFonts w:hint="eastAsia" w:cs="宋体"/>
          <w:color w:val="auto"/>
          <w:sz w:val="21"/>
          <w:highlight w:val="none"/>
        </w:rPr>
        <w:t>7.8.8 暂停施工的措施</w:t>
      </w:r>
    </w:p>
    <w:p w14:paraId="26D91A37">
      <w:pPr>
        <w:pStyle w:val="80"/>
        <w:rPr>
          <w:rFonts w:hint="eastAsia" w:cs="宋体"/>
          <w:color w:val="auto"/>
          <w:sz w:val="21"/>
          <w:highlight w:val="none"/>
        </w:rPr>
      </w:pPr>
      <w:r>
        <w:rPr>
          <w:rFonts w:hint="eastAsia" w:cs="宋体"/>
          <w:color w:val="auto"/>
          <w:sz w:val="21"/>
          <w:highlight w:val="none"/>
        </w:rPr>
        <w:t>暂停施工期间，发包人和承包人均应采取必要的措施确保工程质量及安全，防止因暂停施工扩大损失。</w:t>
      </w:r>
    </w:p>
    <w:p w14:paraId="71CF79A2">
      <w:pPr>
        <w:pStyle w:val="322"/>
        <w:rPr>
          <w:rFonts w:hint="eastAsia" w:ascii="宋体" w:cs="宋体"/>
          <w:color w:val="auto"/>
          <w:highlight w:val="none"/>
        </w:rPr>
      </w:pPr>
      <w:bookmarkStart w:id="389" w:name="_Toc351203551"/>
      <w:bookmarkStart w:id="390" w:name="_Toc478389089"/>
      <w:r>
        <w:rPr>
          <w:rFonts w:hint="eastAsia" w:ascii="宋体" w:cs="宋体"/>
          <w:color w:val="auto"/>
          <w:highlight w:val="none"/>
        </w:rPr>
        <w:t>7.9提前竣工</w:t>
      </w:r>
      <w:bookmarkEnd w:id="389"/>
      <w:bookmarkEnd w:id="390"/>
    </w:p>
    <w:p w14:paraId="3F7A2AE5">
      <w:pPr>
        <w:pStyle w:val="80"/>
        <w:rPr>
          <w:rFonts w:hint="eastAsia" w:cs="宋体"/>
          <w:color w:val="auto"/>
          <w:sz w:val="21"/>
          <w:highlight w:val="none"/>
        </w:rPr>
      </w:pPr>
      <w:r>
        <w:rPr>
          <w:rFonts w:hint="eastAsia" w:cs="宋体"/>
          <w:color w:val="auto"/>
          <w:sz w:val="21"/>
          <w:highlight w:val="none"/>
        </w:rPr>
        <w:t>7.9.1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承包人认为提前竣工指示无法执行的，应向监理人和发包人提出书面异议，发包人和监理人应在收到异议后7天内予以答复。任何情况下，发包人不得压缩合理工期。</w:t>
      </w:r>
    </w:p>
    <w:p w14:paraId="4CCC7486">
      <w:pPr>
        <w:pStyle w:val="80"/>
        <w:rPr>
          <w:rFonts w:hint="eastAsia" w:cs="宋体"/>
          <w:color w:val="auto"/>
          <w:sz w:val="21"/>
          <w:highlight w:val="none"/>
        </w:rPr>
      </w:pPr>
      <w:r>
        <w:rPr>
          <w:rFonts w:hint="eastAsia" w:cs="宋体"/>
          <w:color w:val="auto"/>
          <w:sz w:val="21"/>
          <w:highlight w:val="none"/>
        </w:rPr>
        <w:t>7.9.2发包人要求承包人提前竣工，或承包人提出提前竣工的建议能够给发包人带来效益的，合同当事人可以在专用合同条款中约定提前竣工的奖励。</w:t>
      </w:r>
    </w:p>
    <w:p w14:paraId="5A9F10A5">
      <w:pPr>
        <w:pStyle w:val="322"/>
        <w:rPr>
          <w:rFonts w:hint="eastAsia" w:ascii="宋体" w:cs="宋体"/>
          <w:color w:val="auto"/>
          <w:highlight w:val="none"/>
        </w:rPr>
      </w:pPr>
      <w:bookmarkStart w:id="391" w:name="_Toc478389090"/>
      <w:bookmarkStart w:id="392" w:name="_Toc351203552"/>
      <w:r>
        <w:rPr>
          <w:rFonts w:hint="eastAsia" w:ascii="宋体" w:cs="宋体"/>
          <w:color w:val="auto"/>
          <w:highlight w:val="none"/>
        </w:rPr>
        <w:t>8</w:t>
      </w:r>
      <w:bookmarkStart w:id="393" w:name="_Toc296346559"/>
      <w:bookmarkStart w:id="394" w:name="_Toc337558776"/>
      <w:bookmarkStart w:id="395" w:name="_Toc296503058"/>
      <w:r>
        <w:rPr>
          <w:rFonts w:hint="eastAsia" w:ascii="宋体" w:cs="宋体"/>
          <w:color w:val="auto"/>
          <w:highlight w:val="none"/>
        </w:rPr>
        <w:t>. 材料与设备</w:t>
      </w:r>
      <w:bookmarkEnd w:id="391"/>
      <w:bookmarkEnd w:id="392"/>
    </w:p>
    <w:bookmarkEnd w:id="393"/>
    <w:bookmarkEnd w:id="394"/>
    <w:bookmarkEnd w:id="395"/>
    <w:p w14:paraId="234E6D39">
      <w:pPr>
        <w:pStyle w:val="322"/>
        <w:rPr>
          <w:rFonts w:hint="eastAsia" w:ascii="宋体" w:cs="宋体"/>
          <w:color w:val="auto"/>
          <w:highlight w:val="none"/>
        </w:rPr>
      </w:pPr>
      <w:bookmarkStart w:id="396" w:name="_Toc478389091"/>
      <w:bookmarkStart w:id="397" w:name="_Toc351203553"/>
      <w:r>
        <w:rPr>
          <w:rFonts w:hint="eastAsia" w:ascii="宋体" w:cs="宋体"/>
          <w:color w:val="auto"/>
          <w:highlight w:val="none"/>
        </w:rPr>
        <w:t>8</w:t>
      </w:r>
      <w:bookmarkStart w:id="398" w:name="_Toc337558777"/>
      <w:bookmarkStart w:id="399" w:name="_Toc296346560"/>
      <w:bookmarkStart w:id="400" w:name="_Toc296503059"/>
      <w:bookmarkStart w:id="401" w:name="_Toc468936960"/>
      <w:r>
        <w:rPr>
          <w:rFonts w:hint="eastAsia" w:ascii="宋体" w:cs="宋体"/>
          <w:color w:val="auto"/>
          <w:highlight w:val="none"/>
        </w:rPr>
        <w:t>.1发包人供应材料与工程设备</w:t>
      </w:r>
      <w:bookmarkEnd w:id="396"/>
      <w:bookmarkEnd w:id="397"/>
    </w:p>
    <w:bookmarkEnd w:id="398"/>
    <w:bookmarkEnd w:id="399"/>
    <w:bookmarkEnd w:id="400"/>
    <w:p w14:paraId="12C0F109">
      <w:pPr>
        <w:pStyle w:val="80"/>
        <w:rPr>
          <w:rFonts w:hint="eastAsia" w:cs="宋体"/>
          <w:color w:val="auto"/>
          <w:sz w:val="21"/>
          <w:highlight w:val="none"/>
        </w:rPr>
      </w:pPr>
      <w:r>
        <w:rPr>
          <w:rFonts w:hint="eastAsia" w:cs="宋体"/>
          <w:color w:val="auto"/>
          <w:sz w:val="21"/>
          <w:highlight w:val="none"/>
        </w:rPr>
        <w:t>发包人自行供应材料、工程设备的，应在签订合同时在专用合同条款的附件《发包人供应材料设备一览表》中明确材料、工程设备的品种、规格、型号、数量、单价、质量等级和送达地点。</w:t>
      </w:r>
    </w:p>
    <w:p w14:paraId="0EEBAB22">
      <w:pPr>
        <w:pStyle w:val="80"/>
        <w:rPr>
          <w:rFonts w:hint="eastAsia" w:cs="宋体"/>
          <w:color w:val="auto"/>
          <w:sz w:val="21"/>
          <w:highlight w:val="none"/>
        </w:rPr>
      </w:pPr>
      <w:r>
        <w:rPr>
          <w:rFonts w:hint="eastAsia" w:cs="宋体"/>
          <w:color w:val="auto"/>
          <w:sz w:val="21"/>
          <w:highlight w:val="none"/>
        </w:rPr>
        <w:t>承包人应提前30天通过监理人以书面形式通知发包人供应材料与工程设备进场。承包人按照第7.2.2项〔施工进度计划的修订〕约定修订施工进度计划时，需同时提交经修订后的发包人供应材料与工程设备的进场计划。</w:t>
      </w:r>
    </w:p>
    <w:p w14:paraId="0210E80F">
      <w:pPr>
        <w:pStyle w:val="322"/>
        <w:rPr>
          <w:rFonts w:hint="eastAsia" w:ascii="宋体" w:cs="宋体"/>
          <w:color w:val="auto"/>
          <w:highlight w:val="none"/>
        </w:rPr>
      </w:pPr>
      <w:bookmarkStart w:id="402" w:name="_Toc351203554"/>
      <w:bookmarkStart w:id="403" w:name="_Toc478389092"/>
      <w:r>
        <w:rPr>
          <w:rFonts w:hint="eastAsia" w:ascii="宋体" w:cs="宋体"/>
          <w:color w:val="auto"/>
          <w:highlight w:val="none"/>
        </w:rPr>
        <w:t>8</w:t>
      </w:r>
      <w:bookmarkStart w:id="404" w:name="_Toc296346561"/>
      <w:bookmarkStart w:id="405" w:name="_Toc337558778"/>
      <w:bookmarkStart w:id="406" w:name="_Toc296503060"/>
      <w:r>
        <w:rPr>
          <w:rFonts w:hint="eastAsia" w:ascii="宋体" w:cs="宋体"/>
          <w:color w:val="auto"/>
          <w:highlight w:val="none"/>
        </w:rPr>
        <w:t>.2承包人采购材料与工程设备</w:t>
      </w:r>
      <w:bookmarkEnd w:id="402"/>
      <w:bookmarkEnd w:id="403"/>
    </w:p>
    <w:bookmarkEnd w:id="404"/>
    <w:bookmarkEnd w:id="405"/>
    <w:bookmarkEnd w:id="406"/>
    <w:p w14:paraId="5DA33D79">
      <w:pPr>
        <w:pStyle w:val="80"/>
        <w:rPr>
          <w:rFonts w:hint="eastAsia" w:cs="宋体"/>
          <w:color w:val="auto"/>
          <w:sz w:val="21"/>
          <w:highlight w:val="none"/>
        </w:rPr>
      </w:pPr>
      <w:r>
        <w:rPr>
          <w:rFonts w:hint="eastAsia" w:cs="宋体"/>
          <w:color w:val="auto"/>
          <w:sz w:val="21"/>
          <w:highlight w:val="none"/>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相应责任。</w:t>
      </w:r>
    </w:p>
    <w:p w14:paraId="5A7A2360">
      <w:pPr>
        <w:pStyle w:val="322"/>
        <w:rPr>
          <w:rFonts w:hint="eastAsia" w:ascii="宋体" w:cs="宋体"/>
          <w:color w:val="auto"/>
          <w:highlight w:val="none"/>
        </w:rPr>
      </w:pPr>
      <w:bookmarkStart w:id="407" w:name="_Toc351203555"/>
      <w:bookmarkStart w:id="408" w:name="_Toc478389093"/>
      <w:r>
        <w:rPr>
          <w:rFonts w:hint="eastAsia" w:ascii="宋体" w:cs="宋体"/>
          <w:color w:val="auto"/>
          <w:highlight w:val="none"/>
        </w:rPr>
        <w:t>8</w:t>
      </w:r>
      <w:bookmarkStart w:id="409" w:name="_Toc337558779"/>
      <w:bookmarkStart w:id="410" w:name="_Toc296346562"/>
      <w:bookmarkStart w:id="411" w:name="_Toc296503061"/>
      <w:r>
        <w:rPr>
          <w:rFonts w:hint="eastAsia" w:ascii="宋体" w:cs="宋体"/>
          <w:color w:val="auto"/>
          <w:highlight w:val="none"/>
        </w:rPr>
        <w:t>.3材料与工程设备的接收与拒收</w:t>
      </w:r>
      <w:bookmarkEnd w:id="407"/>
      <w:bookmarkEnd w:id="408"/>
    </w:p>
    <w:bookmarkEnd w:id="409"/>
    <w:bookmarkEnd w:id="410"/>
    <w:bookmarkEnd w:id="411"/>
    <w:p w14:paraId="1AABF13E">
      <w:pPr>
        <w:pStyle w:val="80"/>
        <w:rPr>
          <w:rFonts w:hint="eastAsia" w:cs="宋体"/>
          <w:color w:val="auto"/>
          <w:sz w:val="21"/>
          <w:highlight w:val="none"/>
        </w:rPr>
      </w:pPr>
      <w:r>
        <w:rPr>
          <w:rFonts w:hint="eastAsia" w:cs="宋体"/>
          <w:color w:val="auto"/>
          <w:sz w:val="21"/>
          <w:highlight w:val="none"/>
        </w:rPr>
        <w:t>8.3.1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14:paraId="5152A96B">
      <w:pPr>
        <w:pStyle w:val="80"/>
        <w:rPr>
          <w:rFonts w:hint="eastAsia" w:cs="宋体"/>
          <w:color w:val="auto"/>
          <w:sz w:val="21"/>
          <w:highlight w:val="none"/>
        </w:rPr>
      </w:pPr>
      <w:r>
        <w:rPr>
          <w:rFonts w:hint="eastAsia" w:cs="宋体"/>
          <w:color w:val="auto"/>
          <w:sz w:val="21"/>
          <w:highlight w:val="none"/>
        </w:rPr>
        <w:t>发包人提供的材料和工程设备的规格、数量或质量不符合合同约定的，或因发包人原因导致交货日期延误或交货地点变更等情况的，按照第16.1款〔发包人违约〕约定办理。</w:t>
      </w:r>
    </w:p>
    <w:p w14:paraId="6B3A5C2A">
      <w:pPr>
        <w:pStyle w:val="80"/>
        <w:rPr>
          <w:rFonts w:hint="eastAsia" w:cs="宋体"/>
          <w:color w:val="auto"/>
          <w:sz w:val="21"/>
          <w:highlight w:val="none"/>
        </w:rPr>
      </w:pPr>
      <w:r>
        <w:rPr>
          <w:rFonts w:hint="eastAsia" w:cs="宋体"/>
          <w:color w:val="auto"/>
          <w:sz w:val="21"/>
          <w:highlight w:val="none"/>
        </w:rPr>
        <w:t>8.3.2承包人采购的材料和工程设备，应保证产品质量合格，承包人应在材料和工程设备到货前24小时通知监理人检验。承</w:t>
      </w:r>
      <w:bookmarkStart w:id="412" w:name="_Toc250655469"/>
      <w:r>
        <w:rPr>
          <w:rFonts w:hint="eastAsia" w:cs="宋体"/>
          <w:color w:val="auto"/>
          <w:sz w:val="21"/>
          <w:highlight w:val="none"/>
        </w:rPr>
        <w:t>包人进行永久设备、材料的制造和生产的，应符合相关质量标准，并向监理人提交材料的样本以及有关资料，并应在使用该材料或工程设备之前获得监理人同意。</w:t>
      </w:r>
      <w:bookmarkEnd w:id="412"/>
      <w:r>
        <w:rPr>
          <w:rFonts w:hint="eastAsia" w:cs="宋体"/>
          <w:color w:val="auto"/>
          <w:sz w:val="21"/>
          <w:highlight w:val="none"/>
        </w:rPr>
        <w:t xml:space="preserve"> 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14:paraId="38EE9F7C">
      <w:pPr>
        <w:pStyle w:val="322"/>
        <w:rPr>
          <w:rFonts w:hint="eastAsia" w:ascii="宋体" w:cs="宋体"/>
          <w:color w:val="auto"/>
          <w:highlight w:val="none"/>
        </w:rPr>
      </w:pPr>
      <w:bookmarkStart w:id="413" w:name="_Toc351203556"/>
      <w:bookmarkStart w:id="414" w:name="_Toc478389094"/>
      <w:r>
        <w:rPr>
          <w:rFonts w:hint="eastAsia" w:ascii="宋体" w:cs="宋体"/>
          <w:color w:val="auto"/>
          <w:highlight w:val="none"/>
        </w:rPr>
        <w:t>8</w:t>
      </w:r>
      <w:bookmarkStart w:id="415" w:name="_Toc296346563"/>
      <w:bookmarkStart w:id="416" w:name="_Toc337558780"/>
      <w:bookmarkStart w:id="417" w:name="_Toc296503062"/>
      <w:r>
        <w:rPr>
          <w:rFonts w:hint="eastAsia" w:ascii="宋体" w:cs="宋体"/>
          <w:color w:val="auto"/>
          <w:highlight w:val="none"/>
        </w:rPr>
        <w:t>.4材料与工程设备的保管与使用</w:t>
      </w:r>
      <w:bookmarkEnd w:id="413"/>
      <w:bookmarkEnd w:id="414"/>
    </w:p>
    <w:bookmarkEnd w:id="415"/>
    <w:bookmarkEnd w:id="416"/>
    <w:bookmarkEnd w:id="417"/>
    <w:p w14:paraId="35692500">
      <w:pPr>
        <w:pStyle w:val="80"/>
        <w:rPr>
          <w:rFonts w:hint="eastAsia" w:cs="宋体"/>
          <w:color w:val="auto"/>
          <w:sz w:val="21"/>
          <w:highlight w:val="none"/>
        </w:rPr>
      </w:pPr>
      <w:r>
        <w:rPr>
          <w:rFonts w:hint="eastAsia" w:cs="宋体"/>
          <w:color w:val="auto"/>
          <w:sz w:val="21"/>
          <w:highlight w:val="none"/>
        </w:rPr>
        <w:t>8.4.1 发包人供应材料与工程设备的保管与使用</w:t>
      </w:r>
    </w:p>
    <w:p w14:paraId="1DBD3962">
      <w:pPr>
        <w:pStyle w:val="80"/>
        <w:rPr>
          <w:rFonts w:hint="eastAsia" w:cs="宋体"/>
          <w:color w:val="auto"/>
          <w:sz w:val="21"/>
          <w:highlight w:val="none"/>
        </w:rPr>
      </w:pPr>
      <w:r>
        <w:rPr>
          <w:rFonts w:hint="eastAsia" w:cs="宋体"/>
          <w:color w:val="auto"/>
          <w:sz w:val="21"/>
          <w:highlight w:val="none"/>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14:paraId="7F4F29E8">
      <w:pPr>
        <w:pStyle w:val="80"/>
        <w:rPr>
          <w:rFonts w:hint="eastAsia" w:cs="宋体"/>
          <w:color w:val="auto"/>
          <w:sz w:val="21"/>
          <w:highlight w:val="none"/>
        </w:rPr>
      </w:pPr>
      <w:r>
        <w:rPr>
          <w:rFonts w:hint="eastAsia" w:cs="宋体"/>
          <w:color w:val="auto"/>
          <w:sz w:val="21"/>
          <w:highlight w:val="none"/>
        </w:rPr>
        <w:t>发包人供应的材料和工程设备使用前，由承包人负责检验，检验费用由发包人承担，不合格的不得使用。</w:t>
      </w:r>
    </w:p>
    <w:p w14:paraId="1B07AA29">
      <w:pPr>
        <w:pStyle w:val="80"/>
        <w:rPr>
          <w:rFonts w:hint="eastAsia" w:cs="宋体"/>
          <w:color w:val="auto"/>
          <w:sz w:val="21"/>
          <w:highlight w:val="none"/>
        </w:rPr>
      </w:pPr>
      <w:r>
        <w:rPr>
          <w:rFonts w:hint="eastAsia" w:cs="宋体"/>
          <w:color w:val="auto"/>
          <w:sz w:val="21"/>
          <w:highlight w:val="none"/>
        </w:rPr>
        <w:t>8.4.2 承包人采购材料与工程设备的保管与使用</w:t>
      </w:r>
    </w:p>
    <w:p w14:paraId="1017AA8F">
      <w:pPr>
        <w:pStyle w:val="80"/>
        <w:rPr>
          <w:rFonts w:hint="eastAsia" w:cs="宋体"/>
          <w:color w:val="auto"/>
          <w:sz w:val="21"/>
          <w:highlight w:val="none"/>
        </w:rPr>
      </w:pPr>
      <w:r>
        <w:rPr>
          <w:rFonts w:hint="eastAsia" w:cs="宋体"/>
          <w:color w:val="auto"/>
          <w:sz w:val="21"/>
          <w:highlight w:val="none"/>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14:paraId="76F6E43F">
      <w:pPr>
        <w:pStyle w:val="80"/>
        <w:rPr>
          <w:rFonts w:hint="eastAsia" w:cs="宋体"/>
          <w:color w:val="auto"/>
          <w:sz w:val="21"/>
          <w:highlight w:val="none"/>
        </w:rPr>
      </w:pPr>
      <w:r>
        <w:rPr>
          <w:rFonts w:hint="eastAsia" w:cs="宋体"/>
          <w:color w:val="auto"/>
          <w:sz w:val="21"/>
          <w:highlight w:val="none"/>
        </w:rPr>
        <w:t>发包人或监理人发现承包人使用不符合设计或有关标准要求的材料和工程设备时，有权要求承包人进行修复、拆除或重新采购，由此增加的费用和（或）延误的工期，由承包人承担。</w:t>
      </w:r>
    </w:p>
    <w:p w14:paraId="789F3CD8">
      <w:pPr>
        <w:pStyle w:val="322"/>
        <w:rPr>
          <w:rFonts w:hint="eastAsia" w:ascii="宋体" w:cs="宋体"/>
          <w:color w:val="auto"/>
          <w:highlight w:val="none"/>
        </w:rPr>
      </w:pPr>
      <w:bookmarkStart w:id="418" w:name="_Toc478389095"/>
      <w:bookmarkStart w:id="419" w:name="_Toc351203557"/>
      <w:r>
        <w:rPr>
          <w:rFonts w:hint="eastAsia" w:ascii="宋体" w:cs="宋体"/>
          <w:color w:val="auto"/>
          <w:highlight w:val="none"/>
        </w:rPr>
        <w:t>8.5禁止使用不合格的材料和工程设备</w:t>
      </w:r>
      <w:bookmarkEnd w:id="418"/>
      <w:bookmarkEnd w:id="419"/>
    </w:p>
    <w:p w14:paraId="0FEE2355">
      <w:pPr>
        <w:pStyle w:val="80"/>
        <w:snapToGrid w:val="0"/>
        <w:rPr>
          <w:rFonts w:hint="eastAsia" w:cs="宋体"/>
          <w:color w:val="auto"/>
          <w:sz w:val="21"/>
          <w:highlight w:val="none"/>
        </w:rPr>
      </w:pPr>
      <w:r>
        <w:rPr>
          <w:rFonts w:hint="eastAsia" w:cs="宋体"/>
          <w:color w:val="auto"/>
          <w:sz w:val="21"/>
          <w:highlight w:val="none"/>
        </w:rPr>
        <w:t>8.5.1监理人有权拒绝承包人提供的不合格材料或工程设备，并要求承包人立即进行更换。监理人应在更换后再次进行检查和检验，由此增加的费用和（或）延误的工期由承包人承担。</w:t>
      </w:r>
    </w:p>
    <w:p w14:paraId="3DCE26E8">
      <w:pPr>
        <w:pStyle w:val="80"/>
        <w:rPr>
          <w:rFonts w:hint="eastAsia" w:cs="宋体"/>
          <w:color w:val="auto"/>
          <w:sz w:val="21"/>
          <w:highlight w:val="none"/>
        </w:rPr>
      </w:pPr>
      <w:r>
        <w:rPr>
          <w:rFonts w:hint="eastAsia" w:cs="宋体"/>
          <w:color w:val="auto"/>
          <w:sz w:val="21"/>
          <w:highlight w:val="none"/>
        </w:rPr>
        <w:t>8.5.2监理人发现承包人使用了不合格的材料和工程设备，承包人应按照监理人的指示立即改正，并禁止在工程中继续使用不合格的材料和工程设备。</w:t>
      </w:r>
    </w:p>
    <w:p w14:paraId="28B76082">
      <w:pPr>
        <w:pStyle w:val="80"/>
        <w:rPr>
          <w:rFonts w:hint="eastAsia" w:cs="宋体"/>
          <w:color w:val="auto"/>
          <w:sz w:val="21"/>
          <w:highlight w:val="none"/>
        </w:rPr>
      </w:pPr>
      <w:r>
        <w:rPr>
          <w:rFonts w:hint="eastAsia" w:cs="宋体"/>
          <w:color w:val="auto"/>
          <w:sz w:val="21"/>
          <w:highlight w:val="none"/>
        </w:rPr>
        <w:t>8.5.3发包人提供的材料或工程设备不符合合同要求的，承包人有权拒绝，并可要求发包人更换，由此增加的费用和（或）延误的工期由发包人承担，并支付承包人合理的利润。</w:t>
      </w:r>
    </w:p>
    <w:p w14:paraId="1DFE26FB">
      <w:pPr>
        <w:pStyle w:val="322"/>
        <w:rPr>
          <w:rFonts w:hint="eastAsia" w:ascii="宋体" w:cs="宋体"/>
          <w:color w:val="auto"/>
          <w:highlight w:val="none"/>
        </w:rPr>
      </w:pPr>
      <w:bookmarkStart w:id="420" w:name="_Toc351203558"/>
      <w:bookmarkStart w:id="421" w:name="_Toc478389096"/>
      <w:r>
        <w:rPr>
          <w:rFonts w:hint="eastAsia" w:ascii="宋体" w:cs="宋体"/>
          <w:color w:val="auto"/>
          <w:highlight w:val="none"/>
        </w:rPr>
        <w:t>8.6 样品</w:t>
      </w:r>
      <w:bookmarkEnd w:id="420"/>
      <w:bookmarkEnd w:id="421"/>
    </w:p>
    <w:p w14:paraId="3A2A3729">
      <w:pPr>
        <w:pStyle w:val="80"/>
        <w:rPr>
          <w:rFonts w:hint="eastAsia" w:cs="宋体"/>
          <w:color w:val="auto"/>
          <w:sz w:val="21"/>
          <w:highlight w:val="none"/>
        </w:rPr>
      </w:pPr>
      <w:r>
        <w:rPr>
          <w:rFonts w:hint="eastAsia" w:cs="宋体"/>
          <w:color w:val="auto"/>
          <w:sz w:val="21"/>
          <w:highlight w:val="none"/>
        </w:rPr>
        <w:t>8.6.1样品的报送与封存</w:t>
      </w:r>
    </w:p>
    <w:p w14:paraId="009300C8">
      <w:pPr>
        <w:pStyle w:val="80"/>
        <w:rPr>
          <w:rFonts w:hint="eastAsia" w:cs="宋体"/>
          <w:color w:val="auto"/>
          <w:sz w:val="21"/>
          <w:highlight w:val="none"/>
        </w:rPr>
      </w:pPr>
      <w:r>
        <w:rPr>
          <w:rFonts w:hint="eastAsia" w:cs="宋体"/>
          <w:color w:val="auto"/>
          <w:sz w:val="21"/>
          <w:highlight w:val="none"/>
        </w:rPr>
        <w:t>需要承包人报送样品的材料或工程设备，样品的种类、名称、规格、数量等要求均应在专用合同条款中约定。样品的报送程序如下：</w:t>
      </w:r>
    </w:p>
    <w:p w14:paraId="2291A6D0">
      <w:pPr>
        <w:pStyle w:val="80"/>
        <w:rPr>
          <w:rFonts w:hint="eastAsia" w:cs="宋体"/>
          <w:color w:val="auto"/>
          <w:sz w:val="21"/>
          <w:highlight w:val="none"/>
        </w:rPr>
      </w:pPr>
      <w:r>
        <w:rPr>
          <w:rFonts w:hint="eastAsia" w:cs="宋体"/>
          <w:color w:val="auto"/>
          <w:sz w:val="21"/>
          <w:highlight w:val="none"/>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14:paraId="48B94F35">
      <w:pPr>
        <w:pStyle w:val="80"/>
        <w:rPr>
          <w:rFonts w:hint="eastAsia" w:cs="宋体"/>
          <w:color w:val="auto"/>
          <w:sz w:val="21"/>
          <w:highlight w:val="none"/>
        </w:rPr>
      </w:pPr>
      <w:r>
        <w:rPr>
          <w:rFonts w:hint="eastAsia" w:cs="宋体"/>
          <w:color w:val="auto"/>
          <w:sz w:val="21"/>
          <w:highlight w:val="none"/>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14:paraId="08207AD6">
      <w:pPr>
        <w:pStyle w:val="80"/>
        <w:rPr>
          <w:rFonts w:hint="eastAsia" w:cs="宋体"/>
          <w:color w:val="auto"/>
          <w:sz w:val="21"/>
          <w:highlight w:val="none"/>
        </w:rPr>
      </w:pPr>
      <w:r>
        <w:rPr>
          <w:rFonts w:hint="eastAsia" w:cs="宋体"/>
          <w:color w:val="auto"/>
          <w:sz w:val="21"/>
          <w:highlight w:val="none"/>
        </w:rPr>
        <w:t>（3）经发包人和监理人审批确认的样品应按约定的方法封样，封存的样品作为检验工程相关部分的标准之一。承包人在施工过程中不得使用与样品不符的材料或工程设备。</w:t>
      </w:r>
    </w:p>
    <w:p w14:paraId="611525FA">
      <w:pPr>
        <w:pStyle w:val="80"/>
        <w:rPr>
          <w:rFonts w:hint="eastAsia" w:cs="宋体"/>
          <w:color w:val="auto"/>
          <w:sz w:val="21"/>
          <w:highlight w:val="none"/>
        </w:rPr>
      </w:pPr>
      <w:r>
        <w:rPr>
          <w:rFonts w:hint="eastAsia" w:cs="宋体"/>
          <w:color w:val="auto"/>
          <w:sz w:val="21"/>
          <w:highlight w:val="none"/>
        </w:rPr>
        <w:t>（4）发包人和监理人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14:paraId="035ED78B">
      <w:pPr>
        <w:pStyle w:val="80"/>
        <w:rPr>
          <w:rFonts w:hint="eastAsia" w:cs="宋体"/>
          <w:color w:val="auto"/>
          <w:sz w:val="21"/>
          <w:highlight w:val="none"/>
        </w:rPr>
      </w:pPr>
      <w:r>
        <w:rPr>
          <w:rFonts w:hint="eastAsia" w:cs="宋体"/>
          <w:color w:val="auto"/>
          <w:sz w:val="21"/>
          <w:highlight w:val="none"/>
        </w:rPr>
        <w:t>8.6.2 样品的保管</w:t>
      </w:r>
    </w:p>
    <w:p w14:paraId="687F9C4D">
      <w:pPr>
        <w:pStyle w:val="80"/>
        <w:rPr>
          <w:rFonts w:hint="eastAsia" w:cs="宋体"/>
          <w:color w:val="auto"/>
          <w:sz w:val="21"/>
          <w:highlight w:val="none"/>
        </w:rPr>
      </w:pPr>
      <w:r>
        <w:rPr>
          <w:rFonts w:hint="eastAsia" w:cs="宋体"/>
          <w:color w:val="auto"/>
          <w:sz w:val="21"/>
          <w:highlight w:val="none"/>
        </w:rPr>
        <w:t>经批准的样品应由监理人负责封存于现场，承包人应在现场为保存样品提供适当和固定的场所并保持适当和良好的存储环境条件。</w:t>
      </w:r>
    </w:p>
    <w:p w14:paraId="029C27A5">
      <w:pPr>
        <w:pStyle w:val="322"/>
        <w:rPr>
          <w:rFonts w:hint="eastAsia" w:ascii="宋体" w:cs="宋体"/>
          <w:color w:val="auto"/>
          <w:highlight w:val="none"/>
        </w:rPr>
      </w:pPr>
      <w:bookmarkStart w:id="422" w:name="_Toc351203559"/>
      <w:bookmarkStart w:id="423" w:name="_Toc478389097"/>
      <w:r>
        <w:rPr>
          <w:rFonts w:hint="eastAsia" w:ascii="宋体" w:cs="宋体"/>
          <w:color w:val="auto"/>
          <w:highlight w:val="none"/>
        </w:rPr>
        <w:t>8.7材料与工程设备的替代</w:t>
      </w:r>
      <w:bookmarkEnd w:id="422"/>
      <w:bookmarkEnd w:id="423"/>
    </w:p>
    <w:p w14:paraId="3BA9871C">
      <w:pPr>
        <w:pStyle w:val="80"/>
        <w:rPr>
          <w:rFonts w:hint="eastAsia" w:cs="宋体"/>
          <w:color w:val="auto"/>
          <w:sz w:val="21"/>
          <w:highlight w:val="none"/>
        </w:rPr>
      </w:pPr>
      <w:r>
        <w:rPr>
          <w:rFonts w:hint="eastAsia" w:cs="宋体"/>
          <w:color w:val="auto"/>
          <w:sz w:val="21"/>
          <w:highlight w:val="none"/>
        </w:rPr>
        <w:t>8.7.1出现下列情况需要使用替代材料和工程设备的，承包人应按照第8.7.2项约定的程序执行：</w:t>
      </w:r>
    </w:p>
    <w:p w14:paraId="71B1106B">
      <w:pPr>
        <w:pStyle w:val="80"/>
        <w:rPr>
          <w:rFonts w:hint="eastAsia" w:cs="宋体"/>
          <w:color w:val="auto"/>
          <w:sz w:val="21"/>
          <w:highlight w:val="none"/>
        </w:rPr>
      </w:pPr>
      <w:r>
        <w:rPr>
          <w:rFonts w:hint="eastAsia" w:cs="宋体"/>
          <w:color w:val="auto"/>
          <w:sz w:val="21"/>
          <w:highlight w:val="none"/>
        </w:rPr>
        <w:t>（1）基准日期后生效的法律规定禁止使用的；</w:t>
      </w:r>
    </w:p>
    <w:p w14:paraId="30CFC226">
      <w:pPr>
        <w:pStyle w:val="80"/>
        <w:rPr>
          <w:rFonts w:hint="eastAsia" w:cs="宋体"/>
          <w:color w:val="auto"/>
          <w:sz w:val="21"/>
          <w:highlight w:val="none"/>
        </w:rPr>
      </w:pPr>
      <w:r>
        <w:rPr>
          <w:rFonts w:hint="eastAsia" w:cs="宋体"/>
          <w:color w:val="auto"/>
          <w:sz w:val="21"/>
          <w:highlight w:val="none"/>
        </w:rPr>
        <w:t>（2）发包人要求使用替代品的；</w:t>
      </w:r>
    </w:p>
    <w:p w14:paraId="2D57E739">
      <w:pPr>
        <w:pStyle w:val="80"/>
        <w:rPr>
          <w:rFonts w:hint="eastAsia" w:cs="宋体"/>
          <w:color w:val="auto"/>
          <w:sz w:val="21"/>
          <w:highlight w:val="none"/>
        </w:rPr>
      </w:pPr>
      <w:r>
        <w:rPr>
          <w:rFonts w:hint="eastAsia" w:cs="宋体"/>
          <w:color w:val="auto"/>
          <w:sz w:val="21"/>
          <w:highlight w:val="none"/>
        </w:rPr>
        <w:t>（3）因其他原因必须使用替代品的。</w:t>
      </w:r>
    </w:p>
    <w:p w14:paraId="204E511F">
      <w:pPr>
        <w:pStyle w:val="80"/>
        <w:rPr>
          <w:rFonts w:hint="eastAsia" w:cs="宋体"/>
          <w:color w:val="auto"/>
          <w:sz w:val="21"/>
          <w:highlight w:val="none"/>
        </w:rPr>
      </w:pPr>
      <w:r>
        <w:rPr>
          <w:rFonts w:hint="eastAsia" w:cs="宋体"/>
          <w:color w:val="auto"/>
          <w:sz w:val="21"/>
          <w:highlight w:val="none"/>
        </w:rPr>
        <w:t>8.7.2 承包人应在使用替代材料和工程设备28天前书面通知监理人，并附下列文件：</w:t>
      </w:r>
    </w:p>
    <w:p w14:paraId="778ADCD0">
      <w:pPr>
        <w:pStyle w:val="80"/>
        <w:rPr>
          <w:rFonts w:hint="eastAsia" w:cs="宋体"/>
          <w:color w:val="auto"/>
          <w:sz w:val="21"/>
          <w:highlight w:val="none"/>
        </w:rPr>
      </w:pPr>
      <w:r>
        <w:rPr>
          <w:rFonts w:hint="eastAsia" w:cs="宋体"/>
          <w:color w:val="auto"/>
          <w:sz w:val="21"/>
          <w:highlight w:val="none"/>
        </w:rPr>
        <w:t>（1）被替代的材料和工程设备的名称、数量、规格、型号、品牌、性能、价格及其他相关资料；</w:t>
      </w:r>
    </w:p>
    <w:p w14:paraId="25460D80">
      <w:pPr>
        <w:pStyle w:val="80"/>
        <w:rPr>
          <w:rFonts w:hint="eastAsia" w:cs="宋体"/>
          <w:color w:val="auto"/>
          <w:sz w:val="21"/>
          <w:highlight w:val="none"/>
        </w:rPr>
      </w:pPr>
      <w:r>
        <w:rPr>
          <w:rFonts w:hint="eastAsia" w:cs="宋体"/>
          <w:color w:val="auto"/>
          <w:sz w:val="21"/>
          <w:highlight w:val="none"/>
        </w:rPr>
        <w:t>（2）替代品的名称、数量、规格、型号、品牌、性能、价格及其他相关资料；</w:t>
      </w:r>
    </w:p>
    <w:p w14:paraId="0B80BDBF">
      <w:pPr>
        <w:pStyle w:val="80"/>
        <w:rPr>
          <w:rFonts w:hint="eastAsia" w:cs="宋体"/>
          <w:color w:val="auto"/>
          <w:sz w:val="21"/>
          <w:highlight w:val="none"/>
        </w:rPr>
      </w:pPr>
      <w:r>
        <w:rPr>
          <w:rFonts w:hint="eastAsia" w:cs="宋体"/>
          <w:color w:val="auto"/>
          <w:sz w:val="21"/>
          <w:highlight w:val="none"/>
        </w:rPr>
        <w:t>（3）替代品与被替代产品之间的差异以及使用替代品可能对工程产生的影响；</w:t>
      </w:r>
    </w:p>
    <w:p w14:paraId="64FBFE7C">
      <w:pPr>
        <w:pStyle w:val="80"/>
        <w:rPr>
          <w:rFonts w:hint="eastAsia" w:cs="宋体"/>
          <w:color w:val="auto"/>
          <w:sz w:val="21"/>
          <w:highlight w:val="none"/>
        </w:rPr>
      </w:pPr>
      <w:r>
        <w:rPr>
          <w:rFonts w:hint="eastAsia" w:cs="宋体"/>
          <w:color w:val="auto"/>
          <w:sz w:val="21"/>
          <w:highlight w:val="none"/>
        </w:rPr>
        <w:t>（4）替代品与被替代产品的价格差异；</w:t>
      </w:r>
    </w:p>
    <w:p w14:paraId="325EBA6F">
      <w:pPr>
        <w:pStyle w:val="80"/>
        <w:rPr>
          <w:rFonts w:hint="eastAsia" w:cs="宋体"/>
          <w:color w:val="auto"/>
          <w:sz w:val="21"/>
          <w:highlight w:val="none"/>
        </w:rPr>
      </w:pPr>
      <w:r>
        <w:rPr>
          <w:rFonts w:hint="eastAsia" w:cs="宋体"/>
          <w:color w:val="auto"/>
          <w:sz w:val="21"/>
          <w:highlight w:val="none"/>
        </w:rPr>
        <w:t>（5）使用替代品的理由和原因说明；</w:t>
      </w:r>
    </w:p>
    <w:p w14:paraId="7722F090">
      <w:pPr>
        <w:pStyle w:val="80"/>
        <w:rPr>
          <w:rFonts w:hint="eastAsia" w:cs="宋体"/>
          <w:color w:val="auto"/>
          <w:sz w:val="21"/>
          <w:highlight w:val="none"/>
        </w:rPr>
      </w:pPr>
      <w:r>
        <w:rPr>
          <w:rFonts w:hint="eastAsia" w:cs="宋体"/>
          <w:color w:val="auto"/>
          <w:sz w:val="21"/>
          <w:highlight w:val="none"/>
        </w:rPr>
        <w:t>（6）监理人要求的其他文件。</w:t>
      </w:r>
    </w:p>
    <w:p w14:paraId="1273C604">
      <w:pPr>
        <w:pStyle w:val="80"/>
        <w:rPr>
          <w:rFonts w:hint="eastAsia" w:cs="宋体"/>
          <w:color w:val="auto"/>
          <w:sz w:val="21"/>
          <w:highlight w:val="none"/>
        </w:rPr>
      </w:pPr>
      <w:r>
        <w:rPr>
          <w:rFonts w:hint="eastAsia" w:cs="宋体"/>
          <w:color w:val="auto"/>
          <w:sz w:val="21"/>
          <w:highlight w:val="none"/>
        </w:rPr>
        <w:t>监理人应在收到通知后14天内向承包人发出经发包人签认的书面指示；监理人逾期发出书面指示的，视为发包人和监理人同意使用替代品。</w:t>
      </w:r>
    </w:p>
    <w:p w14:paraId="7E804B1C">
      <w:pPr>
        <w:pStyle w:val="80"/>
        <w:rPr>
          <w:rFonts w:hint="eastAsia" w:cs="宋体"/>
          <w:color w:val="auto"/>
          <w:sz w:val="21"/>
          <w:highlight w:val="none"/>
        </w:rPr>
      </w:pPr>
      <w:r>
        <w:rPr>
          <w:rFonts w:hint="eastAsia" w:cs="宋体"/>
          <w:color w:val="auto"/>
          <w:sz w:val="21"/>
          <w:highlight w:val="none"/>
        </w:rPr>
        <w:t>8.7.3发包人认可使用替代材料和工程设备的，替代材料和工程设备的价格，按照已标价工程量清单或预算书相同项目的价格认定；无相同项目的，参考相似项目价格认定；既无相同项目也无相似项目的，按照合理的成本与利润构成的原则，由合同当事人按照第4.4款〔商定或确定〕确定价格。</w:t>
      </w:r>
    </w:p>
    <w:p w14:paraId="1ACE7233">
      <w:pPr>
        <w:pStyle w:val="322"/>
        <w:rPr>
          <w:rFonts w:hint="eastAsia" w:ascii="宋体" w:cs="宋体"/>
          <w:color w:val="auto"/>
          <w:highlight w:val="none"/>
        </w:rPr>
      </w:pPr>
      <w:bookmarkStart w:id="424" w:name="_Toc351203560"/>
      <w:bookmarkStart w:id="425" w:name="_Toc478389098"/>
      <w:r>
        <w:rPr>
          <w:rFonts w:hint="eastAsia" w:ascii="宋体" w:cs="宋体"/>
          <w:color w:val="auto"/>
          <w:highlight w:val="none"/>
        </w:rPr>
        <w:t>8.8施工设备和临时设施</w:t>
      </w:r>
      <w:bookmarkEnd w:id="424"/>
      <w:bookmarkEnd w:id="425"/>
    </w:p>
    <w:p w14:paraId="7CFFE045">
      <w:pPr>
        <w:pStyle w:val="80"/>
        <w:rPr>
          <w:rFonts w:hint="eastAsia" w:cs="宋体"/>
          <w:color w:val="auto"/>
          <w:sz w:val="21"/>
          <w:highlight w:val="none"/>
        </w:rPr>
      </w:pPr>
      <w:r>
        <w:rPr>
          <w:rFonts w:hint="eastAsia" w:cs="宋体"/>
          <w:color w:val="auto"/>
          <w:sz w:val="21"/>
          <w:highlight w:val="none"/>
        </w:rPr>
        <w:t>8.8.1 承包人提供的施工设备和临时设施</w:t>
      </w:r>
    </w:p>
    <w:p w14:paraId="7F4BBDC9">
      <w:pPr>
        <w:pStyle w:val="80"/>
        <w:rPr>
          <w:rFonts w:hint="eastAsia" w:cs="宋体"/>
          <w:color w:val="auto"/>
          <w:sz w:val="21"/>
          <w:highlight w:val="none"/>
        </w:rPr>
      </w:pPr>
      <w:r>
        <w:rPr>
          <w:rFonts w:hint="eastAsia" w:cs="宋体"/>
          <w:color w:val="auto"/>
          <w:sz w:val="21"/>
          <w:highlight w:val="none"/>
        </w:rPr>
        <w:t>承包人应按合同进度计划的要求，及时配置施工设备和修建临时设施。进入施工场地的承包人设备需经监理人核查后才能投入使用。承包人更换合同约定的承包人设备的，应报监理人批准。</w:t>
      </w:r>
    </w:p>
    <w:p w14:paraId="17BCB8A4">
      <w:pPr>
        <w:pStyle w:val="80"/>
        <w:rPr>
          <w:rFonts w:hint="eastAsia" w:cs="宋体"/>
          <w:color w:val="auto"/>
          <w:sz w:val="21"/>
          <w:highlight w:val="none"/>
        </w:rPr>
      </w:pPr>
      <w:r>
        <w:rPr>
          <w:rFonts w:hint="eastAsia" w:cs="宋体"/>
          <w:color w:val="auto"/>
          <w:sz w:val="21"/>
          <w:highlight w:val="none"/>
        </w:rPr>
        <w:t>除专用合同条款另有约定外，承包人应自行承担修建临时设施的费用，需要临时占地的，应由发包人办理申请手续并承担相应费用。</w:t>
      </w:r>
    </w:p>
    <w:p w14:paraId="3E041F5B">
      <w:pPr>
        <w:pStyle w:val="80"/>
        <w:rPr>
          <w:rFonts w:hint="eastAsia" w:cs="宋体"/>
          <w:color w:val="auto"/>
          <w:sz w:val="21"/>
          <w:highlight w:val="none"/>
        </w:rPr>
      </w:pPr>
      <w:r>
        <w:rPr>
          <w:rFonts w:hint="eastAsia" w:cs="宋体"/>
          <w:color w:val="auto"/>
          <w:sz w:val="21"/>
          <w:highlight w:val="none"/>
        </w:rPr>
        <w:t>8.8.2发包人提供的施工设备和临时设施</w:t>
      </w:r>
    </w:p>
    <w:p w14:paraId="3F33AD3E">
      <w:pPr>
        <w:pStyle w:val="80"/>
        <w:rPr>
          <w:rFonts w:hint="eastAsia" w:cs="宋体"/>
          <w:color w:val="auto"/>
          <w:sz w:val="21"/>
          <w:highlight w:val="none"/>
        </w:rPr>
      </w:pPr>
      <w:r>
        <w:rPr>
          <w:rFonts w:hint="eastAsia" w:cs="宋体"/>
          <w:color w:val="auto"/>
          <w:sz w:val="21"/>
          <w:highlight w:val="none"/>
        </w:rPr>
        <w:t>发包人提供的施工设备或临时设施在专用合同条款中约定。</w:t>
      </w:r>
    </w:p>
    <w:p w14:paraId="3C89EC6E">
      <w:pPr>
        <w:pStyle w:val="80"/>
        <w:rPr>
          <w:rFonts w:hint="eastAsia" w:cs="宋体"/>
          <w:color w:val="auto"/>
          <w:sz w:val="21"/>
          <w:highlight w:val="none"/>
        </w:rPr>
      </w:pPr>
      <w:r>
        <w:rPr>
          <w:rFonts w:hint="eastAsia" w:cs="宋体"/>
          <w:color w:val="auto"/>
          <w:sz w:val="21"/>
          <w:highlight w:val="none"/>
        </w:rPr>
        <w:t>8.8.3要求承包人增加或更换施工设备</w:t>
      </w:r>
    </w:p>
    <w:p w14:paraId="124007B0">
      <w:pPr>
        <w:pStyle w:val="80"/>
        <w:rPr>
          <w:rFonts w:hint="eastAsia" w:cs="宋体"/>
          <w:color w:val="auto"/>
          <w:sz w:val="21"/>
          <w:highlight w:val="none"/>
        </w:rPr>
      </w:pPr>
      <w:r>
        <w:rPr>
          <w:rFonts w:hint="eastAsia" w:cs="宋体"/>
          <w:color w:val="auto"/>
          <w:sz w:val="21"/>
          <w:highlight w:val="none"/>
        </w:rPr>
        <w:t>承包人使用的施工设备不能满足合同进度计划和（或）质量要求时，监理人有权要求承包人增加或更换施工设备，承包人应及时增加或更换，由此增加的费用和（或）延误的工期由承包人承担。</w:t>
      </w:r>
    </w:p>
    <w:p w14:paraId="3D73A89B">
      <w:pPr>
        <w:pStyle w:val="322"/>
        <w:rPr>
          <w:rFonts w:hint="eastAsia" w:ascii="宋体" w:cs="宋体"/>
          <w:color w:val="auto"/>
          <w:highlight w:val="none"/>
        </w:rPr>
      </w:pPr>
      <w:bookmarkStart w:id="426" w:name="_Toc351203561"/>
      <w:bookmarkStart w:id="427" w:name="_Toc478389099"/>
      <w:r>
        <w:rPr>
          <w:rFonts w:hint="eastAsia" w:ascii="宋体" w:cs="宋体"/>
          <w:color w:val="auto"/>
          <w:highlight w:val="none"/>
        </w:rPr>
        <w:t>8</w:t>
      </w:r>
      <w:bookmarkStart w:id="428" w:name="_Toc296503063"/>
      <w:bookmarkStart w:id="429" w:name="_Toc296346564"/>
      <w:bookmarkStart w:id="430" w:name="_Toc337558781"/>
      <w:r>
        <w:rPr>
          <w:rFonts w:hint="eastAsia" w:ascii="宋体" w:cs="宋体"/>
          <w:color w:val="auto"/>
          <w:highlight w:val="none"/>
        </w:rPr>
        <w:t>.9材料与设备专用</w:t>
      </w:r>
      <w:bookmarkEnd w:id="426"/>
      <w:r>
        <w:rPr>
          <w:rFonts w:hint="eastAsia" w:ascii="宋体" w:cs="宋体"/>
          <w:color w:val="auto"/>
          <w:highlight w:val="none"/>
        </w:rPr>
        <w:t>要求</w:t>
      </w:r>
      <w:bookmarkEnd w:id="427"/>
    </w:p>
    <w:bookmarkEnd w:id="428"/>
    <w:bookmarkEnd w:id="429"/>
    <w:bookmarkEnd w:id="430"/>
    <w:p w14:paraId="19180898">
      <w:pPr>
        <w:pStyle w:val="80"/>
        <w:rPr>
          <w:rFonts w:hint="eastAsia" w:cs="宋体"/>
          <w:color w:val="auto"/>
          <w:sz w:val="21"/>
          <w:highlight w:val="none"/>
        </w:rPr>
      </w:pPr>
      <w:r>
        <w:rPr>
          <w:rFonts w:hint="eastAsia" w:cs="宋体"/>
          <w:color w:val="auto"/>
          <w:sz w:val="21"/>
          <w:highlight w:val="none"/>
        </w:rPr>
        <w:t>承包人运入施工现场的材料、工程设备、施工设备以及在施工场地建设的临时设施，包括备品备件、安装工具与资料，必须专用于工程。未经发包人批准，承包人不得运出施工现场或挪作他用；</w:t>
      </w:r>
      <w:bookmarkEnd w:id="401"/>
      <w:r>
        <w:rPr>
          <w:rFonts w:hint="eastAsia" w:cs="宋体"/>
          <w:color w:val="auto"/>
          <w:sz w:val="21"/>
          <w:highlight w:val="none"/>
        </w:rPr>
        <w:t>经发包人批准，承包人可以根据施工进度计划撤走闲置的施工设备和其他物品。</w:t>
      </w:r>
    </w:p>
    <w:p w14:paraId="4A0E713B">
      <w:pPr>
        <w:pStyle w:val="322"/>
        <w:rPr>
          <w:rFonts w:hint="eastAsia" w:ascii="宋体" w:cs="宋体"/>
          <w:color w:val="auto"/>
          <w:highlight w:val="none"/>
        </w:rPr>
      </w:pPr>
      <w:bookmarkStart w:id="431" w:name="_Toc478389100"/>
      <w:bookmarkStart w:id="432" w:name="_Toc351203562"/>
      <w:r>
        <w:rPr>
          <w:rFonts w:hint="eastAsia" w:ascii="宋体" w:cs="宋体"/>
          <w:color w:val="auto"/>
          <w:highlight w:val="none"/>
        </w:rPr>
        <w:t>9</w:t>
      </w:r>
      <w:bookmarkStart w:id="433" w:name="_Toc337558782"/>
      <w:bookmarkStart w:id="434" w:name="_Toc296346584"/>
      <w:bookmarkStart w:id="435" w:name="_Toc296503083"/>
      <w:r>
        <w:rPr>
          <w:rFonts w:hint="eastAsia" w:ascii="宋体" w:cs="宋体"/>
          <w:color w:val="auto"/>
          <w:highlight w:val="none"/>
        </w:rPr>
        <w:t>. 试验与检验</w:t>
      </w:r>
      <w:bookmarkEnd w:id="431"/>
      <w:bookmarkEnd w:id="432"/>
    </w:p>
    <w:bookmarkEnd w:id="433"/>
    <w:p w14:paraId="271ABF40">
      <w:pPr>
        <w:pStyle w:val="322"/>
        <w:rPr>
          <w:rFonts w:hint="eastAsia" w:ascii="宋体" w:cs="宋体"/>
          <w:color w:val="auto"/>
          <w:highlight w:val="none"/>
        </w:rPr>
      </w:pPr>
      <w:bookmarkStart w:id="436" w:name="_Toc478389101"/>
      <w:bookmarkStart w:id="437" w:name="_Toc351203563"/>
      <w:r>
        <w:rPr>
          <w:rFonts w:hint="eastAsia" w:ascii="宋体" w:cs="宋体"/>
          <w:color w:val="auto"/>
          <w:highlight w:val="none"/>
        </w:rPr>
        <w:t>9</w:t>
      </w:r>
      <w:bookmarkStart w:id="438" w:name="_Toc337558783"/>
      <w:r>
        <w:rPr>
          <w:rFonts w:hint="eastAsia" w:ascii="宋体" w:cs="宋体"/>
          <w:color w:val="auto"/>
          <w:highlight w:val="none"/>
        </w:rPr>
        <w:t>.1试验设备与试验人员</w:t>
      </w:r>
      <w:bookmarkEnd w:id="436"/>
      <w:bookmarkEnd w:id="437"/>
    </w:p>
    <w:bookmarkEnd w:id="438"/>
    <w:p w14:paraId="4827B36C">
      <w:pPr>
        <w:pStyle w:val="80"/>
        <w:rPr>
          <w:rFonts w:hint="eastAsia" w:cs="宋体"/>
          <w:color w:val="auto"/>
          <w:sz w:val="21"/>
          <w:highlight w:val="none"/>
        </w:rPr>
      </w:pPr>
      <w:r>
        <w:rPr>
          <w:rFonts w:hint="eastAsia" w:cs="宋体"/>
          <w:color w:val="auto"/>
          <w:sz w:val="21"/>
          <w:highlight w:val="none"/>
        </w:rPr>
        <w:t>9.1.1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14:paraId="361B006A">
      <w:pPr>
        <w:pStyle w:val="80"/>
        <w:rPr>
          <w:rFonts w:hint="eastAsia" w:cs="宋体"/>
          <w:color w:val="auto"/>
          <w:sz w:val="21"/>
          <w:highlight w:val="none"/>
        </w:rPr>
      </w:pPr>
      <w:r>
        <w:rPr>
          <w:rFonts w:hint="eastAsia" w:cs="宋体"/>
          <w:color w:val="auto"/>
          <w:sz w:val="21"/>
          <w:highlight w:val="none"/>
        </w:rPr>
        <w:t>9.1.2承包人应按专用合同条款的约定提供试验设备、取样装置、试验场所和试验条件，并向监理人提交相应进场计划表。</w:t>
      </w:r>
    </w:p>
    <w:p w14:paraId="44EBB59A">
      <w:pPr>
        <w:pStyle w:val="80"/>
        <w:rPr>
          <w:rFonts w:hint="eastAsia" w:cs="宋体"/>
          <w:color w:val="auto"/>
          <w:sz w:val="21"/>
          <w:highlight w:val="none"/>
        </w:rPr>
      </w:pPr>
      <w:r>
        <w:rPr>
          <w:rFonts w:hint="eastAsia" w:cs="宋体"/>
          <w:color w:val="auto"/>
          <w:sz w:val="21"/>
          <w:highlight w:val="none"/>
        </w:rPr>
        <w:t>承包人配置的试验设备要符合相应试验规程的要求并经过具有资质的检测单位检测，且在正式使用该试验设备前，需要经过监理人与承包人共同校定。</w:t>
      </w:r>
    </w:p>
    <w:p w14:paraId="21A2BFA5">
      <w:pPr>
        <w:pStyle w:val="80"/>
        <w:rPr>
          <w:rFonts w:hint="eastAsia" w:cs="宋体"/>
          <w:color w:val="auto"/>
          <w:sz w:val="21"/>
          <w:highlight w:val="none"/>
        </w:rPr>
      </w:pPr>
      <w:r>
        <w:rPr>
          <w:rFonts w:hint="eastAsia" w:cs="宋体"/>
          <w:color w:val="auto"/>
          <w:sz w:val="21"/>
          <w:highlight w:val="none"/>
        </w:rPr>
        <w:t>9.1.3承包人应向监理人提交试验人员的名单及其岗位、资格等证明资料，试验人员必须能够熟练进行相应的检测试验，承包人对试验人员的试验程序和试验结果的正确性负责。</w:t>
      </w:r>
    </w:p>
    <w:p w14:paraId="7B9EE997">
      <w:pPr>
        <w:pStyle w:val="322"/>
        <w:rPr>
          <w:rFonts w:hint="eastAsia" w:ascii="宋体" w:cs="宋体"/>
          <w:color w:val="auto"/>
          <w:highlight w:val="none"/>
        </w:rPr>
      </w:pPr>
      <w:bookmarkStart w:id="439" w:name="_Toc478389102"/>
      <w:bookmarkStart w:id="440" w:name="_Toc351203564"/>
      <w:r>
        <w:rPr>
          <w:rFonts w:hint="eastAsia" w:ascii="宋体" w:cs="宋体"/>
          <w:color w:val="auto"/>
          <w:highlight w:val="none"/>
        </w:rPr>
        <w:t>9</w:t>
      </w:r>
      <w:bookmarkStart w:id="441" w:name="_Toc337558784"/>
      <w:r>
        <w:rPr>
          <w:rFonts w:hint="eastAsia" w:ascii="宋体" w:cs="宋体"/>
          <w:color w:val="auto"/>
          <w:highlight w:val="none"/>
        </w:rPr>
        <w:t>.2取样</w:t>
      </w:r>
      <w:bookmarkEnd w:id="439"/>
      <w:bookmarkEnd w:id="440"/>
    </w:p>
    <w:bookmarkEnd w:id="441"/>
    <w:p w14:paraId="1A743F18">
      <w:pPr>
        <w:pStyle w:val="80"/>
        <w:rPr>
          <w:rFonts w:hint="eastAsia" w:cs="宋体"/>
          <w:color w:val="auto"/>
          <w:sz w:val="21"/>
          <w:highlight w:val="none"/>
        </w:rPr>
      </w:pPr>
      <w:r>
        <w:rPr>
          <w:rFonts w:hint="eastAsia" w:cs="宋体"/>
          <w:color w:val="auto"/>
          <w:sz w:val="21"/>
          <w:highlight w:val="none"/>
        </w:rPr>
        <w:t>试验属于自检性质的，承包人可以单独取样。试验属于监理人抽检性质的，可由监理人取样，也可由承包人的试验人员在监理人的监督下取样。</w:t>
      </w:r>
    </w:p>
    <w:p w14:paraId="78A52B4C">
      <w:pPr>
        <w:pStyle w:val="322"/>
        <w:rPr>
          <w:rFonts w:hint="eastAsia" w:ascii="宋体" w:cs="宋体"/>
          <w:color w:val="auto"/>
          <w:highlight w:val="none"/>
        </w:rPr>
      </w:pPr>
      <w:bookmarkStart w:id="442" w:name="_Toc351203565"/>
      <w:bookmarkStart w:id="443" w:name="_Toc478389103"/>
      <w:r>
        <w:rPr>
          <w:rFonts w:hint="eastAsia" w:ascii="宋体" w:cs="宋体"/>
          <w:color w:val="auto"/>
          <w:highlight w:val="none"/>
        </w:rPr>
        <w:t>9</w:t>
      </w:r>
      <w:bookmarkStart w:id="444" w:name="_Toc337558785"/>
      <w:r>
        <w:rPr>
          <w:rFonts w:hint="eastAsia" w:ascii="宋体" w:cs="宋体"/>
          <w:color w:val="auto"/>
          <w:highlight w:val="none"/>
        </w:rPr>
        <w:t>.3材料、工程设备和工程的试验和检验</w:t>
      </w:r>
      <w:bookmarkEnd w:id="442"/>
      <w:bookmarkEnd w:id="443"/>
    </w:p>
    <w:bookmarkEnd w:id="444"/>
    <w:p w14:paraId="737AE98F">
      <w:pPr>
        <w:pStyle w:val="80"/>
        <w:rPr>
          <w:rFonts w:hint="eastAsia" w:cs="宋体"/>
          <w:color w:val="auto"/>
          <w:sz w:val="21"/>
          <w:highlight w:val="none"/>
        </w:rPr>
      </w:pPr>
      <w:r>
        <w:rPr>
          <w:rFonts w:hint="eastAsia" w:cs="宋体"/>
          <w:color w:val="auto"/>
          <w:sz w:val="21"/>
          <w:highlight w:val="none"/>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4D5F02F7">
      <w:pPr>
        <w:pStyle w:val="80"/>
        <w:rPr>
          <w:rFonts w:hint="eastAsia" w:cs="宋体"/>
          <w:color w:val="auto"/>
          <w:sz w:val="21"/>
          <w:highlight w:val="none"/>
        </w:rPr>
      </w:pPr>
      <w:r>
        <w:rPr>
          <w:rFonts w:hint="eastAsia" w:cs="宋体"/>
          <w:color w:val="auto"/>
          <w:sz w:val="21"/>
          <w:highlight w:val="none"/>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14:paraId="5101ACD9">
      <w:pPr>
        <w:pStyle w:val="80"/>
        <w:rPr>
          <w:rFonts w:hint="eastAsia" w:cs="宋体"/>
          <w:color w:val="auto"/>
          <w:sz w:val="21"/>
          <w:highlight w:val="none"/>
        </w:rPr>
      </w:pPr>
      <w:r>
        <w:rPr>
          <w:rFonts w:hint="eastAsia" w:cs="宋体"/>
          <w:color w:val="auto"/>
          <w:sz w:val="21"/>
          <w:highlight w:val="none"/>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14:paraId="4850E8FB">
      <w:pPr>
        <w:pStyle w:val="322"/>
        <w:rPr>
          <w:rFonts w:hint="eastAsia" w:ascii="宋体" w:cs="宋体"/>
          <w:color w:val="auto"/>
          <w:highlight w:val="none"/>
        </w:rPr>
      </w:pPr>
      <w:bookmarkStart w:id="445" w:name="_Toc351203566"/>
      <w:bookmarkStart w:id="446" w:name="_Toc478389104"/>
      <w:r>
        <w:rPr>
          <w:rFonts w:hint="eastAsia" w:ascii="宋体" w:cs="宋体"/>
          <w:color w:val="auto"/>
          <w:highlight w:val="none"/>
        </w:rPr>
        <w:t>9</w:t>
      </w:r>
      <w:bookmarkStart w:id="447" w:name="_Toc337558786"/>
      <w:r>
        <w:rPr>
          <w:rFonts w:hint="eastAsia" w:ascii="宋体" w:cs="宋体"/>
          <w:color w:val="auto"/>
          <w:highlight w:val="none"/>
        </w:rPr>
        <w:t>.4现场工艺试验</w:t>
      </w:r>
      <w:bookmarkEnd w:id="445"/>
      <w:bookmarkEnd w:id="446"/>
    </w:p>
    <w:bookmarkEnd w:id="447"/>
    <w:p w14:paraId="6306D174">
      <w:pPr>
        <w:pStyle w:val="80"/>
        <w:rPr>
          <w:rFonts w:hint="eastAsia" w:cs="宋体"/>
          <w:color w:val="auto"/>
          <w:sz w:val="21"/>
          <w:highlight w:val="none"/>
        </w:rPr>
      </w:pPr>
      <w:r>
        <w:rPr>
          <w:rFonts w:hint="eastAsia" w:cs="宋体"/>
          <w:color w:val="auto"/>
          <w:sz w:val="21"/>
          <w:highlight w:val="none"/>
        </w:rPr>
        <w:t>承包人应按合同约定或监理人指示进行现场工艺试验。对大型的现场工艺试验，监理人认为必要时，承包人应根据监理人提出的工艺试验要求，编制工艺试验措施计划，报送监理人审查。</w:t>
      </w:r>
    </w:p>
    <w:p w14:paraId="179E3B0A">
      <w:pPr>
        <w:pStyle w:val="322"/>
        <w:rPr>
          <w:rFonts w:hint="eastAsia" w:ascii="宋体" w:cs="宋体"/>
          <w:color w:val="auto"/>
          <w:highlight w:val="none"/>
        </w:rPr>
      </w:pPr>
      <w:bookmarkStart w:id="448" w:name="_Toc478389105"/>
      <w:bookmarkStart w:id="449" w:name="_Toc351203567"/>
      <w:r>
        <w:rPr>
          <w:rFonts w:hint="eastAsia" w:ascii="宋体" w:cs="宋体"/>
          <w:color w:val="auto"/>
          <w:highlight w:val="none"/>
        </w:rPr>
        <w:t>1</w:t>
      </w:r>
      <w:bookmarkStart w:id="450" w:name="_Toc337558787"/>
      <w:r>
        <w:rPr>
          <w:rFonts w:hint="eastAsia" w:ascii="宋体" w:cs="宋体"/>
          <w:color w:val="auto"/>
          <w:highlight w:val="none"/>
        </w:rPr>
        <w:t>0. 变更</w:t>
      </w:r>
      <w:bookmarkEnd w:id="434"/>
      <w:bookmarkEnd w:id="435"/>
      <w:bookmarkEnd w:id="448"/>
      <w:bookmarkEnd w:id="449"/>
    </w:p>
    <w:bookmarkEnd w:id="450"/>
    <w:p w14:paraId="2C4BB7B0">
      <w:pPr>
        <w:pStyle w:val="322"/>
        <w:rPr>
          <w:rFonts w:hint="eastAsia" w:ascii="宋体" w:cs="宋体"/>
          <w:color w:val="auto"/>
          <w:highlight w:val="none"/>
        </w:rPr>
      </w:pPr>
      <w:bookmarkStart w:id="451" w:name="_Toc478389106"/>
      <w:bookmarkStart w:id="452" w:name="_Toc351203568"/>
      <w:r>
        <w:rPr>
          <w:rFonts w:hint="eastAsia" w:ascii="宋体" w:cs="宋体"/>
          <w:color w:val="auto"/>
          <w:highlight w:val="none"/>
        </w:rPr>
        <w:t>1</w:t>
      </w:r>
      <w:bookmarkStart w:id="453" w:name="_Toc296503084"/>
      <w:bookmarkStart w:id="454" w:name="_Toc296346585"/>
      <w:bookmarkStart w:id="455" w:name="_Toc337558788"/>
      <w:r>
        <w:rPr>
          <w:rFonts w:hint="eastAsia" w:ascii="宋体" w:cs="宋体"/>
          <w:color w:val="auto"/>
          <w:highlight w:val="none"/>
        </w:rPr>
        <w:t>0.1变更的范围</w:t>
      </w:r>
      <w:bookmarkEnd w:id="451"/>
      <w:bookmarkEnd w:id="452"/>
    </w:p>
    <w:bookmarkEnd w:id="453"/>
    <w:bookmarkEnd w:id="454"/>
    <w:bookmarkEnd w:id="455"/>
    <w:p w14:paraId="6FD2B898">
      <w:pPr>
        <w:pStyle w:val="80"/>
        <w:rPr>
          <w:rFonts w:hint="eastAsia" w:cs="宋体"/>
          <w:color w:val="auto"/>
          <w:sz w:val="21"/>
          <w:highlight w:val="none"/>
        </w:rPr>
      </w:pPr>
      <w:r>
        <w:rPr>
          <w:rFonts w:hint="eastAsia" w:cs="宋体"/>
          <w:color w:val="auto"/>
          <w:sz w:val="21"/>
          <w:highlight w:val="none"/>
        </w:rPr>
        <w:t>除专用合同条款另有约定外，合同履行过程中发生以下情形的，应按照本条约定进行变更：</w:t>
      </w:r>
    </w:p>
    <w:p w14:paraId="0200A160">
      <w:pPr>
        <w:pStyle w:val="80"/>
        <w:rPr>
          <w:rFonts w:hint="eastAsia" w:cs="宋体"/>
          <w:color w:val="auto"/>
          <w:sz w:val="21"/>
          <w:highlight w:val="none"/>
        </w:rPr>
      </w:pPr>
      <w:r>
        <w:rPr>
          <w:rFonts w:hint="eastAsia" w:cs="宋体"/>
          <w:color w:val="auto"/>
          <w:sz w:val="21"/>
          <w:highlight w:val="none"/>
        </w:rPr>
        <w:t>（1）增加或减少合同中任何工作，或追加额外的工作；</w:t>
      </w:r>
    </w:p>
    <w:p w14:paraId="6D3B809E">
      <w:pPr>
        <w:pStyle w:val="80"/>
        <w:rPr>
          <w:rFonts w:hint="eastAsia" w:cs="宋体"/>
          <w:color w:val="auto"/>
          <w:sz w:val="21"/>
          <w:highlight w:val="none"/>
        </w:rPr>
      </w:pPr>
      <w:r>
        <w:rPr>
          <w:rFonts w:hint="eastAsia" w:cs="宋体"/>
          <w:color w:val="auto"/>
          <w:sz w:val="21"/>
          <w:highlight w:val="none"/>
        </w:rPr>
        <w:t>（2）取消合同中任何工作，但转由他人实施的工作除外；</w:t>
      </w:r>
    </w:p>
    <w:p w14:paraId="1EC215B4">
      <w:pPr>
        <w:pStyle w:val="80"/>
        <w:rPr>
          <w:rFonts w:hint="eastAsia" w:cs="宋体"/>
          <w:color w:val="auto"/>
          <w:sz w:val="21"/>
          <w:highlight w:val="none"/>
        </w:rPr>
      </w:pPr>
      <w:r>
        <w:rPr>
          <w:rFonts w:hint="eastAsia" w:cs="宋体"/>
          <w:color w:val="auto"/>
          <w:sz w:val="21"/>
          <w:highlight w:val="none"/>
        </w:rPr>
        <w:t>（3）改变合同中任何工作的质量标准或其他特性；</w:t>
      </w:r>
    </w:p>
    <w:p w14:paraId="16C75EF4">
      <w:pPr>
        <w:pStyle w:val="80"/>
        <w:rPr>
          <w:rFonts w:hint="eastAsia" w:cs="宋体"/>
          <w:color w:val="auto"/>
          <w:sz w:val="21"/>
          <w:highlight w:val="none"/>
        </w:rPr>
      </w:pPr>
      <w:r>
        <w:rPr>
          <w:rFonts w:hint="eastAsia" w:cs="宋体"/>
          <w:color w:val="auto"/>
          <w:sz w:val="21"/>
          <w:highlight w:val="none"/>
        </w:rPr>
        <w:t>（4）改变工程的基线、标高、位置和尺寸；</w:t>
      </w:r>
    </w:p>
    <w:p w14:paraId="799271D5">
      <w:pPr>
        <w:pStyle w:val="80"/>
        <w:rPr>
          <w:rFonts w:hint="eastAsia" w:cs="宋体"/>
          <w:color w:val="auto"/>
          <w:sz w:val="21"/>
          <w:highlight w:val="none"/>
        </w:rPr>
      </w:pPr>
      <w:r>
        <w:rPr>
          <w:rFonts w:hint="eastAsia" w:cs="宋体"/>
          <w:color w:val="auto"/>
          <w:sz w:val="21"/>
          <w:highlight w:val="none"/>
        </w:rPr>
        <w:t>（5）改变工程的时间安排或实施顺序。</w:t>
      </w:r>
    </w:p>
    <w:p w14:paraId="0225E541">
      <w:pPr>
        <w:pStyle w:val="322"/>
        <w:rPr>
          <w:rFonts w:hint="eastAsia" w:ascii="宋体" w:cs="宋体"/>
          <w:color w:val="auto"/>
          <w:highlight w:val="none"/>
        </w:rPr>
      </w:pPr>
      <w:bookmarkStart w:id="456" w:name="_Toc351203569"/>
      <w:bookmarkStart w:id="457" w:name="_Toc478389107"/>
      <w:r>
        <w:rPr>
          <w:rFonts w:hint="eastAsia" w:ascii="宋体" w:cs="宋体"/>
          <w:color w:val="auto"/>
          <w:highlight w:val="none"/>
        </w:rPr>
        <w:t>1</w:t>
      </w:r>
      <w:bookmarkStart w:id="458" w:name="_Toc296503085"/>
      <w:bookmarkStart w:id="459" w:name="_Toc337558789"/>
      <w:bookmarkStart w:id="460" w:name="_Toc296346586"/>
      <w:r>
        <w:rPr>
          <w:rFonts w:hint="eastAsia" w:ascii="宋体" w:cs="宋体"/>
          <w:color w:val="auto"/>
          <w:highlight w:val="none"/>
        </w:rPr>
        <w:t>0.2变更权</w:t>
      </w:r>
      <w:bookmarkEnd w:id="456"/>
      <w:bookmarkEnd w:id="457"/>
    </w:p>
    <w:bookmarkEnd w:id="458"/>
    <w:bookmarkEnd w:id="459"/>
    <w:bookmarkEnd w:id="460"/>
    <w:p w14:paraId="02D89F3F">
      <w:pPr>
        <w:pStyle w:val="80"/>
        <w:rPr>
          <w:rFonts w:hint="eastAsia" w:cs="宋体"/>
          <w:color w:val="auto"/>
          <w:sz w:val="21"/>
          <w:highlight w:val="none"/>
        </w:rPr>
      </w:pPr>
      <w:r>
        <w:rPr>
          <w:rFonts w:hint="eastAsia" w:cs="宋体"/>
          <w:color w:val="auto"/>
          <w:sz w:val="21"/>
          <w:highlight w:val="none"/>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14:paraId="4B61E2F2">
      <w:pPr>
        <w:pStyle w:val="80"/>
        <w:rPr>
          <w:rFonts w:hint="eastAsia" w:cs="宋体"/>
          <w:color w:val="auto"/>
          <w:sz w:val="21"/>
          <w:highlight w:val="none"/>
        </w:rPr>
      </w:pPr>
      <w:r>
        <w:rPr>
          <w:rFonts w:hint="eastAsia" w:cs="宋体"/>
          <w:color w:val="auto"/>
          <w:sz w:val="21"/>
          <w:highlight w:val="none"/>
        </w:rPr>
        <w:t>涉及设计变更的，应由设计人提供变更后的图纸和说明。如变更超过原设计标准或批准的建设规模时，发包人应及时办理规划、设计变更等审批手续。</w:t>
      </w:r>
    </w:p>
    <w:p w14:paraId="054C2B17">
      <w:pPr>
        <w:pStyle w:val="322"/>
        <w:rPr>
          <w:rFonts w:hint="eastAsia" w:ascii="宋体" w:cs="宋体"/>
          <w:color w:val="auto"/>
          <w:highlight w:val="none"/>
        </w:rPr>
      </w:pPr>
      <w:bookmarkStart w:id="461" w:name="_Toc478389108"/>
      <w:bookmarkStart w:id="462" w:name="_Toc351203570"/>
      <w:r>
        <w:rPr>
          <w:rFonts w:hint="eastAsia" w:ascii="宋体" w:cs="宋体"/>
          <w:color w:val="auto"/>
          <w:highlight w:val="none"/>
        </w:rPr>
        <w:t>1</w:t>
      </w:r>
      <w:bookmarkStart w:id="463" w:name="_Toc296503086"/>
      <w:bookmarkStart w:id="464" w:name="_Toc337558790"/>
      <w:bookmarkStart w:id="465" w:name="_Toc296346587"/>
      <w:r>
        <w:rPr>
          <w:rFonts w:hint="eastAsia" w:ascii="宋体" w:cs="宋体"/>
          <w:color w:val="auto"/>
          <w:highlight w:val="none"/>
        </w:rPr>
        <w:t>0.3变更程序</w:t>
      </w:r>
      <w:bookmarkEnd w:id="461"/>
      <w:bookmarkEnd w:id="462"/>
    </w:p>
    <w:bookmarkEnd w:id="463"/>
    <w:bookmarkEnd w:id="464"/>
    <w:bookmarkEnd w:id="465"/>
    <w:p w14:paraId="561DC0A2">
      <w:pPr>
        <w:pStyle w:val="80"/>
        <w:rPr>
          <w:rFonts w:hint="eastAsia" w:cs="宋体"/>
          <w:color w:val="auto"/>
          <w:sz w:val="21"/>
          <w:highlight w:val="none"/>
        </w:rPr>
      </w:pPr>
      <w:r>
        <w:rPr>
          <w:rFonts w:hint="eastAsia" w:cs="宋体"/>
          <w:color w:val="auto"/>
          <w:sz w:val="21"/>
          <w:highlight w:val="none"/>
        </w:rPr>
        <w:t>10.3.1 发包人提出变更</w:t>
      </w:r>
    </w:p>
    <w:p w14:paraId="4E73F84B">
      <w:pPr>
        <w:pStyle w:val="80"/>
        <w:rPr>
          <w:rFonts w:hint="eastAsia" w:cs="宋体"/>
          <w:color w:val="auto"/>
          <w:sz w:val="21"/>
          <w:highlight w:val="none"/>
        </w:rPr>
      </w:pPr>
      <w:r>
        <w:rPr>
          <w:rFonts w:hint="eastAsia" w:cs="宋体"/>
          <w:color w:val="auto"/>
          <w:sz w:val="21"/>
          <w:highlight w:val="none"/>
        </w:rPr>
        <w:t>发包人提出变更的，应通过监理人向承包人发出变更指示，变更指示应说明计划变更的工程范围和变更的内容。</w:t>
      </w:r>
    </w:p>
    <w:p w14:paraId="52092F3C">
      <w:pPr>
        <w:pStyle w:val="80"/>
        <w:rPr>
          <w:rFonts w:hint="eastAsia" w:cs="宋体"/>
          <w:color w:val="auto"/>
          <w:sz w:val="21"/>
          <w:highlight w:val="none"/>
        </w:rPr>
      </w:pPr>
      <w:r>
        <w:rPr>
          <w:rFonts w:hint="eastAsia" w:cs="宋体"/>
          <w:color w:val="auto"/>
          <w:sz w:val="21"/>
          <w:highlight w:val="none"/>
        </w:rPr>
        <w:t>10.3.2 监理人提出变更建议</w:t>
      </w:r>
    </w:p>
    <w:p w14:paraId="4565F068">
      <w:pPr>
        <w:pStyle w:val="80"/>
        <w:rPr>
          <w:rFonts w:hint="eastAsia" w:cs="宋体"/>
          <w:color w:val="auto"/>
          <w:sz w:val="21"/>
          <w:highlight w:val="none"/>
        </w:rPr>
      </w:pPr>
      <w:r>
        <w:rPr>
          <w:rFonts w:hint="eastAsia" w:cs="宋体"/>
          <w:color w:val="auto"/>
          <w:sz w:val="21"/>
          <w:highlight w:val="none"/>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14:paraId="72C496ED">
      <w:pPr>
        <w:pStyle w:val="80"/>
        <w:rPr>
          <w:rFonts w:hint="eastAsia" w:cs="宋体"/>
          <w:color w:val="auto"/>
          <w:sz w:val="21"/>
          <w:highlight w:val="none"/>
        </w:rPr>
      </w:pPr>
      <w:r>
        <w:rPr>
          <w:rFonts w:hint="eastAsia" w:cs="宋体"/>
          <w:color w:val="auto"/>
          <w:sz w:val="21"/>
          <w:highlight w:val="none"/>
        </w:rPr>
        <w:t>10.3.3 变更执行</w:t>
      </w:r>
    </w:p>
    <w:p w14:paraId="7ADEF76F">
      <w:pPr>
        <w:pStyle w:val="80"/>
        <w:rPr>
          <w:rFonts w:hint="eastAsia" w:cs="宋体"/>
          <w:color w:val="auto"/>
          <w:sz w:val="21"/>
          <w:highlight w:val="none"/>
        </w:rPr>
      </w:pPr>
      <w:r>
        <w:rPr>
          <w:rFonts w:hint="eastAsia" w:cs="宋体"/>
          <w:color w:val="auto"/>
          <w:sz w:val="21"/>
          <w:highlight w:val="none"/>
        </w:rPr>
        <w:t>承包人收到监理人下达的变更指示后，认为不能执行，应立即提出不能执行该变更指示的理由。承包人认为可以执行变更的，应当书面说明实施该变更指示对合同价格和工期的影响，且合同当事人应当按照第10.4款〔变更估价〕约定确定变更估价。</w:t>
      </w:r>
    </w:p>
    <w:p w14:paraId="56C7488C">
      <w:pPr>
        <w:pStyle w:val="322"/>
        <w:rPr>
          <w:rFonts w:hint="eastAsia" w:ascii="宋体" w:cs="宋体"/>
          <w:color w:val="auto"/>
          <w:highlight w:val="none"/>
        </w:rPr>
      </w:pPr>
      <w:bookmarkStart w:id="466" w:name="_Toc351203571"/>
      <w:bookmarkStart w:id="467" w:name="_Toc478389109"/>
      <w:r>
        <w:rPr>
          <w:rFonts w:hint="eastAsia" w:ascii="宋体" w:cs="宋体"/>
          <w:color w:val="auto"/>
          <w:highlight w:val="none"/>
        </w:rPr>
        <w:t>1</w:t>
      </w:r>
      <w:bookmarkStart w:id="468" w:name="_Toc337558791"/>
      <w:bookmarkStart w:id="469" w:name="_Toc296346588"/>
      <w:bookmarkStart w:id="470" w:name="_Toc296503087"/>
      <w:r>
        <w:rPr>
          <w:rFonts w:hint="eastAsia" w:ascii="宋体" w:cs="宋体"/>
          <w:color w:val="auto"/>
          <w:highlight w:val="none"/>
        </w:rPr>
        <w:t>0.4变更估价</w:t>
      </w:r>
      <w:bookmarkEnd w:id="466"/>
      <w:bookmarkEnd w:id="467"/>
    </w:p>
    <w:bookmarkEnd w:id="468"/>
    <w:bookmarkEnd w:id="469"/>
    <w:bookmarkEnd w:id="470"/>
    <w:p w14:paraId="3636FA00">
      <w:pPr>
        <w:pStyle w:val="80"/>
        <w:rPr>
          <w:rFonts w:hint="eastAsia" w:cs="宋体"/>
          <w:color w:val="auto"/>
          <w:sz w:val="21"/>
          <w:highlight w:val="none"/>
        </w:rPr>
      </w:pPr>
      <w:r>
        <w:rPr>
          <w:rFonts w:hint="eastAsia" w:cs="宋体"/>
          <w:color w:val="auto"/>
          <w:sz w:val="21"/>
          <w:highlight w:val="none"/>
        </w:rPr>
        <w:t>10.4.1 变更估价原则</w:t>
      </w:r>
    </w:p>
    <w:p w14:paraId="7621B55A">
      <w:pPr>
        <w:pStyle w:val="80"/>
        <w:rPr>
          <w:rFonts w:hint="eastAsia" w:cs="宋体"/>
          <w:color w:val="auto"/>
          <w:sz w:val="21"/>
          <w:highlight w:val="none"/>
        </w:rPr>
      </w:pPr>
      <w:r>
        <w:rPr>
          <w:rFonts w:hint="eastAsia" w:cs="宋体"/>
          <w:color w:val="auto"/>
          <w:sz w:val="21"/>
          <w:highlight w:val="none"/>
        </w:rPr>
        <w:t>除专用合同条款另有约定外，变更估价按照本款约定处理：</w:t>
      </w:r>
    </w:p>
    <w:p w14:paraId="0637385B">
      <w:pPr>
        <w:pStyle w:val="80"/>
        <w:rPr>
          <w:rFonts w:hint="eastAsia" w:cs="宋体"/>
          <w:color w:val="auto"/>
          <w:sz w:val="21"/>
          <w:highlight w:val="none"/>
        </w:rPr>
      </w:pPr>
      <w:r>
        <w:rPr>
          <w:rFonts w:hint="eastAsia" w:cs="宋体"/>
          <w:color w:val="auto"/>
          <w:sz w:val="21"/>
          <w:highlight w:val="none"/>
        </w:rPr>
        <w:t>（1）已标价工程量清单或预算书有相同项目的，按照相同项目单价认定；</w:t>
      </w:r>
    </w:p>
    <w:p w14:paraId="0F79BBE0">
      <w:pPr>
        <w:pStyle w:val="80"/>
        <w:rPr>
          <w:rFonts w:hint="eastAsia" w:cs="宋体"/>
          <w:color w:val="auto"/>
          <w:sz w:val="21"/>
          <w:highlight w:val="none"/>
        </w:rPr>
      </w:pPr>
      <w:r>
        <w:rPr>
          <w:rFonts w:hint="eastAsia" w:cs="宋体"/>
          <w:color w:val="auto"/>
          <w:sz w:val="21"/>
          <w:highlight w:val="none"/>
        </w:rPr>
        <w:t>（2）已标价工程量清单或预算书中无相同项目，但有类似项目的，参照类似项目的单价认定；</w:t>
      </w:r>
    </w:p>
    <w:p w14:paraId="4C29386C">
      <w:pPr>
        <w:pStyle w:val="80"/>
        <w:rPr>
          <w:rFonts w:hint="eastAsia" w:cs="宋体"/>
          <w:color w:val="auto"/>
          <w:sz w:val="21"/>
          <w:highlight w:val="none"/>
        </w:rPr>
      </w:pPr>
      <w:r>
        <w:rPr>
          <w:rFonts w:hint="eastAsia" w:cs="宋体"/>
          <w:color w:val="auto"/>
          <w:sz w:val="21"/>
          <w:highlight w:val="none"/>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商定或确定〕确定变更工作的单价。</w:t>
      </w:r>
    </w:p>
    <w:p w14:paraId="64665BFA">
      <w:pPr>
        <w:pStyle w:val="80"/>
        <w:rPr>
          <w:rFonts w:hint="eastAsia" w:cs="宋体"/>
          <w:color w:val="auto"/>
          <w:sz w:val="21"/>
          <w:highlight w:val="none"/>
        </w:rPr>
      </w:pPr>
      <w:r>
        <w:rPr>
          <w:rFonts w:hint="eastAsia" w:cs="宋体"/>
          <w:color w:val="auto"/>
          <w:sz w:val="21"/>
          <w:highlight w:val="none"/>
        </w:rPr>
        <w:t>10.4.2 变更估价程序</w:t>
      </w:r>
    </w:p>
    <w:p w14:paraId="45E3705E">
      <w:pPr>
        <w:pStyle w:val="80"/>
        <w:rPr>
          <w:rFonts w:hint="eastAsia" w:cs="宋体"/>
          <w:color w:val="auto"/>
          <w:sz w:val="21"/>
          <w:highlight w:val="none"/>
        </w:rPr>
      </w:pPr>
      <w:r>
        <w:rPr>
          <w:rFonts w:hint="eastAsia" w:cs="宋体"/>
          <w:color w:val="auto"/>
          <w:sz w:val="21"/>
          <w:highlight w:val="none"/>
        </w:rPr>
        <w:t>承包人应在收到变更指示后14天内，向监理人提交变更估价申请。监理人应在收到承包人提交的变更估价申请后7天内审查完毕并报送发包人，监理人对变更估价申请有异议，通知承包人修改后重新提交。发包人应在承包人提交变更估价申请后14天内审批完毕。发包人逾期未完成审批或未提出异议的，视为认可承包人提交的变更估价申请。</w:t>
      </w:r>
    </w:p>
    <w:p w14:paraId="415AAB3A">
      <w:pPr>
        <w:pStyle w:val="80"/>
        <w:rPr>
          <w:rFonts w:hint="eastAsia" w:cs="宋体"/>
          <w:color w:val="auto"/>
          <w:sz w:val="21"/>
          <w:highlight w:val="none"/>
        </w:rPr>
      </w:pPr>
      <w:r>
        <w:rPr>
          <w:rFonts w:hint="eastAsia" w:cs="宋体"/>
          <w:color w:val="auto"/>
          <w:sz w:val="21"/>
          <w:highlight w:val="none"/>
        </w:rPr>
        <w:t>因变更引起的价格调整应计入最近一期的进度款中支付。</w:t>
      </w:r>
    </w:p>
    <w:p w14:paraId="4E67AB2F">
      <w:pPr>
        <w:pStyle w:val="322"/>
        <w:rPr>
          <w:rFonts w:hint="eastAsia" w:ascii="宋体" w:cs="宋体"/>
          <w:color w:val="auto"/>
          <w:highlight w:val="none"/>
        </w:rPr>
      </w:pPr>
      <w:bookmarkStart w:id="471" w:name="_Toc478389110"/>
      <w:bookmarkStart w:id="472" w:name="_Toc351203572"/>
      <w:r>
        <w:rPr>
          <w:rFonts w:hint="eastAsia" w:ascii="宋体" w:cs="宋体"/>
          <w:color w:val="auto"/>
          <w:highlight w:val="none"/>
        </w:rPr>
        <w:t>1</w:t>
      </w:r>
      <w:bookmarkStart w:id="473" w:name="_Toc296503094"/>
      <w:bookmarkStart w:id="474" w:name="_Toc296346595"/>
      <w:bookmarkStart w:id="475" w:name="_Toc337558792"/>
      <w:r>
        <w:rPr>
          <w:rFonts w:hint="eastAsia" w:ascii="宋体" w:cs="宋体"/>
          <w:color w:val="auto"/>
          <w:highlight w:val="none"/>
        </w:rPr>
        <w:t>0.5承包人的合理化建议</w:t>
      </w:r>
      <w:bookmarkEnd w:id="471"/>
      <w:bookmarkEnd w:id="472"/>
    </w:p>
    <w:bookmarkEnd w:id="473"/>
    <w:bookmarkEnd w:id="474"/>
    <w:bookmarkEnd w:id="475"/>
    <w:p w14:paraId="7A1EFF1D">
      <w:pPr>
        <w:pStyle w:val="80"/>
        <w:rPr>
          <w:rFonts w:hint="eastAsia" w:cs="宋体"/>
          <w:color w:val="auto"/>
          <w:sz w:val="21"/>
          <w:highlight w:val="none"/>
        </w:rPr>
      </w:pPr>
      <w:r>
        <w:rPr>
          <w:rFonts w:hint="eastAsia" w:cs="宋体"/>
          <w:color w:val="auto"/>
          <w:sz w:val="21"/>
          <w:highlight w:val="none"/>
        </w:rPr>
        <w:t>承包人提出合理化建议的，应向监理人提交合理化建议说明，说明建议的内容和理由，以及实施该建议对合同价格和工期的影响。</w:t>
      </w:r>
    </w:p>
    <w:p w14:paraId="122E01F6">
      <w:pPr>
        <w:pStyle w:val="80"/>
        <w:rPr>
          <w:rFonts w:hint="eastAsia" w:cs="宋体"/>
          <w:color w:val="auto"/>
          <w:sz w:val="21"/>
          <w:highlight w:val="none"/>
        </w:rPr>
      </w:pPr>
      <w:r>
        <w:rPr>
          <w:rFonts w:hint="eastAsia" w:cs="宋体"/>
          <w:color w:val="auto"/>
          <w:sz w:val="21"/>
          <w:highlight w:val="none"/>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变更估价〕约定执行。发包人不同意变更的，监理人应书面通知承包人。</w:t>
      </w:r>
    </w:p>
    <w:p w14:paraId="0A0DE8C0">
      <w:pPr>
        <w:pStyle w:val="80"/>
        <w:rPr>
          <w:rFonts w:hint="eastAsia" w:cs="宋体"/>
          <w:color w:val="auto"/>
          <w:sz w:val="21"/>
          <w:highlight w:val="none"/>
        </w:rPr>
      </w:pPr>
      <w:r>
        <w:rPr>
          <w:rFonts w:hint="eastAsia" w:cs="宋体"/>
          <w:color w:val="auto"/>
          <w:sz w:val="21"/>
          <w:highlight w:val="none"/>
        </w:rPr>
        <w:t>合理化建议降低了合同价格或者提高了工程经济效益的，发包人可对承包人给予奖励，奖励的方法和金额在专用合同条款中约定。</w:t>
      </w:r>
    </w:p>
    <w:p w14:paraId="52A6D1EF">
      <w:pPr>
        <w:pStyle w:val="322"/>
        <w:rPr>
          <w:rFonts w:hint="eastAsia" w:ascii="宋体" w:cs="宋体"/>
          <w:color w:val="auto"/>
          <w:highlight w:val="none"/>
        </w:rPr>
      </w:pPr>
      <w:bookmarkStart w:id="476" w:name="_Toc478389111"/>
      <w:bookmarkStart w:id="477" w:name="_Toc351203573"/>
      <w:r>
        <w:rPr>
          <w:rFonts w:hint="eastAsia" w:ascii="宋体" w:cs="宋体"/>
          <w:color w:val="auto"/>
          <w:highlight w:val="none"/>
        </w:rPr>
        <w:t>1</w:t>
      </w:r>
      <w:bookmarkStart w:id="478" w:name="_Toc337558793"/>
      <w:r>
        <w:rPr>
          <w:rFonts w:hint="eastAsia" w:ascii="宋体" w:cs="宋体"/>
          <w:color w:val="auto"/>
          <w:highlight w:val="none"/>
        </w:rPr>
        <w:t>0.6变更引起的工期调整</w:t>
      </w:r>
      <w:bookmarkEnd w:id="476"/>
      <w:bookmarkEnd w:id="477"/>
      <w:bookmarkEnd w:id="478"/>
    </w:p>
    <w:p w14:paraId="64D0A2E7">
      <w:pPr>
        <w:pStyle w:val="80"/>
        <w:rPr>
          <w:rFonts w:hint="eastAsia" w:cs="宋体"/>
          <w:color w:val="auto"/>
          <w:sz w:val="21"/>
          <w:highlight w:val="none"/>
        </w:rPr>
      </w:pPr>
      <w:r>
        <w:rPr>
          <w:rFonts w:hint="eastAsia" w:cs="宋体"/>
          <w:color w:val="auto"/>
          <w:sz w:val="21"/>
          <w:highlight w:val="none"/>
        </w:rPr>
        <w:t>因变更引起工期变化的，合同当事人均可要求调整合同工期，由合同当事人按照第4.4款〔商定或确定〕并参考工程所在地的工期定额标准确定增减工期天数。</w:t>
      </w:r>
    </w:p>
    <w:p w14:paraId="33065308">
      <w:pPr>
        <w:pStyle w:val="322"/>
        <w:rPr>
          <w:rFonts w:hint="eastAsia" w:ascii="宋体" w:cs="宋体"/>
          <w:color w:val="auto"/>
          <w:highlight w:val="none"/>
        </w:rPr>
      </w:pPr>
      <w:bookmarkStart w:id="479" w:name="_Toc478389112"/>
      <w:bookmarkStart w:id="480" w:name="_Toc351203574"/>
      <w:r>
        <w:rPr>
          <w:rFonts w:hint="eastAsia" w:ascii="宋体" w:cs="宋体"/>
          <w:color w:val="auto"/>
          <w:highlight w:val="none"/>
        </w:rPr>
        <w:t>10.7暂估价</w:t>
      </w:r>
      <w:bookmarkEnd w:id="479"/>
      <w:bookmarkEnd w:id="480"/>
    </w:p>
    <w:p w14:paraId="14AC2EF4">
      <w:pPr>
        <w:pStyle w:val="80"/>
        <w:rPr>
          <w:rFonts w:hint="eastAsia" w:cs="宋体"/>
          <w:color w:val="auto"/>
          <w:sz w:val="21"/>
          <w:highlight w:val="none"/>
        </w:rPr>
      </w:pPr>
      <w:r>
        <w:rPr>
          <w:rFonts w:hint="eastAsia" w:cs="宋体"/>
          <w:color w:val="auto"/>
          <w:sz w:val="21"/>
          <w:highlight w:val="none"/>
        </w:rPr>
        <w:t>暂估价专业分包工程、服务、材料和工程设备的明细由合同当事人在专用合同条款中约定。</w:t>
      </w:r>
    </w:p>
    <w:p w14:paraId="2C920056">
      <w:pPr>
        <w:pStyle w:val="80"/>
        <w:outlineLvl w:val="0"/>
        <w:rPr>
          <w:rFonts w:hint="eastAsia" w:cs="宋体"/>
          <w:color w:val="auto"/>
          <w:sz w:val="21"/>
          <w:highlight w:val="none"/>
        </w:rPr>
      </w:pPr>
      <w:bookmarkStart w:id="481" w:name="_Toc478389113"/>
      <w:r>
        <w:rPr>
          <w:rFonts w:hint="eastAsia" w:cs="宋体"/>
          <w:color w:val="auto"/>
          <w:sz w:val="21"/>
          <w:highlight w:val="none"/>
        </w:rPr>
        <w:t>10.7.1 依法必须招标的暂估价项目</w:t>
      </w:r>
      <w:bookmarkEnd w:id="481"/>
    </w:p>
    <w:p w14:paraId="7823B7D5">
      <w:pPr>
        <w:pStyle w:val="80"/>
        <w:rPr>
          <w:rFonts w:hint="eastAsia" w:cs="宋体"/>
          <w:color w:val="auto"/>
          <w:sz w:val="21"/>
          <w:highlight w:val="none"/>
        </w:rPr>
      </w:pPr>
      <w:r>
        <w:rPr>
          <w:rFonts w:hint="eastAsia" w:cs="宋体"/>
          <w:color w:val="auto"/>
          <w:sz w:val="21"/>
          <w:highlight w:val="none"/>
        </w:rPr>
        <w:t>对于依法必须招标的暂估价项目，采取以下第1种方式确定。合同当事人也可以在专用合同条款中选择其他招标方式。</w:t>
      </w:r>
    </w:p>
    <w:p w14:paraId="0D50695B">
      <w:pPr>
        <w:pStyle w:val="80"/>
        <w:rPr>
          <w:rFonts w:hint="eastAsia" w:cs="宋体"/>
          <w:color w:val="auto"/>
          <w:sz w:val="21"/>
          <w:highlight w:val="none"/>
        </w:rPr>
      </w:pPr>
      <w:r>
        <w:rPr>
          <w:rFonts w:hint="eastAsia" w:cs="宋体"/>
          <w:color w:val="auto"/>
          <w:sz w:val="21"/>
          <w:highlight w:val="none"/>
        </w:rPr>
        <w:t>第1种方式：对于依法必须招标的暂估价项目，由承包人招标，对该暂估价项目的确认和批准按照以下约定执行：</w:t>
      </w:r>
    </w:p>
    <w:p w14:paraId="60E68F04">
      <w:pPr>
        <w:pStyle w:val="80"/>
        <w:rPr>
          <w:rFonts w:hint="eastAsia" w:cs="宋体"/>
          <w:color w:val="auto"/>
          <w:sz w:val="21"/>
          <w:highlight w:val="none"/>
        </w:rPr>
      </w:pPr>
      <w:r>
        <w:rPr>
          <w:rFonts w:hint="eastAsia" w:cs="宋体"/>
          <w:color w:val="auto"/>
          <w:sz w:val="21"/>
          <w:highlight w:val="none"/>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14:paraId="080966D2">
      <w:pPr>
        <w:pStyle w:val="80"/>
        <w:rPr>
          <w:rFonts w:hint="eastAsia" w:cs="宋体"/>
          <w:color w:val="auto"/>
          <w:sz w:val="21"/>
          <w:highlight w:val="none"/>
        </w:rPr>
      </w:pPr>
      <w:r>
        <w:rPr>
          <w:rFonts w:hint="eastAsia" w:cs="宋体"/>
          <w:color w:val="auto"/>
          <w:sz w:val="21"/>
          <w:highlight w:val="none"/>
        </w:rPr>
        <w:t>（2）承包人应当根据施工进度计划，提前14天将采购文件通过监理人报送发包人审批，发包人应当在收到承包人报送的相关文件后7天内完成审批或提出修改意见；发包人有权确定最高投标限价并按照法律规定参加评标；</w:t>
      </w:r>
    </w:p>
    <w:p w14:paraId="6BBA3C03">
      <w:pPr>
        <w:pStyle w:val="80"/>
        <w:rPr>
          <w:rFonts w:hint="eastAsia" w:cs="宋体"/>
          <w:color w:val="auto"/>
          <w:sz w:val="21"/>
          <w:highlight w:val="none"/>
        </w:rPr>
      </w:pPr>
      <w:r>
        <w:rPr>
          <w:rFonts w:hint="eastAsia" w:cs="宋体"/>
          <w:color w:val="auto"/>
          <w:sz w:val="21"/>
          <w:highlight w:val="none"/>
        </w:rPr>
        <w:t>（3）承包人与供应商、分包人在签订暂估价合同前，应当提前7天将确定的成交候选人或成交候选分包人的资料报送发包人，发包人应在收到资料后3天内与承包人共同确定成交供应商；承包人应当在签订合同后7天内，将暂估价合同副本报送发包人留存。</w:t>
      </w:r>
    </w:p>
    <w:p w14:paraId="629D21FE">
      <w:pPr>
        <w:pStyle w:val="80"/>
        <w:rPr>
          <w:rFonts w:hint="eastAsia" w:cs="宋体"/>
          <w:color w:val="auto"/>
          <w:sz w:val="21"/>
          <w:highlight w:val="none"/>
        </w:rPr>
      </w:pPr>
      <w:r>
        <w:rPr>
          <w:rFonts w:hint="eastAsia" w:cs="宋体"/>
          <w:color w:val="auto"/>
          <w:sz w:val="21"/>
          <w:highlight w:val="none"/>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成交供应商后，由发包人、承包人与成交供应商共同签订暂估价合同。</w:t>
      </w:r>
    </w:p>
    <w:p w14:paraId="412E047C">
      <w:pPr>
        <w:pStyle w:val="80"/>
        <w:rPr>
          <w:rFonts w:hint="eastAsia" w:cs="宋体"/>
          <w:color w:val="auto"/>
          <w:sz w:val="21"/>
          <w:highlight w:val="none"/>
        </w:rPr>
      </w:pPr>
      <w:r>
        <w:rPr>
          <w:rFonts w:hint="eastAsia" w:cs="宋体"/>
          <w:color w:val="auto"/>
          <w:sz w:val="21"/>
          <w:highlight w:val="none"/>
        </w:rPr>
        <w:t>10.7.2不属于依法必须招标的暂估价项目</w:t>
      </w:r>
    </w:p>
    <w:p w14:paraId="1D6EE284">
      <w:pPr>
        <w:pStyle w:val="80"/>
        <w:rPr>
          <w:rFonts w:hint="eastAsia" w:cs="宋体"/>
          <w:color w:val="auto"/>
          <w:sz w:val="21"/>
          <w:highlight w:val="none"/>
        </w:rPr>
      </w:pPr>
      <w:r>
        <w:rPr>
          <w:rFonts w:hint="eastAsia" w:cs="宋体"/>
          <w:color w:val="auto"/>
          <w:sz w:val="21"/>
          <w:highlight w:val="none"/>
        </w:rPr>
        <w:t xml:space="preserve">除专用合同条款另有约定外，对于不属于依法必须招标的暂估价项目，采取以下第1种方式确定： </w:t>
      </w:r>
    </w:p>
    <w:p w14:paraId="41F490C9">
      <w:pPr>
        <w:pStyle w:val="80"/>
        <w:rPr>
          <w:rFonts w:hint="eastAsia" w:cs="宋体"/>
          <w:color w:val="auto"/>
          <w:sz w:val="21"/>
          <w:highlight w:val="none"/>
        </w:rPr>
      </w:pPr>
      <w:r>
        <w:rPr>
          <w:rFonts w:hint="eastAsia" w:cs="宋体"/>
          <w:color w:val="auto"/>
          <w:sz w:val="21"/>
          <w:highlight w:val="none"/>
        </w:rPr>
        <w:t>第1种方式：对于不属于依法必须招标的暂估价项目，按本项约定确认和批准：</w:t>
      </w:r>
    </w:p>
    <w:p w14:paraId="5E6336A6">
      <w:pPr>
        <w:pStyle w:val="80"/>
        <w:rPr>
          <w:rFonts w:hint="eastAsia" w:cs="宋体"/>
          <w:color w:val="auto"/>
          <w:sz w:val="21"/>
          <w:highlight w:val="none"/>
        </w:rPr>
      </w:pPr>
      <w:r>
        <w:rPr>
          <w:rFonts w:hint="eastAsia" w:cs="宋体"/>
          <w:color w:val="auto"/>
          <w:sz w:val="21"/>
          <w:highlight w:val="none"/>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14:paraId="1F347106">
      <w:pPr>
        <w:pStyle w:val="80"/>
        <w:rPr>
          <w:rFonts w:hint="eastAsia" w:cs="宋体"/>
          <w:color w:val="auto"/>
          <w:sz w:val="21"/>
          <w:highlight w:val="none"/>
        </w:rPr>
      </w:pPr>
      <w:r>
        <w:rPr>
          <w:rFonts w:hint="eastAsia" w:cs="宋体"/>
          <w:color w:val="auto"/>
          <w:sz w:val="21"/>
          <w:highlight w:val="none"/>
        </w:rPr>
        <w:t>（2）发包人认为承包人确定的供应商、分包人无法满足工程质量或合同要求的，发包人可以要求承包人重新确定暂估价项目的供应商、分包人；</w:t>
      </w:r>
    </w:p>
    <w:p w14:paraId="39E0AA2E">
      <w:pPr>
        <w:pStyle w:val="80"/>
        <w:rPr>
          <w:rFonts w:hint="eastAsia" w:cs="宋体"/>
          <w:color w:val="auto"/>
          <w:sz w:val="21"/>
          <w:highlight w:val="none"/>
        </w:rPr>
      </w:pPr>
      <w:r>
        <w:rPr>
          <w:rFonts w:hint="eastAsia" w:cs="宋体"/>
          <w:color w:val="auto"/>
          <w:sz w:val="21"/>
          <w:highlight w:val="none"/>
        </w:rPr>
        <w:t>（3）承包人应当在签订暂估价合同后7天内，将暂估价合同副本报送发包人留存。</w:t>
      </w:r>
    </w:p>
    <w:p w14:paraId="7AED669F">
      <w:pPr>
        <w:pStyle w:val="80"/>
        <w:rPr>
          <w:rFonts w:hint="eastAsia" w:cs="宋体"/>
          <w:color w:val="auto"/>
          <w:sz w:val="21"/>
          <w:highlight w:val="none"/>
        </w:rPr>
      </w:pPr>
      <w:r>
        <w:rPr>
          <w:rFonts w:hint="eastAsia" w:cs="宋体"/>
          <w:color w:val="auto"/>
          <w:sz w:val="21"/>
          <w:highlight w:val="none"/>
        </w:rPr>
        <w:t>第2种方式：承包人按照第10.7.1项〔依法必须招标的暂估价项目〕约定的第1种方式确定暂估价项目。</w:t>
      </w:r>
    </w:p>
    <w:p w14:paraId="0086DFA5">
      <w:pPr>
        <w:pStyle w:val="80"/>
        <w:rPr>
          <w:rFonts w:hint="eastAsia" w:cs="宋体"/>
          <w:color w:val="auto"/>
          <w:sz w:val="21"/>
          <w:highlight w:val="none"/>
        </w:rPr>
      </w:pPr>
      <w:r>
        <w:rPr>
          <w:rFonts w:hint="eastAsia" w:cs="宋体"/>
          <w:color w:val="auto"/>
          <w:sz w:val="21"/>
          <w:highlight w:val="none"/>
        </w:rPr>
        <w:t>第3种方式：承包人直接实施的暂估价项目</w:t>
      </w:r>
    </w:p>
    <w:p w14:paraId="513E7669">
      <w:pPr>
        <w:pStyle w:val="80"/>
        <w:rPr>
          <w:rFonts w:hint="eastAsia" w:cs="宋体"/>
          <w:color w:val="auto"/>
          <w:sz w:val="21"/>
          <w:highlight w:val="none"/>
        </w:rPr>
      </w:pPr>
      <w:r>
        <w:rPr>
          <w:rFonts w:hint="eastAsia" w:cs="宋体"/>
          <w:color w:val="auto"/>
          <w:sz w:val="21"/>
          <w:highlight w:val="none"/>
        </w:rPr>
        <w:t>承包人具备实施暂估价项目的资格和条件的，经发包人和承包人协商一致后，可由承包人自行实施暂估价项目，合同当事人可以在专用合同条款</w:t>
      </w:r>
      <w:r>
        <w:rPr>
          <w:rFonts w:hint="eastAsia" w:cs="宋体"/>
          <w:color w:val="auto"/>
          <w:sz w:val="21"/>
          <w:highlight w:val="none"/>
          <w:lang w:eastAsia="zh-CN"/>
        </w:rPr>
        <w:t>中</w:t>
      </w:r>
      <w:r>
        <w:rPr>
          <w:rFonts w:hint="eastAsia" w:cs="宋体"/>
          <w:color w:val="auto"/>
          <w:sz w:val="21"/>
          <w:highlight w:val="none"/>
        </w:rPr>
        <w:t>约定具体事项。</w:t>
      </w:r>
    </w:p>
    <w:p w14:paraId="64518032">
      <w:pPr>
        <w:pStyle w:val="80"/>
        <w:rPr>
          <w:rFonts w:hint="eastAsia" w:cs="宋体"/>
          <w:color w:val="auto"/>
          <w:sz w:val="21"/>
          <w:highlight w:val="none"/>
        </w:rPr>
      </w:pPr>
      <w:r>
        <w:rPr>
          <w:rFonts w:hint="eastAsia" w:cs="宋体"/>
          <w:color w:val="auto"/>
          <w:sz w:val="21"/>
          <w:highlight w:val="none"/>
        </w:rPr>
        <w:t>10.7.3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14:paraId="25AFF29B">
      <w:pPr>
        <w:pStyle w:val="322"/>
        <w:rPr>
          <w:rFonts w:hint="eastAsia" w:ascii="宋体" w:cs="宋体"/>
          <w:color w:val="auto"/>
          <w:highlight w:val="none"/>
        </w:rPr>
      </w:pPr>
      <w:bookmarkStart w:id="482" w:name="_Toc478389114"/>
      <w:bookmarkStart w:id="483" w:name="_Toc351203575"/>
      <w:r>
        <w:rPr>
          <w:rFonts w:hint="eastAsia" w:ascii="宋体" w:cs="宋体"/>
          <w:color w:val="auto"/>
          <w:highlight w:val="none"/>
        </w:rPr>
        <w:t>1</w:t>
      </w:r>
      <w:bookmarkStart w:id="484" w:name="_Toc337558794"/>
      <w:bookmarkStart w:id="485" w:name="_Toc296346591"/>
      <w:bookmarkStart w:id="486" w:name="_Toc322522561"/>
      <w:bookmarkStart w:id="487" w:name="_Toc296503090"/>
      <w:r>
        <w:rPr>
          <w:rFonts w:hint="eastAsia" w:ascii="宋体" w:cs="宋体"/>
          <w:color w:val="auto"/>
          <w:highlight w:val="none"/>
        </w:rPr>
        <w:t>0.8暂列金额</w:t>
      </w:r>
      <w:bookmarkEnd w:id="482"/>
      <w:bookmarkEnd w:id="483"/>
    </w:p>
    <w:bookmarkEnd w:id="484"/>
    <w:p w14:paraId="69FAE21F">
      <w:pPr>
        <w:pStyle w:val="80"/>
        <w:rPr>
          <w:rFonts w:hint="eastAsia" w:cs="宋体"/>
          <w:color w:val="auto"/>
          <w:sz w:val="21"/>
          <w:highlight w:val="none"/>
        </w:rPr>
      </w:pPr>
      <w:r>
        <w:rPr>
          <w:rFonts w:hint="eastAsia" w:cs="宋体"/>
          <w:color w:val="auto"/>
          <w:sz w:val="21"/>
          <w:highlight w:val="none"/>
        </w:rPr>
        <w:t>暂列金额应按照发包人的要求使用，发包人的要求应通过监理人发出。合同当事人可以在专用合同条款中协商确定有关事项。</w:t>
      </w:r>
    </w:p>
    <w:bookmarkEnd w:id="485"/>
    <w:bookmarkEnd w:id="486"/>
    <w:bookmarkEnd w:id="487"/>
    <w:p w14:paraId="58C1B9D8">
      <w:pPr>
        <w:pStyle w:val="322"/>
        <w:rPr>
          <w:rFonts w:hint="eastAsia" w:ascii="宋体" w:cs="宋体"/>
          <w:color w:val="auto"/>
          <w:highlight w:val="none"/>
        </w:rPr>
      </w:pPr>
      <w:bookmarkStart w:id="488" w:name="_Toc478389115"/>
      <w:bookmarkStart w:id="489" w:name="_Toc351203576"/>
      <w:r>
        <w:rPr>
          <w:rFonts w:hint="eastAsia" w:ascii="宋体" w:cs="宋体"/>
          <w:color w:val="auto"/>
          <w:highlight w:val="none"/>
        </w:rPr>
        <w:t>1</w:t>
      </w:r>
      <w:bookmarkStart w:id="490" w:name="_Toc296503091"/>
      <w:bookmarkStart w:id="491" w:name="_Toc337558796"/>
      <w:bookmarkStart w:id="492" w:name="_Toc296346592"/>
      <w:r>
        <w:rPr>
          <w:rFonts w:hint="eastAsia" w:ascii="宋体" w:cs="宋体"/>
          <w:color w:val="auto"/>
          <w:highlight w:val="none"/>
        </w:rPr>
        <w:t>0.9计日工</w:t>
      </w:r>
      <w:bookmarkEnd w:id="488"/>
      <w:bookmarkEnd w:id="489"/>
      <w:bookmarkEnd w:id="490"/>
      <w:bookmarkEnd w:id="491"/>
      <w:bookmarkEnd w:id="492"/>
    </w:p>
    <w:p w14:paraId="1B03739B">
      <w:pPr>
        <w:pStyle w:val="80"/>
        <w:rPr>
          <w:rFonts w:hint="eastAsia" w:cs="宋体"/>
          <w:color w:val="auto"/>
          <w:sz w:val="21"/>
          <w:highlight w:val="none"/>
        </w:rPr>
      </w:pPr>
      <w:r>
        <w:rPr>
          <w:rFonts w:hint="eastAsia" w:cs="宋体"/>
          <w:color w:val="auto"/>
          <w:sz w:val="21"/>
          <w:highlight w:val="none"/>
        </w:rPr>
        <w:t>需要采用计日工方式的，经发包人同意后，由监理人通知承包人以计日工计价方式实施相应的工作，其价款按列入已标价工程量清单或预算书中的计日工计价项目及其单价进行计算；已标价工程量清单或预算书中无相应的计日工单价的，按照合理的成本与利润构成的原则，由合同当事人按照第4.4款〔商定或确定〕确定计日工的单价。</w:t>
      </w:r>
    </w:p>
    <w:p w14:paraId="6E76B681">
      <w:pPr>
        <w:pStyle w:val="80"/>
        <w:rPr>
          <w:rFonts w:hint="eastAsia" w:cs="宋体"/>
          <w:color w:val="auto"/>
          <w:sz w:val="21"/>
          <w:highlight w:val="none"/>
        </w:rPr>
      </w:pPr>
      <w:r>
        <w:rPr>
          <w:rFonts w:hint="eastAsia" w:cs="宋体"/>
          <w:color w:val="auto"/>
          <w:sz w:val="21"/>
          <w:highlight w:val="none"/>
        </w:rPr>
        <w:t>采用计日工计价的任何一项工作，承包人应在该项工作实施过程中，每天提交以下报表和有关凭证报送监理人审查：</w:t>
      </w:r>
    </w:p>
    <w:p w14:paraId="5B4471B7">
      <w:pPr>
        <w:pStyle w:val="80"/>
        <w:rPr>
          <w:rFonts w:hint="eastAsia" w:cs="宋体"/>
          <w:color w:val="auto"/>
          <w:sz w:val="21"/>
          <w:highlight w:val="none"/>
        </w:rPr>
      </w:pPr>
      <w:r>
        <w:rPr>
          <w:rFonts w:hint="eastAsia" w:cs="宋体"/>
          <w:color w:val="auto"/>
          <w:sz w:val="21"/>
          <w:highlight w:val="none"/>
        </w:rPr>
        <w:t>（1）工作名称、内容和数量；</w:t>
      </w:r>
    </w:p>
    <w:p w14:paraId="6BCB6740">
      <w:pPr>
        <w:pStyle w:val="80"/>
        <w:rPr>
          <w:rFonts w:hint="eastAsia" w:cs="宋体"/>
          <w:color w:val="auto"/>
          <w:sz w:val="21"/>
          <w:highlight w:val="none"/>
        </w:rPr>
      </w:pPr>
      <w:r>
        <w:rPr>
          <w:rFonts w:hint="eastAsia" w:cs="宋体"/>
          <w:color w:val="auto"/>
          <w:sz w:val="21"/>
          <w:highlight w:val="none"/>
        </w:rPr>
        <w:t>（2）投入该工作的所有人员的姓名、专业、工种、级别和耗用工时；</w:t>
      </w:r>
    </w:p>
    <w:p w14:paraId="7544E00F">
      <w:pPr>
        <w:pStyle w:val="80"/>
        <w:rPr>
          <w:rFonts w:hint="eastAsia" w:cs="宋体"/>
          <w:color w:val="auto"/>
          <w:sz w:val="21"/>
          <w:highlight w:val="none"/>
        </w:rPr>
      </w:pPr>
      <w:r>
        <w:rPr>
          <w:rFonts w:hint="eastAsia" w:cs="宋体"/>
          <w:color w:val="auto"/>
          <w:sz w:val="21"/>
          <w:highlight w:val="none"/>
        </w:rPr>
        <w:t>（3）投入该工作的材料类别和数量；</w:t>
      </w:r>
    </w:p>
    <w:p w14:paraId="6E54892C">
      <w:pPr>
        <w:pStyle w:val="80"/>
        <w:rPr>
          <w:rFonts w:hint="eastAsia" w:cs="宋体"/>
          <w:color w:val="auto"/>
          <w:sz w:val="21"/>
          <w:highlight w:val="none"/>
        </w:rPr>
      </w:pPr>
      <w:r>
        <w:rPr>
          <w:rFonts w:hint="eastAsia" w:cs="宋体"/>
          <w:color w:val="auto"/>
          <w:sz w:val="21"/>
          <w:highlight w:val="none"/>
        </w:rPr>
        <w:t>（4）投入该工作的施工设备型号、台数和耗用台时；</w:t>
      </w:r>
    </w:p>
    <w:p w14:paraId="3C1F4237">
      <w:pPr>
        <w:pStyle w:val="80"/>
        <w:rPr>
          <w:rFonts w:hint="eastAsia" w:cs="宋体"/>
          <w:color w:val="auto"/>
          <w:sz w:val="21"/>
          <w:highlight w:val="none"/>
        </w:rPr>
      </w:pPr>
      <w:r>
        <w:rPr>
          <w:rFonts w:hint="eastAsia" w:cs="宋体"/>
          <w:color w:val="auto"/>
          <w:sz w:val="21"/>
          <w:highlight w:val="none"/>
        </w:rPr>
        <w:t>（5）其他有关资料和凭证。</w:t>
      </w:r>
    </w:p>
    <w:p w14:paraId="163BFABF">
      <w:pPr>
        <w:pStyle w:val="80"/>
        <w:rPr>
          <w:rFonts w:hint="eastAsia" w:cs="宋体"/>
          <w:color w:val="auto"/>
          <w:sz w:val="21"/>
          <w:highlight w:val="none"/>
        </w:rPr>
      </w:pPr>
      <w:r>
        <w:rPr>
          <w:rFonts w:hint="eastAsia" w:cs="宋体"/>
          <w:color w:val="auto"/>
          <w:sz w:val="21"/>
          <w:highlight w:val="none"/>
        </w:rPr>
        <w:t>计日工由承包人汇总后，列入最近一期进度付款申请单，由监理人审查并经发包人批准后列入进度付款。</w:t>
      </w:r>
    </w:p>
    <w:p w14:paraId="160F1ECC">
      <w:pPr>
        <w:pStyle w:val="322"/>
        <w:rPr>
          <w:rFonts w:hint="eastAsia" w:ascii="宋体" w:cs="宋体"/>
          <w:color w:val="auto"/>
          <w:highlight w:val="none"/>
        </w:rPr>
      </w:pPr>
      <w:bookmarkStart w:id="493" w:name="_Toc351203577"/>
      <w:bookmarkStart w:id="494" w:name="_Toc478389116"/>
      <w:r>
        <w:rPr>
          <w:rFonts w:hint="eastAsia" w:ascii="宋体" w:cs="宋体"/>
          <w:color w:val="auto"/>
          <w:highlight w:val="none"/>
        </w:rPr>
        <w:t>11. 价格调整</w:t>
      </w:r>
      <w:bookmarkEnd w:id="493"/>
      <w:bookmarkEnd w:id="494"/>
    </w:p>
    <w:p w14:paraId="5D1D2E6E">
      <w:pPr>
        <w:pStyle w:val="322"/>
        <w:rPr>
          <w:rFonts w:hint="eastAsia" w:ascii="宋体" w:cs="宋体"/>
          <w:color w:val="auto"/>
          <w:highlight w:val="none"/>
        </w:rPr>
      </w:pPr>
      <w:bookmarkStart w:id="495" w:name="_Toc478389117"/>
      <w:bookmarkStart w:id="496" w:name="_Toc351203578"/>
      <w:bookmarkStart w:id="497" w:name="_Toc337558797"/>
      <w:bookmarkStart w:id="498" w:name="_Toc296503092"/>
      <w:bookmarkStart w:id="499" w:name="_Toc296346593"/>
      <w:r>
        <w:rPr>
          <w:rFonts w:hint="eastAsia" w:ascii="宋体" w:cs="宋体"/>
          <w:color w:val="auto"/>
          <w:highlight w:val="none"/>
        </w:rPr>
        <w:t>11.1市场价格波动引起的调整</w:t>
      </w:r>
      <w:bookmarkEnd w:id="495"/>
      <w:bookmarkEnd w:id="496"/>
    </w:p>
    <w:bookmarkEnd w:id="497"/>
    <w:bookmarkEnd w:id="498"/>
    <w:bookmarkEnd w:id="499"/>
    <w:p w14:paraId="438B2640">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除专用合同条款另有约定外，市场价格波动超过合同当事人约定的范围，合同价格应当调整。合同当事人可以在专用合同条款中约定选择以下一种方式对合同价格进行调整：</w:t>
      </w:r>
    </w:p>
    <w:p w14:paraId="4C473B7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第1种方式：采用价格指数进行价格调整。</w:t>
      </w:r>
    </w:p>
    <w:p w14:paraId="63C22D3C">
      <w:pPr>
        <w:tabs>
          <w:tab w:val="left" w:pos="0"/>
          <w:tab w:val="left" w:pos="360"/>
          <w:tab w:val="left" w:pos="54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（1）价格调整公式</w:t>
      </w:r>
    </w:p>
    <w:p w14:paraId="2B4E362F">
      <w:pPr>
        <w:tabs>
          <w:tab w:val="left" w:pos="0"/>
          <w:tab w:val="left" w:pos="360"/>
          <w:tab w:val="left" w:pos="54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因人工、材料和设备等价格波动影响合同价格时，根据专用合同条款中约定的数据，按以下公式计算差额并调整合同价格：</w:t>
      </w:r>
    </w:p>
    <w:p w14:paraId="72816550">
      <w:pPr>
        <w:tabs>
          <w:tab w:val="left" w:pos="0"/>
          <w:tab w:val="left" w:pos="360"/>
          <w:tab w:val="left" w:pos="54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position w:val="-30"/>
          <w:szCs w:val="21"/>
          <w:highlight w:val="none"/>
        </w:rPr>
        <w:object>
          <v:shape id="_x0000_i1025" o:spt="75" type="#_x0000_t75" style="height:43.7pt;width:360pt;" o:ole="t" filled="f" o:preferrelative="t" stroked="f" coordsize="21600,21600">
            <v:path/>
            <v:fill on="f" focussize="0,0"/>
            <v:stroke on="f" joinstyle="miter"/>
            <v:imagedata r:id="rId15" o:title=""/>
            <o:lock v:ext="edit" aspectratio="t"/>
            <w10:wrap type="none"/>
            <w10:anchorlock/>
          </v:shape>
          <o:OLEObject Type="Embed" ProgID="Equation.3" ShapeID="_x0000_i1025" DrawAspect="Content" ObjectID="_1468075725" r:id="rId14">
            <o:LockedField>false</o:LockedField>
          </o:OLEObject>
        </w:object>
      </w:r>
    </w:p>
    <w:p w14:paraId="6918AFC3">
      <w:pPr>
        <w:tabs>
          <w:tab w:val="left" w:pos="0"/>
          <w:tab w:val="left" w:pos="360"/>
          <w:tab w:val="left" w:pos="540"/>
        </w:tabs>
        <w:spacing w:line="360" w:lineRule="auto"/>
        <w:ind w:firstLine="640"/>
        <w:rPr>
          <w:rFonts w:hint="eastAsia" w:ascii="宋体" w:hAnsi="宋体" w:cs="宋体"/>
          <w:color w:val="auto"/>
          <w:szCs w:val="21"/>
          <w:highlight w:val="none"/>
        </w:rPr>
      </w:pPr>
      <w:r>
        <w:rPr>
          <w:rFonts w:hint="eastAsia" w:ascii="宋体" w:hAnsi="宋体" w:cs="宋体"/>
          <w:color w:val="auto"/>
          <w:szCs w:val="21"/>
          <w:highlight w:val="none"/>
        </w:rPr>
        <w:t>公式中：ΔP——需调整的价格差额；</w:t>
      </w:r>
    </w:p>
    <w:p w14:paraId="731BB5DC">
      <w:pPr>
        <w:tabs>
          <w:tab w:val="left" w:pos="0"/>
          <w:tab w:val="left" w:pos="360"/>
          <w:tab w:val="left" w:pos="540"/>
        </w:tabs>
        <w:spacing w:line="360" w:lineRule="auto"/>
        <w:ind w:firstLine="1260" w:firstLineChars="600"/>
        <w:rPr>
          <w:rFonts w:hint="eastAsia" w:ascii="宋体" w:hAnsi="宋体" w:cs="宋体"/>
          <w:color w:val="auto"/>
          <w:szCs w:val="21"/>
          <w:highlight w:val="none"/>
        </w:rPr>
      </w:pPr>
      <w:r>
        <w:rPr>
          <w:rFonts w:hint="eastAsia" w:ascii="宋体" w:hAnsi="宋体" w:cs="宋体"/>
          <w:color w:val="auto"/>
          <w:position w:val="-6"/>
          <w:szCs w:val="21"/>
          <w:highlight w:val="none"/>
        </w:rPr>
        <w:object>
          <v:shape id="_x0000_i1026" o:spt="75" type="#_x0000_t75" style="height:17.8pt;width:17.8pt;" o:ole="t" filled="f" o:preferrelative="t" stroked="f" coordsize="21600,21600">
            <v:path/>
            <v:fill on="f" focussize="0,0"/>
            <v:stroke on="f" joinstyle="miter"/>
            <v:imagedata r:id="rId17" o:title=""/>
            <o:lock v:ext="edit" aspectratio="t"/>
            <w10:wrap type="none"/>
            <w10:anchorlock/>
          </v:shape>
          <o:OLEObject Type="Embed" ProgID="Equation.3" ShapeID="_x0000_i1026" DrawAspect="Content" ObjectID="_1468075726" r:id="rId16">
            <o:LockedField>false</o:LockedField>
          </o:OLEObject>
        </w:object>
      </w:r>
      <w:r>
        <w:rPr>
          <w:rFonts w:hint="eastAsia" w:ascii="宋体" w:hAnsi="宋体" w:cs="宋体"/>
          <w:color w:val="auto"/>
          <w:szCs w:val="21"/>
          <w:highlight w:val="none"/>
        </w:rPr>
        <w:t>——约定的付款证书中承包人应得到的已完成工程量的金额。此项金额应不包括价格调整、不计质量保证金的扣留和支付、预付款的支付和扣回。约定的变更及其他金额已按现行价格计价的，也不计在内；</w:t>
      </w:r>
    </w:p>
    <w:p w14:paraId="091CB9F4">
      <w:pPr>
        <w:tabs>
          <w:tab w:val="left" w:pos="0"/>
          <w:tab w:val="left" w:pos="360"/>
          <w:tab w:val="left" w:pos="54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A——定值权重（即不调部分的权重）；</w:t>
      </w:r>
    </w:p>
    <w:p w14:paraId="2E167107">
      <w:pPr>
        <w:tabs>
          <w:tab w:val="left" w:pos="0"/>
          <w:tab w:val="left" w:pos="360"/>
          <w:tab w:val="left" w:pos="54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position w:val="-10"/>
          <w:szCs w:val="21"/>
          <w:highlight w:val="none"/>
        </w:rPr>
        <w:object>
          <v:shape id="_x0000_i1027" o:spt="75" type="#_x0000_t75" style="height:21.85pt;width:101.1pt;" o:ole="t" filled="f" o:preferrelative="t" stroked="f" coordsize="21600,21600">
            <v:path/>
            <v:fill on="f" focussize="0,0"/>
            <v:stroke on="f" joinstyle="miter"/>
            <v:imagedata r:id="rId19" o:title=""/>
            <o:lock v:ext="edit" aspectratio="t"/>
            <w10:wrap type="none"/>
            <w10:anchorlock/>
          </v:shape>
          <o:OLEObject Type="Embed" ProgID="Equation.3" ShapeID="_x0000_i1027" DrawAspect="Content" ObjectID="_1468075727" r:id="rId18">
            <o:LockedField>false</o:LockedField>
          </o:OLEObject>
        </w:object>
      </w:r>
      <w:r>
        <w:rPr>
          <w:rFonts w:hint="eastAsia" w:ascii="宋体" w:hAnsi="宋体" w:cs="宋体"/>
          <w:color w:val="auto"/>
          <w:szCs w:val="21"/>
          <w:highlight w:val="none"/>
        </w:rPr>
        <w:t>——各可调因子的变值权重（即可调部分的权重），为各可调因子在签约合同价中所占的比例；</w:t>
      </w:r>
    </w:p>
    <w:p w14:paraId="2DFAD38A">
      <w:pPr>
        <w:tabs>
          <w:tab w:val="left" w:pos="0"/>
          <w:tab w:val="left" w:pos="360"/>
          <w:tab w:val="left" w:pos="54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position w:val="-10"/>
          <w:szCs w:val="21"/>
          <w:highlight w:val="none"/>
        </w:rPr>
        <w:object>
          <v:shape id="_x0000_i1028" o:spt="75" type="#_x0000_t75" style="height:21.85pt;width:101.1pt;" o:ole="t" filled="f" o:preferrelative="t" stroked="f" coordsize="21600,21600">
            <v:path/>
            <v:fill on="f" focussize="0,0"/>
            <v:stroke on="f" joinstyle="miter"/>
            <v:imagedata r:id="rId21" o:title=""/>
            <o:lock v:ext="edit" aspectratio="t"/>
            <w10:wrap type="none"/>
            <w10:anchorlock/>
          </v:shape>
          <o:OLEObject Type="Embed" ProgID="Equation.3" ShapeID="_x0000_i1028" DrawAspect="Content" ObjectID="_1468075728" r:id="rId20">
            <o:LockedField>false</o:LockedField>
          </o:OLEObject>
        </w:object>
      </w:r>
      <w:r>
        <w:rPr>
          <w:rFonts w:hint="eastAsia" w:ascii="宋体" w:hAnsi="宋体" w:cs="宋体"/>
          <w:color w:val="auto"/>
          <w:szCs w:val="21"/>
          <w:highlight w:val="none"/>
        </w:rPr>
        <w:t>——各可调因子的现行价格指数，指约定的付款证书相关周期最后一天的前42天的各可调因子的价格指数；</w:t>
      </w:r>
    </w:p>
    <w:p w14:paraId="0A921F3E">
      <w:pPr>
        <w:tabs>
          <w:tab w:val="left" w:pos="0"/>
          <w:tab w:val="left" w:pos="360"/>
          <w:tab w:val="left" w:pos="54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position w:val="-10"/>
          <w:szCs w:val="21"/>
          <w:highlight w:val="none"/>
        </w:rPr>
        <w:object>
          <v:shape id="_x0000_i1029" o:spt="75" type="#_x0000_t75" style="height:21.05pt;width:106.8pt;" o:ole="t" filled="f" o:preferrelative="t" stroked="f" coordsize="21600,21600">
            <v:path/>
            <v:fill on="f" focussize="0,0"/>
            <v:stroke on="f" joinstyle="miter"/>
            <v:imagedata r:id="rId23" o:title=""/>
            <o:lock v:ext="edit" aspectratio="t"/>
            <w10:wrap type="none"/>
            <w10:anchorlock/>
          </v:shape>
          <o:OLEObject Type="Embed" ProgID="Equation.3" ShapeID="_x0000_i1029" DrawAspect="Content" ObjectID="_1468075729" r:id="rId22">
            <o:LockedField>false</o:LockedField>
          </o:OLEObject>
        </w:object>
      </w:r>
      <w:r>
        <w:rPr>
          <w:rFonts w:hint="eastAsia" w:ascii="宋体" w:hAnsi="宋体" w:cs="宋体"/>
          <w:color w:val="auto"/>
          <w:szCs w:val="21"/>
          <w:highlight w:val="none"/>
        </w:rPr>
        <w:t>——各可调因子的基本价格指数，指基准日期的各可调因子的价格指数。</w:t>
      </w:r>
    </w:p>
    <w:p w14:paraId="22C5334A">
      <w:pPr>
        <w:tabs>
          <w:tab w:val="left" w:pos="0"/>
          <w:tab w:val="left" w:pos="360"/>
          <w:tab w:val="left" w:pos="54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14:paraId="024D6658">
      <w:pPr>
        <w:tabs>
          <w:tab w:val="left" w:pos="0"/>
          <w:tab w:val="left" w:pos="360"/>
          <w:tab w:val="left" w:pos="54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（2）暂时确定调整差额</w:t>
      </w:r>
    </w:p>
    <w:p w14:paraId="6E5BE3E1">
      <w:pPr>
        <w:tabs>
          <w:tab w:val="left" w:pos="0"/>
          <w:tab w:val="left" w:pos="360"/>
          <w:tab w:val="left" w:pos="54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在计算调整差额时无现行价格指数的，合同当事人同意暂用前次价格指数计算。实际价格指数有调整的，合同当事人进行相应调整。</w:t>
      </w:r>
    </w:p>
    <w:p w14:paraId="56422B7F">
      <w:pPr>
        <w:tabs>
          <w:tab w:val="left" w:pos="0"/>
          <w:tab w:val="left" w:pos="360"/>
          <w:tab w:val="left" w:pos="54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（3）权重的调整</w:t>
      </w:r>
    </w:p>
    <w:p w14:paraId="438B822D">
      <w:pPr>
        <w:tabs>
          <w:tab w:val="left" w:pos="0"/>
          <w:tab w:val="left" w:pos="360"/>
          <w:tab w:val="left" w:pos="54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因变更导致合同约定的权重不合理时，按照第4.4款〔商定或确定〕执行。</w:t>
      </w:r>
    </w:p>
    <w:p w14:paraId="5A0DC66C">
      <w:pPr>
        <w:tabs>
          <w:tab w:val="left" w:pos="0"/>
          <w:tab w:val="left" w:pos="360"/>
          <w:tab w:val="left" w:pos="54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（4）因承包人原因工期延误后的价格调整</w:t>
      </w:r>
    </w:p>
    <w:p w14:paraId="5D820169">
      <w:pPr>
        <w:tabs>
          <w:tab w:val="left" w:pos="0"/>
          <w:tab w:val="left" w:pos="360"/>
          <w:tab w:val="left" w:pos="54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因承包人原因未按期竣工的，对合同约定的竣工日期后继续施工的工程，在使用价格调整公式时，应采用计划竣工日期与实际竣工日期的两个价格指数中较低的一个作为现行价格指数。</w:t>
      </w:r>
    </w:p>
    <w:p w14:paraId="5F7D13B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第2种方式：采用造价信息进行价格调整。</w:t>
      </w:r>
    </w:p>
    <w:p w14:paraId="5C6AA6B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量应由发包人审批，发包人确认需调整的材料单价及数量，作为调整合同价格的依据。</w:t>
      </w:r>
    </w:p>
    <w:p w14:paraId="028A22F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14:paraId="086BC32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（2）材料、工程设备价格变化的价款调整按照发包人提供的基准价格，按以下风险范围规定执行：</w:t>
      </w:r>
    </w:p>
    <w:p w14:paraId="2929B6B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①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14:paraId="4052456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②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14:paraId="2F3DA2A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③承包人在已标价工程量清单或预算书中载明材料单价等于基准价格的：除专用合同条款另有约定外，合同履行期间材料单价涨跌幅以基准价格为基础超过±5%时，其超过部分据实调整。</w:t>
      </w:r>
    </w:p>
    <w:p w14:paraId="6A969A9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④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14:paraId="2EB67C1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前述基准价格是指由发包人在采购文件或专用合同条款中给定的材料、工程设备的价格，该价格原则上应当按照省级或行业建设主管部门或其授权的工程造价管理机构发布的信息价编制。</w:t>
      </w:r>
    </w:p>
    <w:p w14:paraId="29C325E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（3）施工机械台班单价或施工机械使用费发生变化超过省级或行业建设主管部门或其授权的工程造价管理机构规定的范围时，按规定调整合同价格。</w:t>
      </w:r>
    </w:p>
    <w:p w14:paraId="3E927E9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第3种方式：专用合同条款约定的其他方式。</w:t>
      </w:r>
    </w:p>
    <w:p w14:paraId="15102980">
      <w:pPr>
        <w:pStyle w:val="322"/>
        <w:rPr>
          <w:rFonts w:hint="eastAsia" w:ascii="宋体" w:cs="宋体"/>
          <w:color w:val="auto"/>
          <w:highlight w:val="none"/>
        </w:rPr>
      </w:pPr>
      <w:bookmarkStart w:id="500" w:name="_Toc478389118"/>
      <w:bookmarkStart w:id="501" w:name="_Toc351203579"/>
      <w:bookmarkStart w:id="502" w:name="_Toc337558798"/>
      <w:bookmarkStart w:id="503" w:name="_Toc296503093"/>
      <w:bookmarkStart w:id="504" w:name="_Toc296346594"/>
      <w:r>
        <w:rPr>
          <w:rFonts w:hint="eastAsia" w:ascii="宋体" w:cs="宋体"/>
          <w:color w:val="auto"/>
          <w:highlight w:val="none"/>
        </w:rPr>
        <w:t>11.2法律变化引起的调整</w:t>
      </w:r>
      <w:bookmarkEnd w:id="500"/>
      <w:bookmarkEnd w:id="501"/>
    </w:p>
    <w:bookmarkEnd w:id="502"/>
    <w:bookmarkEnd w:id="503"/>
    <w:bookmarkEnd w:id="504"/>
    <w:p w14:paraId="2814CC86">
      <w:pPr>
        <w:pStyle w:val="80"/>
        <w:rPr>
          <w:rFonts w:hint="eastAsia" w:cs="宋体"/>
          <w:color w:val="auto"/>
          <w:sz w:val="21"/>
          <w:highlight w:val="none"/>
        </w:rPr>
      </w:pPr>
      <w:r>
        <w:rPr>
          <w:rFonts w:hint="eastAsia" w:cs="宋体"/>
          <w:color w:val="auto"/>
          <w:sz w:val="21"/>
          <w:highlight w:val="none"/>
        </w:rPr>
        <w:t>基准日期后，法律变化导致承包人在合同履行过程中所需要的费用发生除第11.1款〔市场价格波动引起的调整〕约定以外的增加时，由发包人承担由此增加的费用；减少时，应从合同价格中予以扣减。基准日期后，因法律变化造成工期延误时，工期应予以顺延。</w:t>
      </w:r>
    </w:p>
    <w:p w14:paraId="40F6ECEC">
      <w:pPr>
        <w:pStyle w:val="80"/>
        <w:rPr>
          <w:rFonts w:hint="eastAsia" w:cs="宋体"/>
          <w:color w:val="auto"/>
          <w:sz w:val="21"/>
          <w:highlight w:val="none"/>
        </w:rPr>
      </w:pPr>
      <w:r>
        <w:rPr>
          <w:rFonts w:hint="eastAsia" w:cs="宋体"/>
          <w:color w:val="auto"/>
          <w:sz w:val="21"/>
          <w:highlight w:val="none"/>
        </w:rPr>
        <w:t>因法律变化引起的合同价格和工期调整，合同当事人无法达成一致的，由总监理工程师按第4.4款〔商定或确定〕的约定处理。</w:t>
      </w:r>
    </w:p>
    <w:p w14:paraId="5BEBF512">
      <w:pPr>
        <w:pStyle w:val="80"/>
        <w:rPr>
          <w:rFonts w:hint="eastAsia" w:cs="宋体"/>
          <w:color w:val="auto"/>
          <w:sz w:val="21"/>
          <w:highlight w:val="none"/>
        </w:rPr>
      </w:pPr>
      <w:r>
        <w:rPr>
          <w:rFonts w:hint="eastAsia" w:cs="宋体"/>
          <w:color w:val="auto"/>
          <w:sz w:val="21"/>
          <w:highlight w:val="none"/>
        </w:rPr>
        <w:t>因承包人原因造成工期延误，在工期延误期间出现法律变化的，由此增加的费用和（或）延误的工期由承包人承担。</w:t>
      </w:r>
    </w:p>
    <w:p w14:paraId="06259D7E">
      <w:pPr>
        <w:pStyle w:val="322"/>
        <w:rPr>
          <w:rFonts w:hint="eastAsia" w:ascii="宋体" w:cs="宋体"/>
          <w:color w:val="auto"/>
          <w:highlight w:val="none"/>
        </w:rPr>
      </w:pPr>
      <w:bookmarkStart w:id="505" w:name="_Toc478389119"/>
      <w:bookmarkStart w:id="506" w:name="_Toc351203580"/>
      <w:bookmarkStart w:id="507" w:name="_Toc337558799"/>
      <w:bookmarkStart w:id="508" w:name="_Toc296346597"/>
      <w:bookmarkStart w:id="509" w:name="_Toc296503096"/>
      <w:r>
        <w:rPr>
          <w:rFonts w:hint="eastAsia" w:ascii="宋体" w:cs="宋体"/>
          <w:color w:val="auto"/>
          <w:highlight w:val="none"/>
        </w:rPr>
        <w:t>12. 合同价格、计量与支付</w:t>
      </w:r>
      <w:bookmarkEnd w:id="505"/>
      <w:bookmarkEnd w:id="506"/>
    </w:p>
    <w:bookmarkEnd w:id="507"/>
    <w:p w14:paraId="6C17981A">
      <w:pPr>
        <w:pStyle w:val="322"/>
        <w:rPr>
          <w:rFonts w:hint="eastAsia" w:ascii="宋体" w:cs="宋体"/>
          <w:color w:val="auto"/>
          <w:highlight w:val="none"/>
        </w:rPr>
      </w:pPr>
      <w:bookmarkStart w:id="510" w:name="_Toc478389120"/>
      <w:bookmarkStart w:id="511" w:name="_Toc351203581"/>
      <w:bookmarkStart w:id="512" w:name="_Toc337558800"/>
      <w:r>
        <w:rPr>
          <w:rFonts w:hint="eastAsia" w:ascii="宋体" w:cs="宋体"/>
          <w:color w:val="auto"/>
          <w:highlight w:val="none"/>
        </w:rPr>
        <w:t>12.1 合同价</w:t>
      </w:r>
      <w:bookmarkEnd w:id="508"/>
      <w:bookmarkEnd w:id="509"/>
      <w:r>
        <w:rPr>
          <w:rFonts w:hint="eastAsia" w:ascii="宋体" w:cs="宋体"/>
          <w:color w:val="auto"/>
          <w:highlight w:val="none"/>
        </w:rPr>
        <w:t>格形式</w:t>
      </w:r>
      <w:bookmarkEnd w:id="510"/>
      <w:bookmarkEnd w:id="511"/>
    </w:p>
    <w:bookmarkEnd w:id="512"/>
    <w:p w14:paraId="60331986">
      <w:pPr>
        <w:pStyle w:val="80"/>
        <w:rPr>
          <w:rFonts w:hint="eastAsia" w:cs="宋体"/>
          <w:color w:val="auto"/>
          <w:sz w:val="21"/>
          <w:highlight w:val="none"/>
        </w:rPr>
      </w:pPr>
      <w:r>
        <w:rPr>
          <w:rFonts w:hint="eastAsia" w:cs="宋体"/>
          <w:color w:val="auto"/>
          <w:sz w:val="21"/>
          <w:highlight w:val="none"/>
        </w:rPr>
        <w:t xml:space="preserve">发包人和承包人应在合同协议书中选择下列一种合同价格形式： </w:t>
      </w:r>
    </w:p>
    <w:p w14:paraId="23672217">
      <w:pPr>
        <w:pStyle w:val="80"/>
        <w:rPr>
          <w:rFonts w:hint="eastAsia" w:cs="宋体"/>
          <w:color w:val="auto"/>
          <w:sz w:val="21"/>
          <w:highlight w:val="none"/>
        </w:rPr>
      </w:pPr>
      <w:r>
        <w:rPr>
          <w:rFonts w:hint="eastAsia" w:cs="宋体"/>
          <w:color w:val="auto"/>
          <w:sz w:val="21"/>
          <w:highlight w:val="none"/>
          <w:lang w:eastAsia="zh-CN"/>
        </w:rPr>
        <w:t>1.</w:t>
      </w:r>
      <w:r>
        <w:rPr>
          <w:rFonts w:hint="eastAsia" w:cs="宋体"/>
          <w:color w:val="auto"/>
          <w:sz w:val="21"/>
          <w:highlight w:val="none"/>
        </w:rPr>
        <w:t>单价合同</w:t>
      </w:r>
    </w:p>
    <w:p w14:paraId="4693A239">
      <w:pPr>
        <w:pStyle w:val="80"/>
        <w:rPr>
          <w:rFonts w:hint="eastAsia" w:cs="宋体"/>
          <w:color w:val="auto"/>
          <w:sz w:val="21"/>
          <w:highlight w:val="none"/>
        </w:rPr>
      </w:pPr>
      <w:r>
        <w:rPr>
          <w:rFonts w:hint="eastAsia" w:cs="宋体"/>
          <w:color w:val="auto"/>
          <w:sz w:val="21"/>
          <w:highlight w:val="none"/>
        </w:rPr>
        <w:t>单价合同是指合同当事人约定以工程量清单及其综合单价进行合同价格计算、调整和确认的建设工程施工合同，在约定的范围内合同单价不作调整。合同当事人应在专用合同条款中约定综合单价包含的风险范围和风险费用的计算方法，并约定风险范围以外的合同价格的调整方法，其中因市场价格波动引起的调整按第11.1款〔市场价格波动引起的调整〕约定执行。</w:t>
      </w:r>
    </w:p>
    <w:p w14:paraId="28C344B1">
      <w:pPr>
        <w:pStyle w:val="80"/>
        <w:rPr>
          <w:rFonts w:hint="eastAsia" w:cs="宋体"/>
          <w:color w:val="auto"/>
          <w:sz w:val="21"/>
          <w:highlight w:val="none"/>
        </w:rPr>
      </w:pPr>
      <w:r>
        <w:rPr>
          <w:rFonts w:hint="eastAsia" w:cs="宋体"/>
          <w:color w:val="auto"/>
          <w:sz w:val="21"/>
          <w:highlight w:val="none"/>
          <w:lang w:eastAsia="zh-CN"/>
        </w:rPr>
        <w:t>2.</w:t>
      </w:r>
      <w:r>
        <w:rPr>
          <w:rFonts w:hint="eastAsia" w:cs="宋体"/>
          <w:color w:val="auto"/>
          <w:sz w:val="21"/>
          <w:highlight w:val="none"/>
        </w:rPr>
        <w:t>总价合同</w:t>
      </w:r>
    </w:p>
    <w:p w14:paraId="662F07ED">
      <w:pPr>
        <w:pStyle w:val="80"/>
        <w:rPr>
          <w:rFonts w:hint="eastAsia" w:cs="宋体"/>
          <w:color w:val="auto"/>
          <w:sz w:val="21"/>
          <w:highlight w:val="none"/>
        </w:rPr>
      </w:pPr>
      <w:r>
        <w:rPr>
          <w:rFonts w:hint="eastAsia" w:cs="宋体"/>
          <w:color w:val="auto"/>
          <w:sz w:val="21"/>
          <w:highlight w:val="none"/>
        </w:rPr>
        <w:t>总价合同是指合同当事人约定以施工图、已标价工程量清单或预算书及有关条件进行合同价格计算、调整和确认的建设工程施工合同，在约定的范围内合同总价不作调整。合同当事人应在专用合同条款中约定总价包含的风险范围和风险费用的计算方法，并约定风险范围以外的合同价格的调整方法，其中因市场价格波动引起的调整按第11.1款〔市场价格波动引起的调整〕、因法律变化引起的调整按第11.2款〔法律变化引起的调整〕约定执行。</w:t>
      </w:r>
    </w:p>
    <w:p w14:paraId="354FEFD5">
      <w:pPr>
        <w:pStyle w:val="80"/>
        <w:rPr>
          <w:rFonts w:hint="eastAsia" w:cs="宋体"/>
          <w:color w:val="auto"/>
          <w:sz w:val="21"/>
          <w:highlight w:val="none"/>
        </w:rPr>
      </w:pPr>
      <w:r>
        <w:rPr>
          <w:rFonts w:hint="eastAsia" w:cs="宋体"/>
          <w:color w:val="auto"/>
          <w:sz w:val="21"/>
          <w:highlight w:val="none"/>
          <w:lang w:eastAsia="zh-CN"/>
        </w:rPr>
        <w:t>3.其他</w:t>
      </w:r>
      <w:r>
        <w:rPr>
          <w:rFonts w:hint="eastAsia" w:cs="宋体"/>
          <w:color w:val="auto"/>
          <w:sz w:val="21"/>
          <w:highlight w:val="none"/>
        </w:rPr>
        <w:t>价格形式</w:t>
      </w:r>
    </w:p>
    <w:p w14:paraId="56B084F6">
      <w:pPr>
        <w:pStyle w:val="80"/>
        <w:rPr>
          <w:rFonts w:hint="eastAsia" w:cs="宋体"/>
          <w:color w:val="auto"/>
          <w:sz w:val="21"/>
          <w:highlight w:val="none"/>
        </w:rPr>
      </w:pPr>
      <w:r>
        <w:rPr>
          <w:rFonts w:hint="eastAsia" w:cs="宋体"/>
          <w:color w:val="auto"/>
          <w:sz w:val="21"/>
          <w:highlight w:val="none"/>
        </w:rPr>
        <w:t>合同当事人可在专用合同条款中约定其他合同价格形式。</w:t>
      </w:r>
    </w:p>
    <w:p w14:paraId="4CE9AF40">
      <w:pPr>
        <w:pStyle w:val="322"/>
        <w:rPr>
          <w:rFonts w:hint="eastAsia" w:ascii="宋体" w:cs="宋体"/>
          <w:color w:val="auto"/>
          <w:highlight w:val="none"/>
        </w:rPr>
      </w:pPr>
      <w:bookmarkStart w:id="513" w:name="_Toc296346598"/>
      <w:bookmarkStart w:id="514" w:name="_Toc296503097"/>
      <w:bookmarkStart w:id="515" w:name="_Toc478389121"/>
      <w:bookmarkStart w:id="516" w:name="_Toc351203582"/>
      <w:bookmarkStart w:id="517" w:name="_Toc337558801"/>
      <w:r>
        <w:rPr>
          <w:rFonts w:hint="eastAsia" w:ascii="宋体" w:cs="宋体"/>
          <w:color w:val="auto"/>
          <w:highlight w:val="none"/>
        </w:rPr>
        <w:t>12.2预</w:t>
      </w:r>
      <w:bookmarkEnd w:id="513"/>
      <w:bookmarkEnd w:id="514"/>
      <w:bookmarkStart w:id="518" w:name="_Toc296503100"/>
      <w:bookmarkStart w:id="519" w:name="_Toc296346601"/>
      <w:r>
        <w:rPr>
          <w:rFonts w:hint="eastAsia" w:ascii="宋体" w:cs="宋体"/>
          <w:color w:val="auto"/>
          <w:highlight w:val="none"/>
        </w:rPr>
        <w:t>付款</w:t>
      </w:r>
      <w:bookmarkEnd w:id="515"/>
      <w:bookmarkEnd w:id="516"/>
    </w:p>
    <w:bookmarkEnd w:id="517"/>
    <w:bookmarkEnd w:id="518"/>
    <w:bookmarkEnd w:id="519"/>
    <w:p w14:paraId="3BF51AF1">
      <w:pPr>
        <w:pStyle w:val="80"/>
        <w:rPr>
          <w:rFonts w:hint="eastAsia" w:cs="宋体"/>
          <w:color w:val="auto"/>
          <w:sz w:val="21"/>
          <w:highlight w:val="none"/>
        </w:rPr>
      </w:pPr>
      <w:r>
        <w:rPr>
          <w:rFonts w:hint="eastAsia" w:cs="宋体"/>
          <w:color w:val="auto"/>
          <w:sz w:val="21"/>
          <w:highlight w:val="none"/>
        </w:rPr>
        <w:t>12.2.1预付款的支付</w:t>
      </w:r>
    </w:p>
    <w:p w14:paraId="45177095">
      <w:pPr>
        <w:pStyle w:val="80"/>
        <w:rPr>
          <w:rFonts w:hint="eastAsia" w:cs="宋体"/>
          <w:color w:val="auto"/>
          <w:sz w:val="21"/>
          <w:highlight w:val="none"/>
        </w:rPr>
      </w:pPr>
      <w:r>
        <w:rPr>
          <w:rFonts w:hint="eastAsia" w:cs="宋体"/>
          <w:color w:val="auto"/>
          <w:sz w:val="21"/>
          <w:highlight w:val="none"/>
        </w:rPr>
        <w:t>预付款的支付按照专用合同条款约定执行，但至迟应在开工通知载明的开工日期7天前支付。预付款应当用于材料、工程设备、施工设备的采购及修建临时工程、组织施工队伍进场等。</w:t>
      </w:r>
    </w:p>
    <w:p w14:paraId="2F46E696">
      <w:pPr>
        <w:pStyle w:val="80"/>
        <w:rPr>
          <w:rFonts w:hint="eastAsia" w:cs="宋体"/>
          <w:color w:val="auto"/>
          <w:sz w:val="21"/>
          <w:highlight w:val="none"/>
        </w:rPr>
      </w:pPr>
      <w:r>
        <w:rPr>
          <w:rFonts w:hint="eastAsia" w:cs="宋体"/>
          <w:color w:val="auto"/>
          <w:sz w:val="21"/>
          <w:highlight w:val="none"/>
        </w:rPr>
        <w:t>除专用合同条款另有约定外，预付款在进度付款中同比例扣回。在颁发工程接收证书前，提前解除合同的，尚未扣完的预付款应与合同价款一并结算。</w:t>
      </w:r>
    </w:p>
    <w:p w14:paraId="4E08D5E5">
      <w:pPr>
        <w:pStyle w:val="80"/>
        <w:rPr>
          <w:rFonts w:hint="eastAsia" w:cs="宋体"/>
          <w:color w:val="auto"/>
          <w:sz w:val="21"/>
          <w:highlight w:val="none"/>
        </w:rPr>
      </w:pPr>
      <w:r>
        <w:rPr>
          <w:rFonts w:hint="eastAsia" w:cs="宋体"/>
          <w:color w:val="auto"/>
          <w:sz w:val="21"/>
          <w:highlight w:val="none"/>
        </w:rPr>
        <w:t>发包人逾期支付预付款超过7天的，承包人有权向发包人发出要求预付的催告通知，发包人收到通知后7天内仍未支付的，承包人有权暂停施工，并按第16.1.1项〔发包人违约的情形〕执行。</w:t>
      </w:r>
    </w:p>
    <w:p w14:paraId="44027E05">
      <w:pPr>
        <w:pStyle w:val="80"/>
        <w:rPr>
          <w:rFonts w:hint="eastAsia" w:cs="宋体"/>
          <w:color w:val="auto"/>
          <w:sz w:val="21"/>
          <w:highlight w:val="none"/>
        </w:rPr>
      </w:pPr>
      <w:r>
        <w:rPr>
          <w:rFonts w:hint="eastAsia" w:cs="宋体"/>
          <w:color w:val="auto"/>
          <w:sz w:val="21"/>
          <w:highlight w:val="none"/>
        </w:rPr>
        <w:t>12.2.2 预付款担保</w:t>
      </w:r>
    </w:p>
    <w:p w14:paraId="2EA958C3">
      <w:pPr>
        <w:pStyle w:val="80"/>
        <w:rPr>
          <w:rFonts w:hint="eastAsia" w:cs="宋体"/>
          <w:color w:val="auto"/>
          <w:sz w:val="21"/>
          <w:highlight w:val="none"/>
        </w:rPr>
      </w:pPr>
      <w:r>
        <w:rPr>
          <w:rFonts w:hint="eastAsia" w:cs="宋体"/>
          <w:color w:val="auto"/>
          <w:sz w:val="21"/>
          <w:highlight w:val="none"/>
        </w:rPr>
        <w:t>发包人要求承包人提供预付款担保的，承包人应在发包人支付预付款7天前提供预付款担保，专用合同条款另有约定除外。预付款担保可采用银行保函、担保公司担保等形式，具体由合同当事人在专用合同条款中约定。在预付款完全扣回之前，承包人应保证预付款担保持续有效。</w:t>
      </w:r>
    </w:p>
    <w:p w14:paraId="31BF0D9A">
      <w:pPr>
        <w:pStyle w:val="80"/>
        <w:rPr>
          <w:rFonts w:hint="eastAsia" w:cs="宋体"/>
          <w:color w:val="auto"/>
          <w:sz w:val="21"/>
          <w:highlight w:val="none"/>
        </w:rPr>
      </w:pPr>
      <w:r>
        <w:rPr>
          <w:rFonts w:hint="eastAsia" w:cs="宋体"/>
          <w:color w:val="auto"/>
          <w:sz w:val="21"/>
          <w:highlight w:val="none"/>
        </w:rPr>
        <w:t>发包人在工程款中逐期扣回预付款后，预付款担保额度应相应减少，但剩余的预付款担保金额不得低于未被扣回的预付款金额。</w:t>
      </w:r>
    </w:p>
    <w:p w14:paraId="0979A1D8">
      <w:pPr>
        <w:pStyle w:val="322"/>
        <w:rPr>
          <w:rFonts w:hint="eastAsia" w:ascii="宋体" w:cs="宋体"/>
          <w:color w:val="auto"/>
          <w:highlight w:val="none"/>
        </w:rPr>
      </w:pPr>
      <w:bookmarkStart w:id="520" w:name="_Toc478389122"/>
      <w:bookmarkStart w:id="521" w:name="_Toc351203583"/>
      <w:bookmarkStart w:id="522" w:name="_Toc337558802"/>
      <w:r>
        <w:rPr>
          <w:rFonts w:hint="eastAsia" w:ascii="宋体" w:cs="宋体"/>
          <w:color w:val="auto"/>
          <w:highlight w:val="none"/>
        </w:rPr>
        <w:t>12.3计量</w:t>
      </w:r>
      <w:bookmarkEnd w:id="520"/>
      <w:bookmarkEnd w:id="521"/>
    </w:p>
    <w:bookmarkEnd w:id="522"/>
    <w:p w14:paraId="1A42873B">
      <w:pPr>
        <w:pStyle w:val="80"/>
        <w:outlineLvl w:val="0"/>
        <w:rPr>
          <w:rFonts w:hint="eastAsia" w:cs="宋体"/>
          <w:color w:val="auto"/>
          <w:sz w:val="21"/>
          <w:highlight w:val="none"/>
        </w:rPr>
      </w:pPr>
      <w:bookmarkStart w:id="523" w:name="_Toc406419279"/>
      <w:bookmarkStart w:id="524" w:name="_Toc406522154"/>
      <w:bookmarkStart w:id="525" w:name="_Toc478389123"/>
      <w:r>
        <w:rPr>
          <w:rFonts w:hint="eastAsia" w:cs="宋体"/>
          <w:color w:val="auto"/>
          <w:sz w:val="21"/>
          <w:highlight w:val="none"/>
        </w:rPr>
        <w:t>12.3.1 计量原则</w:t>
      </w:r>
      <w:bookmarkEnd w:id="523"/>
      <w:bookmarkEnd w:id="524"/>
      <w:bookmarkEnd w:id="525"/>
    </w:p>
    <w:p w14:paraId="054A98E9">
      <w:pPr>
        <w:pStyle w:val="80"/>
        <w:rPr>
          <w:rFonts w:hint="eastAsia" w:cs="宋体"/>
          <w:color w:val="auto"/>
          <w:sz w:val="21"/>
          <w:highlight w:val="none"/>
        </w:rPr>
      </w:pPr>
      <w:r>
        <w:rPr>
          <w:rFonts w:hint="eastAsia" w:cs="宋体"/>
          <w:color w:val="auto"/>
          <w:sz w:val="21"/>
          <w:highlight w:val="none"/>
        </w:rPr>
        <w:t>工程量计量按照合同约定的工程量计算规则、图纸及变更指示等进行计量。工程量计算规则应以相关的国家标准、行业标准等为依据，由合同当事人在专用合同条款中约定。</w:t>
      </w:r>
    </w:p>
    <w:p w14:paraId="19D8D825">
      <w:pPr>
        <w:pStyle w:val="80"/>
        <w:rPr>
          <w:rFonts w:hint="eastAsia" w:cs="宋体"/>
          <w:color w:val="auto"/>
          <w:sz w:val="21"/>
          <w:highlight w:val="none"/>
        </w:rPr>
      </w:pPr>
      <w:r>
        <w:rPr>
          <w:rFonts w:hint="eastAsia" w:cs="宋体"/>
          <w:color w:val="auto"/>
          <w:sz w:val="21"/>
          <w:highlight w:val="none"/>
        </w:rPr>
        <w:t>12.3.2 计量周期</w:t>
      </w:r>
    </w:p>
    <w:p w14:paraId="2EE8D171">
      <w:pPr>
        <w:pStyle w:val="80"/>
        <w:rPr>
          <w:rFonts w:hint="eastAsia" w:cs="宋体"/>
          <w:color w:val="auto"/>
          <w:sz w:val="21"/>
          <w:highlight w:val="none"/>
        </w:rPr>
      </w:pPr>
      <w:r>
        <w:rPr>
          <w:rFonts w:hint="eastAsia" w:cs="宋体"/>
          <w:color w:val="auto"/>
          <w:sz w:val="21"/>
          <w:highlight w:val="none"/>
        </w:rPr>
        <w:t>除专用合同条款另有约定外，工程量的计量按月进行。</w:t>
      </w:r>
    </w:p>
    <w:p w14:paraId="34B7B943">
      <w:pPr>
        <w:pStyle w:val="80"/>
        <w:rPr>
          <w:rFonts w:hint="eastAsia" w:cs="宋体"/>
          <w:color w:val="auto"/>
          <w:sz w:val="21"/>
          <w:highlight w:val="none"/>
        </w:rPr>
      </w:pPr>
      <w:r>
        <w:rPr>
          <w:rFonts w:hint="eastAsia" w:cs="宋体"/>
          <w:color w:val="auto"/>
          <w:sz w:val="21"/>
          <w:highlight w:val="none"/>
        </w:rPr>
        <w:t>12.3.3 单价合同的计量</w:t>
      </w:r>
    </w:p>
    <w:p w14:paraId="074B17AF">
      <w:pPr>
        <w:pStyle w:val="80"/>
        <w:rPr>
          <w:rFonts w:hint="eastAsia" w:cs="宋体"/>
          <w:color w:val="auto"/>
          <w:sz w:val="21"/>
          <w:highlight w:val="none"/>
        </w:rPr>
      </w:pPr>
      <w:r>
        <w:rPr>
          <w:rFonts w:hint="eastAsia" w:cs="宋体"/>
          <w:color w:val="auto"/>
          <w:sz w:val="21"/>
          <w:highlight w:val="none"/>
        </w:rPr>
        <w:t>除专用合同条款另有约定外，单价合同的计量按照本项约定执行：</w:t>
      </w:r>
    </w:p>
    <w:p w14:paraId="66D84DF8">
      <w:pPr>
        <w:pStyle w:val="80"/>
        <w:rPr>
          <w:rFonts w:hint="eastAsia" w:cs="宋体"/>
          <w:color w:val="auto"/>
          <w:sz w:val="21"/>
          <w:highlight w:val="none"/>
        </w:rPr>
      </w:pPr>
      <w:r>
        <w:rPr>
          <w:rFonts w:hint="eastAsia" w:cs="宋体"/>
          <w:color w:val="auto"/>
          <w:sz w:val="21"/>
          <w:highlight w:val="none"/>
        </w:rPr>
        <w:t>（1）承包人应于每月25日向监理人报送上月20日至当月19日已完成的工程量报告，并附具进度付款申请单、已完成工程量报表和有关资料。</w:t>
      </w:r>
    </w:p>
    <w:p w14:paraId="1334022E">
      <w:pPr>
        <w:pStyle w:val="80"/>
        <w:rPr>
          <w:rFonts w:hint="eastAsia" w:cs="宋体"/>
          <w:color w:val="auto"/>
          <w:sz w:val="21"/>
          <w:highlight w:val="none"/>
        </w:rPr>
      </w:pPr>
      <w:r>
        <w:rPr>
          <w:rFonts w:hint="eastAsia" w:cs="宋体"/>
          <w:color w:val="auto"/>
          <w:sz w:val="21"/>
          <w:highlight w:val="none"/>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14:paraId="4D446571">
      <w:pPr>
        <w:pStyle w:val="80"/>
        <w:rPr>
          <w:rFonts w:hint="eastAsia" w:cs="宋体"/>
          <w:color w:val="auto"/>
          <w:sz w:val="21"/>
          <w:highlight w:val="none"/>
        </w:rPr>
      </w:pPr>
      <w:r>
        <w:rPr>
          <w:rFonts w:hint="eastAsia" w:cs="宋体"/>
          <w:color w:val="auto"/>
          <w:sz w:val="21"/>
          <w:highlight w:val="none"/>
        </w:rPr>
        <w:t>（3）监理人未在收到承包人提交的工程量报表后的7天内完成审核的，承包人报送的工程量报告中的工程量视为承包人实际完成的工程量，据此计算工程价款。</w:t>
      </w:r>
    </w:p>
    <w:p w14:paraId="53F48BDF">
      <w:pPr>
        <w:pStyle w:val="80"/>
        <w:rPr>
          <w:rFonts w:hint="eastAsia" w:cs="宋体"/>
          <w:color w:val="auto"/>
          <w:sz w:val="21"/>
          <w:highlight w:val="none"/>
        </w:rPr>
      </w:pPr>
      <w:r>
        <w:rPr>
          <w:rFonts w:hint="eastAsia" w:cs="宋体"/>
          <w:color w:val="auto"/>
          <w:sz w:val="21"/>
          <w:highlight w:val="none"/>
        </w:rPr>
        <w:t>12.3.4 总价合同的计量</w:t>
      </w:r>
    </w:p>
    <w:p w14:paraId="67A6D276">
      <w:pPr>
        <w:pStyle w:val="80"/>
        <w:rPr>
          <w:rFonts w:hint="eastAsia" w:cs="宋体"/>
          <w:color w:val="auto"/>
          <w:sz w:val="21"/>
          <w:highlight w:val="none"/>
        </w:rPr>
      </w:pPr>
      <w:r>
        <w:rPr>
          <w:rFonts w:hint="eastAsia" w:cs="宋体"/>
          <w:color w:val="auto"/>
          <w:sz w:val="21"/>
          <w:highlight w:val="none"/>
        </w:rPr>
        <w:t>除专用合同条款另有约定外，按月计量支付的总价合同，按照本项约定执行：</w:t>
      </w:r>
    </w:p>
    <w:p w14:paraId="05E4DAA7">
      <w:pPr>
        <w:pStyle w:val="80"/>
        <w:rPr>
          <w:rFonts w:hint="eastAsia" w:cs="宋体"/>
          <w:color w:val="auto"/>
          <w:sz w:val="21"/>
          <w:highlight w:val="none"/>
        </w:rPr>
      </w:pPr>
      <w:r>
        <w:rPr>
          <w:rFonts w:hint="eastAsia" w:cs="宋体"/>
          <w:color w:val="auto"/>
          <w:sz w:val="21"/>
          <w:highlight w:val="none"/>
        </w:rPr>
        <w:t>（1）承包人应于每月25日向监理人报送上月20日至当月19日已完成的工程量报告，并附具进度付款申请单、已完成工程量报表和有关资料。</w:t>
      </w:r>
    </w:p>
    <w:p w14:paraId="37A4EDB8">
      <w:pPr>
        <w:pStyle w:val="80"/>
        <w:rPr>
          <w:rFonts w:hint="eastAsia" w:cs="宋体"/>
          <w:color w:val="auto"/>
          <w:sz w:val="21"/>
          <w:highlight w:val="none"/>
        </w:rPr>
      </w:pPr>
      <w:r>
        <w:rPr>
          <w:rFonts w:hint="eastAsia" w:cs="宋体"/>
          <w:color w:val="auto"/>
          <w:sz w:val="21"/>
          <w:highlight w:val="none"/>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14:paraId="4D407666">
      <w:pPr>
        <w:pStyle w:val="80"/>
        <w:rPr>
          <w:rFonts w:hint="eastAsia" w:cs="宋体"/>
          <w:color w:val="auto"/>
          <w:sz w:val="21"/>
          <w:highlight w:val="none"/>
        </w:rPr>
      </w:pPr>
      <w:r>
        <w:rPr>
          <w:rFonts w:hint="eastAsia" w:cs="宋体"/>
          <w:color w:val="auto"/>
          <w:sz w:val="21"/>
          <w:highlight w:val="none"/>
        </w:rPr>
        <w:t>（3）监理人未在收到承包人提交的工程量报表后的7天内完成复核的，承包人提交的工程量报告中的工程量视为承包人实际完成的工程量。</w:t>
      </w:r>
    </w:p>
    <w:p w14:paraId="3D0AF6A1">
      <w:pPr>
        <w:pStyle w:val="80"/>
        <w:outlineLvl w:val="0"/>
        <w:rPr>
          <w:rFonts w:hint="eastAsia" w:cs="宋体"/>
          <w:color w:val="auto"/>
          <w:sz w:val="21"/>
          <w:highlight w:val="none"/>
        </w:rPr>
      </w:pPr>
      <w:bookmarkStart w:id="526" w:name="_Toc406522155"/>
      <w:bookmarkStart w:id="527" w:name="_Toc406419280"/>
      <w:bookmarkStart w:id="528" w:name="_Toc478389124"/>
      <w:r>
        <w:rPr>
          <w:rFonts w:hint="eastAsia" w:cs="宋体"/>
          <w:color w:val="auto"/>
          <w:sz w:val="21"/>
          <w:highlight w:val="none"/>
        </w:rPr>
        <w:t>12.3.5总价合同采用支付分解表计量支付的，可以按照第12.3.4项〔总价合同的计量〕约定进行计量，但合同价款按照支付分解表进行支付。</w:t>
      </w:r>
      <w:bookmarkEnd w:id="526"/>
      <w:bookmarkEnd w:id="527"/>
      <w:bookmarkEnd w:id="528"/>
    </w:p>
    <w:p w14:paraId="68A45494">
      <w:pPr>
        <w:pStyle w:val="80"/>
        <w:rPr>
          <w:rFonts w:hint="eastAsia" w:cs="宋体"/>
          <w:color w:val="auto"/>
          <w:sz w:val="21"/>
          <w:highlight w:val="none"/>
        </w:rPr>
      </w:pPr>
      <w:r>
        <w:rPr>
          <w:rFonts w:hint="eastAsia" w:cs="宋体"/>
          <w:color w:val="auto"/>
          <w:sz w:val="21"/>
          <w:highlight w:val="none"/>
        </w:rPr>
        <w:t>12.3.6 其他价格形式合同的计量</w:t>
      </w:r>
    </w:p>
    <w:p w14:paraId="034DA6A8">
      <w:pPr>
        <w:pStyle w:val="80"/>
        <w:rPr>
          <w:rFonts w:hint="eastAsia" w:cs="宋体"/>
          <w:color w:val="auto"/>
          <w:sz w:val="21"/>
          <w:highlight w:val="none"/>
        </w:rPr>
      </w:pPr>
      <w:r>
        <w:rPr>
          <w:rFonts w:hint="eastAsia" w:cs="宋体"/>
          <w:color w:val="auto"/>
          <w:sz w:val="21"/>
          <w:highlight w:val="none"/>
        </w:rPr>
        <w:t>合同当事人可在专用合同条款中约定其他价格形式合同的计量方式和程序。</w:t>
      </w:r>
    </w:p>
    <w:p w14:paraId="54FF3C4B">
      <w:pPr>
        <w:pStyle w:val="322"/>
        <w:rPr>
          <w:rFonts w:hint="eastAsia" w:ascii="宋体" w:cs="宋体"/>
          <w:color w:val="auto"/>
          <w:highlight w:val="none"/>
        </w:rPr>
      </w:pPr>
      <w:bookmarkStart w:id="529" w:name="_Toc296346602"/>
      <w:bookmarkStart w:id="530" w:name="_Toc296503101"/>
      <w:bookmarkStart w:id="531" w:name="_Toc351203584"/>
      <w:bookmarkStart w:id="532" w:name="_Toc478389125"/>
      <w:bookmarkStart w:id="533" w:name="_Toc337558803"/>
      <w:r>
        <w:rPr>
          <w:rFonts w:hint="eastAsia" w:ascii="宋体" w:cs="宋体"/>
          <w:color w:val="auto"/>
          <w:highlight w:val="none"/>
        </w:rPr>
        <w:t>12.4工程进度款支</w:t>
      </w:r>
      <w:bookmarkEnd w:id="529"/>
      <w:bookmarkEnd w:id="530"/>
      <w:r>
        <w:rPr>
          <w:rFonts w:hint="eastAsia" w:ascii="宋体" w:cs="宋体"/>
          <w:color w:val="auto"/>
          <w:highlight w:val="none"/>
        </w:rPr>
        <w:t>付</w:t>
      </w:r>
      <w:bookmarkEnd w:id="531"/>
      <w:bookmarkEnd w:id="532"/>
    </w:p>
    <w:bookmarkEnd w:id="533"/>
    <w:p w14:paraId="5EB8EB1A">
      <w:pPr>
        <w:pStyle w:val="80"/>
        <w:outlineLvl w:val="0"/>
        <w:rPr>
          <w:rFonts w:hint="eastAsia" w:cs="宋体"/>
          <w:color w:val="auto"/>
          <w:sz w:val="21"/>
          <w:highlight w:val="none"/>
        </w:rPr>
      </w:pPr>
      <w:bookmarkStart w:id="534" w:name="_Toc406522157"/>
      <w:bookmarkStart w:id="535" w:name="_Toc406419282"/>
      <w:bookmarkStart w:id="536" w:name="_Toc478389126"/>
      <w:r>
        <w:rPr>
          <w:rFonts w:hint="eastAsia" w:cs="宋体"/>
          <w:color w:val="auto"/>
          <w:sz w:val="21"/>
          <w:highlight w:val="none"/>
        </w:rPr>
        <w:t>12.4.1 付款周期</w:t>
      </w:r>
      <w:bookmarkEnd w:id="534"/>
      <w:bookmarkEnd w:id="535"/>
      <w:bookmarkEnd w:id="536"/>
    </w:p>
    <w:p w14:paraId="77203DD3">
      <w:pPr>
        <w:pStyle w:val="80"/>
        <w:rPr>
          <w:rFonts w:hint="eastAsia" w:cs="宋体"/>
          <w:color w:val="auto"/>
          <w:sz w:val="21"/>
          <w:highlight w:val="none"/>
        </w:rPr>
      </w:pPr>
      <w:r>
        <w:rPr>
          <w:rFonts w:hint="eastAsia" w:cs="宋体"/>
          <w:color w:val="auto"/>
          <w:sz w:val="21"/>
          <w:highlight w:val="none"/>
        </w:rPr>
        <w:t>除专用合同条款另有约定外，付款周期应按照第12.3.2项〔计量周期〕的约定与计量周期保持一致。</w:t>
      </w:r>
    </w:p>
    <w:p w14:paraId="2AF0D1BF">
      <w:pPr>
        <w:pStyle w:val="80"/>
        <w:rPr>
          <w:rFonts w:hint="eastAsia" w:cs="宋体"/>
          <w:color w:val="auto"/>
          <w:sz w:val="21"/>
          <w:highlight w:val="none"/>
        </w:rPr>
      </w:pPr>
      <w:r>
        <w:rPr>
          <w:rFonts w:hint="eastAsia" w:cs="宋体"/>
          <w:color w:val="auto"/>
          <w:sz w:val="21"/>
          <w:highlight w:val="none"/>
        </w:rPr>
        <w:t>12.4.2 进度付款申请单的编制</w:t>
      </w:r>
    </w:p>
    <w:p w14:paraId="73AB5D3B">
      <w:pPr>
        <w:pStyle w:val="80"/>
        <w:rPr>
          <w:rFonts w:hint="eastAsia" w:cs="宋体"/>
          <w:color w:val="auto"/>
          <w:sz w:val="21"/>
          <w:highlight w:val="none"/>
        </w:rPr>
      </w:pPr>
      <w:r>
        <w:rPr>
          <w:rFonts w:hint="eastAsia" w:cs="宋体"/>
          <w:color w:val="auto"/>
          <w:sz w:val="21"/>
          <w:highlight w:val="none"/>
        </w:rPr>
        <w:t>除专用合同条款另有约定外，进度付款申请单应包括下列内容：</w:t>
      </w:r>
    </w:p>
    <w:p w14:paraId="1024A044">
      <w:pPr>
        <w:pStyle w:val="80"/>
        <w:rPr>
          <w:rFonts w:hint="eastAsia" w:cs="宋体"/>
          <w:color w:val="auto"/>
          <w:sz w:val="21"/>
          <w:highlight w:val="none"/>
        </w:rPr>
      </w:pPr>
      <w:r>
        <w:rPr>
          <w:rFonts w:hint="eastAsia" w:cs="宋体"/>
          <w:color w:val="auto"/>
          <w:sz w:val="21"/>
          <w:highlight w:val="none"/>
        </w:rPr>
        <w:t>（1）截至本次付款周期已完成工作对应的金额；</w:t>
      </w:r>
    </w:p>
    <w:p w14:paraId="6824FFAE">
      <w:pPr>
        <w:pStyle w:val="80"/>
        <w:rPr>
          <w:rFonts w:hint="eastAsia" w:cs="宋体"/>
          <w:color w:val="auto"/>
          <w:sz w:val="21"/>
          <w:highlight w:val="none"/>
        </w:rPr>
      </w:pPr>
      <w:r>
        <w:rPr>
          <w:rFonts w:hint="eastAsia" w:cs="宋体"/>
          <w:color w:val="auto"/>
          <w:sz w:val="21"/>
          <w:highlight w:val="none"/>
        </w:rPr>
        <w:t>（2）根据第10条〔变更〕应增加和扣减的变更金额；</w:t>
      </w:r>
    </w:p>
    <w:p w14:paraId="6E71B224">
      <w:pPr>
        <w:pStyle w:val="80"/>
        <w:rPr>
          <w:rFonts w:hint="eastAsia" w:cs="宋体"/>
          <w:color w:val="auto"/>
          <w:sz w:val="21"/>
          <w:highlight w:val="none"/>
        </w:rPr>
      </w:pPr>
      <w:r>
        <w:rPr>
          <w:rFonts w:hint="eastAsia" w:cs="宋体"/>
          <w:color w:val="auto"/>
          <w:sz w:val="21"/>
          <w:highlight w:val="none"/>
        </w:rPr>
        <w:t>（3）根据第12.2款〔预付款〕约定应支付的预付款和扣减的返还预付款；</w:t>
      </w:r>
    </w:p>
    <w:p w14:paraId="1ACBF98E">
      <w:pPr>
        <w:pStyle w:val="80"/>
        <w:rPr>
          <w:rFonts w:hint="eastAsia" w:cs="宋体"/>
          <w:color w:val="auto"/>
          <w:sz w:val="21"/>
          <w:highlight w:val="none"/>
        </w:rPr>
      </w:pPr>
      <w:r>
        <w:rPr>
          <w:rFonts w:hint="eastAsia" w:cs="宋体"/>
          <w:color w:val="auto"/>
          <w:sz w:val="21"/>
          <w:highlight w:val="none"/>
        </w:rPr>
        <w:t>（4）根据第15.3款〔质量保证金〕约定应扣减的质量保证金；</w:t>
      </w:r>
    </w:p>
    <w:p w14:paraId="1E317469">
      <w:pPr>
        <w:pStyle w:val="80"/>
        <w:rPr>
          <w:rFonts w:hint="eastAsia" w:cs="宋体"/>
          <w:color w:val="auto"/>
          <w:sz w:val="21"/>
          <w:highlight w:val="none"/>
        </w:rPr>
      </w:pPr>
      <w:r>
        <w:rPr>
          <w:rFonts w:hint="eastAsia" w:cs="宋体"/>
          <w:color w:val="auto"/>
          <w:sz w:val="21"/>
          <w:highlight w:val="none"/>
        </w:rPr>
        <w:t>（5）根据第19条〔索赔〕应增加和扣减的索赔金额；</w:t>
      </w:r>
    </w:p>
    <w:p w14:paraId="6A4B9FFB">
      <w:pPr>
        <w:pStyle w:val="80"/>
        <w:rPr>
          <w:rFonts w:hint="eastAsia" w:cs="宋体"/>
          <w:color w:val="auto"/>
          <w:sz w:val="21"/>
          <w:highlight w:val="none"/>
        </w:rPr>
      </w:pPr>
      <w:r>
        <w:rPr>
          <w:rFonts w:hint="eastAsia" w:cs="宋体"/>
          <w:color w:val="auto"/>
          <w:sz w:val="21"/>
          <w:highlight w:val="none"/>
        </w:rPr>
        <w:t>（6）对已签发的进度款支付证书中出现错误的修正，应在本次进度付款中支付或扣除的金额；</w:t>
      </w:r>
    </w:p>
    <w:p w14:paraId="72455718">
      <w:pPr>
        <w:pStyle w:val="80"/>
        <w:rPr>
          <w:rFonts w:hint="eastAsia" w:cs="宋体"/>
          <w:color w:val="auto"/>
          <w:sz w:val="21"/>
          <w:highlight w:val="none"/>
        </w:rPr>
      </w:pPr>
      <w:r>
        <w:rPr>
          <w:rFonts w:hint="eastAsia" w:cs="宋体"/>
          <w:color w:val="auto"/>
          <w:sz w:val="21"/>
          <w:highlight w:val="none"/>
        </w:rPr>
        <w:t>（7）根据合同约定应增加和扣减的其他金额。</w:t>
      </w:r>
    </w:p>
    <w:p w14:paraId="692B17AC">
      <w:pPr>
        <w:pStyle w:val="80"/>
        <w:rPr>
          <w:rFonts w:hint="eastAsia" w:cs="宋体"/>
          <w:color w:val="auto"/>
          <w:sz w:val="21"/>
          <w:highlight w:val="none"/>
        </w:rPr>
      </w:pPr>
      <w:r>
        <w:rPr>
          <w:rFonts w:hint="eastAsia" w:cs="宋体"/>
          <w:color w:val="auto"/>
          <w:sz w:val="21"/>
          <w:highlight w:val="none"/>
        </w:rPr>
        <w:t>12.4.3 进度付款申请单的提交</w:t>
      </w:r>
    </w:p>
    <w:p w14:paraId="35380750">
      <w:pPr>
        <w:pStyle w:val="80"/>
        <w:rPr>
          <w:rFonts w:hint="eastAsia" w:cs="宋体"/>
          <w:color w:val="auto"/>
          <w:sz w:val="21"/>
          <w:highlight w:val="none"/>
        </w:rPr>
      </w:pPr>
      <w:r>
        <w:rPr>
          <w:rFonts w:hint="eastAsia" w:cs="宋体"/>
          <w:color w:val="auto"/>
          <w:sz w:val="21"/>
          <w:highlight w:val="none"/>
        </w:rPr>
        <w:t>（1）单价合同进度付款申请单的提交</w:t>
      </w:r>
    </w:p>
    <w:p w14:paraId="417D5C22">
      <w:pPr>
        <w:pStyle w:val="80"/>
        <w:rPr>
          <w:rFonts w:hint="eastAsia" w:cs="宋体"/>
          <w:color w:val="auto"/>
          <w:sz w:val="21"/>
          <w:highlight w:val="none"/>
        </w:rPr>
      </w:pPr>
      <w:r>
        <w:rPr>
          <w:rFonts w:hint="eastAsia" w:cs="宋体"/>
          <w:color w:val="auto"/>
          <w:sz w:val="21"/>
          <w:highlight w:val="none"/>
        </w:rPr>
        <w:t>单价合同的进度付款申请单，按照第12.3.3项〔单价合同的计量〕约定的时间按月向监理人提交，并附上已完成工程量报表和有关资料。单价合同中的总价项目按月进行支付分解，并汇总列入当期进度付款申请单。</w:t>
      </w:r>
    </w:p>
    <w:p w14:paraId="0144568D">
      <w:pPr>
        <w:pStyle w:val="80"/>
        <w:rPr>
          <w:rFonts w:hint="eastAsia" w:cs="宋体"/>
          <w:color w:val="auto"/>
          <w:sz w:val="21"/>
          <w:highlight w:val="none"/>
        </w:rPr>
      </w:pPr>
      <w:r>
        <w:rPr>
          <w:rFonts w:hint="eastAsia" w:cs="宋体"/>
          <w:color w:val="auto"/>
          <w:sz w:val="21"/>
          <w:highlight w:val="none"/>
        </w:rPr>
        <w:t>（2）总价合同进度付款申请单的提交</w:t>
      </w:r>
    </w:p>
    <w:p w14:paraId="35B91CAA">
      <w:pPr>
        <w:pStyle w:val="80"/>
        <w:rPr>
          <w:rFonts w:hint="eastAsia" w:cs="宋体"/>
          <w:color w:val="auto"/>
          <w:sz w:val="21"/>
          <w:highlight w:val="none"/>
        </w:rPr>
      </w:pPr>
      <w:r>
        <w:rPr>
          <w:rFonts w:hint="eastAsia" w:cs="宋体"/>
          <w:color w:val="auto"/>
          <w:sz w:val="21"/>
          <w:highlight w:val="none"/>
        </w:rPr>
        <w:t>总价合同按月计量支付的，承包人按照第12.3.4项〔总价合同的计量〕约定的时间按月向监理人提交进度付款申请单，并附上已完成工程量报表和有关资料。</w:t>
      </w:r>
    </w:p>
    <w:p w14:paraId="198D7D81">
      <w:pPr>
        <w:pStyle w:val="80"/>
        <w:rPr>
          <w:rFonts w:hint="eastAsia" w:cs="宋体"/>
          <w:color w:val="auto"/>
          <w:sz w:val="21"/>
          <w:highlight w:val="none"/>
        </w:rPr>
      </w:pPr>
      <w:r>
        <w:rPr>
          <w:rFonts w:hint="eastAsia" w:cs="宋体"/>
          <w:color w:val="auto"/>
          <w:sz w:val="21"/>
          <w:highlight w:val="none"/>
        </w:rPr>
        <w:t>总价合同按支付分解表支付的，承包人应按照第12.4.6项〔支付分解表〕及第12.4.2项〔进度付款申请单的编制〕的约定向监理人提交进度付款申请单。</w:t>
      </w:r>
    </w:p>
    <w:p w14:paraId="64147156">
      <w:pPr>
        <w:pStyle w:val="80"/>
        <w:rPr>
          <w:rFonts w:hint="eastAsia" w:cs="宋体"/>
          <w:color w:val="auto"/>
          <w:sz w:val="21"/>
          <w:highlight w:val="none"/>
        </w:rPr>
      </w:pPr>
      <w:r>
        <w:rPr>
          <w:rFonts w:hint="eastAsia" w:cs="宋体"/>
          <w:color w:val="auto"/>
          <w:sz w:val="21"/>
          <w:highlight w:val="none"/>
        </w:rPr>
        <w:t>（3）其他价格形式合同的进度付款申请单的提交</w:t>
      </w:r>
    </w:p>
    <w:p w14:paraId="7F4CE846">
      <w:pPr>
        <w:pStyle w:val="80"/>
        <w:rPr>
          <w:rFonts w:hint="eastAsia" w:cs="宋体"/>
          <w:color w:val="auto"/>
          <w:sz w:val="21"/>
          <w:highlight w:val="none"/>
        </w:rPr>
      </w:pPr>
      <w:r>
        <w:rPr>
          <w:rFonts w:hint="eastAsia" w:cs="宋体"/>
          <w:color w:val="auto"/>
          <w:sz w:val="21"/>
          <w:highlight w:val="none"/>
        </w:rPr>
        <w:t>合同当事人可在专用合同条款中约定其他价格形式合同的进度付款申请单的编制和提交程序。</w:t>
      </w:r>
    </w:p>
    <w:p w14:paraId="4477C52F">
      <w:pPr>
        <w:pStyle w:val="80"/>
        <w:rPr>
          <w:rFonts w:hint="eastAsia" w:cs="宋体"/>
          <w:color w:val="auto"/>
          <w:sz w:val="21"/>
          <w:highlight w:val="none"/>
        </w:rPr>
      </w:pPr>
      <w:r>
        <w:rPr>
          <w:rFonts w:hint="eastAsia" w:cs="宋体"/>
          <w:color w:val="auto"/>
          <w:sz w:val="21"/>
          <w:highlight w:val="none"/>
        </w:rPr>
        <w:t>12.4.4 进度款审核和支付</w:t>
      </w:r>
    </w:p>
    <w:p w14:paraId="41D46A60">
      <w:pPr>
        <w:pStyle w:val="80"/>
        <w:rPr>
          <w:rFonts w:hint="eastAsia" w:cs="宋体"/>
          <w:color w:val="auto"/>
          <w:sz w:val="21"/>
          <w:highlight w:val="none"/>
        </w:rPr>
      </w:pPr>
      <w:r>
        <w:rPr>
          <w:rFonts w:hint="eastAsia" w:cs="宋体"/>
          <w:color w:val="auto"/>
          <w:sz w:val="21"/>
          <w:highlight w:val="none"/>
        </w:rPr>
        <w:t>（1）除专用合同条款另有约定外，监理人应在收到承包人进度付款申请单以及相关资料后7天内完成审查并报送发包人，发包人应在收到后7天内完成审批并签发进度款支付证书。发包人逾期未完成审批且未提出异议的，视为已签发进度款支付证书。</w:t>
      </w:r>
    </w:p>
    <w:p w14:paraId="0D01B799">
      <w:pPr>
        <w:pStyle w:val="80"/>
        <w:rPr>
          <w:rFonts w:hint="eastAsia" w:cs="宋体"/>
          <w:color w:val="auto"/>
          <w:sz w:val="21"/>
          <w:highlight w:val="none"/>
        </w:rPr>
      </w:pPr>
      <w:r>
        <w:rPr>
          <w:rFonts w:hint="eastAsia" w:cs="宋体"/>
          <w:color w:val="auto"/>
          <w:sz w:val="21"/>
          <w:highlight w:val="none"/>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争议解决〕的约定处理。</w:t>
      </w:r>
    </w:p>
    <w:p w14:paraId="15ED3071">
      <w:pPr>
        <w:pStyle w:val="80"/>
        <w:rPr>
          <w:rFonts w:hint="eastAsia" w:cs="宋体"/>
          <w:color w:val="auto"/>
          <w:sz w:val="21"/>
          <w:highlight w:val="none"/>
        </w:rPr>
      </w:pPr>
      <w:r>
        <w:rPr>
          <w:rFonts w:hint="eastAsia" w:cs="宋体"/>
          <w:color w:val="auto"/>
          <w:sz w:val="21"/>
          <w:highlight w:val="none"/>
        </w:rPr>
        <w:t>（2）除专用合同条款另有约定外，发包人应在进度款支付证书或临时进度款支付证书签发后14天内完成支付，发包人逾期支付进度款的，应按照中国人民银行发布的同期同类贷款基准利率支付违约金。</w:t>
      </w:r>
    </w:p>
    <w:p w14:paraId="476819F2">
      <w:pPr>
        <w:pStyle w:val="80"/>
        <w:rPr>
          <w:rFonts w:hint="eastAsia" w:cs="宋体"/>
          <w:color w:val="auto"/>
          <w:sz w:val="21"/>
          <w:highlight w:val="none"/>
        </w:rPr>
      </w:pPr>
      <w:r>
        <w:rPr>
          <w:rFonts w:hint="eastAsia" w:cs="宋体"/>
          <w:color w:val="auto"/>
          <w:sz w:val="21"/>
          <w:highlight w:val="none"/>
        </w:rPr>
        <w:t>（3）发包人签发进度款支付证书或临时进度款支付证书，不表明发包人已同意、批准或接受了承包人完成的相应部分的工作。</w:t>
      </w:r>
    </w:p>
    <w:p w14:paraId="7FB829E8">
      <w:pPr>
        <w:pStyle w:val="80"/>
        <w:outlineLvl w:val="0"/>
        <w:rPr>
          <w:rFonts w:hint="eastAsia" w:cs="宋体"/>
          <w:color w:val="auto"/>
          <w:sz w:val="21"/>
          <w:highlight w:val="none"/>
        </w:rPr>
      </w:pPr>
      <w:bookmarkStart w:id="537" w:name="_Toc478389127"/>
      <w:bookmarkStart w:id="538" w:name="_Toc406522158"/>
      <w:bookmarkStart w:id="539" w:name="_Toc406419283"/>
      <w:r>
        <w:rPr>
          <w:rFonts w:hint="eastAsia" w:cs="宋体"/>
          <w:color w:val="auto"/>
          <w:sz w:val="21"/>
          <w:highlight w:val="none"/>
        </w:rPr>
        <w:t>12.4.5 进度付款的修正</w:t>
      </w:r>
      <w:bookmarkEnd w:id="537"/>
      <w:bookmarkEnd w:id="538"/>
      <w:bookmarkEnd w:id="539"/>
    </w:p>
    <w:p w14:paraId="572CB70B">
      <w:pPr>
        <w:pStyle w:val="80"/>
        <w:rPr>
          <w:rFonts w:hint="eastAsia" w:cs="宋体"/>
          <w:color w:val="auto"/>
          <w:sz w:val="21"/>
          <w:highlight w:val="none"/>
        </w:rPr>
      </w:pPr>
      <w:r>
        <w:rPr>
          <w:rFonts w:hint="eastAsia" w:cs="宋体"/>
          <w:color w:val="auto"/>
          <w:sz w:val="21"/>
          <w:highlight w:val="none"/>
        </w:rPr>
        <w:t>在对已签发的进度款支付证书进行阶段汇总和复核中发现错误、遗漏或重复的，发包人和承包人均有权提出修正申请。经发包人和承包人同意的修正，应在下期进度付款中支付或扣除。</w:t>
      </w:r>
    </w:p>
    <w:p w14:paraId="6977144F">
      <w:pPr>
        <w:pStyle w:val="80"/>
        <w:rPr>
          <w:rFonts w:hint="eastAsia" w:cs="宋体"/>
          <w:color w:val="auto"/>
          <w:sz w:val="21"/>
          <w:highlight w:val="none"/>
        </w:rPr>
      </w:pPr>
      <w:r>
        <w:rPr>
          <w:rFonts w:hint="eastAsia" w:cs="宋体"/>
          <w:color w:val="auto"/>
          <w:sz w:val="21"/>
          <w:highlight w:val="none"/>
        </w:rPr>
        <w:t>12.4.6 支付分解表</w:t>
      </w:r>
    </w:p>
    <w:p w14:paraId="18530972">
      <w:pPr>
        <w:pStyle w:val="80"/>
        <w:rPr>
          <w:rFonts w:hint="eastAsia" w:cs="宋体"/>
          <w:color w:val="auto"/>
          <w:sz w:val="21"/>
          <w:highlight w:val="none"/>
        </w:rPr>
      </w:pPr>
      <w:r>
        <w:rPr>
          <w:rFonts w:hint="eastAsia" w:cs="宋体"/>
          <w:color w:val="auto"/>
          <w:sz w:val="21"/>
          <w:highlight w:val="none"/>
          <w:lang w:eastAsia="zh-CN"/>
        </w:rPr>
        <w:t>1.</w:t>
      </w:r>
      <w:r>
        <w:rPr>
          <w:rFonts w:hint="eastAsia" w:cs="宋体"/>
          <w:color w:val="auto"/>
          <w:sz w:val="21"/>
          <w:highlight w:val="none"/>
        </w:rPr>
        <w:t>支付分解表的编制要求</w:t>
      </w:r>
    </w:p>
    <w:p w14:paraId="449E1FB9">
      <w:pPr>
        <w:pStyle w:val="80"/>
        <w:rPr>
          <w:rFonts w:hint="eastAsia" w:cs="宋体"/>
          <w:color w:val="auto"/>
          <w:sz w:val="21"/>
          <w:highlight w:val="none"/>
        </w:rPr>
      </w:pPr>
      <w:r>
        <w:rPr>
          <w:rFonts w:hint="eastAsia" w:cs="宋体"/>
          <w:color w:val="auto"/>
          <w:sz w:val="21"/>
          <w:highlight w:val="none"/>
        </w:rPr>
        <w:t>（1）支付分解表中所列的每期付款金额，应为第12.4.2项〔进度付款申请单的编制〕第（1）目的估算金额；</w:t>
      </w:r>
    </w:p>
    <w:p w14:paraId="0133D6B9">
      <w:pPr>
        <w:pStyle w:val="80"/>
        <w:rPr>
          <w:rFonts w:hint="eastAsia" w:cs="宋体"/>
          <w:color w:val="auto"/>
          <w:sz w:val="21"/>
          <w:highlight w:val="none"/>
        </w:rPr>
      </w:pPr>
      <w:r>
        <w:rPr>
          <w:rFonts w:hint="eastAsia" w:cs="宋体"/>
          <w:color w:val="auto"/>
          <w:sz w:val="21"/>
          <w:highlight w:val="none"/>
        </w:rPr>
        <w:t>（2）实际进度与施工进度计划不一致的，合同当事人可按照第4.4款〔商定或确定〕修改支付分解表；</w:t>
      </w:r>
    </w:p>
    <w:p w14:paraId="3CC13ADE">
      <w:pPr>
        <w:pStyle w:val="80"/>
        <w:rPr>
          <w:rFonts w:hint="eastAsia" w:cs="宋体"/>
          <w:color w:val="auto"/>
          <w:sz w:val="21"/>
          <w:highlight w:val="none"/>
        </w:rPr>
      </w:pPr>
      <w:r>
        <w:rPr>
          <w:rFonts w:hint="eastAsia" w:cs="宋体"/>
          <w:color w:val="auto"/>
          <w:sz w:val="21"/>
          <w:highlight w:val="none"/>
        </w:rPr>
        <w:t>（3）不采用支付分解表的，承包人应向发包人和监理人提交按季度编制的支付估算分解表，用于支付参考。</w:t>
      </w:r>
    </w:p>
    <w:p w14:paraId="5BFC3150">
      <w:pPr>
        <w:pStyle w:val="80"/>
        <w:rPr>
          <w:rFonts w:hint="eastAsia" w:cs="宋体"/>
          <w:color w:val="auto"/>
          <w:sz w:val="21"/>
          <w:highlight w:val="none"/>
        </w:rPr>
      </w:pPr>
      <w:r>
        <w:rPr>
          <w:rFonts w:hint="eastAsia" w:cs="宋体"/>
          <w:color w:val="auto"/>
          <w:sz w:val="21"/>
          <w:highlight w:val="none"/>
          <w:lang w:eastAsia="zh-CN"/>
        </w:rPr>
        <w:t>2.</w:t>
      </w:r>
      <w:r>
        <w:rPr>
          <w:rFonts w:hint="eastAsia" w:cs="宋体"/>
          <w:color w:val="auto"/>
          <w:sz w:val="21"/>
          <w:highlight w:val="none"/>
        </w:rPr>
        <w:t>总价合同支付分解表的编制与审批</w:t>
      </w:r>
    </w:p>
    <w:p w14:paraId="74FCA71F">
      <w:pPr>
        <w:pStyle w:val="80"/>
        <w:rPr>
          <w:rFonts w:hint="eastAsia" w:cs="宋体"/>
          <w:color w:val="auto"/>
          <w:sz w:val="21"/>
          <w:highlight w:val="none"/>
        </w:rPr>
      </w:pPr>
      <w:r>
        <w:rPr>
          <w:rFonts w:hint="eastAsia" w:cs="宋体"/>
          <w:color w:val="auto"/>
          <w:sz w:val="21"/>
          <w:highlight w:val="none"/>
        </w:rPr>
        <w:t>（1）除专用合同条款另有约定外，承包人应根据第7.2款〔施工进度计划〕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14:paraId="1BA44108">
      <w:pPr>
        <w:pStyle w:val="80"/>
        <w:rPr>
          <w:rFonts w:hint="eastAsia" w:cs="宋体"/>
          <w:color w:val="auto"/>
          <w:sz w:val="21"/>
          <w:highlight w:val="none"/>
        </w:rPr>
      </w:pPr>
      <w:r>
        <w:rPr>
          <w:rFonts w:hint="eastAsia" w:cs="宋体"/>
          <w:color w:val="auto"/>
          <w:sz w:val="21"/>
          <w:highlight w:val="none"/>
        </w:rPr>
        <w:t>（2）监理人应在收到支付分解表后7天内完成审核并报送发包人。发包人应在收到经监理人审核的支付分解表后7天内完成审批，经发包人批准的支付分解表为有约束力的支付分解表。</w:t>
      </w:r>
    </w:p>
    <w:p w14:paraId="075F919F">
      <w:pPr>
        <w:pStyle w:val="80"/>
        <w:rPr>
          <w:rFonts w:hint="eastAsia" w:cs="宋体"/>
          <w:color w:val="auto"/>
          <w:sz w:val="21"/>
          <w:highlight w:val="none"/>
        </w:rPr>
      </w:pPr>
      <w:r>
        <w:rPr>
          <w:rFonts w:hint="eastAsia" w:cs="宋体"/>
          <w:color w:val="auto"/>
          <w:sz w:val="21"/>
          <w:highlight w:val="none"/>
        </w:rPr>
        <w:t>（3）发包人逾期未完成支付分解表审批的，也未及时要求承包人进行修正和提供补充资料的，则承包人提交的支付分解表视为已经获得发包人批准。</w:t>
      </w:r>
    </w:p>
    <w:p w14:paraId="78623FB3">
      <w:pPr>
        <w:pStyle w:val="80"/>
        <w:rPr>
          <w:rFonts w:hint="eastAsia" w:cs="宋体"/>
          <w:color w:val="auto"/>
          <w:sz w:val="21"/>
          <w:highlight w:val="none"/>
        </w:rPr>
      </w:pPr>
      <w:r>
        <w:rPr>
          <w:rFonts w:hint="eastAsia" w:cs="宋体"/>
          <w:color w:val="auto"/>
          <w:sz w:val="21"/>
          <w:highlight w:val="none"/>
          <w:lang w:eastAsia="zh-CN"/>
        </w:rPr>
        <w:t>3.</w:t>
      </w:r>
      <w:r>
        <w:rPr>
          <w:rFonts w:hint="eastAsia" w:cs="宋体"/>
          <w:color w:val="auto"/>
          <w:sz w:val="21"/>
          <w:highlight w:val="none"/>
        </w:rPr>
        <w:t>单价合同的总价项目支付分解表的编制与审批</w:t>
      </w:r>
    </w:p>
    <w:p w14:paraId="6C32A60B">
      <w:pPr>
        <w:pStyle w:val="80"/>
        <w:rPr>
          <w:rFonts w:hint="eastAsia" w:cs="宋体"/>
          <w:color w:val="auto"/>
          <w:sz w:val="21"/>
          <w:highlight w:val="none"/>
        </w:rPr>
      </w:pPr>
      <w:r>
        <w:rPr>
          <w:rFonts w:hint="eastAsia" w:cs="宋体"/>
          <w:color w:val="auto"/>
          <w:sz w:val="21"/>
          <w:highlight w:val="none"/>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14:paraId="6E18E31D">
      <w:pPr>
        <w:pStyle w:val="322"/>
        <w:rPr>
          <w:rFonts w:hint="eastAsia" w:ascii="宋体" w:cs="宋体"/>
          <w:color w:val="auto"/>
          <w:highlight w:val="none"/>
        </w:rPr>
      </w:pPr>
      <w:bookmarkStart w:id="540" w:name="_Toc478389128"/>
      <w:bookmarkStart w:id="541" w:name="_Toc351203585"/>
      <w:r>
        <w:rPr>
          <w:rFonts w:hint="eastAsia" w:ascii="宋体" w:cs="宋体"/>
          <w:color w:val="auto"/>
          <w:highlight w:val="none"/>
        </w:rPr>
        <w:t>12.5支付账户</w:t>
      </w:r>
      <w:bookmarkEnd w:id="540"/>
      <w:bookmarkEnd w:id="541"/>
    </w:p>
    <w:p w14:paraId="4BCDB7C3">
      <w:pPr>
        <w:pStyle w:val="80"/>
        <w:rPr>
          <w:rFonts w:hint="eastAsia" w:cs="宋体"/>
          <w:color w:val="auto"/>
          <w:sz w:val="21"/>
          <w:highlight w:val="none"/>
        </w:rPr>
      </w:pPr>
      <w:r>
        <w:rPr>
          <w:rFonts w:hint="eastAsia" w:cs="宋体"/>
          <w:color w:val="auto"/>
          <w:sz w:val="21"/>
          <w:highlight w:val="none"/>
        </w:rPr>
        <w:t>发包人应将合同价款支付至合同协议书中约定的承包人账户。</w:t>
      </w:r>
    </w:p>
    <w:p w14:paraId="2E0F80CB">
      <w:pPr>
        <w:pStyle w:val="322"/>
        <w:rPr>
          <w:rFonts w:hint="eastAsia" w:ascii="宋体" w:cs="宋体"/>
          <w:color w:val="auto"/>
          <w:highlight w:val="none"/>
        </w:rPr>
      </w:pPr>
      <w:bookmarkStart w:id="542" w:name="_Toc478389129"/>
      <w:bookmarkStart w:id="543" w:name="_Toc351203586"/>
      <w:bookmarkStart w:id="544" w:name="_Toc322522574"/>
      <w:bookmarkStart w:id="545" w:name="_Toc337558804"/>
      <w:bookmarkStart w:id="546" w:name="_Toc296503106"/>
      <w:bookmarkStart w:id="547" w:name="_Toc296346607"/>
      <w:r>
        <w:rPr>
          <w:rFonts w:hint="eastAsia" w:ascii="宋体" w:cs="宋体"/>
          <w:color w:val="auto"/>
          <w:highlight w:val="none"/>
        </w:rPr>
        <w:t>13. 验收和工程试车</w:t>
      </w:r>
      <w:bookmarkEnd w:id="542"/>
      <w:bookmarkEnd w:id="543"/>
    </w:p>
    <w:bookmarkEnd w:id="544"/>
    <w:bookmarkEnd w:id="545"/>
    <w:bookmarkEnd w:id="546"/>
    <w:bookmarkEnd w:id="547"/>
    <w:p w14:paraId="23CCB421">
      <w:pPr>
        <w:pStyle w:val="322"/>
        <w:rPr>
          <w:rFonts w:hint="eastAsia" w:ascii="宋体" w:cs="宋体"/>
          <w:color w:val="auto"/>
          <w:highlight w:val="none"/>
        </w:rPr>
      </w:pPr>
      <w:bookmarkStart w:id="548" w:name="_Toc351203587"/>
      <w:bookmarkStart w:id="549" w:name="_Toc478389130"/>
      <w:bookmarkStart w:id="550" w:name="_Toc337558805"/>
      <w:bookmarkStart w:id="551" w:name="_Toc296346611"/>
      <w:bookmarkStart w:id="552" w:name="_Toc296503110"/>
      <w:r>
        <w:rPr>
          <w:rFonts w:hint="eastAsia" w:ascii="宋体" w:cs="宋体"/>
          <w:color w:val="auto"/>
          <w:highlight w:val="none"/>
        </w:rPr>
        <w:t>13.1分部分项工程验收</w:t>
      </w:r>
      <w:bookmarkEnd w:id="548"/>
      <w:bookmarkEnd w:id="549"/>
    </w:p>
    <w:bookmarkEnd w:id="550"/>
    <w:p w14:paraId="7F271B4B">
      <w:pPr>
        <w:pStyle w:val="80"/>
        <w:rPr>
          <w:rFonts w:hint="eastAsia" w:cs="宋体"/>
          <w:color w:val="auto"/>
          <w:sz w:val="21"/>
          <w:highlight w:val="none"/>
        </w:rPr>
      </w:pPr>
      <w:r>
        <w:rPr>
          <w:rFonts w:hint="eastAsia" w:cs="宋体"/>
          <w:color w:val="auto"/>
          <w:sz w:val="21"/>
          <w:highlight w:val="none"/>
        </w:rPr>
        <w:t>13.1.1分部分项工程质量应符合国家有关工程施工验收规范、标准及合同约定，承包人应按照施工组织设计的要求完成分部分项工程施工。</w:t>
      </w:r>
    </w:p>
    <w:p w14:paraId="1A4F0D20">
      <w:pPr>
        <w:pStyle w:val="80"/>
        <w:rPr>
          <w:rFonts w:hint="eastAsia" w:cs="宋体"/>
          <w:color w:val="auto"/>
          <w:sz w:val="21"/>
          <w:highlight w:val="none"/>
        </w:rPr>
      </w:pPr>
      <w:r>
        <w:rPr>
          <w:rFonts w:hint="eastAsia" w:cs="宋体"/>
          <w:color w:val="auto"/>
          <w:sz w:val="21"/>
          <w:highlight w:val="none"/>
        </w:rPr>
        <w:t>13.1.2除专用合同条款另有约定外，分部分项工程经承包人自检合格并具备验收条件的，承包人应提前48小时通知监理人进行验收。监理人不能按时进行验收的，应在验收前24小时向承包人提交书面延期要求，但延期不能超过48小时。监理人未按时进行验收，也未提出延期要求的，承包人有权自行验收，监理人应认可验收结果。分部分项工程未经验收的，不得进入下一道工序施工。</w:t>
      </w:r>
    </w:p>
    <w:p w14:paraId="65B74849">
      <w:pPr>
        <w:pStyle w:val="80"/>
        <w:rPr>
          <w:rFonts w:hint="eastAsia" w:cs="宋体"/>
          <w:color w:val="auto"/>
          <w:sz w:val="21"/>
          <w:highlight w:val="none"/>
        </w:rPr>
      </w:pPr>
      <w:r>
        <w:rPr>
          <w:rFonts w:hint="eastAsia" w:cs="宋体"/>
          <w:color w:val="auto"/>
          <w:sz w:val="21"/>
          <w:highlight w:val="none"/>
        </w:rPr>
        <w:t>分部分项工程的验收资料应当作为竣工资料的组成部分。</w:t>
      </w:r>
    </w:p>
    <w:p w14:paraId="435CF32F">
      <w:pPr>
        <w:pStyle w:val="322"/>
        <w:rPr>
          <w:rFonts w:hint="eastAsia" w:ascii="宋体" w:cs="宋体"/>
          <w:color w:val="auto"/>
          <w:highlight w:val="none"/>
        </w:rPr>
      </w:pPr>
      <w:bookmarkStart w:id="553" w:name="_Toc351203588"/>
      <w:bookmarkStart w:id="554" w:name="_Toc478389131"/>
      <w:bookmarkStart w:id="555" w:name="_Toc337558806"/>
      <w:r>
        <w:rPr>
          <w:rFonts w:hint="eastAsia" w:ascii="宋体" w:cs="宋体"/>
          <w:color w:val="auto"/>
          <w:highlight w:val="none"/>
        </w:rPr>
        <w:t>13.2竣工验收</w:t>
      </w:r>
      <w:bookmarkEnd w:id="553"/>
      <w:bookmarkEnd w:id="554"/>
    </w:p>
    <w:bookmarkEnd w:id="551"/>
    <w:bookmarkEnd w:id="552"/>
    <w:bookmarkEnd w:id="555"/>
    <w:p w14:paraId="5FEA23AB">
      <w:pPr>
        <w:pStyle w:val="80"/>
        <w:outlineLvl w:val="0"/>
        <w:rPr>
          <w:rFonts w:hint="eastAsia" w:cs="宋体"/>
          <w:color w:val="auto"/>
          <w:sz w:val="21"/>
          <w:highlight w:val="none"/>
        </w:rPr>
      </w:pPr>
      <w:bookmarkStart w:id="556" w:name="_Toc478389132"/>
      <w:bookmarkStart w:id="557" w:name="_Toc406419288"/>
      <w:bookmarkStart w:id="558" w:name="_Toc406522163"/>
      <w:r>
        <w:rPr>
          <w:rFonts w:hint="eastAsia" w:cs="宋体"/>
          <w:color w:val="auto"/>
          <w:sz w:val="21"/>
          <w:highlight w:val="none"/>
        </w:rPr>
        <w:t>13.2.1竣工验收条件</w:t>
      </w:r>
      <w:bookmarkEnd w:id="556"/>
      <w:bookmarkEnd w:id="557"/>
      <w:bookmarkEnd w:id="558"/>
    </w:p>
    <w:p w14:paraId="34674FE8">
      <w:pPr>
        <w:pStyle w:val="80"/>
        <w:rPr>
          <w:rFonts w:hint="eastAsia" w:cs="宋体"/>
          <w:color w:val="auto"/>
          <w:sz w:val="21"/>
          <w:highlight w:val="none"/>
        </w:rPr>
      </w:pPr>
      <w:r>
        <w:rPr>
          <w:rFonts w:hint="eastAsia" w:cs="宋体"/>
          <w:color w:val="auto"/>
          <w:sz w:val="21"/>
          <w:highlight w:val="none"/>
        </w:rPr>
        <w:t>工程具备以下条件的，承包人可以申请竣工验收：</w:t>
      </w:r>
    </w:p>
    <w:p w14:paraId="7A7149A0">
      <w:pPr>
        <w:pStyle w:val="80"/>
        <w:rPr>
          <w:rFonts w:hint="eastAsia" w:cs="宋体"/>
          <w:color w:val="auto"/>
          <w:sz w:val="21"/>
          <w:highlight w:val="none"/>
        </w:rPr>
      </w:pPr>
      <w:r>
        <w:rPr>
          <w:rFonts w:hint="eastAsia" w:cs="宋体"/>
          <w:color w:val="auto"/>
          <w:sz w:val="21"/>
          <w:highlight w:val="none"/>
        </w:rPr>
        <w:t>（1）除发包人同意的甩项工作和缺陷修补工作外，合同范围内的全部工程以及有关工作，包括合同要求的试验、试运行以及检验均已完成，并符合合同要求；</w:t>
      </w:r>
    </w:p>
    <w:p w14:paraId="672270DD">
      <w:pPr>
        <w:pStyle w:val="80"/>
        <w:rPr>
          <w:rFonts w:hint="eastAsia" w:cs="宋体"/>
          <w:color w:val="auto"/>
          <w:sz w:val="21"/>
          <w:highlight w:val="none"/>
        </w:rPr>
      </w:pPr>
      <w:r>
        <w:rPr>
          <w:rFonts w:hint="eastAsia" w:cs="宋体"/>
          <w:color w:val="auto"/>
          <w:sz w:val="21"/>
          <w:highlight w:val="none"/>
        </w:rPr>
        <w:t>（2）已按合同约定编制了甩项工作和缺陷修补工作清单以及相应的施工计划；</w:t>
      </w:r>
    </w:p>
    <w:p w14:paraId="2F50C44C">
      <w:pPr>
        <w:pStyle w:val="80"/>
        <w:rPr>
          <w:rFonts w:hint="eastAsia" w:cs="宋体"/>
          <w:color w:val="auto"/>
          <w:sz w:val="21"/>
          <w:highlight w:val="none"/>
        </w:rPr>
      </w:pPr>
      <w:r>
        <w:rPr>
          <w:rFonts w:hint="eastAsia" w:cs="宋体"/>
          <w:color w:val="auto"/>
          <w:sz w:val="21"/>
          <w:highlight w:val="none"/>
        </w:rPr>
        <w:t>（3）已按合同约定的内容和份数备齐竣工资料。</w:t>
      </w:r>
    </w:p>
    <w:p w14:paraId="488774AC">
      <w:pPr>
        <w:pStyle w:val="80"/>
        <w:rPr>
          <w:rFonts w:hint="eastAsia" w:cs="宋体"/>
          <w:color w:val="auto"/>
          <w:sz w:val="21"/>
          <w:highlight w:val="none"/>
        </w:rPr>
      </w:pPr>
      <w:r>
        <w:rPr>
          <w:rFonts w:hint="eastAsia" w:cs="宋体"/>
          <w:color w:val="auto"/>
          <w:sz w:val="21"/>
          <w:highlight w:val="none"/>
        </w:rPr>
        <w:t>13.2.2竣工验收程序</w:t>
      </w:r>
    </w:p>
    <w:p w14:paraId="0F93B4E4">
      <w:pPr>
        <w:pStyle w:val="80"/>
        <w:rPr>
          <w:rFonts w:hint="eastAsia" w:cs="宋体"/>
          <w:color w:val="auto"/>
          <w:sz w:val="21"/>
          <w:highlight w:val="none"/>
        </w:rPr>
      </w:pPr>
      <w:r>
        <w:rPr>
          <w:rFonts w:hint="eastAsia" w:cs="宋体"/>
          <w:color w:val="auto"/>
          <w:sz w:val="21"/>
          <w:highlight w:val="none"/>
        </w:rPr>
        <w:t>除专用合同条款另有约定外，承包人申请竣工验收的，应当按照以下程序进行：</w:t>
      </w:r>
    </w:p>
    <w:p w14:paraId="308F5077">
      <w:pPr>
        <w:pStyle w:val="80"/>
        <w:rPr>
          <w:rFonts w:hint="eastAsia" w:cs="宋体"/>
          <w:color w:val="auto"/>
          <w:sz w:val="21"/>
          <w:highlight w:val="none"/>
        </w:rPr>
      </w:pPr>
      <w:r>
        <w:rPr>
          <w:rFonts w:hint="eastAsia" w:cs="宋体"/>
          <w:color w:val="auto"/>
          <w:sz w:val="21"/>
          <w:highlight w:val="none"/>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14:paraId="050EC392">
      <w:pPr>
        <w:pStyle w:val="80"/>
        <w:rPr>
          <w:rFonts w:hint="eastAsia" w:cs="宋体"/>
          <w:color w:val="auto"/>
          <w:sz w:val="21"/>
          <w:highlight w:val="none"/>
        </w:rPr>
      </w:pPr>
      <w:r>
        <w:rPr>
          <w:rFonts w:hint="eastAsia" w:cs="宋体"/>
          <w:color w:val="auto"/>
          <w:sz w:val="21"/>
          <w:highlight w:val="none"/>
        </w:rPr>
        <w:t>（2）监理人审查后认为已具备竣工验收条件的，应将竣工验收申请报告提交发包人，发包人应在收到经监理人审核的竣工验收申请报告后28天内审批完毕并组织监理人、承包人、设计人等相关单位完成竣工验收。</w:t>
      </w:r>
    </w:p>
    <w:p w14:paraId="22715F74">
      <w:pPr>
        <w:pStyle w:val="80"/>
        <w:rPr>
          <w:rFonts w:hint="eastAsia" w:cs="宋体"/>
          <w:color w:val="auto"/>
          <w:sz w:val="21"/>
          <w:highlight w:val="none"/>
        </w:rPr>
      </w:pPr>
      <w:r>
        <w:rPr>
          <w:rFonts w:hint="eastAsia" w:cs="宋体"/>
          <w:color w:val="auto"/>
          <w:sz w:val="21"/>
          <w:highlight w:val="none"/>
        </w:rPr>
        <w:t>（3）竣工验收合格的，发包人应在验收合格后14天内向承包人签发工程接收证书。发包人无正当理由逾期不颁发工程接收证书的，自验收合格后第15天起视为已颁发工程接收证书。</w:t>
      </w:r>
    </w:p>
    <w:p w14:paraId="7267AD72">
      <w:pPr>
        <w:pStyle w:val="80"/>
        <w:rPr>
          <w:rFonts w:hint="eastAsia" w:cs="宋体"/>
          <w:color w:val="auto"/>
          <w:sz w:val="21"/>
          <w:highlight w:val="none"/>
        </w:rPr>
      </w:pPr>
      <w:r>
        <w:rPr>
          <w:rFonts w:hint="eastAsia" w:cs="宋体"/>
          <w:color w:val="auto"/>
          <w:sz w:val="21"/>
          <w:highlight w:val="none"/>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14:paraId="0E75D31F">
      <w:pPr>
        <w:pStyle w:val="80"/>
        <w:rPr>
          <w:rFonts w:hint="eastAsia" w:cs="宋体"/>
          <w:color w:val="auto"/>
          <w:sz w:val="21"/>
          <w:highlight w:val="none"/>
        </w:rPr>
      </w:pPr>
      <w:r>
        <w:rPr>
          <w:rFonts w:hint="eastAsia" w:cs="宋体"/>
          <w:color w:val="auto"/>
          <w:sz w:val="21"/>
          <w:highlight w:val="none"/>
        </w:rPr>
        <w:t>（5）工程未经验收或验收不合格，发包人擅自使用的，应在转移占有工程后7天内向承包人颁发工程接收证书；发包人无正当理由逾期不颁发工程接收证书的，自转移占有后第15天起视为已颁发工程接收证书。</w:t>
      </w:r>
    </w:p>
    <w:p w14:paraId="59310488">
      <w:pPr>
        <w:pStyle w:val="80"/>
        <w:rPr>
          <w:rFonts w:hint="eastAsia" w:cs="宋体"/>
          <w:color w:val="auto"/>
          <w:sz w:val="21"/>
          <w:highlight w:val="none"/>
        </w:rPr>
      </w:pPr>
      <w:r>
        <w:rPr>
          <w:rFonts w:hint="eastAsia" w:cs="宋体"/>
          <w:color w:val="auto"/>
          <w:sz w:val="21"/>
          <w:highlight w:val="none"/>
        </w:rPr>
        <w:t>除专用合同条款另有约定外，发包人不按照本项约定组织竣工验收、颁发工程接收证书的，每逾期一天，应以签约合同价为基数，按照中国人民银行发布的同期同类贷款基准利率支付违约金。</w:t>
      </w:r>
    </w:p>
    <w:p w14:paraId="4887BF0E">
      <w:pPr>
        <w:pStyle w:val="80"/>
        <w:rPr>
          <w:rFonts w:hint="eastAsia" w:cs="宋体"/>
          <w:color w:val="auto"/>
          <w:sz w:val="21"/>
          <w:highlight w:val="none"/>
        </w:rPr>
      </w:pPr>
      <w:r>
        <w:rPr>
          <w:rFonts w:hint="eastAsia" w:cs="宋体"/>
          <w:color w:val="auto"/>
          <w:sz w:val="21"/>
          <w:highlight w:val="none"/>
        </w:rPr>
        <w:t>13.2.3竣工日期</w:t>
      </w:r>
    </w:p>
    <w:p w14:paraId="1AB95A46">
      <w:pPr>
        <w:pStyle w:val="80"/>
        <w:rPr>
          <w:rFonts w:hint="eastAsia" w:cs="宋体"/>
          <w:color w:val="auto"/>
          <w:sz w:val="21"/>
          <w:highlight w:val="none"/>
        </w:rPr>
      </w:pPr>
      <w:r>
        <w:rPr>
          <w:rFonts w:hint="eastAsia" w:cs="宋体"/>
          <w:color w:val="auto"/>
          <w:sz w:val="21"/>
          <w:highlight w:val="none"/>
        </w:rPr>
        <w:t>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w:t>
      </w:r>
      <w:bookmarkStart w:id="559" w:name="#go14"/>
      <w:bookmarkEnd w:id="559"/>
      <w:r>
        <w:rPr>
          <w:rFonts w:hint="eastAsia" w:cs="宋体"/>
          <w:color w:val="auto"/>
          <w:sz w:val="21"/>
          <w:highlight w:val="none"/>
        </w:rPr>
        <w:t>收申请报告的日期为实际竣工日期；工程未经竣工验收，发包人擅自使用的，以转移占有工程之日为实际竣工日期。</w:t>
      </w:r>
    </w:p>
    <w:p w14:paraId="53C8EF45">
      <w:pPr>
        <w:pStyle w:val="80"/>
        <w:rPr>
          <w:rFonts w:hint="eastAsia" w:cs="宋体"/>
          <w:color w:val="auto"/>
          <w:sz w:val="21"/>
          <w:highlight w:val="none"/>
        </w:rPr>
      </w:pPr>
      <w:r>
        <w:rPr>
          <w:rFonts w:hint="eastAsia" w:cs="宋体"/>
          <w:color w:val="auto"/>
          <w:sz w:val="21"/>
          <w:highlight w:val="none"/>
        </w:rPr>
        <w:t>13.2.4 拒绝接收全部或部分工程</w:t>
      </w:r>
    </w:p>
    <w:p w14:paraId="5E8FFA9D">
      <w:pPr>
        <w:pStyle w:val="80"/>
        <w:rPr>
          <w:rFonts w:hint="eastAsia" w:cs="宋体"/>
          <w:color w:val="auto"/>
          <w:sz w:val="21"/>
          <w:highlight w:val="none"/>
        </w:rPr>
      </w:pPr>
      <w:r>
        <w:rPr>
          <w:rFonts w:hint="eastAsia" w:cs="宋体"/>
          <w:color w:val="auto"/>
          <w:sz w:val="21"/>
          <w:highlight w:val="none"/>
        </w:rPr>
        <w:t>对于竣工验收不合格的工程，承包人完成整改后，应当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14:paraId="548E3CFD">
      <w:pPr>
        <w:pStyle w:val="80"/>
        <w:outlineLvl w:val="0"/>
        <w:rPr>
          <w:rFonts w:hint="eastAsia" w:cs="宋体"/>
          <w:color w:val="auto"/>
          <w:sz w:val="21"/>
          <w:highlight w:val="none"/>
        </w:rPr>
      </w:pPr>
      <w:bookmarkStart w:id="560" w:name="_Toc478389133"/>
      <w:bookmarkStart w:id="561" w:name="_Toc406522164"/>
      <w:bookmarkStart w:id="562" w:name="_Toc406419289"/>
      <w:r>
        <w:rPr>
          <w:rFonts w:hint="eastAsia" w:cs="宋体"/>
          <w:color w:val="auto"/>
          <w:sz w:val="21"/>
          <w:highlight w:val="none"/>
        </w:rPr>
        <w:t>13.2.5 移交、接收全部与部分工程</w:t>
      </w:r>
      <w:bookmarkEnd w:id="560"/>
      <w:bookmarkEnd w:id="561"/>
      <w:bookmarkEnd w:id="562"/>
    </w:p>
    <w:p w14:paraId="6FC69B96">
      <w:pPr>
        <w:pStyle w:val="80"/>
        <w:rPr>
          <w:rFonts w:hint="eastAsia" w:cs="宋体"/>
          <w:color w:val="auto"/>
          <w:sz w:val="21"/>
          <w:highlight w:val="none"/>
        </w:rPr>
      </w:pPr>
      <w:r>
        <w:rPr>
          <w:rFonts w:hint="eastAsia" w:cs="宋体"/>
          <w:color w:val="auto"/>
          <w:sz w:val="21"/>
          <w:highlight w:val="none"/>
        </w:rPr>
        <w:t>除专用合同条款另有约定外，合同当事人应当在颁发工程接收证书后7天内完成工程的移交。</w:t>
      </w:r>
    </w:p>
    <w:p w14:paraId="314BB5FD">
      <w:pPr>
        <w:pStyle w:val="80"/>
        <w:rPr>
          <w:rFonts w:hint="eastAsia" w:cs="宋体"/>
          <w:color w:val="auto"/>
          <w:sz w:val="21"/>
          <w:highlight w:val="none"/>
        </w:rPr>
      </w:pPr>
      <w:r>
        <w:rPr>
          <w:rFonts w:hint="eastAsia" w:cs="宋体"/>
          <w:color w:val="auto"/>
          <w:sz w:val="21"/>
          <w:highlight w:val="none"/>
        </w:rPr>
        <w:t>发包人无正当理由不接收工程的，发包人自应当接收工程之日起，承担工程照管、成品保护、保管等与工程有关的各项费用，合同当事人可以在专用合同条款中另行约定发包人逾期接收工程的违约责任。</w:t>
      </w:r>
    </w:p>
    <w:p w14:paraId="40918559">
      <w:pPr>
        <w:pStyle w:val="80"/>
        <w:rPr>
          <w:rFonts w:hint="eastAsia" w:cs="宋体"/>
          <w:color w:val="auto"/>
          <w:sz w:val="21"/>
          <w:highlight w:val="none"/>
        </w:rPr>
      </w:pPr>
      <w:r>
        <w:rPr>
          <w:rFonts w:hint="eastAsia" w:cs="宋体"/>
          <w:color w:val="auto"/>
          <w:sz w:val="21"/>
          <w:highlight w:val="none"/>
        </w:rPr>
        <w:t>承包人无正当理由不移交工程的，承包人应承担工程照管、成品保护、保管等与工程有关的各项费用，合同当事人可以在专用合同条款中另行约定承包人无正当理由不移交工程的违约责任。</w:t>
      </w:r>
    </w:p>
    <w:p w14:paraId="29B58A64">
      <w:pPr>
        <w:pStyle w:val="322"/>
        <w:rPr>
          <w:rFonts w:hint="eastAsia" w:ascii="宋体" w:cs="宋体"/>
          <w:color w:val="auto"/>
          <w:highlight w:val="none"/>
        </w:rPr>
      </w:pPr>
      <w:bookmarkStart w:id="563" w:name="_Toc478389134"/>
      <w:bookmarkStart w:id="564" w:name="_Toc351203589"/>
      <w:bookmarkStart w:id="565" w:name="_Toc337558807"/>
      <w:bookmarkStart w:id="566" w:name="_Toc296503111"/>
      <w:bookmarkStart w:id="567" w:name="_Toc296346612"/>
      <w:r>
        <w:rPr>
          <w:rFonts w:hint="eastAsia" w:ascii="宋体" w:cs="宋体"/>
          <w:color w:val="auto"/>
          <w:highlight w:val="none"/>
        </w:rPr>
        <w:t>13.3工程试车</w:t>
      </w:r>
      <w:bookmarkEnd w:id="563"/>
      <w:bookmarkEnd w:id="564"/>
    </w:p>
    <w:bookmarkEnd w:id="565"/>
    <w:bookmarkEnd w:id="566"/>
    <w:bookmarkEnd w:id="567"/>
    <w:p w14:paraId="348AD6C0">
      <w:pPr>
        <w:pStyle w:val="80"/>
        <w:rPr>
          <w:rFonts w:hint="eastAsia" w:cs="宋体"/>
          <w:color w:val="auto"/>
          <w:sz w:val="21"/>
          <w:highlight w:val="none"/>
        </w:rPr>
      </w:pPr>
      <w:r>
        <w:rPr>
          <w:rFonts w:hint="eastAsia" w:cs="宋体"/>
          <w:color w:val="auto"/>
          <w:sz w:val="21"/>
          <w:highlight w:val="none"/>
        </w:rPr>
        <w:t>13.3.1试车程序</w:t>
      </w:r>
    </w:p>
    <w:p w14:paraId="4D5D54F9">
      <w:pPr>
        <w:pStyle w:val="80"/>
        <w:rPr>
          <w:rFonts w:hint="eastAsia" w:cs="宋体"/>
          <w:color w:val="auto"/>
          <w:sz w:val="21"/>
          <w:highlight w:val="none"/>
        </w:rPr>
      </w:pPr>
      <w:r>
        <w:rPr>
          <w:rFonts w:hint="eastAsia" w:cs="宋体"/>
          <w:color w:val="auto"/>
          <w:sz w:val="21"/>
          <w:highlight w:val="none"/>
        </w:rPr>
        <w:t>工程需要试车的，除专用合同条款另有约定外，试车内容应与承包人承包范围相一致，试车费用由承包人承担。工程试车应按如下程序进行：</w:t>
      </w:r>
    </w:p>
    <w:p w14:paraId="1091AA67">
      <w:pPr>
        <w:pStyle w:val="80"/>
        <w:rPr>
          <w:rFonts w:hint="eastAsia" w:cs="宋体"/>
          <w:color w:val="auto"/>
          <w:sz w:val="21"/>
          <w:highlight w:val="none"/>
        </w:rPr>
      </w:pPr>
      <w:r>
        <w:rPr>
          <w:rFonts w:hint="eastAsia" w:cs="宋体"/>
          <w:color w:val="auto"/>
          <w:sz w:val="21"/>
          <w:highlight w:val="none"/>
        </w:rPr>
        <w:t>（1）具备单机无负荷试车条件，承包人组织试车，并在试车前48小时书面通知监理人，通知中应载明试车内容、时间、地点。承包人准备试车记录，发包人根据承包人要求为试车提供必要条件。试车合格的，监理人在试车记录上签字。监理人在试车合格后不在试车记录上签字，自试车结束满24小时后视为监理人已经认可试车记录，承包人可继续施工或办理竣工验收手续。</w:t>
      </w:r>
    </w:p>
    <w:p w14:paraId="3F42F202">
      <w:pPr>
        <w:pStyle w:val="80"/>
        <w:rPr>
          <w:rFonts w:hint="eastAsia" w:cs="宋体"/>
          <w:color w:val="auto"/>
          <w:sz w:val="21"/>
          <w:highlight w:val="none"/>
        </w:rPr>
      </w:pPr>
      <w:r>
        <w:rPr>
          <w:rFonts w:hint="eastAsia" w:cs="宋体"/>
          <w:color w:val="auto"/>
          <w:sz w:val="21"/>
          <w:highlight w:val="none"/>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14:paraId="064B003C">
      <w:pPr>
        <w:pStyle w:val="80"/>
        <w:rPr>
          <w:rFonts w:hint="eastAsia" w:cs="宋体"/>
          <w:color w:val="auto"/>
          <w:sz w:val="21"/>
          <w:highlight w:val="none"/>
        </w:rPr>
      </w:pPr>
      <w:r>
        <w:rPr>
          <w:rFonts w:hint="eastAsia" w:cs="宋体"/>
          <w:color w:val="auto"/>
          <w:sz w:val="21"/>
          <w:highlight w:val="none"/>
        </w:rPr>
        <w:t>（2）具备无负荷联动试车条件，发包人组织试车，并在试车前48小时以书面形式通知承包人。通知中应载明试车内容、时间、地点和对承包人的要求，承包人按要求做好准备工作。试车合格，合同当事人在试车记录上签字。承包人无正当理由不参加试车的，视为认可试车记录。</w:t>
      </w:r>
    </w:p>
    <w:p w14:paraId="0654B88B">
      <w:pPr>
        <w:pStyle w:val="80"/>
        <w:rPr>
          <w:rFonts w:hint="eastAsia" w:cs="宋体"/>
          <w:color w:val="auto"/>
          <w:sz w:val="21"/>
          <w:highlight w:val="none"/>
        </w:rPr>
      </w:pPr>
      <w:r>
        <w:rPr>
          <w:rFonts w:hint="eastAsia" w:cs="宋体"/>
          <w:color w:val="auto"/>
          <w:sz w:val="21"/>
          <w:highlight w:val="none"/>
        </w:rPr>
        <w:t>13.3.2 试车中的责任</w:t>
      </w:r>
    </w:p>
    <w:p w14:paraId="7B386F8E">
      <w:pPr>
        <w:pStyle w:val="80"/>
        <w:rPr>
          <w:rFonts w:hint="eastAsia" w:cs="宋体"/>
          <w:color w:val="auto"/>
          <w:sz w:val="21"/>
          <w:highlight w:val="none"/>
        </w:rPr>
      </w:pPr>
      <w:r>
        <w:rPr>
          <w:rFonts w:hint="eastAsia" w:cs="宋体"/>
          <w:color w:val="auto"/>
          <w:sz w:val="21"/>
          <w:highlight w:val="none"/>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14:paraId="3F1C8A3B">
      <w:pPr>
        <w:pStyle w:val="80"/>
        <w:rPr>
          <w:rFonts w:hint="eastAsia" w:cs="宋体"/>
          <w:color w:val="auto"/>
          <w:sz w:val="21"/>
          <w:highlight w:val="none"/>
        </w:rPr>
      </w:pPr>
      <w:r>
        <w:rPr>
          <w:rFonts w:hint="eastAsia" w:cs="宋体"/>
          <w:color w:val="auto"/>
          <w:sz w:val="21"/>
          <w:highlight w:val="none"/>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14:paraId="44EFC5C9">
      <w:pPr>
        <w:pStyle w:val="80"/>
        <w:rPr>
          <w:rFonts w:hint="eastAsia" w:cs="宋体"/>
          <w:color w:val="auto"/>
          <w:sz w:val="21"/>
          <w:highlight w:val="none"/>
        </w:rPr>
      </w:pPr>
      <w:r>
        <w:rPr>
          <w:rFonts w:hint="eastAsia" w:cs="宋体"/>
          <w:color w:val="auto"/>
          <w:sz w:val="21"/>
          <w:highlight w:val="none"/>
        </w:rPr>
        <w:t>13.3.3 投料试车</w:t>
      </w:r>
    </w:p>
    <w:p w14:paraId="3D838D61">
      <w:pPr>
        <w:pStyle w:val="80"/>
        <w:rPr>
          <w:rFonts w:hint="eastAsia" w:cs="宋体"/>
          <w:color w:val="auto"/>
          <w:sz w:val="21"/>
          <w:highlight w:val="none"/>
        </w:rPr>
      </w:pPr>
      <w:r>
        <w:rPr>
          <w:rFonts w:hint="eastAsia" w:cs="宋体"/>
          <w:color w:val="auto"/>
          <w:sz w:val="21"/>
          <w:highlight w:val="none"/>
        </w:rPr>
        <w:t>如需进行投料试车的，发包人应在工程竣工验收后组织投料试车。发包人要求在工程竣工验收前进行或需要承包人配合时，应征得承包人同意，并在专用合同条款中约定有关事项。</w:t>
      </w:r>
    </w:p>
    <w:p w14:paraId="7AD3A883">
      <w:pPr>
        <w:pStyle w:val="80"/>
        <w:rPr>
          <w:rFonts w:hint="eastAsia" w:cs="宋体"/>
          <w:color w:val="auto"/>
          <w:sz w:val="21"/>
          <w:highlight w:val="none"/>
        </w:rPr>
      </w:pPr>
      <w:r>
        <w:rPr>
          <w:rFonts w:hint="eastAsia" w:cs="宋体"/>
          <w:color w:val="auto"/>
          <w:sz w:val="21"/>
          <w:highlight w:val="none"/>
        </w:rPr>
        <w:t>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14:paraId="24F4A779">
      <w:pPr>
        <w:pStyle w:val="322"/>
        <w:rPr>
          <w:rFonts w:hint="eastAsia" w:ascii="宋体" w:cs="宋体"/>
          <w:color w:val="auto"/>
          <w:highlight w:val="none"/>
        </w:rPr>
      </w:pPr>
      <w:bookmarkStart w:id="568" w:name="_Toc478389135"/>
      <w:bookmarkStart w:id="569" w:name="_Toc351203590"/>
      <w:bookmarkStart w:id="570" w:name="_Toc337558808"/>
      <w:r>
        <w:rPr>
          <w:rFonts w:hint="eastAsia" w:ascii="宋体" w:cs="宋体"/>
          <w:color w:val="auto"/>
          <w:highlight w:val="none"/>
        </w:rPr>
        <w:t>13.4提前交付单位工程的验收</w:t>
      </w:r>
      <w:bookmarkEnd w:id="568"/>
      <w:bookmarkEnd w:id="569"/>
    </w:p>
    <w:bookmarkEnd w:id="570"/>
    <w:p w14:paraId="58C9866D">
      <w:pPr>
        <w:pStyle w:val="80"/>
        <w:rPr>
          <w:rFonts w:hint="eastAsia" w:cs="宋体"/>
          <w:color w:val="auto"/>
          <w:sz w:val="21"/>
          <w:highlight w:val="none"/>
        </w:rPr>
      </w:pPr>
      <w:r>
        <w:rPr>
          <w:rFonts w:hint="eastAsia" w:cs="宋体"/>
          <w:color w:val="auto"/>
          <w:sz w:val="21"/>
          <w:highlight w:val="none"/>
        </w:rPr>
        <w:t>13.4.1 发包人需要在工程竣工前使用单位工程的，或承包人提出提前交付已经竣工的单位工程且经发包人同意的，可进行单位工程验收，验收的程序按照第13.2款〔竣工验收〕的约定进行。</w:t>
      </w:r>
    </w:p>
    <w:p w14:paraId="4636E9A6">
      <w:pPr>
        <w:pStyle w:val="80"/>
        <w:rPr>
          <w:rFonts w:hint="eastAsia" w:cs="宋体"/>
          <w:color w:val="auto"/>
          <w:sz w:val="21"/>
          <w:highlight w:val="none"/>
        </w:rPr>
      </w:pPr>
      <w:r>
        <w:rPr>
          <w:rFonts w:hint="eastAsia" w:cs="宋体"/>
          <w:color w:val="auto"/>
          <w:sz w:val="21"/>
          <w:highlight w:val="none"/>
        </w:rPr>
        <w:t>验收合格后，由监理人向承包人出具经发包人签认的单位工程接收证书。已签发单位工程接收证书的单位工程由发包人负责照管。单位工程的验收成果和结论作为整体工程竣工验收申请报告的附件。</w:t>
      </w:r>
    </w:p>
    <w:p w14:paraId="43AE6E48">
      <w:pPr>
        <w:pStyle w:val="80"/>
        <w:rPr>
          <w:rFonts w:hint="eastAsia" w:cs="宋体"/>
          <w:color w:val="auto"/>
          <w:sz w:val="21"/>
          <w:highlight w:val="none"/>
        </w:rPr>
      </w:pPr>
      <w:r>
        <w:rPr>
          <w:rFonts w:hint="eastAsia" w:cs="宋体"/>
          <w:color w:val="auto"/>
          <w:sz w:val="21"/>
          <w:highlight w:val="none"/>
        </w:rPr>
        <w:t>13.4.2 发包人要求在工程竣工前交付单位工程，由此导致承包人费用增加和（或）工期延误的，由发包人承担由此增加的费用和（或）延误的工期，并支付承包人合理的利润。</w:t>
      </w:r>
    </w:p>
    <w:p w14:paraId="15C985FE">
      <w:pPr>
        <w:pStyle w:val="322"/>
        <w:rPr>
          <w:rFonts w:hint="eastAsia" w:ascii="宋体" w:cs="宋体"/>
          <w:color w:val="auto"/>
          <w:highlight w:val="none"/>
        </w:rPr>
      </w:pPr>
      <w:bookmarkStart w:id="571" w:name="_Toc351203591"/>
      <w:bookmarkStart w:id="572" w:name="_Toc478389136"/>
      <w:r>
        <w:rPr>
          <w:rFonts w:hint="eastAsia" w:ascii="宋体" w:cs="宋体"/>
          <w:color w:val="auto"/>
          <w:highlight w:val="none"/>
        </w:rPr>
        <w:t>13.5 施工期运行</w:t>
      </w:r>
      <w:bookmarkEnd w:id="571"/>
      <w:bookmarkEnd w:id="572"/>
    </w:p>
    <w:p w14:paraId="6F261FD6">
      <w:pPr>
        <w:pStyle w:val="80"/>
        <w:rPr>
          <w:rFonts w:hint="eastAsia" w:cs="宋体"/>
          <w:color w:val="auto"/>
          <w:sz w:val="21"/>
          <w:highlight w:val="none"/>
        </w:rPr>
      </w:pPr>
      <w:r>
        <w:rPr>
          <w:rFonts w:hint="eastAsia" w:cs="宋体"/>
          <w:color w:val="auto"/>
          <w:sz w:val="21"/>
          <w:highlight w:val="none"/>
        </w:rPr>
        <w:t>13.5.1施工期运行是指合同工程尚未全部竣工，其中某项或某几项单位工程或工程设备安装已竣工，根据专用合同条款约定，需要投入施工期运行的，经发包人按第13.4款〔提前交付单位工程的验收〕的约定验收合格，证明能确保安全后，才能在施工期投入运行。</w:t>
      </w:r>
    </w:p>
    <w:p w14:paraId="24A04849">
      <w:pPr>
        <w:pStyle w:val="80"/>
        <w:rPr>
          <w:rFonts w:hint="eastAsia" w:cs="宋体"/>
          <w:color w:val="auto"/>
          <w:sz w:val="21"/>
          <w:highlight w:val="none"/>
        </w:rPr>
      </w:pPr>
      <w:r>
        <w:rPr>
          <w:rFonts w:hint="eastAsia" w:cs="宋体"/>
          <w:color w:val="auto"/>
          <w:sz w:val="21"/>
          <w:highlight w:val="none"/>
        </w:rPr>
        <w:t>13.5.2在施工期运行中发现工程或工程设备损坏或存在缺陷的，由承包人按第15.2款〔缺陷责任期〕约定进行修复。</w:t>
      </w:r>
    </w:p>
    <w:p w14:paraId="3401CF98">
      <w:pPr>
        <w:pStyle w:val="322"/>
        <w:rPr>
          <w:rFonts w:hint="eastAsia" w:ascii="宋体" w:cs="宋体"/>
          <w:color w:val="auto"/>
          <w:highlight w:val="none"/>
        </w:rPr>
      </w:pPr>
      <w:bookmarkStart w:id="573" w:name="_Toc296503112"/>
      <w:bookmarkStart w:id="574" w:name="_Toc296346613"/>
      <w:bookmarkStart w:id="575" w:name="_Toc351203592"/>
      <w:bookmarkStart w:id="576" w:name="_Toc478389137"/>
      <w:bookmarkStart w:id="577" w:name="_Toc337558809"/>
      <w:r>
        <w:rPr>
          <w:rFonts w:hint="eastAsia" w:ascii="宋体" w:cs="宋体"/>
          <w:color w:val="auto"/>
          <w:highlight w:val="none"/>
        </w:rPr>
        <w:t>13.6 竣工退</w:t>
      </w:r>
      <w:bookmarkEnd w:id="573"/>
      <w:bookmarkEnd w:id="574"/>
      <w:r>
        <w:rPr>
          <w:rFonts w:hint="eastAsia" w:ascii="宋体" w:cs="宋体"/>
          <w:color w:val="auto"/>
          <w:highlight w:val="none"/>
        </w:rPr>
        <w:t>场</w:t>
      </w:r>
      <w:bookmarkEnd w:id="575"/>
      <w:bookmarkEnd w:id="576"/>
    </w:p>
    <w:bookmarkEnd w:id="577"/>
    <w:p w14:paraId="4485C11A">
      <w:pPr>
        <w:pStyle w:val="80"/>
        <w:rPr>
          <w:rFonts w:hint="eastAsia" w:cs="宋体"/>
          <w:color w:val="auto"/>
          <w:sz w:val="21"/>
          <w:highlight w:val="none"/>
        </w:rPr>
      </w:pPr>
      <w:r>
        <w:rPr>
          <w:rFonts w:hint="eastAsia" w:cs="宋体"/>
          <w:color w:val="auto"/>
          <w:sz w:val="21"/>
          <w:highlight w:val="none"/>
        </w:rPr>
        <w:t>13.6.1 竣工退场</w:t>
      </w:r>
    </w:p>
    <w:p w14:paraId="5A4DD5D7">
      <w:pPr>
        <w:pStyle w:val="80"/>
        <w:rPr>
          <w:rFonts w:hint="eastAsia" w:cs="宋体"/>
          <w:color w:val="auto"/>
          <w:sz w:val="21"/>
          <w:highlight w:val="none"/>
        </w:rPr>
      </w:pPr>
      <w:r>
        <w:rPr>
          <w:rFonts w:hint="eastAsia" w:cs="宋体"/>
          <w:color w:val="auto"/>
          <w:sz w:val="21"/>
          <w:highlight w:val="none"/>
        </w:rPr>
        <w:t>颁发工程接收证书后，承包人应按以下要求对施工现场进行清理：</w:t>
      </w:r>
    </w:p>
    <w:p w14:paraId="7711794F">
      <w:pPr>
        <w:pStyle w:val="80"/>
        <w:rPr>
          <w:rFonts w:hint="eastAsia" w:cs="宋体"/>
          <w:color w:val="auto"/>
          <w:sz w:val="21"/>
          <w:highlight w:val="none"/>
        </w:rPr>
      </w:pPr>
      <w:r>
        <w:rPr>
          <w:rFonts w:hint="eastAsia" w:cs="宋体"/>
          <w:color w:val="auto"/>
          <w:sz w:val="21"/>
          <w:highlight w:val="none"/>
        </w:rPr>
        <w:t>（1）施工现场内残留的垃圾已全部清除出场；</w:t>
      </w:r>
    </w:p>
    <w:p w14:paraId="7467D497">
      <w:pPr>
        <w:pStyle w:val="80"/>
        <w:rPr>
          <w:rFonts w:hint="eastAsia" w:cs="宋体"/>
          <w:color w:val="auto"/>
          <w:sz w:val="21"/>
          <w:highlight w:val="none"/>
        </w:rPr>
      </w:pPr>
      <w:r>
        <w:rPr>
          <w:rFonts w:hint="eastAsia" w:cs="宋体"/>
          <w:color w:val="auto"/>
          <w:sz w:val="21"/>
          <w:highlight w:val="none"/>
        </w:rPr>
        <w:t>（2）临时工程已拆除，场地已进行清理、平整或复原；</w:t>
      </w:r>
    </w:p>
    <w:p w14:paraId="4E539FAA">
      <w:pPr>
        <w:pStyle w:val="80"/>
        <w:rPr>
          <w:rFonts w:hint="eastAsia" w:cs="宋体"/>
          <w:color w:val="auto"/>
          <w:sz w:val="21"/>
          <w:highlight w:val="none"/>
        </w:rPr>
      </w:pPr>
      <w:r>
        <w:rPr>
          <w:rFonts w:hint="eastAsia" w:cs="宋体"/>
          <w:color w:val="auto"/>
          <w:sz w:val="21"/>
          <w:highlight w:val="none"/>
        </w:rPr>
        <w:t>（3）按合同约定应撤离的人员、承包人施工设备和剩余的材料，包括废弃的施工设备和材料，已按计划撤离施工现场；</w:t>
      </w:r>
    </w:p>
    <w:p w14:paraId="79210B81">
      <w:pPr>
        <w:pStyle w:val="80"/>
        <w:rPr>
          <w:rFonts w:hint="eastAsia" w:cs="宋体"/>
          <w:color w:val="auto"/>
          <w:sz w:val="21"/>
          <w:highlight w:val="none"/>
        </w:rPr>
      </w:pPr>
      <w:r>
        <w:rPr>
          <w:rFonts w:hint="eastAsia" w:cs="宋体"/>
          <w:color w:val="auto"/>
          <w:sz w:val="21"/>
          <w:highlight w:val="none"/>
        </w:rPr>
        <w:t>（4）施工现场周边及其附近道路、河道的施工堆积物，已全部清理；</w:t>
      </w:r>
    </w:p>
    <w:p w14:paraId="03C35066">
      <w:pPr>
        <w:pStyle w:val="80"/>
        <w:rPr>
          <w:rFonts w:hint="eastAsia" w:cs="宋体"/>
          <w:color w:val="auto"/>
          <w:sz w:val="21"/>
          <w:highlight w:val="none"/>
        </w:rPr>
      </w:pPr>
      <w:r>
        <w:rPr>
          <w:rFonts w:hint="eastAsia" w:cs="宋体"/>
          <w:color w:val="auto"/>
          <w:sz w:val="21"/>
          <w:highlight w:val="none"/>
        </w:rPr>
        <w:t>（5）施工现场其他场地清理工作已全部完成。</w:t>
      </w:r>
    </w:p>
    <w:p w14:paraId="76F00855">
      <w:pPr>
        <w:pStyle w:val="80"/>
        <w:rPr>
          <w:rFonts w:hint="eastAsia" w:cs="宋体"/>
          <w:color w:val="auto"/>
          <w:sz w:val="21"/>
          <w:highlight w:val="none"/>
        </w:rPr>
      </w:pPr>
      <w:r>
        <w:rPr>
          <w:rFonts w:hint="eastAsia" w:cs="宋体"/>
          <w:color w:val="auto"/>
          <w:sz w:val="21"/>
          <w:highlight w:val="none"/>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14:paraId="717C9651">
      <w:pPr>
        <w:pStyle w:val="80"/>
        <w:rPr>
          <w:rFonts w:hint="eastAsia" w:cs="宋体"/>
          <w:color w:val="auto"/>
          <w:sz w:val="21"/>
          <w:highlight w:val="none"/>
        </w:rPr>
      </w:pPr>
      <w:r>
        <w:rPr>
          <w:rFonts w:hint="eastAsia" w:cs="宋体"/>
          <w:color w:val="auto"/>
          <w:sz w:val="21"/>
          <w:highlight w:val="none"/>
        </w:rPr>
        <w:t>13.6.2 地表还原</w:t>
      </w:r>
    </w:p>
    <w:p w14:paraId="539FA1ED">
      <w:pPr>
        <w:pStyle w:val="80"/>
        <w:rPr>
          <w:rFonts w:hint="eastAsia" w:cs="宋体"/>
          <w:color w:val="auto"/>
          <w:sz w:val="21"/>
          <w:highlight w:val="none"/>
        </w:rPr>
      </w:pPr>
      <w:r>
        <w:rPr>
          <w:rFonts w:hint="eastAsia" w:cs="宋体"/>
          <w:color w:val="auto"/>
          <w:sz w:val="21"/>
          <w:highlight w:val="none"/>
        </w:rPr>
        <w:t>承包人应按发包人要求恢复临时占地及清理场地，承包人未按发包人的要求恢复临时占地，或者场地清理未达到合同约定要求的，发包人有权委托其他人恢复或清理，所发生的费用由承包人承担。</w:t>
      </w:r>
    </w:p>
    <w:p w14:paraId="2E13EEB8">
      <w:pPr>
        <w:pStyle w:val="322"/>
        <w:rPr>
          <w:rFonts w:hint="eastAsia" w:ascii="宋体" w:cs="宋体"/>
          <w:color w:val="auto"/>
          <w:highlight w:val="none"/>
        </w:rPr>
      </w:pPr>
      <w:bookmarkStart w:id="578" w:name="_Toc478389138"/>
      <w:bookmarkStart w:id="579" w:name="_Toc351203593"/>
      <w:bookmarkStart w:id="580" w:name="_Toc337558810"/>
      <w:bookmarkStart w:id="581" w:name="_Toc296346614"/>
      <w:bookmarkStart w:id="582" w:name="_Toc296503113"/>
      <w:r>
        <w:rPr>
          <w:rFonts w:hint="eastAsia" w:ascii="宋体" w:cs="宋体"/>
          <w:color w:val="auto"/>
          <w:highlight w:val="none"/>
        </w:rPr>
        <w:t>14. 竣工结算</w:t>
      </w:r>
      <w:bookmarkEnd w:id="578"/>
      <w:bookmarkEnd w:id="579"/>
    </w:p>
    <w:bookmarkEnd w:id="580"/>
    <w:p w14:paraId="4DB9D8B8">
      <w:pPr>
        <w:pStyle w:val="322"/>
        <w:rPr>
          <w:rFonts w:hint="eastAsia" w:ascii="宋体" w:cs="宋体"/>
          <w:color w:val="auto"/>
          <w:highlight w:val="none"/>
        </w:rPr>
      </w:pPr>
      <w:bookmarkStart w:id="583" w:name="_Toc351203594"/>
      <w:bookmarkStart w:id="584" w:name="_Toc478389139"/>
      <w:bookmarkStart w:id="585" w:name="_Toc337558811"/>
      <w:r>
        <w:rPr>
          <w:rFonts w:hint="eastAsia" w:ascii="宋体" w:cs="宋体"/>
          <w:color w:val="auto"/>
          <w:highlight w:val="none"/>
        </w:rPr>
        <w:t>14.1 竣工结算申请</w:t>
      </w:r>
      <w:bookmarkEnd w:id="583"/>
      <w:bookmarkEnd w:id="584"/>
    </w:p>
    <w:bookmarkEnd w:id="585"/>
    <w:p w14:paraId="6DBBD672">
      <w:pPr>
        <w:pStyle w:val="80"/>
        <w:rPr>
          <w:rFonts w:hint="eastAsia" w:cs="宋体"/>
          <w:color w:val="auto"/>
          <w:sz w:val="21"/>
          <w:highlight w:val="none"/>
        </w:rPr>
      </w:pPr>
      <w:r>
        <w:rPr>
          <w:rFonts w:hint="eastAsia" w:cs="宋体"/>
          <w:color w:val="auto"/>
          <w:sz w:val="21"/>
          <w:highlight w:val="none"/>
        </w:rPr>
        <w:t>除专用合同条款另有约定外，承包人应在工程竣工验收合格后28天内向发包人和监理人提交竣工结算申请单，并提交完整的结算资料，有关竣工结算申请单的资料清单和份数等要求由合同当事人在专用合同条款中约定。</w:t>
      </w:r>
    </w:p>
    <w:p w14:paraId="5A1EB7D1">
      <w:pPr>
        <w:pStyle w:val="80"/>
        <w:rPr>
          <w:rFonts w:hint="eastAsia" w:cs="宋体"/>
          <w:color w:val="auto"/>
          <w:sz w:val="21"/>
          <w:highlight w:val="none"/>
        </w:rPr>
      </w:pPr>
      <w:r>
        <w:rPr>
          <w:rFonts w:hint="eastAsia" w:cs="宋体"/>
          <w:color w:val="auto"/>
          <w:sz w:val="21"/>
          <w:highlight w:val="none"/>
        </w:rPr>
        <w:t>除专用合同条款另有约定外，竣工结算申请单应包括以下内容：</w:t>
      </w:r>
    </w:p>
    <w:p w14:paraId="677EB60C">
      <w:pPr>
        <w:pStyle w:val="80"/>
        <w:rPr>
          <w:rFonts w:hint="eastAsia" w:cs="宋体"/>
          <w:color w:val="auto"/>
          <w:sz w:val="21"/>
          <w:highlight w:val="none"/>
        </w:rPr>
      </w:pPr>
      <w:r>
        <w:rPr>
          <w:rFonts w:hint="eastAsia" w:cs="宋体"/>
          <w:color w:val="auto"/>
          <w:sz w:val="21"/>
          <w:highlight w:val="none"/>
        </w:rPr>
        <w:t>（1）竣工结算合同价格；</w:t>
      </w:r>
    </w:p>
    <w:p w14:paraId="031AE47F">
      <w:pPr>
        <w:pStyle w:val="80"/>
        <w:rPr>
          <w:rFonts w:hint="eastAsia" w:cs="宋体"/>
          <w:color w:val="auto"/>
          <w:sz w:val="21"/>
          <w:highlight w:val="none"/>
        </w:rPr>
      </w:pPr>
      <w:r>
        <w:rPr>
          <w:rFonts w:hint="eastAsia" w:cs="宋体"/>
          <w:color w:val="auto"/>
          <w:sz w:val="21"/>
          <w:highlight w:val="none"/>
        </w:rPr>
        <w:t>（2）发包人已支付承包人的款项；</w:t>
      </w:r>
    </w:p>
    <w:p w14:paraId="39BC9276">
      <w:pPr>
        <w:pStyle w:val="80"/>
        <w:rPr>
          <w:rFonts w:hint="eastAsia" w:cs="宋体"/>
          <w:color w:val="auto"/>
          <w:sz w:val="21"/>
          <w:highlight w:val="none"/>
        </w:rPr>
      </w:pPr>
      <w:r>
        <w:rPr>
          <w:rFonts w:hint="eastAsia" w:cs="宋体"/>
          <w:color w:val="auto"/>
          <w:sz w:val="21"/>
          <w:highlight w:val="none"/>
        </w:rPr>
        <w:t xml:space="preserve">（3）应扣留的质量保证金； </w:t>
      </w:r>
    </w:p>
    <w:p w14:paraId="124B86CC">
      <w:pPr>
        <w:pStyle w:val="80"/>
        <w:rPr>
          <w:rFonts w:hint="eastAsia" w:cs="宋体"/>
          <w:color w:val="auto"/>
          <w:sz w:val="21"/>
          <w:highlight w:val="none"/>
        </w:rPr>
      </w:pPr>
      <w:r>
        <w:rPr>
          <w:rFonts w:hint="eastAsia" w:cs="宋体"/>
          <w:color w:val="auto"/>
          <w:sz w:val="21"/>
          <w:highlight w:val="none"/>
        </w:rPr>
        <w:t>（4）发包人应支付承包人的合同价款。</w:t>
      </w:r>
    </w:p>
    <w:p w14:paraId="767F06FD">
      <w:pPr>
        <w:pStyle w:val="322"/>
        <w:rPr>
          <w:rFonts w:hint="eastAsia" w:ascii="宋体" w:cs="宋体"/>
          <w:color w:val="auto"/>
          <w:highlight w:val="none"/>
        </w:rPr>
      </w:pPr>
      <w:bookmarkStart w:id="586" w:name="_Toc478389140"/>
      <w:bookmarkStart w:id="587" w:name="_Toc351203595"/>
      <w:bookmarkStart w:id="588" w:name="_Toc337558812"/>
      <w:r>
        <w:rPr>
          <w:rFonts w:hint="eastAsia" w:ascii="宋体" w:cs="宋体"/>
          <w:color w:val="auto"/>
          <w:highlight w:val="none"/>
        </w:rPr>
        <w:t>14.2 竣工结算审核</w:t>
      </w:r>
      <w:bookmarkEnd w:id="586"/>
      <w:bookmarkEnd w:id="587"/>
    </w:p>
    <w:bookmarkEnd w:id="588"/>
    <w:p w14:paraId="023C11AC">
      <w:pPr>
        <w:pStyle w:val="80"/>
        <w:rPr>
          <w:rFonts w:hint="eastAsia" w:cs="宋体"/>
          <w:color w:val="auto"/>
          <w:sz w:val="21"/>
          <w:highlight w:val="none"/>
        </w:rPr>
      </w:pPr>
      <w:r>
        <w:rPr>
          <w:rFonts w:hint="eastAsia" w:cs="宋体"/>
          <w:color w:val="auto"/>
          <w:sz w:val="21"/>
          <w:highlight w:val="none"/>
        </w:rPr>
        <w:t>（1）除专用合同条款另有约定外，监理人应在收到竣工结算申请单后14天内完成核查并报送发包人。发包人应在收到监理人提交的经审核的竣工结算申请单后14天内完成审批，并由监理人向承包人签发经发包人签认的竣工付款证书。监理人或发包人对竣工结算申请单有异议的，有权要求承包人进行修正和提供补充资料，承包人应提交修正后的竣工结算申请单。</w:t>
      </w:r>
    </w:p>
    <w:p w14:paraId="557EAD67">
      <w:pPr>
        <w:pStyle w:val="80"/>
        <w:rPr>
          <w:rFonts w:hint="eastAsia" w:cs="宋体"/>
          <w:color w:val="auto"/>
          <w:sz w:val="21"/>
          <w:highlight w:val="none"/>
        </w:rPr>
      </w:pPr>
      <w:r>
        <w:rPr>
          <w:rFonts w:hint="eastAsia" w:cs="宋体"/>
          <w:color w:val="auto"/>
          <w:sz w:val="21"/>
          <w:highlight w:val="none"/>
        </w:rPr>
        <w:t>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14:paraId="77CF31EB">
      <w:pPr>
        <w:pStyle w:val="80"/>
        <w:rPr>
          <w:rFonts w:hint="eastAsia" w:cs="宋体"/>
          <w:color w:val="auto"/>
          <w:sz w:val="21"/>
          <w:highlight w:val="none"/>
        </w:rPr>
      </w:pPr>
      <w:r>
        <w:rPr>
          <w:rFonts w:hint="eastAsia" w:cs="宋体"/>
          <w:color w:val="auto"/>
          <w:sz w:val="21"/>
          <w:highlight w:val="none"/>
        </w:rPr>
        <w:t>（2）除专用合同条款另有约定外，发包人应在签发竣工付款证书后的14 天内，完成对承包人的竣工付款。发包人逾期支付的，按照中国人民银行发布的同期同类贷款基准利率支付违约金；逾期支付超过56天的，按照中国人民银行发布的同期同类贷款基准利率的两倍支付违约金。</w:t>
      </w:r>
    </w:p>
    <w:p w14:paraId="62BAEB9F">
      <w:pPr>
        <w:pStyle w:val="80"/>
        <w:rPr>
          <w:rFonts w:hint="eastAsia" w:cs="宋体"/>
          <w:color w:val="auto"/>
          <w:sz w:val="21"/>
          <w:highlight w:val="none"/>
        </w:rPr>
      </w:pPr>
      <w:r>
        <w:rPr>
          <w:rFonts w:hint="eastAsia" w:cs="宋体"/>
          <w:color w:val="auto"/>
          <w:sz w:val="21"/>
          <w:highlight w:val="none"/>
        </w:rPr>
        <w:t>（3）承包人对发包人签认的竣工付款证书有异议的，对于有异议部分应在收到发包人签认的竣工付款证书后7天内提出异议，并由合同当事人按照专用合同条款约定的方式和程序进行复核，或按照第20条〔争议解决〕约定处理。对于无异议部分，发包人应签发临时竣工付款证书，并按本款第（2）项完成付款。承包人逾期未提出异议的，视为认可发包人的审批结果。</w:t>
      </w:r>
    </w:p>
    <w:p w14:paraId="37EE184A">
      <w:pPr>
        <w:pStyle w:val="322"/>
        <w:rPr>
          <w:rFonts w:hint="eastAsia" w:ascii="宋体" w:cs="宋体"/>
          <w:color w:val="auto"/>
          <w:highlight w:val="none"/>
        </w:rPr>
      </w:pPr>
      <w:bookmarkStart w:id="589" w:name="_Toc478389141"/>
      <w:bookmarkStart w:id="590" w:name="_Toc351203596"/>
      <w:bookmarkStart w:id="591" w:name="_Toc337558813"/>
      <w:r>
        <w:rPr>
          <w:rFonts w:hint="eastAsia" w:ascii="宋体" w:cs="宋体"/>
          <w:color w:val="auto"/>
          <w:highlight w:val="none"/>
        </w:rPr>
        <w:t>14.3 甩项竣工协议</w:t>
      </w:r>
      <w:bookmarkEnd w:id="589"/>
      <w:bookmarkEnd w:id="590"/>
    </w:p>
    <w:bookmarkEnd w:id="591"/>
    <w:p w14:paraId="4426AD71">
      <w:pPr>
        <w:pStyle w:val="80"/>
        <w:rPr>
          <w:rFonts w:hint="eastAsia" w:cs="宋体"/>
          <w:color w:val="auto"/>
          <w:sz w:val="21"/>
          <w:highlight w:val="none"/>
        </w:rPr>
      </w:pPr>
      <w:r>
        <w:rPr>
          <w:rFonts w:hint="eastAsia" w:cs="宋体"/>
          <w:color w:val="auto"/>
          <w:sz w:val="21"/>
          <w:highlight w:val="none"/>
        </w:rPr>
        <w:t>发包人要求甩项竣工的，合同当事人应签订甩项竣工协议。在甩项竣工协议中应明确，合同当事人按照第14.1款〔竣工结算申请〕及14.2款〔竣工结算审核〕的约定，对已完合格工程进行结算，并支付相应合同价款。</w:t>
      </w:r>
    </w:p>
    <w:p w14:paraId="1AD8AABC">
      <w:pPr>
        <w:pStyle w:val="322"/>
        <w:rPr>
          <w:rFonts w:hint="eastAsia" w:ascii="宋体" w:cs="宋体"/>
          <w:color w:val="auto"/>
          <w:highlight w:val="none"/>
        </w:rPr>
      </w:pPr>
      <w:bookmarkStart w:id="592" w:name="_Toc351203597"/>
      <w:bookmarkStart w:id="593" w:name="_Toc478389142"/>
      <w:bookmarkStart w:id="594" w:name="_Toc337558814"/>
      <w:r>
        <w:rPr>
          <w:rFonts w:hint="eastAsia" w:ascii="宋体" w:cs="宋体"/>
          <w:color w:val="auto"/>
          <w:highlight w:val="none"/>
        </w:rPr>
        <w:t>14.4 最终结清</w:t>
      </w:r>
      <w:bookmarkEnd w:id="592"/>
      <w:bookmarkEnd w:id="593"/>
    </w:p>
    <w:bookmarkEnd w:id="594"/>
    <w:p w14:paraId="051AAA3E">
      <w:pPr>
        <w:pStyle w:val="80"/>
        <w:rPr>
          <w:rFonts w:hint="eastAsia" w:cs="宋体"/>
          <w:color w:val="auto"/>
          <w:sz w:val="21"/>
          <w:highlight w:val="none"/>
        </w:rPr>
      </w:pPr>
      <w:r>
        <w:rPr>
          <w:rFonts w:hint="eastAsia" w:cs="宋体"/>
          <w:color w:val="auto"/>
          <w:sz w:val="21"/>
          <w:highlight w:val="none"/>
        </w:rPr>
        <w:t>14.4.1 最终结清申请单</w:t>
      </w:r>
    </w:p>
    <w:p w14:paraId="6B01CBFC">
      <w:pPr>
        <w:pStyle w:val="80"/>
        <w:rPr>
          <w:rFonts w:hint="eastAsia" w:cs="宋体"/>
          <w:color w:val="auto"/>
          <w:sz w:val="21"/>
          <w:highlight w:val="none"/>
        </w:rPr>
      </w:pPr>
      <w:r>
        <w:rPr>
          <w:rFonts w:hint="eastAsia" w:cs="宋体"/>
          <w:color w:val="auto"/>
          <w:sz w:val="21"/>
          <w:highlight w:val="none"/>
        </w:rPr>
        <w:t>（1）除专用合同条款另有约定外，承包人应在缺陷责任期终止证书颁发后7天内，按专用合同条款约定的份数向发包人提交最终结清申请单，并提供相关证明材料。</w:t>
      </w:r>
    </w:p>
    <w:p w14:paraId="3EFB7CFB">
      <w:pPr>
        <w:pStyle w:val="80"/>
        <w:rPr>
          <w:rFonts w:hint="eastAsia" w:cs="宋体"/>
          <w:color w:val="auto"/>
          <w:sz w:val="21"/>
          <w:highlight w:val="none"/>
        </w:rPr>
      </w:pPr>
      <w:r>
        <w:rPr>
          <w:rFonts w:hint="eastAsia" w:cs="宋体"/>
          <w:color w:val="auto"/>
          <w:sz w:val="21"/>
          <w:highlight w:val="none"/>
        </w:rPr>
        <w:t>除专用合同条款另有约定外，最终结清申请单应列明质量保证金、应扣除的质量保证金、缺陷责任期内发生的增减费用。</w:t>
      </w:r>
    </w:p>
    <w:p w14:paraId="50F67B87">
      <w:pPr>
        <w:pStyle w:val="80"/>
        <w:rPr>
          <w:rFonts w:hint="eastAsia" w:cs="宋体"/>
          <w:color w:val="auto"/>
          <w:sz w:val="21"/>
          <w:highlight w:val="none"/>
        </w:rPr>
      </w:pPr>
      <w:r>
        <w:rPr>
          <w:rFonts w:hint="eastAsia" w:cs="宋体"/>
          <w:color w:val="auto"/>
          <w:sz w:val="21"/>
          <w:highlight w:val="none"/>
        </w:rPr>
        <w:t>（2）发包人对最终结清申请单内容有异议的，有权要求承包人进行修正和提供补充资料，承包人应向发包人提交修正后的最终结清申请单。</w:t>
      </w:r>
    </w:p>
    <w:p w14:paraId="1AEDDBC9">
      <w:pPr>
        <w:pStyle w:val="80"/>
        <w:rPr>
          <w:rFonts w:hint="eastAsia" w:cs="宋体"/>
          <w:color w:val="auto"/>
          <w:sz w:val="21"/>
          <w:highlight w:val="none"/>
        </w:rPr>
      </w:pPr>
      <w:r>
        <w:rPr>
          <w:rFonts w:hint="eastAsia" w:cs="宋体"/>
          <w:color w:val="auto"/>
          <w:sz w:val="21"/>
          <w:highlight w:val="none"/>
        </w:rPr>
        <w:t>14.4.2 最终结清证书和支付</w:t>
      </w:r>
    </w:p>
    <w:p w14:paraId="32157D85">
      <w:pPr>
        <w:pStyle w:val="80"/>
        <w:rPr>
          <w:rFonts w:hint="eastAsia" w:cs="宋体"/>
          <w:color w:val="auto"/>
          <w:sz w:val="21"/>
          <w:highlight w:val="none"/>
        </w:rPr>
      </w:pPr>
      <w:r>
        <w:rPr>
          <w:rFonts w:hint="eastAsia" w:cs="宋体"/>
          <w:color w:val="auto"/>
          <w:sz w:val="21"/>
          <w:highlight w:val="none"/>
        </w:rPr>
        <w:t>（1）除专用合同条款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14:paraId="7D7D2670">
      <w:pPr>
        <w:pStyle w:val="80"/>
        <w:rPr>
          <w:rFonts w:hint="eastAsia" w:cs="宋体"/>
          <w:color w:val="auto"/>
          <w:sz w:val="21"/>
          <w:highlight w:val="none"/>
        </w:rPr>
      </w:pPr>
      <w:r>
        <w:rPr>
          <w:rFonts w:hint="eastAsia" w:cs="宋体"/>
          <w:color w:val="auto"/>
          <w:sz w:val="21"/>
          <w:highlight w:val="none"/>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14:paraId="45388FB2">
      <w:pPr>
        <w:pStyle w:val="80"/>
        <w:rPr>
          <w:rFonts w:hint="eastAsia" w:cs="宋体"/>
          <w:color w:val="auto"/>
          <w:sz w:val="21"/>
          <w:highlight w:val="none"/>
        </w:rPr>
      </w:pPr>
      <w:r>
        <w:rPr>
          <w:rFonts w:hint="eastAsia" w:cs="宋体"/>
          <w:color w:val="auto"/>
          <w:sz w:val="21"/>
          <w:highlight w:val="none"/>
        </w:rPr>
        <w:t>（3）承包人对发包人颁发的最终结清证书有异议的，按第20条〔争议解决〕的约定办理。</w:t>
      </w:r>
    </w:p>
    <w:p w14:paraId="25ED86FE">
      <w:pPr>
        <w:pStyle w:val="322"/>
        <w:rPr>
          <w:rFonts w:hint="eastAsia" w:ascii="宋体" w:cs="宋体"/>
          <w:color w:val="auto"/>
          <w:highlight w:val="none"/>
        </w:rPr>
      </w:pPr>
      <w:bookmarkStart w:id="595" w:name="_Toc478389143"/>
      <w:bookmarkStart w:id="596" w:name="_Toc351203598"/>
      <w:bookmarkStart w:id="597" w:name="_Toc337558815"/>
      <w:r>
        <w:rPr>
          <w:rFonts w:hint="eastAsia" w:ascii="宋体" w:cs="宋体"/>
          <w:color w:val="auto"/>
          <w:highlight w:val="none"/>
        </w:rPr>
        <w:t>15. 缺陷责任与保修</w:t>
      </w:r>
      <w:bookmarkEnd w:id="595"/>
      <w:bookmarkEnd w:id="596"/>
    </w:p>
    <w:bookmarkEnd w:id="581"/>
    <w:bookmarkEnd w:id="582"/>
    <w:bookmarkEnd w:id="597"/>
    <w:p w14:paraId="24608442">
      <w:pPr>
        <w:pStyle w:val="322"/>
        <w:rPr>
          <w:rFonts w:hint="eastAsia" w:ascii="宋体" w:cs="宋体"/>
          <w:color w:val="auto"/>
          <w:highlight w:val="none"/>
        </w:rPr>
      </w:pPr>
      <w:bookmarkStart w:id="598" w:name="_Toc478389144"/>
      <w:bookmarkStart w:id="599" w:name="_Toc351203599"/>
      <w:bookmarkStart w:id="600" w:name="_Toc337558816"/>
      <w:bookmarkStart w:id="601" w:name="_Toc296503114"/>
      <w:bookmarkStart w:id="602" w:name="_Toc296346615"/>
      <w:r>
        <w:rPr>
          <w:rFonts w:hint="eastAsia" w:ascii="宋体" w:cs="宋体"/>
          <w:color w:val="auto"/>
          <w:highlight w:val="none"/>
        </w:rPr>
        <w:t>15.1 工程保修的原则</w:t>
      </w:r>
      <w:bookmarkEnd w:id="598"/>
      <w:bookmarkEnd w:id="599"/>
    </w:p>
    <w:bookmarkEnd w:id="600"/>
    <w:p w14:paraId="25BEA47B">
      <w:pPr>
        <w:pStyle w:val="80"/>
        <w:rPr>
          <w:rFonts w:hint="eastAsia" w:cs="宋体"/>
          <w:color w:val="auto"/>
          <w:sz w:val="21"/>
          <w:highlight w:val="none"/>
        </w:rPr>
      </w:pPr>
      <w:r>
        <w:rPr>
          <w:rFonts w:hint="eastAsia" w:cs="宋体"/>
          <w:color w:val="auto"/>
          <w:sz w:val="21"/>
          <w:highlight w:val="none"/>
        </w:rPr>
        <w:t>在工程移交发包人后，因承包人原因产生的质量缺陷，承包人应承担质量缺陷责任和保修义务。缺陷责任期届满，承包人仍应按合同约定的工程各部位保修年限承担保修义务。</w:t>
      </w:r>
    </w:p>
    <w:p w14:paraId="1DB8C79F">
      <w:pPr>
        <w:pStyle w:val="322"/>
        <w:rPr>
          <w:rFonts w:hint="eastAsia" w:ascii="宋体" w:cs="宋体"/>
          <w:color w:val="auto"/>
          <w:highlight w:val="none"/>
        </w:rPr>
      </w:pPr>
      <w:bookmarkStart w:id="603" w:name="_Toc478389145"/>
      <w:bookmarkStart w:id="604" w:name="_Toc351203600"/>
      <w:bookmarkStart w:id="605" w:name="_Toc337558817"/>
      <w:r>
        <w:rPr>
          <w:rFonts w:hint="eastAsia" w:ascii="宋体" w:cs="宋体"/>
          <w:color w:val="auto"/>
          <w:highlight w:val="none"/>
        </w:rPr>
        <w:t>15.2 缺陷责任期</w:t>
      </w:r>
      <w:bookmarkEnd w:id="601"/>
      <w:bookmarkEnd w:id="602"/>
      <w:bookmarkEnd w:id="603"/>
      <w:bookmarkEnd w:id="604"/>
    </w:p>
    <w:bookmarkEnd w:id="605"/>
    <w:p w14:paraId="54CED66F">
      <w:pPr>
        <w:pStyle w:val="80"/>
        <w:rPr>
          <w:rFonts w:hint="eastAsia" w:cs="宋体"/>
          <w:color w:val="auto"/>
          <w:sz w:val="21"/>
          <w:highlight w:val="none"/>
        </w:rPr>
      </w:pPr>
      <w:r>
        <w:rPr>
          <w:rFonts w:hint="eastAsia" w:cs="宋体"/>
          <w:color w:val="auto"/>
          <w:sz w:val="21"/>
          <w:highlight w:val="none"/>
        </w:rPr>
        <w:t>15.2.1缺陷责任期自实际竣工日期起计算，合同当事人应在专用合同条款约定缺陷责任期的具体期限，但该期限最长不超过24个月。</w:t>
      </w:r>
    </w:p>
    <w:p w14:paraId="1E053898">
      <w:pPr>
        <w:pStyle w:val="80"/>
        <w:rPr>
          <w:rFonts w:hint="eastAsia" w:cs="宋体"/>
          <w:color w:val="auto"/>
          <w:sz w:val="21"/>
          <w:highlight w:val="none"/>
        </w:rPr>
      </w:pPr>
      <w:r>
        <w:rPr>
          <w:rFonts w:hint="eastAsia" w:cs="宋体"/>
          <w:color w:val="auto"/>
          <w:sz w:val="21"/>
          <w:highlight w:val="none"/>
        </w:rPr>
        <w:t>单位工程先于全部工程进行验收，经验收合格并交付使用的，该单位工程缺陷责任期自单位工程验收合格之日起算。因发包人原因导致工程无法按合同约定期限进行竣工验收的，缺陷责任期自承包人提交竣工验收申请报告之日起开始计算；发包人未经竣工验收擅自使用工程的，缺陷责任期自工程转移占有之日起开始计算。</w:t>
      </w:r>
    </w:p>
    <w:p w14:paraId="4958D1A5">
      <w:pPr>
        <w:pStyle w:val="80"/>
        <w:rPr>
          <w:rFonts w:hint="eastAsia" w:cs="宋体"/>
          <w:color w:val="auto"/>
          <w:sz w:val="21"/>
          <w:highlight w:val="none"/>
        </w:rPr>
      </w:pPr>
      <w:r>
        <w:rPr>
          <w:rFonts w:hint="eastAsia" w:cs="宋体"/>
          <w:color w:val="auto"/>
          <w:sz w:val="21"/>
          <w:highlight w:val="none"/>
        </w:rPr>
        <w:t>15.2.2工程竣工验收合格后，因承包人原因导致的缺陷或损坏致使工程、单位工程或某项主要设备不能按原定目的使用的，则发包人有权要求承</w:t>
      </w:r>
      <w:r>
        <w:rPr>
          <w:rFonts w:hint="eastAsia" w:cs="宋体"/>
          <w:bCs/>
          <w:color w:val="auto"/>
          <w:sz w:val="21"/>
          <w:highlight w:val="none"/>
        </w:rPr>
        <w:t>包人延长缺陷责任期，</w:t>
      </w:r>
      <w:r>
        <w:rPr>
          <w:rFonts w:hint="eastAsia" w:cs="宋体"/>
          <w:color w:val="auto"/>
          <w:sz w:val="21"/>
          <w:highlight w:val="none"/>
        </w:rPr>
        <w:t>并应在原缺陷责任期届满前发出延长通知，</w:t>
      </w:r>
      <w:r>
        <w:rPr>
          <w:rFonts w:hint="eastAsia" w:cs="宋体"/>
          <w:bCs/>
          <w:color w:val="auto"/>
          <w:sz w:val="21"/>
          <w:highlight w:val="none"/>
        </w:rPr>
        <w:t>但缺陷责任期最长</w:t>
      </w:r>
      <w:r>
        <w:rPr>
          <w:rFonts w:hint="eastAsia" w:cs="宋体"/>
          <w:color w:val="auto"/>
          <w:sz w:val="21"/>
          <w:highlight w:val="none"/>
        </w:rPr>
        <w:t>不能超过24个月。</w:t>
      </w:r>
    </w:p>
    <w:p w14:paraId="6F6F8A25">
      <w:pPr>
        <w:pStyle w:val="80"/>
        <w:rPr>
          <w:rFonts w:hint="eastAsia" w:cs="宋体"/>
          <w:color w:val="auto"/>
          <w:sz w:val="21"/>
          <w:highlight w:val="none"/>
        </w:rPr>
      </w:pPr>
      <w:r>
        <w:rPr>
          <w:rFonts w:hint="eastAsia" w:cs="宋体"/>
          <w:color w:val="auto"/>
          <w:sz w:val="21"/>
          <w:highlight w:val="none"/>
        </w:rPr>
        <w:t>15.2.3任何一项缺陷或损坏修复后，经检查证明其影响了工程或工程设备的使用性能，承包人应重新进行合同约定的试验和试运行，试验和试运行的全部费用应由责任方承担。</w:t>
      </w:r>
    </w:p>
    <w:p w14:paraId="25139A2A">
      <w:pPr>
        <w:pStyle w:val="80"/>
        <w:rPr>
          <w:rFonts w:hint="eastAsia" w:cs="宋体"/>
          <w:color w:val="auto"/>
          <w:sz w:val="21"/>
          <w:highlight w:val="none"/>
        </w:rPr>
      </w:pPr>
      <w:r>
        <w:rPr>
          <w:rFonts w:hint="eastAsia" w:cs="宋体"/>
          <w:color w:val="auto"/>
          <w:sz w:val="21"/>
          <w:highlight w:val="none"/>
        </w:rPr>
        <w:t>15.2.4除专用合同条款另有约定外，承包人应于缺陷责任期届满后7天内向发包人发出缺陷责任期届满通知，发包人应在收到缺陷责任期满通知后14天内核实承包人是否履行缺陷修复义务，承包人未能履行缺陷修复义务的，发包人有权扣除相应金额的维修费用。发包人应在收到缺陷责任期届满通知后14天内，向承包人颁发缺陷责任期终止证书。</w:t>
      </w:r>
    </w:p>
    <w:p w14:paraId="7C0E064F">
      <w:pPr>
        <w:pStyle w:val="322"/>
        <w:rPr>
          <w:rFonts w:hint="eastAsia" w:ascii="宋体" w:cs="宋体"/>
          <w:color w:val="auto"/>
          <w:highlight w:val="none"/>
        </w:rPr>
      </w:pPr>
      <w:bookmarkStart w:id="606" w:name="_Toc478389146"/>
      <w:bookmarkStart w:id="607" w:name="_Toc351203601"/>
      <w:bookmarkStart w:id="608" w:name="_Toc337558818"/>
      <w:bookmarkStart w:id="609" w:name="_Toc296346616"/>
      <w:bookmarkStart w:id="610" w:name="_Toc296503115"/>
      <w:r>
        <w:rPr>
          <w:rFonts w:hint="eastAsia" w:ascii="宋体" w:cs="宋体"/>
          <w:color w:val="auto"/>
          <w:highlight w:val="none"/>
        </w:rPr>
        <w:t>15.3 质量保证金</w:t>
      </w:r>
      <w:bookmarkEnd w:id="606"/>
      <w:bookmarkEnd w:id="607"/>
    </w:p>
    <w:bookmarkEnd w:id="608"/>
    <w:p w14:paraId="411508B9">
      <w:pPr>
        <w:pStyle w:val="80"/>
        <w:rPr>
          <w:rFonts w:hint="eastAsia" w:cs="宋体"/>
          <w:color w:val="auto"/>
          <w:sz w:val="21"/>
          <w:highlight w:val="none"/>
        </w:rPr>
      </w:pPr>
      <w:r>
        <w:rPr>
          <w:rFonts w:hint="eastAsia" w:cs="宋体"/>
          <w:color w:val="auto"/>
          <w:sz w:val="21"/>
          <w:highlight w:val="none"/>
        </w:rPr>
        <w:t>经合同当事人协商一致扣留质量保证金的，应在专用合同条款中予以明确。</w:t>
      </w:r>
    </w:p>
    <w:p w14:paraId="5EFC7D24">
      <w:pPr>
        <w:pStyle w:val="80"/>
        <w:outlineLvl w:val="0"/>
        <w:rPr>
          <w:rFonts w:hint="eastAsia" w:cs="宋体"/>
          <w:color w:val="auto"/>
          <w:sz w:val="21"/>
          <w:highlight w:val="none"/>
        </w:rPr>
      </w:pPr>
      <w:bookmarkStart w:id="611" w:name="_Toc406419303"/>
      <w:bookmarkStart w:id="612" w:name="_Toc478389147"/>
      <w:bookmarkStart w:id="613" w:name="_Toc406522178"/>
      <w:r>
        <w:rPr>
          <w:rFonts w:hint="eastAsia" w:cs="宋体"/>
          <w:color w:val="auto"/>
          <w:sz w:val="21"/>
          <w:highlight w:val="none"/>
        </w:rPr>
        <w:t>15.3.1 承包人提供质量保证金的方式</w:t>
      </w:r>
      <w:bookmarkEnd w:id="611"/>
      <w:bookmarkEnd w:id="612"/>
      <w:bookmarkEnd w:id="613"/>
    </w:p>
    <w:p w14:paraId="1759C96A">
      <w:pPr>
        <w:pStyle w:val="80"/>
        <w:rPr>
          <w:rFonts w:hint="eastAsia" w:cs="宋体"/>
          <w:color w:val="auto"/>
          <w:sz w:val="21"/>
          <w:highlight w:val="none"/>
        </w:rPr>
      </w:pPr>
      <w:r>
        <w:rPr>
          <w:rFonts w:hint="eastAsia" w:cs="宋体"/>
          <w:color w:val="auto"/>
          <w:sz w:val="21"/>
          <w:highlight w:val="none"/>
        </w:rPr>
        <w:t>承包人提供质量保证金有以下三种方式：</w:t>
      </w:r>
    </w:p>
    <w:p w14:paraId="6A909A3B">
      <w:pPr>
        <w:pStyle w:val="80"/>
        <w:rPr>
          <w:rFonts w:hint="eastAsia" w:cs="宋体"/>
          <w:color w:val="auto"/>
          <w:sz w:val="21"/>
          <w:highlight w:val="none"/>
        </w:rPr>
      </w:pPr>
      <w:r>
        <w:rPr>
          <w:rFonts w:hint="eastAsia" w:cs="宋体"/>
          <w:color w:val="auto"/>
          <w:sz w:val="21"/>
          <w:highlight w:val="none"/>
        </w:rPr>
        <w:t xml:space="preserve">（1）质量保证金保函； </w:t>
      </w:r>
    </w:p>
    <w:p w14:paraId="4879C883">
      <w:pPr>
        <w:pStyle w:val="80"/>
        <w:rPr>
          <w:rFonts w:hint="eastAsia" w:cs="宋体"/>
          <w:color w:val="auto"/>
          <w:sz w:val="21"/>
          <w:highlight w:val="none"/>
        </w:rPr>
      </w:pPr>
      <w:r>
        <w:rPr>
          <w:rFonts w:hint="eastAsia" w:cs="宋体"/>
          <w:color w:val="auto"/>
          <w:sz w:val="21"/>
          <w:highlight w:val="none"/>
        </w:rPr>
        <w:t>（2）相应比例的工程款；</w:t>
      </w:r>
    </w:p>
    <w:p w14:paraId="030E25D5">
      <w:pPr>
        <w:pStyle w:val="80"/>
        <w:rPr>
          <w:rFonts w:hint="eastAsia" w:cs="宋体"/>
          <w:color w:val="auto"/>
          <w:sz w:val="21"/>
          <w:highlight w:val="none"/>
        </w:rPr>
      </w:pPr>
      <w:r>
        <w:rPr>
          <w:rFonts w:hint="eastAsia" w:cs="宋体"/>
          <w:color w:val="auto"/>
          <w:sz w:val="21"/>
          <w:highlight w:val="none"/>
        </w:rPr>
        <w:t>（3）双方约定的其他方式。</w:t>
      </w:r>
    </w:p>
    <w:p w14:paraId="50CE007E">
      <w:pPr>
        <w:pStyle w:val="80"/>
        <w:rPr>
          <w:rFonts w:hint="eastAsia" w:cs="宋体"/>
          <w:color w:val="auto"/>
          <w:sz w:val="21"/>
          <w:highlight w:val="none"/>
        </w:rPr>
      </w:pPr>
      <w:r>
        <w:rPr>
          <w:rFonts w:hint="eastAsia" w:cs="宋体"/>
          <w:color w:val="auto"/>
          <w:sz w:val="21"/>
          <w:highlight w:val="none"/>
        </w:rPr>
        <w:t>除专用合同条款另有约定外，质量保证金原则上采用上述第（1）种方式。</w:t>
      </w:r>
    </w:p>
    <w:p w14:paraId="09F5D0C0">
      <w:pPr>
        <w:pStyle w:val="80"/>
        <w:outlineLvl w:val="0"/>
        <w:rPr>
          <w:rFonts w:hint="eastAsia" w:cs="宋体"/>
          <w:color w:val="auto"/>
          <w:sz w:val="21"/>
          <w:highlight w:val="none"/>
        </w:rPr>
      </w:pPr>
      <w:bookmarkStart w:id="614" w:name="_Toc478389148"/>
      <w:bookmarkStart w:id="615" w:name="_Toc406419304"/>
      <w:bookmarkStart w:id="616" w:name="_Toc406522179"/>
      <w:r>
        <w:rPr>
          <w:rFonts w:hint="eastAsia" w:cs="宋体"/>
          <w:color w:val="auto"/>
          <w:sz w:val="21"/>
          <w:highlight w:val="none"/>
        </w:rPr>
        <w:t>15.3.2 质量保证金的扣留</w:t>
      </w:r>
      <w:bookmarkEnd w:id="614"/>
      <w:bookmarkEnd w:id="615"/>
      <w:bookmarkEnd w:id="616"/>
    </w:p>
    <w:p w14:paraId="3655FA3E">
      <w:pPr>
        <w:pStyle w:val="80"/>
        <w:rPr>
          <w:rFonts w:hint="eastAsia" w:cs="宋体"/>
          <w:color w:val="auto"/>
          <w:sz w:val="21"/>
          <w:highlight w:val="none"/>
        </w:rPr>
      </w:pPr>
      <w:r>
        <w:rPr>
          <w:rFonts w:hint="eastAsia" w:cs="宋体"/>
          <w:color w:val="auto"/>
          <w:sz w:val="21"/>
          <w:highlight w:val="none"/>
        </w:rPr>
        <w:t>质量保证金的扣留有以下三种方式：</w:t>
      </w:r>
    </w:p>
    <w:p w14:paraId="1B6DE19C">
      <w:pPr>
        <w:pStyle w:val="80"/>
        <w:rPr>
          <w:rFonts w:hint="eastAsia" w:cs="宋体"/>
          <w:color w:val="auto"/>
          <w:sz w:val="21"/>
          <w:highlight w:val="none"/>
        </w:rPr>
      </w:pPr>
      <w:r>
        <w:rPr>
          <w:rFonts w:hint="eastAsia" w:cs="宋体"/>
          <w:color w:val="auto"/>
          <w:sz w:val="21"/>
          <w:highlight w:val="none"/>
        </w:rPr>
        <w:t>（1）在支付工程进度款时逐次扣留，在此情形下，质量保证金的计算基数不包括预付款的支付、扣回以及价格调整的金额；</w:t>
      </w:r>
    </w:p>
    <w:p w14:paraId="6174E347">
      <w:pPr>
        <w:pStyle w:val="80"/>
        <w:rPr>
          <w:rFonts w:hint="eastAsia" w:cs="宋体"/>
          <w:color w:val="auto"/>
          <w:sz w:val="21"/>
          <w:highlight w:val="none"/>
        </w:rPr>
      </w:pPr>
      <w:r>
        <w:rPr>
          <w:rFonts w:hint="eastAsia" w:cs="宋体"/>
          <w:color w:val="auto"/>
          <w:sz w:val="21"/>
          <w:highlight w:val="none"/>
        </w:rPr>
        <w:t>（2）工</w:t>
      </w:r>
      <w:bookmarkStart w:id="617" w:name="#go6"/>
      <w:bookmarkEnd w:id="617"/>
      <w:r>
        <w:rPr>
          <w:rFonts w:hint="eastAsia" w:cs="宋体"/>
          <w:color w:val="auto"/>
          <w:sz w:val="21"/>
          <w:highlight w:val="none"/>
        </w:rPr>
        <w:t>程竣工结算时一次性扣留质量保证金；</w:t>
      </w:r>
    </w:p>
    <w:p w14:paraId="5C40112E">
      <w:pPr>
        <w:pStyle w:val="80"/>
        <w:rPr>
          <w:rFonts w:hint="eastAsia" w:cs="宋体"/>
          <w:color w:val="auto"/>
          <w:sz w:val="21"/>
          <w:highlight w:val="none"/>
        </w:rPr>
      </w:pPr>
      <w:r>
        <w:rPr>
          <w:rFonts w:hint="eastAsia" w:cs="宋体"/>
          <w:color w:val="auto"/>
          <w:sz w:val="21"/>
          <w:highlight w:val="none"/>
        </w:rPr>
        <w:t>（3）双方约定的其他扣留方式。</w:t>
      </w:r>
    </w:p>
    <w:p w14:paraId="20DFEB41">
      <w:pPr>
        <w:pStyle w:val="80"/>
        <w:rPr>
          <w:rFonts w:hint="eastAsia" w:cs="宋体"/>
          <w:color w:val="auto"/>
          <w:sz w:val="21"/>
          <w:highlight w:val="none"/>
        </w:rPr>
      </w:pPr>
      <w:r>
        <w:rPr>
          <w:rFonts w:hint="eastAsia" w:cs="宋体"/>
          <w:color w:val="auto"/>
          <w:sz w:val="21"/>
          <w:highlight w:val="none"/>
        </w:rPr>
        <w:t>除专用合同条款另有约定外，质量保证金的扣留原则上采用上述第（1）种方式。</w:t>
      </w:r>
    </w:p>
    <w:p w14:paraId="4950D269">
      <w:pPr>
        <w:pStyle w:val="80"/>
        <w:rPr>
          <w:rFonts w:hint="eastAsia" w:cs="宋体"/>
          <w:color w:val="auto"/>
          <w:sz w:val="21"/>
          <w:highlight w:val="none"/>
        </w:rPr>
      </w:pPr>
      <w:r>
        <w:rPr>
          <w:rFonts w:hint="eastAsia" w:cs="宋体"/>
          <w:color w:val="auto"/>
          <w:sz w:val="21"/>
          <w:highlight w:val="none"/>
        </w:rPr>
        <w:t>发</w:t>
      </w:r>
      <w:bookmarkStart w:id="618" w:name="#go4"/>
      <w:bookmarkEnd w:id="618"/>
      <w:r>
        <w:rPr>
          <w:rFonts w:hint="eastAsia" w:cs="宋体"/>
          <w:color w:val="auto"/>
          <w:sz w:val="21"/>
          <w:highlight w:val="none"/>
        </w:rPr>
        <w:t>包人累计扣留的质量保证金不得超过结算合同价格的5%，如承包人在发包人签发竣工付款证书后28天内提交质量保证金保函，发包人应同时退还扣留的作为质量保证金的工程价款。</w:t>
      </w:r>
    </w:p>
    <w:p w14:paraId="3CA4F005">
      <w:pPr>
        <w:pStyle w:val="80"/>
        <w:rPr>
          <w:rFonts w:hint="eastAsia" w:cs="宋体"/>
          <w:color w:val="auto"/>
          <w:sz w:val="21"/>
          <w:highlight w:val="none"/>
        </w:rPr>
      </w:pPr>
      <w:r>
        <w:rPr>
          <w:rFonts w:hint="eastAsia" w:cs="宋体"/>
          <w:color w:val="auto"/>
          <w:sz w:val="21"/>
          <w:highlight w:val="none"/>
        </w:rPr>
        <w:t>15.3.3 质量保证金的退还</w:t>
      </w:r>
    </w:p>
    <w:p w14:paraId="1E98BC8C">
      <w:pPr>
        <w:pStyle w:val="80"/>
        <w:rPr>
          <w:rFonts w:hint="eastAsia" w:cs="宋体"/>
          <w:color w:val="auto"/>
          <w:sz w:val="21"/>
          <w:highlight w:val="none"/>
        </w:rPr>
      </w:pPr>
      <w:r>
        <w:rPr>
          <w:rFonts w:hint="eastAsia" w:cs="宋体"/>
          <w:color w:val="auto"/>
          <w:sz w:val="21"/>
          <w:highlight w:val="none"/>
        </w:rPr>
        <w:t>发包人应按14.4款〔最终结清〕的约定退还质量保证金。</w:t>
      </w:r>
    </w:p>
    <w:p w14:paraId="6485FA55">
      <w:pPr>
        <w:pStyle w:val="322"/>
        <w:rPr>
          <w:rFonts w:hint="eastAsia" w:ascii="宋体" w:cs="宋体"/>
          <w:color w:val="auto"/>
          <w:highlight w:val="none"/>
        </w:rPr>
      </w:pPr>
      <w:bookmarkStart w:id="619" w:name="_Toc478389149"/>
      <w:bookmarkStart w:id="620" w:name="_Toc351203602"/>
      <w:bookmarkStart w:id="621" w:name="_Toc337558819"/>
      <w:r>
        <w:rPr>
          <w:rFonts w:hint="eastAsia" w:ascii="宋体" w:cs="宋体"/>
          <w:color w:val="auto"/>
          <w:highlight w:val="none"/>
        </w:rPr>
        <w:t>15.4 保修</w:t>
      </w:r>
      <w:bookmarkEnd w:id="619"/>
      <w:bookmarkEnd w:id="620"/>
    </w:p>
    <w:bookmarkEnd w:id="609"/>
    <w:bookmarkEnd w:id="610"/>
    <w:bookmarkEnd w:id="621"/>
    <w:p w14:paraId="02E186EB">
      <w:pPr>
        <w:pStyle w:val="80"/>
        <w:rPr>
          <w:rFonts w:hint="eastAsia" w:cs="宋体"/>
          <w:color w:val="auto"/>
          <w:sz w:val="21"/>
          <w:highlight w:val="none"/>
        </w:rPr>
      </w:pPr>
      <w:r>
        <w:rPr>
          <w:rFonts w:hint="eastAsia" w:cs="宋体"/>
          <w:color w:val="auto"/>
          <w:sz w:val="21"/>
          <w:highlight w:val="none"/>
        </w:rPr>
        <w:t>15.4.1保修责任</w:t>
      </w:r>
    </w:p>
    <w:p w14:paraId="21019866">
      <w:pPr>
        <w:pStyle w:val="80"/>
        <w:rPr>
          <w:rFonts w:hint="eastAsia" w:cs="宋体"/>
          <w:color w:val="auto"/>
          <w:sz w:val="21"/>
          <w:highlight w:val="none"/>
        </w:rPr>
      </w:pPr>
      <w:r>
        <w:rPr>
          <w:rFonts w:hint="eastAsia" w:cs="宋体"/>
          <w:color w:val="auto"/>
          <w:sz w:val="21"/>
          <w:highlight w:val="none"/>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14:paraId="55404F48">
      <w:pPr>
        <w:pStyle w:val="80"/>
        <w:rPr>
          <w:rFonts w:hint="eastAsia" w:cs="宋体"/>
          <w:color w:val="auto"/>
          <w:sz w:val="21"/>
          <w:highlight w:val="none"/>
        </w:rPr>
      </w:pPr>
      <w:r>
        <w:rPr>
          <w:rFonts w:hint="eastAsia" w:cs="宋体"/>
          <w:color w:val="auto"/>
          <w:sz w:val="21"/>
          <w:highlight w:val="none"/>
        </w:rPr>
        <w:t>发包人未经竣工验收擅自使用工程的，保修期自转移占有之日起算。</w:t>
      </w:r>
    </w:p>
    <w:p w14:paraId="1F2E5FEA">
      <w:pPr>
        <w:pStyle w:val="80"/>
        <w:outlineLvl w:val="0"/>
        <w:rPr>
          <w:rFonts w:hint="eastAsia" w:cs="宋体"/>
          <w:color w:val="auto"/>
          <w:sz w:val="21"/>
          <w:highlight w:val="none"/>
        </w:rPr>
      </w:pPr>
      <w:bookmarkStart w:id="622" w:name="_Toc478389150"/>
      <w:r>
        <w:rPr>
          <w:rFonts w:hint="eastAsia" w:cs="宋体"/>
          <w:color w:val="auto"/>
          <w:sz w:val="21"/>
          <w:highlight w:val="none"/>
        </w:rPr>
        <w:t>15.4.2 修复费用</w:t>
      </w:r>
      <w:bookmarkEnd w:id="622"/>
    </w:p>
    <w:p w14:paraId="512256EB">
      <w:pPr>
        <w:pStyle w:val="80"/>
        <w:rPr>
          <w:rFonts w:hint="eastAsia" w:cs="宋体"/>
          <w:color w:val="auto"/>
          <w:sz w:val="21"/>
          <w:highlight w:val="none"/>
        </w:rPr>
      </w:pPr>
      <w:r>
        <w:rPr>
          <w:rFonts w:hint="eastAsia" w:cs="宋体"/>
          <w:color w:val="auto"/>
          <w:sz w:val="21"/>
          <w:highlight w:val="none"/>
        </w:rPr>
        <w:t>保修期内，修复的费用按照以下约定处理：</w:t>
      </w:r>
    </w:p>
    <w:p w14:paraId="2D6D5714">
      <w:pPr>
        <w:pStyle w:val="80"/>
        <w:rPr>
          <w:rFonts w:hint="eastAsia" w:cs="宋体"/>
          <w:color w:val="auto"/>
          <w:sz w:val="21"/>
          <w:highlight w:val="none"/>
        </w:rPr>
      </w:pPr>
      <w:r>
        <w:rPr>
          <w:rFonts w:hint="eastAsia" w:cs="宋体"/>
          <w:color w:val="auto"/>
          <w:sz w:val="21"/>
          <w:highlight w:val="none"/>
        </w:rPr>
        <w:t>（1）保修期内，因承包人原因造成工程的缺陷、损坏，承包人应负责修复，并承担修复的费用以及因工程的缺陷、损坏造成的人身伤害和财产损失；</w:t>
      </w:r>
    </w:p>
    <w:p w14:paraId="56B26EB5">
      <w:pPr>
        <w:pStyle w:val="80"/>
        <w:rPr>
          <w:rFonts w:hint="eastAsia" w:cs="宋体"/>
          <w:color w:val="auto"/>
          <w:sz w:val="21"/>
          <w:highlight w:val="none"/>
        </w:rPr>
      </w:pPr>
      <w:r>
        <w:rPr>
          <w:rFonts w:hint="eastAsia" w:cs="宋体"/>
          <w:color w:val="auto"/>
          <w:sz w:val="21"/>
          <w:highlight w:val="none"/>
        </w:rPr>
        <w:t>（2）保修期内，因发包人使用不当造成工程的缺陷、损坏，可以委托承包人修复，但发包人应承担修复的费用，并支付承包人合理利润；</w:t>
      </w:r>
    </w:p>
    <w:p w14:paraId="164E0ACB">
      <w:pPr>
        <w:pStyle w:val="80"/>
        <w:rPr>
          <w:rFonts w:hint="eastAsia" w:cs="宋体"/>
          <w:color w:val="auto"/>
          <w:sz w:val="21"/>
          <w:highlight w:val="none"/>
        </w:rPr>
      </w:pPr>
      <w:r>
        <w:rPr>
          <w:rFonts w:hint="eastAsia" w:cs="宋体"/>
          <w:color w:val="auto"/>
          <w:sz w:val="21"/>
          <w:highlight w:val="none"/>
        </w:rPr>
        <w:t>（3）因其他原因造成工程的缺陷、损坏，可以委托承包人修复，发包人应承担修复的费用，并支付承包人合理的利润，因工程的缺陷、损坏造成的人身伤害和财产损失由责任方承担。</w:t>
      </w:r>
    </w:p>
    <w:p w14:paraId="4B00DCF2">
      <w:pPr>
        <w:pStyle w:val="80"/>
        <w:rPr>
          <w:rFonts w:hint="eastAsia" w:cs="宋体"/>
          <w:color w:val="auto"/>
          <w:sz w:val="21"/>
          <w:highlight w:val="none"/>
        </w:rPr>
      </w:pPr>
      <w:r>
        <w:rPr>
          <w:rFonts w:hint="eastAsia" w:cs="宋体"/>
          <w:color w:val="auto"/>
          <w:sz w:val="21"/>
          <w:highlight w:val="none"/>
        </w:rPr>
        <w:t>15.4.3 修复通知</w:t>
      </w:r>
    </w:p>
    <w:p w14:paraId="7B290986">
      <w:pPr>
        <w:pStyle w:val="80"/>
        <w:rPr>
          <w:rFonts w:hint="eastAsia" w:cs="宋体"/>
          <w:color w:val="auto"/>
          <w:sz w:val="21"/>
          <w:highlight w:val="none"/>
        </w:rPr>
      </w:pPr>
      <w:r>
        <w:rPr>
          <w:rFonts w:hint="eastAsia" w:cs="宋体"/>
          <w:color w:val="auto"/>
          <w:sz w:val="21"/>
          <w:highlight w:val="none"/>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14:paraId="705F632C">
      <w:pPr>
        <w:pStyle w:val="80"/>
        <w:outlineLvl w:val="0"/>
        <w:rPr>
          <w:rFonts w:hint="eastAsia" w:cs="宋体"/>
          <w:color w:val="auto"/>
          <w:sz w:val="21"/>
          <w:highlight w:val="none"/>
        </w:rPr>
      </w:pPr>
      <w:bookmarkStart w:id="623" w:name="_Toc478389151"/>
      <w:r>
        <w:rPr>
          <w:rFonts w:hint="eastAsia" w:cs="宋体"/>
          <w:color w:val="auto"/>
          <w:sz w:val="21"/>
          <w:highlight w:val="none"/>
        </w:rPr>
        <w:t>15.4.4 未能修复</w:t>
      </w:r>
      <w:bookmarkEnd w:id="623"/>
    </w:p>
    <w:p w14:paraId="166C74D1">
      <w:pPr>
        <w:pStyle w:val="80"/>
        <w:rPr>
          <w:rFonts w:hint="eastAsia" w:cs="宋体"/>
          <w:color w:val="auto"/>
          <w:sz w:val="21"/>
          <w:highlight w:val="none"/>
        </w:rPr>
      </w:pPr>
      <w:r>
        <w:rPr>
          <w:rFonts w:hint="eastAsia" w:cs="宋体"/>
          <w:color w:val="auto"/>
          <w:sz w:val="21"/>
          <w:highlight w:val="none"/>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14:paraId="59CA23B5">
      <w:pPr>
        <w:pStyle w:val="80"/>
        <w:rPr>
          <w:rFonts w:hint="eastAsia" w:cs="宋体"/>
          <w:color w:val="auto"/>
          <w:sz w:val="21"/>
          <w:highlight w:val="none"/>
        </w:rPr>
      </w:pPr>
      <w:r>
        <w:rPr>
          <w:rFonts w:hint="eastAsia" w:cs="宋体"/>
          <w:color w:val="auto"/>
          <w:sz w:val="21"/>
          <w:highlight w:val="none"/>
        </w:rPr>
        <w:t>15.4.5 承包人出入权</w:t>
      </w:r>
    </w:p>
    <w:p w14:paraId="3AC8AFEB">
      <w:pPr>
        <w:pStyle w:val="80"/>
        <w:rPr>
          <w:rFonts w:hint="eastAsia" w:cs="宋体"/>
          <w:color w:val="auto"/>
          <w:sz w:val="21"/>
          <w:highlight w:val="none"/>
        </w:rPr>
      </w:pPr>
      <w:r>
        <w:rPr>
          <w:rFonts w:hint="eastAsia" w:cs="宋体"/>
          <w:color w:val="auto"/>
          <w:sz w:val="21"/>
          <w:highlight w:val="none"/>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14:paraId="4011AA0E">
      <w:pPr>
        <w:pStyle w:val="322"/>
        <w:rPr>
          <w:rFonts w:hint="eastAsia" w:ascii="宋体" w:cs="宋体"/>
          <w:color w:val="auto"/>
          <w:highlight w:val="none"/>
        </w:rPr>
      </w:pPr>
      <w:bookmarkStart w:id="624" w:name="_Toc351203603"/>
      <w:bookmarkStart w:id="625" w:name="_Toc478389152"/>
      <w:bookmarkStart w:id="626" w:name="_Toc337558820"/>
      <w:r>
        <w:rPr>
          <w:rFonts w:hint="eastAsia" w:ascii="宋体" w:cs="宋体"/>
          <w:color w:val="auto"/>
          <w:highlight w:val="none"/>
        </w:rPr>
        <w:t>16. 违约</w:t>
      </w:r>
      <w:bookmarkEnd w:id="624"/>
      <w:bookmarkEnd w:id="625"/>
    </w:p>
    <w:bookmarkEnd w:id="626"/>
    <w:p w14:paraId="00B5B335">
      <w:pPr>
        <w:pStyle w:val="322"/>
        <w:rPr>
          <w:rFonts w:hint="eastAsia" w:ascii="宋体" w:cs="宋体"/>
          <w:color w:val="auto"/>
          <w:highlight w:val="none"/>
        </w:rPr>
      </w:pPr>
      <w:bookmarkStart w:id="627" w:name="_Toc296346630"/>
      <w:bookmarkStart w:id="628" w:name="_Toc296503129"/>
      <w:bookmarkStart w:id="629" w:name="_Toc351203604"/>
      <w:bookmarkStart w:id="630" w:name="_Toc478389153"/>
      <w:bookmarkStart w:id="631" w:name="_Toc337558821"/>
      <w:r>
        <w:rPr>
          <w:rFonts w:hint="eastAsia" w:ascii="宋体" w:cs="宋体"/>
          <w:color w:val="auto"/>
          <w:highlight w:val="none"/>
        </w:rPr>
        <w:t>16.1 发</w:t>
      </w:r>
      <w:bookmarkEnd w:id="627"/>
      <w:bookmarkEnd w:id="628"/>
      <w:r>
        <w:rPr>
          <w:rFonts w:hint="eastAsia" w:ascii="宋体" w:cs="宋体"/>
          <w:color w:val="auto"/>
          <w:highlight w:val="none"/>
        </w:rPr>
        <w:t>包人违约</w:t>
      </w:r>
      <w:bookmarkEnd w:id="629"/>
      <w:bookmarkEnd w:id="630"/>
    </w:p>
    <w:bookmarkEnd w:id="631"/>
    <w:p w14:paraId="55A89CBE">
      <w:pPr>
        <w:pStyle w:val="80"/>
        <w:rPr>
          <w:rFonts w:hint="eastAsia" w:cs="宋体"/>
          <w:color w:val="auto"/>
          <w:sz w:val="21"/>
          <w:highlight w:val="none"/>
        </w:rPr>
      </w:pPr>
      <w:r>
        <w:rPr>
          <w:rFonts w:hint="eastAsia" w:cs="宋体"/>
          <w:color w:val="auto"/>
          <w:sz w:val="21"/>
          <w:highlight w:val="none"/>
        </w:rPr>
        <w:t>16.1.1 发包人违约的情形</w:t>
      </w:r>
    </w:p>
    <w:p w14:paraId="40921079">
      <w:pPr>
        <w:pStyle w:val="80"/>
        <w:rPr>
          <w:rFonts w:hint="eastAsia" w:cs="宋体"/>
          <w:color w:val="auto"/>
          <w:sz w:val="21"/>
          <w:highlight w:val="none"/>
        </w:rPr>
      </w:pPr>
      <w:r>
        <w:rPr>
          <w:rFonts w:hint="eastAsia" w:cs="宋体"/>
          <w:color w:val="auto"/>
          <w:sz w:val="21"/>
          <w:highlight w:val="none"/>
        </w:rPr>
        <w:t>在合同履行过程中发生的下列情形，属于发包人违约：</w:t>
      </w:r>
    </w:p>
    <w:p w14:paraId="3E8EC308">
      <w:pPr>
        <w:pStyle w:val="80"/>
        <w:rPr>
          <w:rFonts w:hint="eastAsia" w:cs="宋体"/>
          <w:color w:val="auto"/>
          <w:sz w:val="21"/>
          <w:highlight w:val="none"/>
        </w:rPr>
      </w:pPr>
      <w:r>
        <w:rPr>
          <w:rFonts w:hint="eastAsia" w:cs="宋体"/>
          <w:color w:val="auto"/>
          <w:sz w:val="21"/>
          <w:highlight w:val="none"/>
        </w:rPr>
        <w:t>（1）因发包人原因未能在计划开工日期前7天内下达开工通知的；</w:t>
      </w:r>
    </w:p>
    <w:p w14:paraId="05DCD1EB">
      <w:pPr>
        <w:pStyle w:val="80"/>
        <w:rPr>
          <w:rFonts w:hint="eastAsia" w:cs="宋体"/>
          <w:color w:val="auto"/>
          <w:sz w:val="21"/>
          <w:highlight w:val="none"/>
        </w:rPr>
      </w:pPr>
      <w:r>
        <w:rPr>
          <w:rFonts w:hint="eastAsia" w:cs="宋体"/>
          <w:color w:val="auto"/>
          <w:sz w:val="21"/>
          <w:highlight w:val="none"/>
        </w:rPr>
        <w:t>（2）因发包人原因未能按合同约定支付合同价款的；</w:t>
      </w:r>
    </w:p>
    <w:p w14:paraId="036DC6D8">
      <w:pPr>
        <w:pStyle w:val="80"/>
        <w:rPr>
          <w:rFonts w:hint="eastAsia" w:cs="宋体"/>
          <w:color w:val="auto"/>
          <w:sz w:val="21"/>
          <w:highlight w:val="none"/>
        </w:rPr>
      </w:pPr>
      <w:r>
        <w:rPr>
          <w:rFonts w:hint="eastAsia" w:cs="宋体"/>
          <w:color w:val="auto"/>
          <w:sz w:val="21"/>
          <w:highlight w:val="none"/>
        </w:rPr>
        <w:t>（3）发包人违反第10.1款〔变更的范围〕第（2）项约定，自行实施被取消的工作或转由他人实施的；</w:t>
      </w:r>
    </w:p>
    <w:p w14:paraId="2571EEDD">
      <w:pPr>
        <w:pStyle w:val="80"/>
        <w:rPr>
          <w:rFonts w:hint="eastAsia" w:cs="宋体"/>
          <w:color w:val="auto"/>
          <w:sz w:val="21"/>
          <w:highlight w:val="none"/>
        </w:rPr>
      </w:pPr>
      <w:r>
        <w:rPr>
          <w:rFonts w:hint="eastAsia" w:cs="宋体"/>
          <w:color w:val="auto"/>
          <w:sz w:val="21"/>
          <w:highlight w:val="none"/>
        </w:rPr>
        <w:t>（4）发包人提供的材料、工程设备的规格、数量或质量不符合合同约定，或因发包人原因导致交货日期延误或交货地点变更等情况的；</w:t>
      </w:r>
    </w:p>
    <w:p w14:paraId="1EE55613">
      <w:pPr>
        <w:pStyle w:val="80"/>
        <w:rPr>
          <w:rFonts w:hint="eastAsia" w:cs="宋体"/>
          <w:color w:val="auto"/>
          <w:sz w:val="21"/>
          <w:highlight w:val="none"/>
        </w:rPr>
      </w:pPr>
      <w:r>
        <w:rPr>
          <w:rFonts w:hint="eastAsia" w:cs="宋体"/>
          <w:color w:val="auto"/>
          <w:sz w:val="21"/>
          <w:highlight w:val="none"/>
        </w:rPr>
        <w:t>（5）因发包人违反合同约定造成暂停施工的；</w:t>
      </w:r>
    </w:p>
    <w:p w14:paraId="5F23DCCF">
      <w:pPr>
        <w:pStyle w:val="80"/>
        <w:rPr>
          <w:rFonts w:hint="eastAsia" w:cs="宋体"/>
          <w:color w:val="auto"/>
          <w:sz w:val="21"/>
          <w:highlight w:val="none"/>
        </w:rPr>
      </w:pPr>
      <w:r>
        <w:rPr>
          <w:rFonts w:hint="eastAsia" w:cs="宋体"/>
          <w:color w:val="auto"/>
          <w:sz w:val="21"/>
          <w:highlight w:val="none"/>
        </w:rPr>
        <w:t>（6）发包人无正当理由没有在约定期限内发出复工指示，导致承包人无法复工的；</w:t>
      </w:r>
    </w:p>
    <w:p w14:paraId="7DDADD18">
      <w:pPr>
        <w:pStyle w:val="80"/>
        <w:rPr>
          <w:rFonts w:hint="eastAsia" w:cs="宋体"/>
          <w:color w:val="auto"/>
          <w:sz w:val="21"/>
          <w:highlight w:val="none"/>
        </w:rPr>
      </w:pPr>
      <w:r>
        <w:rPr>
          <w:rFonts w:hint="eastAsia" w:cs="宋体"/>
          <w:color w:val="auto"/>
          <w:sz w:val="21"/>
          <w:highlight w:val="none"/>
        </w:rPr>
        <w:t>（7）发包人明确表示或者以其行为表明不履行合同主要义务的；</w:t>
      </w:r>
    </w:p>
    <w:p w14:paraId="5060D123">
      <w:pPr>
        <w:pStyle w:val="80"/>
        <w:rPr>
          <w:rFonts w:hint="eastAsia" w:cs="宋体"/>
          <w:color w:val="auto"/>
          <w:sz w:val="21"/>
          <w:highlight w:val="none"/>
        </w:rPr>
      </w:pPr>
      <w:r>
        <w:rPr>
          <w:rFonts w:hint="eastAsia" w:cs="宋体"/>
          <w:color w:val="auto"/>
          <w:sz w:val="21"/>
          <w:highlight w:val="none"/>
        </w:rPr>
        <w:t>（8）发包人未能按照合同约定履行其他义务的。</w:t>
      </w:r>
    </w:p>
    <w:p w14:paraId="2D440974">
      <w:pPr>
        <w:pStyle w:val="80"/>
        <w:rPr>
          <w:rFonts w:hint="eastAsia" w:cs="宋体"/>
          <w:color w:val="auto"/>
          <w:sz w:val="21"/>
          <w:highlight w:val="none"/>
        </w:rPr>
      </w:pPr>
      <w:r>
        <w:rPr>
          <w:rFonts w:hint="eastAsia" w:cs="宋体"/>
          <w:color w:val="auto"/>
          <w:sz w:val="21"/>
          <w:highlight w:val="none"/>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14:paraId="262B6389">
      <w:pPr>
        <w:pStyle w:val="80"/>
        <w:rPr>
          <w:rFonts w:hint="eastAsia" w:cs="宋体"/>
          <w:color w:val="auto"/>
          <w:sz w:val="21"/>
          <w:highlight w:val="none"/>
        </w:rPr>
      </w:pPr>
      <w:r>
        <w:rPr>
          <w:rFonts w:hint="eastAsia" w:cs="宋体"/>
          <w:color w:val="auto"/>
          <w:sz w:val="21"/>
          <w:highlight w:val="none"/>
        </w:rPr>
        <w:t>16.1.2 发包人违约的责任</w:t>
      </w:r>
    </w:p>
    <w:p w14:paraId="699641AE">
      <w:pPr>
        <w:pStyle w:val="80"/>
        <w:rPr>
          <w:rFonts w:hint="eastAsia" w:cs="宋体"/>
          <w:color w:val="auto"/>
          <w:sz w:val="21"/>
          <w:highlight w:val="none"/>
        </w:rPr>
      </w:pPr>
      <w:r>
        <w:rPr>
          <w:rFonts w:hint="eastAsia" w:cs="宋体"/>
          <w:color w:val="auto"/>
          <w:sz w:val="21"/>
          <w:highlight w:val="none"/>
        </w:rPr>
        <w:t>发包人应承担因其违约给承包人增加的费用和（或）延误的工期，并支付承包人合理的利润。此外，合同当事人可在专用合同条款中另行约定发包人违约责任的承担方式和计算方法。</w:t>
      </w:r>
    </w:p>
    <w:p w14:paraId="446291EB">
      <w:pPr>
        <w:pStyle w:val="80"/>
        <w:rPr>
          <w:rFonts w:hint="eastAsia" w:cs="宋体"/>
          <w:color w:val="auto"/>
          <w:sz w:val="21"/>
          <w:highlight w:val="none"/>
        </w:rPr>
      </w:pPr>
      <w:r>
        <w:rPr>
          <w:rFonts w:hint="eastAsia" w:cs="宋体"/>
          <w:color w:val="auto"/>
          <w:sz w:val="21"/>
          <w:highlight w:val="none"/>
        </w:rPr>
        <w:t>16.1.3 因发包人违约解除合同</w:t>
      </w:r>
    </w:p>
    <w:p w14:paraId="1484B8D1">
      <w:pPr>
        <w:pStyle w:val="80"/>
        <w:rPr>
          <w:rFonts w:hint="eastAsia" w:cs="宋体"/>
          <w:color w:val="auto"/>
          <w:sz w:val="21"/>
          <w:highlight w:val="none"/>
        </w:rPr>
      </w:pPr>
      <w:r>
        <w:rPr>
          <w:rFonts w:hint="eastAsia" w:cs="宋体"/>
          <w:color w:val="auto"/>
          <w:sz w:val="21"/>
          <w:highlight w:val="none"/>
        </w:rPr>
        <w:t>除专用合同条款另有约定外，承包人按第16.1.1项〔发包人违约的情形〕约定暂停施工满28天后，发包人仍不纠正其违约行为并致使合同目的不能实现的，或出现第16.1.1项〔发包人违约的情形〕第（7）目约定的违约情况，承包人有权解除合同，发包人应承担由此增加的费用，并支付承包人合理的利润。</w:t>
      </w:r>
    </w:p>
    <w:p w14:paraId="42B2F89A">
      <w:pPr>
        <w:pStyle w:val="80"/>
        <w:rPr>
          <w:rFonts w:hint="eastAsia" w:cs="宋体"/>
          <w:color w:val="auto"/>
          <w:sz w:val="21"/>
          <w:highlight w:val="none"/>
        </w:rPr>
      </w:pPr>
      <w:r>
        <w:rPr>
          <w:rFonts w:hint="eastAsia" w:cs="宋体"/>
          <w:color w:val="auto"/>
          <w:sz w:val="21"/>
          <w:highlight w:val="none"/>
        </w:rPr>
        <w:t>16.1.4 因发包人违约解除合同后的付款</w:t>
      </w:r>
    </w:p>
    <w:p w14:paraId="66F7FB24">
      <w:pPr>
        <w:pStyle w:val="80"/>
        <w:rPr>
          <w:rFonts w:hint="eastAsia" w:cs="宋体"/>
          <w:color w:val="auto"/>
          <w:sz w:val="21"/>
          <w:highlight w:val="none"/>
        </w:rPr>
      </w:pPr>
      <w:r>
        <w:rPr>
          <w:rFonts w:hint="eastAsia" w:cs="宋体"/>
          <w:color w:val="auto"/>
          <w:sz w:val="21"/>
          <w:highlight w:val="none"/>
        </w:rPr>
        <w:t>承包人按照本款约定解除合同的，发包人应在解除合同后28天内支付下列款项，并解除履约保证金：</w:t>
      </w:r>
    </w:p>
    <w:p w14:paraId="526A940E">
      <w:pPr>
        <w:pStyle w:val="80"/>
        <w:rPr>
          <w:rFonts w:hint="eastAsia" w:cs="宋体"/>
          <w:color w:val="auto"/>
          <w:sz w:val="21"/>
          <w:highlight w:val="none"/>
        </w:rPr>
      </w:pPr>
      <w:r>
        <w:rPr>
          <w:rFonts w:hint="eastAsia" w:cs="宋体"/>
          <w:color w:val="auto"/>
          <w:sz w:val="21"/>
          <w:highlight w:val="none"/>
        </w:rPr>
        <w:t>（1）合同解除前所完成工作的价款；</w:t>
      </w:r>
    </w:p>
    <w:p w14:paraId="5DBEC037">
      <w:pPr>
        <w:pStyle w:val="80"/>
        <w:rPr>
          <w:rFonts w:hint="eastAsia" w:cs="宋体"/>
          <w:color w:val="auto"/>
          <w:sz w:val="21"/>
          <w:highlight w:val="none"/>
        </w:rPr>
      </w:pPr>
      <w:r>
        <w:rPr>
          <w:rFonts w:hint="eastAsia" w:cs="宋体"/>
          <w:color w:val="auto"/>
          <w:sz w:val="21"/>
          <w:highlight w:val="none"/>
        </w:rPr>
        <w:t>（2）承包人为工程施工订购并已付款的材料、工程设备和其他物品的价款；</w:t>
      </w:r>
    </w:p>
    <w:p w14:paraId="79E0E3BB">
      <w:pPr>
        <w:pStyle w:val="80"/>
        <w:rPr>
          <w:rFonts w:hint="eastAsia" w:cs="宋体"/>
          <w:color w:val="auto"/>
          <w:sz w:val="21"/>
          <w:highlight w:val="none"/>
        </w:rPr>
      </w:pPr>
      <w:r>
        <w:rPr>
          <w:rFonts w:hint="eastAsia" w:cs="宋体"/>
          <w:color w:val="auto"/>
          <w:sz w:val="21"/>
          <w:highlight w:val="none"/>
        </w:rPr>
        <w:t>（3）承包人撤离施工现场以及遣散承包人人员的款项；</w:t>
      </w:r>
    </w:p>
    <w:p w14:paraId="438D7066">
      <w:pPr>
        <w:pStyle w:val="80"/>
        <w:rPr>
          <w:rFonts w:hint="eastAsia" w:cs="宋体"/>
          <w:color w:val="auto"/>
          <w:sz w:val="21"/>
          <w:highlight w:val="none"/>
        </w:rPr>
      </w:pPr>
      <w:r>
        <w:rPr>
          <w:rFonts w:hint="eastAsia" w:cs="宋体"/>
          <w:color w:val="auto"/>
          <w:sz w:val="21"/>
          <w:highlight w:val="none"/>
        </w:rPr>
        <w:t>（4）按照合同约定在合同解除前应支付的违约金；</w:t>
      </w:r>
    </w:p>
    <w:p w14:paraId="241DCF73">
      <w:pPr>
        <w:pStyle w:val="80"/>
        <w:rPr>
          <w:rFonts w:hint="eastAsia" w:cs="宋体"/>
          <w:color w:val="auto"/>
          <w:sz w:val="21"/>
          <w:highlight w:val="none"/>
        </w:rPr>
      </w:pPr>
      <w:r>
        <w:rPr>
          <w:rFonts w:hint="eastAsia" w:cs="宋体"/>
          <w:color w:val="auto"/>
          <w:sz w:val="21"/>
          <w:highlight w:val="none"/>
        </w:rPr>
        <w:t>（5）按照合同约定应当支付给承包人的其他款项；</w:t>
      </w:r>
    </w:p>
    <w:p w14:paraId="26AC32D0">
      <w:pPr>
        <w:pStyle w:val="80"/>
        <w:rPr>
          <w:rFonts w:hint="eastAsia" w:cs="宋体"/>
          <w:color w:val="auto"/>
          <w:sz w:val="21"/>
          <w:highlight w:val="none"/>
        </w:rPr>
      </w:pPr>
      <w:r>
        <w:rPr>
          <w:rFonts w:hint="eastAsia" w:cs="宋体"/>
          <w:color w:val="auto"/>
          <w:sz w:val="21"/>
          <w:highlight w:val="none"/>
        </w:rPr>
        <w:t>（6）按照合同约定应退还的质量保证金；</w:t>
      </w:r>
    </w:p>
    <w:p w14:paraId="37262CB4">
      <w:pPr>
        <w:pStyle w:val="80"/>
        <w:rPr>
          <w:rFonts w:hint="eastAsia" w:cs="宋体"/>
          <w:color w:val="auto"/>
          <w:sz w:val="21"/>
          <w:highlight w:val="none"/>
        </w:rPr>
      </w:pPr>
      <w:r>
        <w:rPr>
          <w:rFonts w:hint="eastAsia" w:cs="宋体"/>
          <w:color w:val="auto"/>
          <w:sz w:val="21"/>
          <w:highlight w:val="none"/>
        </w:rPr>
        <w:t>（7）因解除合同给承包人造成的损失。</w:t>
      </w:r>
    </w:p>
    <w:p w14:paraId="4E8DD8BF">
      <w:pPr>
        <w:pStyle w:val="80"/>
        <w:rPr>
          <w:rFonts w:hint="eastAsia" w:cs="宋体"/>
          <w:color w:val="auto"/>
          <w:sz w:val="21"/>
          <w:highlight w:val="none"/>
        </w:rPr>
      </w:pPr>
      <w:r>
        <w:rPr>
          <w:rFonts w:hint="eastAsia" w:cs="宋体"/>
          <w:color w:val="auto"/>
          <w:sz w:val="21"/>
          <w:highlight w:val="none"/>
        </w:rPr>
        <w:t>合同当事人未能就解除合同后的结清达成一致的，按照第20条〔争议解决〕的约定处理。</w:t>
      </w:r>
    </w:p>
    <w:p w14:paraId="32C0EBAF">
      <w:pPr>
        <w:pStyle w:val="80"/>
        <w:rPr>
          <w:rFonts w:hint="eastAsia" w:cs="宋体"/>
          <w:color w:val="auto"/>
          <w:sz w:val="21"/>
          <w:highlight w:val="none"/>
        </w:rPr>
      </w:pPr>
      <w:r>
        <w:rPr>
          <w:rFonts w:hint="eastAsia" w:cs="宋体"/>
          <w:color w:val="auto"/>
          <w:sz w:val="21"/>
          <w:highlight w:val="none"/>
        </w:rPr>
        <w:t>承包人应妥善做好已完工程和与工程有关的已购材料、工程设备的保护和移交工作，并将施工设备和人员撤出施工现场，发包人应为承包人撤出提供必要条件。</w:t>
      </w:r>
    </w:p>
    <w:p w14:paraId="2E1E5950">
      <w:pPr>
        <w:pStyle w:val="322"/>
        <w:rPr>
          <w:rFonts w:hint="eastAsia" w:ascii="宋体" w:cs="宋体"/>
          <w:color w:val="auto"/>
          <w:highlight w:val="none"/>
        </w:rPr>
      </w:pPr>
      <w:bookmarkStart w:id="632" w:name="_Toc351203605"/>
      <w:bookmarkStart w:id="633" w:name="_Toc478389154"/>
      <w:bookmarkStart w:id="634" w:name="_Toc337558822"/>
      <w:bookmarkStart w:id="635" w:name="_Toc296503131"/>
      <w:bookmarkStart w:id="636" w:name="_Toc296346632"/>
      <w:r>
        <w:rPr>
          <w:rFonts w:hint="eastAsia" w:ascii="宋体" w:cs="宋体"/>
          <w:color w:val="auto"/>
          <w:highlight w:val="none"/>
        </w:rPr>
        <w:t>16.2 承包人违约</w:t>
      </w:r>
      <w:bookmarkEnd w:id="632"/>
      <w:bookmarkEnd w:id="633"/>
    </w:p>
    <w:bookmarkEnd w:id="634"/>
    <w:bookmarkEnd w:id="635"/>
    <w:bookmarkEnd w:id="636"/>
    <w:p w14:paraId="5D552981">
      <w:pPr>
        <w:pStyle w:val="80"/>
        <w:rPr>
          <w:rFonts w:hint="eastAsia" w:cs="宋体"/>
          <w:color w:val="auto"/>
          <w:sz w:val="21"/>
          <w:highlight w:val="none"/>
        </w:rPr>
      </w:pPr>
      <w:r>
        <w:rPr>
          <w:rFonts w:hint="eastAsia" w:cs="宋体"/>
          <w:color w:val="auto"/>
          <w:sz w:val="21"/>
          <w:highlight w:val="none"/>
        </w:rPr>
        <w:t>16.2.1 承包人违约的情形</w:t>
      </w:r>
    </w:p>
    <w:p w14:paraId="272612BB">
      <w:pPr>
        <w:pStyle w:val="80"/>
        <w:rPr>
          <w:rFonts w:hint="eastAsia" w:cs="宋体"/>
          <w:color w:val="auto"/>
          <w:sz w:val="21"/>
          <w:highlight w:val="none"/>
        </w:rPr>
      </w:pPr>
      <w:r>
        <w:rPr>
          <w:rFonts w:hint="eastAsia" w:cs="宋体"/>
          <w:color w:val="auto"/>
          <w:sz w:val="21"/>
          <w:highlight w:val="none"/>
        </w:rPr>
        <w:t>在合同履行过程中发生的下列情形，属于承包人违约：</w:t>
      </w:r>
    </w:p>
    <w:p w14:paraId="7AA953BE">
      <w:pPr>
        <w:pStyle w:val="80"/>
        <w:rPr>
          <w:rFonts w:hint="eastAsia" w:cs="宋体"/>
          <w:color w:val="auto"/>
          <w:sz w:val="21"/>
          <w:highlight w:val="none"/>
        </w:rPr>
      </w:pPr>
      <w:r>
        <w:rPr>
          <w:rFonts w:hint="eastAsia" w:cs="宋体"/>
          <w:color w:val="auto"/>
          <w:sz w:val="21"/>
          <w:highlight w:val="none"/>
        </w:rPr>
        <w:t>（1）承包人违反合同约定进行转包或违法分包的；</w:t>
      </w:r>
    </w:p>
    <w:p w14:paraId="4CFE889F">
      <w:pPr>
        <w:pStyle w:val="80"/>
        <w:rPr>
          <w:rFonts w:hint="eastAsia" w:cs="宋体"/>
          <w:color w:val="auto"/>
          <w:sz w:val="21"/>
          <w:highlight w:val="none"/>
        </w:rPr>
      </w:pPr>
      <w:r>
        <w:rPr>
          <w:rFonts w:hint="eastAsia" w:cs="宋体"/>
          <w:color w:val="auto"/>
          <w:sz w:val="21"/>
          <w:highlight w:val="none"/>
        </w:rPr>
        <w:t>（2）承包人违反合同约定采购和使用不合格的材料和工程设备的；</w:t>
      </w:r>
    </w:p>
    <w:p w14:paraId="5BCC2B7A">
      <w:pPr>
        <w:pStyle w:val="80"/>
        <w:rPr>
          <w:rFonts w:hint="eastAsia" w:cs="宋体"/>
          <w:color w:val="auto"/>
          <w:sz w:val="21"/>
          <w:highlight w:val="none"/>
        </w:rPr>
      </w:pPr>
      <w:r>
        <w:rPr>
          <w:rFonts w:hint="eastAsia" w:cs="宋体"/>
          <w:color w:val="auto"/>
          <w:sz w:val="21"/>
          <w:highlight w:val="none"/>
        </w:rPr>
        <w:t xml:space="preserve">（3）因承包人原因导致工程质量不符合合同要求的； </w:t>
      </w:r>
    </w:p>
    <w:p w14:paraId="42ACE0DB">
      <w:pPr>
        <w:pStyle w:val="80"/>
        <w:rPr>
          <w:rFonts w:hint="eastAsia" w:cs="宋体"/>
          <w:color w:val="auto"/>
          <w:sz w:val="21"/>
          <w:highlight w:val="none"/>
        </w:rPr>
      </w:pPr>
      <w:r>
        <w:rPr>
          <w:rFonts w:hint="eastAsia" w:cs="宋体"/>
          <w:color w:val="auto"/>
          <w:sz w:val="21"/>
          <w:highlight w:val="none"/>
        </w:rPr>
        <w:t>（4）承包人违反第8.9款〔材料与设备专用要求〕的约定，未经批准，私自将已按照合同约定进入施工现场的材料或设备撤离施工现场的；</w:t>
      </w:r>
    </w:p>
    <w:p w14:paraId="7D3AFCDC">
      <w:pPr>
        <w:pStyle w:val="80"/>
        <w:rPr>
          <w:rFonts w:hint="eastAsia" w:cs="宋体"/>
          <w:color w:val="auto"/>
          <w:sz w:val="21"/>
          <w:highlight w:val="none"/>
        </w:rPr>
      </w:pPr>
      <w:r>
        <w:rPr>
          <w:rFonts w:hint="eastAsia" w:cs="宋体"/>
          <w:color w:val="auto"/>
          <w:sz w:val="21"/>
          <w:highlight w:val="none"/>
        </w:rPr>
        <w:t>（5）承包人未能按施工进度计划及时完成合同约定的工作，造成工期延误的；</w:t>
      </w:r>
    </w:p>
    <w:p w14:paraId="5B0372D0">
      <w:pPr>
        <w:pStyle w:val="80"/>
        <w:rPr>
          <w:rFonts w:hint="eastAsia" w:cs="宋体"/>
          <w:color w:val="auto"/>
          <w:sz w:val="21"/>
          <w:highlight w:val="none"/>
        </w:rPr>
      </w:pPr>
      <w:r>
        <w:rPr>
          <w:rFonts w:hint="eastAsia" w:cs="宋体"/>
          <w:color w:val="auto"/>
          <w:sz w:val="21"/>
          <w:highlight w:val="none"/>
        </w:rPr>
        <w:t>（6）承包人在缺陷责任期及保修期内，未能在合理期限对工程缺陷进行修复，或拒绝按发包人要求进行修复的；</w:t>
      </w:r>
    </w:p>
    <w:p w14:paraId="2E588F2C">
      <w:pPr>
        <w:pStyle w:val="80"/>
        <w:rPr>
          <w:rFonts w:hint="eastAsia" w:cs="宋体"/>
          <w:color w:val="auto"/>
          <w:sz w:val="21"/>
          <w:highlight w:val="none"/>
        </w:rPr>
      </w:pPr>
      <w:r>
        <w:rPr>
          <w:rFonts w:hint="eastAsia" w:cs="宋体"/>
          <w:color w:val="auto"/>
          <w:sz w:val="21"/>
          <w:highlight w:val="none"/>
        </w:rPr>
        <w:t>（7）承包人明确表示或者以其行为表明不履行合同主要义务的；</w:t>
      </w:r>
    </w:p>
    <w:p w14:paraId="16795D42">
      <w:pPr>
        <w:pStyle w:val="80"/>
        <w:rPr>
          <w:rFonts w:hint="eastAsia" w:cs="宋体"/>
          <w:color w:val="auto"/>
          <w:sz w:val="21"/>
          <w:highlight w:val="none"/>
        </w:rPr>
      </w:pPr>
      <w:r>
        <w:rPr>
          <w:rFonts w:hint="eastAsia" w:cs="宋体"/>
          <w:color w:val="auto"/>
          <w:sz w:val="21"/>
          <w:highlight w:val="none"/>
        </w:rPr>
        <w:t>（8）承包人未能按照合同约定履行其他义务的。</w:t>
      </w:r>
    </w:p>
    <w:p w14:paraId="48FB7163">
      <w:pPr>
        <w:pStyle w:val="80"/>
        <w:rPr>
          <w:rFonts w:hint="eastAsia" w:cs="宋体"/>
          <w:color w:val="auto"/>
          <w:sz w:val="21"/>
          <w:highlight w:val="none"/>
        </w:rPr>
      </w:pPr>
      <w:r>
        <w:rPr>
          <w:rFonts w:hint="eastAsia" w:cs="宋体"/>
          <w:color w:val="auto"/>
          <w:sz w:val="21"/>
          <w:highlight w:val="none"/>
        </w:rPr>
        <w:t>承包人发生除本项第（7）目约定以外的其他违约情况时，监理人可向承包人发出整改通知，要求其在指定的期限内改正。</w:t>
      </w:r>
    </w:p>
    <w:p w14:paraId="7139B695">
      <w:pPr>
        <w:pStyle w:val="80"/>
        <w:rPr>
          <w:rFonts w:hint="eastAsia" w:cs="宋体"/>
          <w:color w:val="auto"/>
          <w:sz w:val="21"/>
          <w:highlight w:val="none"/>
        </w:rPr>
      </w:pPr>
      <w:r>
        <w:rPr>
          <w:rFonts w:hint="eastAsia" w:cs="宋体"/>
          <w:color w:val="auto"/>
          <w:sz w:val="21"/>
          <w:highlight w:val="none"/>
        </w:rPr>
        <w:t>16.2.2 承包人违约的责任</w:t>
      </w:r>
    </w:p>
    <w:p w14:paraId="4E1E673E">
      <w:pPr>
        <w:pStyle w:val="80"/>
        <w:rPr>
          <w:rFonts w:hint="eastAsia" w:cs="宋体"/>
          <w:color w:val="auto"/>
          <w:sz w:val="21"/>
          <w:highlight w:val="none"/>
        </w:rPr>
      </w:pPr>
      <w:r>
        <w:rPr>
          <w:rFonts w:hint="eastAsia" w:cs="宋体"/>
          <w:color w:val="auto"/>
          <w:sz w:val="21"/>
          <w:highlight w:val="none"/>
        </w:rPr>
        <w:t>承包人应承担因其违约行为而增加的费用和（或）延误的工期。此外，合同当事人可在专用合同条款中另行约定承包人违约责任的承担方式和计算方法。</w:t>
      </w:r>
    </w:p>
    <w:p w14:paraId="7F6B8BC3">
      <w:pPr>
        <w:pStyle w:val="80"/>
        <w:rPr>
          <w:rFonts w:hint="eastAsia" w:cs="宋体"/>
          <w:color w:val="auto"/>
          <w:sz w:val="21"/>
          <w:highlight w:val="none"/>
        </w:rPr>
      </w:pPr>
      <w:r>
        <w:rPr>
          <w:rFonts w:hint="eastAsia" w:cs="宋体"/>
          <w:color w:val="auto"/>
          <w:sz w:val="21"/>
          <w:highlight w:val="none"/>
        </w:rPr>
        <w:t>16.2.3 因承包人违约解除合同</w:t>
      </w:r>
    </w:p>
    <w:p w14:paraId="5BDDBAAA">
      <w:pPr>
        <w:pStyle w:val="80"/>
        <w:rPr>
          <w:rFonts w:hint="eastAsia" w:cs="宋体"/>
          <w:color w:val="auto"/>
          <w:sz w:val="21"/>
          <w:highlight w:val="none"/>
        </w:rPr>
      </w:pPr>
      <w:r>
        <w:rPr>
          <w:rFonts w:hint="eastAsia" w:cs="宋体"/>
          <w:color w:val="auto"/>
          <w:sz w:val="21"/>
          <w:highlight w:val="none"/>
        </w:rPr>
        <w:t>除专用合同条款另有约定外，出现第16.2.1项〔承包人违约的情形〕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款约定相应费用的承担方式。发包人继续使用的行为不免除或减轻承包人应承担的违约责任。</w:t>
      </w:r>
    </w:p>
    <w:p w14:paraId="644EEB4A">
      <w:pPr>
        <w:pStyle w:val="80"/>
        <w:rPr>
          <w:rFonts w:hint="eastAsia" w:cs="宋体"/>
          <w:color w:val="auto"/>
          <w:sz w:val="21"/>
          <w:highlight w:val="none"/>
        </w:rPr>
      </w:pPr>
      <w:r>
        <w:rPr>
          <w:rFonts w:hint="eastAsia" w:cs="宋体"/>
          <w:color w:val="auto"/>
          <w:sz w:val="21"/>
          <w:highlight w:val="none"/>
        </w:rPr>
        <w:t>16.2.4因承包人违约解除合同后的处理</w:t>
      </w:r>
    </w:p>
    <w:p w14:paraId="42A5666D">
      <w:pPr>
        <w:pStyle w:val="80"/>
        <w:rPr>
          <w:rFonts w:hint="eastAsia" w:cs="宋体"/>
          <w:color w:val="auto"/>
          <w:sz w:val="21"/>
          <w:highlight w:val="none"/>
        </w:rPr>
      </w:pPr>
      <w:r>
        <w:rPr>
          <w:rFonts w:hint="eastAsia" w:cs="宋体"/>
          <w:color w:val="auto"/>
          <w:sz w:val="21"/>
          <w:highlight w:val="none"/>
        </w:rPr>
        <w:t>因承包人原因导致合同解除的，则合同当事人应在合同解除后28天内完成估价、付款和清算，并按以下约定执行：</w:t>
      </w:r>
    </w:p>
    <w:p w14:paraId="5E5736B1">
      <w:pPr>
        <w:pStyle w:val="80"/>
        <w:rPr>
          <w:rFonts w:hint="eastAsia" w:cs="宋体"/>
          <w:color w:val="auto"/>
          <w:sz w:val="21"/>
          <w:highlight w:val="none"/>
        </w:rPr>
      </w:pPr>
      <w:r>
        <w:rPr>
          <w:rFonts w:hint="eastAsia" w:cs="宋体"/>
          <w:color w:val="auto"/>
          <w:sz w:val="21"/>
          <w:highlight w:val="none"/>
        </w:rPr>
        <w:t>（1）合同解除后，按第4.4款〔商定或确定〕商定或确定承包人实际完成工作对应的合同价款，以及承包人已提供的材料、工程设备、施工设备和临时工程等的价值；</w:t>
      </w:r>
    </w:p>
    <w:p w14:paraId="52DA0EFF">
      <w:pPr>
        <w:pStyle w:val="80"/>
        <w:rPr>
          <w:rFonts w:hint="eastAsia" w:cs="宋体"/>
          <w:color w:val="auto"/>
          <w:sz w:val="21"/>
          <w:highlight w:val="none"/>
        </w:rPr>
      </w:pPr>
      <w:r>
        <w:rPr>
          <w:rFonts w:hint="eastAsia" w:cs="宋体"/>
          <w:color w:val="auto"/>
          <w:sz w:val="21"/>
          <w:highlight w:val="none"/>
        </w:rPr>
        <w:t>（2）合同解除后，承包人应支付的违约金；</w:t>
      </w:r>
    </w:p>
    <w:p w14:paraId="127E3FA8">
      <w:pPr>
        <w:pStyle w:val="80"/>
        <w:rPr>
          <w:rFonts w:hint="eastAsia" w:cs="宋体"/>
          <w:color w:val="auto"/>
          <w:sz w:val="21"/>
          <w:highlight w:val="none"/>
        </w:rPr>
      </w:pPr>
      <w:r>
        <w:rPr>
          <w:rFonts w:hint="eastAsia" w:cs="宋体"/>
          <w:color w:val="auto"/>
          <w:sz w:val="21"/>
          <w:highlight w:val="none"/>
        </w:rPr>
        <w:t>（3）合同解除后，因解除合同给发包人造成的损失；</w:t>
      </w:r>
    </w:p>
    <w:p w14:paraId="105CBC8B">
      <w:pPr>
        <w:pStyle w:val="80"/>
        <w:rPr>
          <w:rFonts w:hint="eastAsia" w:cs="宋体"/>
          <w:color w:val="auto"/>
          <w:sz w:val="21"/>
          <w:highlight w:val="none"/>
        </w:rPr>
      </w:pPr>
      <w:r>
        <w:rPr>
          <w:rFonts w:hint="eastAsia" w:cs="宋体"/>
          <w:color w:val="auto"/>
          <w:sz w:val="21"/>
          <w:highlight w:val="none"/>
        </w:rPr>
        <w:t>（4）合同解除后，承包人应按照发包人要求和监理人的指示完成现场的清理和撤离；</w:t>
      </w:r>
    </w:p>
    <w:p w14:paraId="50B9CFED">
      <w:pPr>
        <w:pStyle w:val="80"/>
        <w:rPr>
          <w:rFonts w:hint="eastAsia" w:cs="宋体"/>
          <w:color w:val="auto"/>
          <w:sz w:val="21"/>
          <w:highlight w:val="none"/>
        </w:rPr>
      </w:pPr>
      <w:r>
        <w:rPr>
          <w:rFonts w:hint="eastAsia" w:cs="宋体"/>
          <w:color w:val="auto"/>
          <w:sz w:val="21"/>
          <w:highlight w:val="none"/>
        </w:rPr>
        <w:t>（5）发包人和承包人应在合同解除后进行清算，出具最终结清付款证书，结清全部款项。</w:t>
      </w:r>
    </w:p>
    <w:p w14:paraId="036A901E">
      <w:pPr>
        <w:pStyle w:val="80"/>
        <w:rPr>
          <w:rFonts w:hint="eastAsia" w:cs="宋体"/>
          <w:color w:val="auto"/>
          <w:sz w:val="21"/>
          <w:highlight w:val="none"/>
        </w:rPr>
      </w:pPr>
      <w:r>
        <w:rPr>
          <w:rFonts w:hint="eastAsia" w:cs="宋体"/>
          <w:color w:val="auto"/>
          <w:sz w:val="21"/>
          <w:highlight w:val="none"/>
        </w:rPr>
        <w:t>因承包人违约解除合同的，发包人有权暂停对承包人的付款，查清各项付款和已扣款项。发包人和承包人未能就合同解除后的清算和款项支付达成一致的，按照第20条〔争议解决〕的约定处理。</w:t>
      </w:r>
    </w:p>
    <w:p w14:paraId="2A277A49">
      <w:pPr>
        <w:pStyle w:val="80"/>
        <w:rPr>
          <w:rFonts w:hint="eastAsia" w:cs="宋体"/>
          <w:color w:val="auto"/>
          <w:sz w:val="21"/>
          <w:highlight w:val="none"/>
        </w:rPr>
      </w:pPr>
      <w:r>
        <w:rPr>
          <w:rFonts w:hint="eastAsia" w:cs="宋体"/>
          <w:color w:val="auto"/>
          <w:sz w:val="21"/>
          <w:highlight w:val="none"/>
        </w:rPr>
        <w:t>16.2.5采购合同权益转让</w:t>
      </w:r>
    </w:p>
    <w:p w14:paraId="478AFC84">
      <w:pPr>
        <w:pStyle w:val="80"/>
        <w:rPr>
          <w:rFonts w:hint="eastAsia" w:cs="宋体"/>
          <w:color w:val="auto"/>
          <w:sz w:val="21"/>
          <w:highlight w:val="none"/>
        </w:rPr>
      </w:pPr>
      <w:r>
        <w:rPr>
          <w:rFonts w:hint="eastAsia" w:cs="宋体"/>
          <w:color w:val="auto"/>
          <w:sz w:val="21"/>
          <w:highlight w:val="none"/>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14:paraId="3A061E0F">
      <w:pPr>
        <w:pStyle w:val="322"/>
        <w:rPr>
          <w:rFonts w:hint="eastAsia" w:ascii="宋体" w:cs="宋体"/>
          <w:color w:val="auto"/>
          <w:highlight w:val="none"/>
        </w:rPr>
      </w:pPr>
      <w:bookmarkStart w:id="637" w:name="_Toc351203606"/>
      <w:bookmarkStart w:id="638" w:name="_Toc478389155"/>
      <w:r>
        <w:rPr>
          <w:rFonts w:hint="eastAsia" w:ascii="宋体" w:cs="宋体"/>
          <w:color w:val="auto"/>
          <w:highlight w:val="none"/>
        </w:rPr>
        <w:t>16.3 第三人造成的违约</w:t>
      </w:r>
      <w:bookmarkEnd w:id="637"/>
      <w:bookmarkEnd w:id="638"/>
    </w:p>
    <w:p w14:paraId="17BBF194">
      <w:pPr>
        <w:pStyle w:val="80"/>
        <w:rPr>
          <w:rFonts w:hint="eastAsia" w:cs="宋体"/>
          <w:color w:val="auto"/>
          <w:sz w:val="21"/>
          <w:highlight w:val="none"/>
        </w:rPr>
      </w:pPr>
      <w:r>
        <w:rPr>
          <w:rFonts w:hint="eastAsia" w:cs="宋体"/>
          <w:color w:val="auto"/>
          <w:sz w:val="21"/>
          <w:highlight w:val="none"/>
        </w:rPr>
        <w:t>在履行合同过程中，一方当事人因第三人的原因造成违约的，应当向对方当事人承担违约责任。一方当事人和第三人之间的纠纷，依照法律规定或者按照约定解决。</w:t>
      </w:r>
    </w:p>
    <w:p w14:paraId="202F8339">
      <w:pPr>
        <w:pStyle w:val="322"/>
        <w:rPr>
          <w:rFonts w:hint="eastAsia" w:ascii="宋体" w:cs="宋体"/>
          <w:color w:val="auto"/>
          <w:highlight w:val="none"/>
        </w:rPr>
      </w:pPr>
      <w:bookmarkStart w:id="639" w:name="_Toc337558823"/>
      <w:bookmarkStart w:id="640" w:name="_Toc478389156"/>
      <w:bookmarkStart w:id="641" w:name="_Toc296346617"/>
      <w:bookmarkStart w:id="642" w:name="_Toc296503116"/>
      <w:bookmarkStart w:id="643" w:name="_Toc351203607"/>
      <w:r>
        <w:rPr>
          <w:rFonts w:hint="eastAsia" w:ascii="宋体" w:cs="宋体"/>
          <w:color w:val="auto"/>
          <w:highlight w:val="none"/>
        </w:rPr>
        <w:t>17. 不可抗力</w:t>
      </w:r>
      <w:bookmarkEnd w:id="639"/>
      <w:bookmarkEnd w:id="640"/>
      <w:bookmarkEnd w:id="641"/>
      <w:bookmarkEnd w:id="642"/>
      <w:bookmarkEnd w:id="643"/>
    </w:p>
    <w:p w14:paraId="59C9EDFC">
      <w:pPr>
        <w:pStyle w:val="322"/>
        <w:rPr>
          <w:rFonts w:hint="eastAsia" w:ascii="宋体" w:cs="宋体"/>
          <w:color w:val="auto"/>
          <w:highlight w:val="none"/>
        </w:rPr>
      </w:pPr>
      <w:bookmarkStart w:id="644" w:name="_Toc351203608"/>
      <w:bookmarkStart w:id="645" w:name="_Toc478389157"/>
      <w:bookmarkStart w:id="646" w:name="_Toc337558824"/>
      <w:bookmarkStart w:id="647" w:name="_Toc296503117"/>
      <w:bookmarkStart w:id="648" w:name="_Toc296346618"/>
      <w:r>
        <w:rPr>
          <w:rFonts w:hint="eastAsia" w:ascii="宋体" w:cs="宋体"/>
          <w:color w:val="auto"/>
          <w:highlight w:val="none"/>
        </w:rPr>
        <w:t>17.1 不可抗力的确认</w:t>
      </w:r>
      <w:bookmarkEnd w:id="644"/>
      <w:bookmarkEnd w:id="645"/>
    </w:p>
    <w:bookmarkEnd w:id="646"/>
    <w:bookmarkEnd w:id="647"/>
    <w:bookmarkEnd w:id="648"/>
    <w:p w14:paraId="32BBB2F1">
      <w:pPr>
        <w:pStyle w:val="80"/>
        <w:rPr>
          <w:rFonts w:hint="eastAsia" w:cs="宋体"/>
          <w:color w:val="auto"/>
          <w:sz w:val="21"/>
          <w:highlight w:val="none"/>
        </w:rPr>
      </w:pPr>
      <w:r>
        <w:rPr>
          <w:rFonts w:hint="eastAsia" w:cs="宋体"/>
          <w:color w:val="auto"/>
          <w:sz w:val="21"/>
          <w:highlight w:val="none"/>
        </w:rPr>
        <w:t>不可抗力是指合同当事人在签订合同时不可预见，在合同履行过程中不可避免且不能克服的自然灾害和社会性突发事件，如地震、海啸、瘟疫、骚乱、戒严、暴动、战争和专用合同条款中约定的其他情形。</w:t>
      </w:r>
    </w:p>
    <w:p w14:paraId="65CC8B95">
      <w:pPr>
        <w:pStyle w:val="80"/>
        <w:rPr>
          <w:rFonts w:hint="eastAsia" w:cs="宋体"/>
          <w:color w:val="auto"/>
          <w:sz w:val="21"/>
          <w:highlight w:val="none"/>
        </w:rPr>
      </w:pPr>
      <w:r>
        <w:rPr>
          <w:rFonts w:hint="eastAsia" w:cs="宋体"/>
          <w:color w:val="auto"/>
          <w:sz w:val="21"/>
          <w:highlight w:val="none"/>
        </w:rPr>
        <w:t>不可抗力发生后，发包人和承包人应收集证明不可抗力发生及不可抗力造成损失的证据，并及时认真统计所造成的损失。合同当事人对是否属于不可抗力或其损失的意见不一致的，由监理人按第4.4款〔商定或确定〕的约定处理。发生争议时，按第20条〔争议解决〕的约定处理。</w:t>
      </w:r>
    </w:p>
    <w:p w14:paraId="7313D0A2">
      <w:pPr>
        <w:pStyle w:val="322"/>
        <w:rPr>
          <w:rFonts w:hint="eastAsia" w:ascii="宋体" w:cs="宋体"/>
          <w:color w:val="auto"/>
          <w:highlight w:val="none"/>
        </w:rPr>
      </w:pPr>
      <w:bookmarkStart w:id="649" w:name="_Toc351203609"/>
      <w:bookmarkStart w:id="650" w:name="_Toc478389158"/>
      <w:bookmarkStart w:id="651" w:name="_Toc296503118"/>
      <w:bookmarkStart w:id="652" w:name="_Toc296346619"/>
      <w:bookmarkStart w:id="653" w:name="_Toc337558825"/>
      <w:r>
        <w:rPr>
          <w:rFonts w:hint="eastAsia" w:ascii="宋体" w:cs="宋体"/>
          <w:color w:val="auto"/>
          <w:highlight w:val="none"/>
        </w:rPr>
        <w:t>17.2 不可抗力的通知</w:t>
      </w:r>
      <w:bookmarkEnd w:id="649"/>
      <w:bookmarkEnd w:id="650"/>
    </w:p>
    <w:bookmarkEnd w:id="651"/>
    <w:bookmarkEnd w:id="652"/>
    <w:bookmarkEnd w:id="653"/>
    <w:p w14:paraId="5A37BA35">
      <w:pPr>
        <w:pStyle w:val="80"/>
        <w:rPr>
          <w:rFonts w:hint="eastAsia" w:cs="宋体"/>
          <w:color w:val="auto"/>
          <w:sz w:val="21"/>
          <w:highlight w:val="none"/>
        </w:rPr>
      </w:pPr>
      <w:r>
        <w:rPr>
          <w:rFonts w:hint="eastAsia" w:cs="宋体"/>
          <w:color w:val="auto"/>
          <w:sz w:val="21"/>
          <w:highlight w:val="none"/>
        </w:rPr>
        <w:t>合同一方当事人遇到不可抗力事件，使其履行合同义务受到阻碍时，应立即通知合同另一方当事人和监理人，书面说明不可抗力和受阻碍的详细情况，并提供必要的证明。</w:t>
      </w:r>
    </w:p>
    <w:p w14:paraId="26EF57B3">
      <w:pPr>
        <w:pStyle w:val="80"/>
        <w:ind w:firstLine="315" w:firstLineChars="150"/>
        <w:rPr>
          <w:rFonts w:hint="eastAsia" w:cs="宋体"/>
          <w:color w:val="auto"/>
          <w:sz w:val="21"/>
          <w:highlight w:val="none"/>
        </w:rPr>
      </w:pPr>
      <w:r>
        <w:rPr>
          <w:rFonts w:hint="eastAsia" w:cs="宋体"/>
          <w:color w:val="auto"/>
          <w:sz w:val="21"/>
          <w:highlight w:val="none"/>
        </w:rPr>
        <w:t>不可抗力持续发生的，合同一方当事人应及时向合同另一方当事人和监理人提交中间报告，说明不可抗力和履行合同受阻的情况，并于不可抗力事件结束后28天内提交最终报告及有关资料。</w:t>
      </w:r>
    </w:p>
    <w:p w14:paraId="47043CB4">
      <w:pPr>
        <w:pStyle w:val="322"/>
        <w:rPr>
          <w:rFonts w:hint="eastAsia" w:ascii="宋体" w:cs="宋体"/>
          <w:color w:val="auto"/>
          <w:highlight w:val="none"/>
        </w:rPr>
      </w:pPr>
      <w:bookmarkStart w:id="654" w:name="_Toc478389159"/>
      <w:bookmarkStart w:id="655" w:name="_Toc351203610"/>
      <w:bookmarkStart w:id="656" w:name="_Toc337558826"/>
      <w:bookmarkStart w:id="657" w:name="_Toc296346620"/>
      <w:bookmarkStart w:id="658" w:name="_Toc296503119"/>
      <w:r>
        <w:rPr>
          <w:rFonts w:hint="eastAsia" w:ascii="宋体" w:cs="宋体"/>
          <w:color w:val="auto"/>
          <w:highlight w:val="none"/>
        </w:rPr>
        <w:t>17.3 不可抗力后果的承担</w:t>
      </w:r>
      <w:bookmarkEnd w:id="654"/>
      <w:bookmarkEnd w:id="655"/>
    </w:p>
    <w:bookmarkEnd w:id="656"/>
    <w:bookmarkEnd w:id="657"/>
    <w:bookmarkEnd w:id="658"/>
    <w:p w14:paraId="08999498">
      <w:pPr>
        <w:pStyle w:val="80"/>
        <w:rPr>
          <w:rFonts w:hint="eastAsia" w:cs="宋体"/>
          <w:color w:val="auto"/>
          <w:sz w:val="21"/>
          <w:highlight w:val="none"/>
        </w:rPr>
      </w:pPr>
      <w:r>
        <w:rPr>
          <w:rFonts w:hint="eastAsia" w:cs="宋体"/>
          <w:color w:val="auto"/>
          <w:sz w:val="21"/>
          <w:highlight w:val="none"/>
        </w:rPr>
        <w:t>17.3.1不可抗力引起的后果及造成的损失由合同当事人按照法律规定及合同约定各自承担。不可抗力发生前已完成的工程应当按照合同约定进行计量支付。</w:t>
      </w:r>
    </w:p>
    <w:p w14:paraId="06E63E79">
      <w:pPr>
        <w:pStyle w:val="80"/>
        <w:rPr>
          <w:rFonts w:hint="eastAsia" w:cs="宋体"/>
          <w:color w:val="auto"/>
          <w:sz w:val="21"/>
          <w:highlight w:val="none"/>
        </w:rPr>
      </w:pPr>
      <w:r>
        <w:rPr>
          <w:rFonts w:hint="eastAsia" w:cs="宋体"/>
          <w:color w:val="auto"/>
          <w:sz w:val="21"/>
          <w:highlight w:val="none"/>
        </w:rPr>
        <w:t>17.3.2不可抗力导致的人员伤亡、财产损失、费用增加和（或）工期延误等后果，由合同当事人按以下原则承担：</w:t>
      </w:r>
    </w:p>
    <w:p w14:paraId="49F764B9">
      <w:pPr>
        <w:pStyle w:val="80"/>
        <w:rPr>
          <w:rFonts w:hint="eastAsia" w:cs="宋体"/>
          <w:color w:val="auto"/>
          <w:sz w:val="21"/>
          <w:highlight w:val="none"/>
        </w:rPr>
      </w:pPr>
      <w:r>
        <w:rPr>
          <w:rFonts w:hint="eastAsia" w:cs="宋体"/>
          <w:color w:val="auto"/>
          <w:sz w:val="21"/>
          <w:highlight w:val="none"/>
        </w:rPr>
        <w:t>（1）永久工程、已运至施工现场的材料和工程设备的损坏，以及因工程损坏造成的第三人人员伤亡和财产损失由发包人承担；</w:t>
      </w:r>
    </w:p>
    <w:p w14:paraId="32DFF2F6">
      <w:pPr>
        <w:pStyle w:val="80"/>
        <w:rPr>
          <w:rFonts w:hint="eastAsia" w:cs="宋体"/>
          <w:color w:val="auto"/>
          <w:sz w:val="21"/>
          <w:highlight w:val="none"/>
        </w:rPr>
      </w:pPr>
      <w:r>
        <w:rPr>
          <w:rFonts w:hint="eastAsia" w:cs="宋体"/>
          <w:color w:val="auto"/>
          <w:sz w:val="21"/>
          <w:highlight w:val="none"/>
        </w:rPr>
        <w:t>（2）承包人施工设备的损坏由承包人承担；</w:t>
      </w:r>
    </w:p>
    <w:p w14:paraId="54789478">
      <w:pPr>
        <w:pStyle w:val="80"/>
        <w:rPr>
          <w:rFonts w:hint="eastAsia" w:cs="宋体"/>
          <w:color w:val="auto"/>
          <w:sz w:val="21"/>
          <w:highlight w:val="none"/>
        </w:rPr>
      </w:pPr>
      <w:r>
        <w:rPr>
          <w:rFonts w:hint="eastAsia" w:cs="宋体"/>
          <w:color w:val="auto"/>
          <w:sz w:val="21"/>
          <w:highlight w:val="none"/>
        </w:rPr>
        <w:t>（3）发包人和承包人承担各自人员伤亡和财产的损失；</w:t>
      </w:r>
    </w:p>
    <w:p w14:paraId="30E495EA">
      <w:pPr>
        <w:pStyle w:val="80"/>
        <w:rPr>
          <w:rFonts w:hint="eastAsia" w:cs="宋体"/>
          <w:color w:val="auto"/>
          <w:sz w:val="21"/>
          <w:highlight w:val="none"/>
        </w:rPr>
      </w:pPr>
      <w:r>
        <w:rPr>
          <w:rFonts w:hint="eastAsia" w:cs="宋体"/>
          <w:color w:val="auto"/>
          <w:sz w:val="21"/>
          <w:highlight w:val="none"/>
        </w:rPr>
        <w:t>（4）因不可抗力影响承包人履行合同约定的义务，已经引起或将引起工期延误的，应当顺延工期，由此导致承包人停工的费用损失由发包人和承包人合理分担，停工期间必须支付的工人工资由发包人承担；</w:t>
      </w:r>
    </w:p>
    <w:p w14:paraId="4C57EF13">
      <w:pPr>
        <w:pStyle w:val="80"/>
        <w:rPr>
          <w:rFonts w:hint="eastAsia" w:cs="宋体"/>
          <w:color w:val="auto"/>
          <w:sz w:val="21"/>
          <w:highlight w:val="none"/>
        </w:rPr>
      </w:pPr>
      <w:r>
        <w:rPr>
          <w:rFonts w:hint="eastAsia" w:cs="宋体"/>
          <w:color w:val="auto"/>
          <w:sz w:val="21"/>
          <w:highlight w:val="none"/>
        </w:rPr>
        <w:t>（5）因不可抗力引起或将引起工期延误，发包人要求赶工的，由此增加的赶工费用由发包人承担；</w:t>
      </w:r>
    </w:p>
    <w:p w14:paraId="647B872A">
      <w:pPr>
        <w:pStyle w:val="80"/>
        <w:rPr>
          <w:rFonts w:hint="eastAsia" w:cs="宋体"/>
          <w:color w:val="auto"/>
          <w:sz w:val="21"/>
          <w:highlight w:val="none"/>
        </w:rPr>
      </w:pPr>
      <w:r>
        <w:rPr>
          <w:rFonts w:hint="eastAsia" w:cs="宋体"/>
          <w:color w:val="auto"/>
          <w:sz w:val="21"/>
          <w:highlight w:val="none"/>
        </w:rPr>
        <w:t>（6）承包人在停工期间按照发包人要求照管、清理和修复工程的费用由发包人承担。</w:t>
      </w:r>
    </w:p>
    <w:p w14:paraId="71FD393C">
      <w:pPr>
        <w:pStyle w:val="80"/>
        <w:rPr>
          <w:rFonts w:hint="eastAsia" w:cs="宋体"/>
          <w:color w:val="auto"/>
          <w:sz w:val="21"/>
          <w:highlight w:val="none"/>
        </w:rPr>
      </w:pPr>
      <w:r>
        <w:rPr>
          <w:rFonts w:hint="eastAsia" w:cs="宋体"/>
          <w:color w:val="auto"/>
          <w:sz w:val="21"/>
          <w:highlight w:val="none"/>
        </w:rPr>
        <w:t>不可抗力发生后，合同当事人均应采取措施尽量避免和减少损失的扩大，任何一方当事人没有采取有效措施导致损失扩大的，应对扩大的损失承担责任。</w:t>
      </w:r>
    </w:p>
    <w:p w14:paraId="1A89B0FB">
      <w:pPr>
        <w:pStyle w:val="80"/>
        <w:rPr>
          <w:rFonts w:hint="eastAsia" w:cs="宋体"/>
          <w:color w:val="auto"/>
          <w:sz w:val="21"/>
          <w:highlight w:val="none"/>
        </w:rPr>
      </w:pPr>
      <w:r>
        <w:rPr>
          <w:rFonts w:hint="eastAsia" w:cs="宋体"/>
          <w:color w:val="auto"/>
          <w:sz w:val="21"/>
          <w:highlight w:val="none"/>
        </w:rPr>
        <w:t>因合同一方迟延履行合同义务，在迟延履行期间遭遇不可抗力的，不免除其违约责任。</w:t>
      </w:r>
    </w:p>
    <w:p w14:paraId="2F573C2A">
      <w:pPr>
        <w:pStyle w:val="322"/>
        <w:rPr>
          <w:rFonts w:hint="eastAsia" w:ascii="宋体" w:cs="宋体"/>
          <w:color w:val="auto"/>
          <w:highlight w:val="none"/>
        </w:rPr>
      </w:pPr>
      <w:bookmarkStart w:id="659" w:name="_Toc478389160"/>
      <w:bookmarkStart w:id="660" w:name="_Toc351203611"/>
      <w:bookmarkStart w:id="661" w:name="_Toc337558827"/>
      <w:r>
        <w:rPr>
          <w:rFonts w:hint="eastAsia" w:ascii="宋体" w:cs="宋体"/>
          <w:color w:val="auto"/>
          <w:highlight w:val="none"/>
        </w:rPr>
        <w:t>17.4 因不可抗力解除合同</w:t>
      </w:r>
      <w:bookmarkEnd w:id="659"/>
      <w:bookmarkEnd w:id="660"/>
    </w:p>
    <w:bookmarkEnd w:id="661"/>
    <w:p w14:paraId="40ABECD4">
      <w:pPr>
        <w:pStyle w:val="80"/>
        <w:rPr>
          <w:rFonts w:hint="eastAsia" w:cs="宋体"/>
          <w:color w:val="auto"/>
          <w:sz w:val="21"/>
          <w:highlight w:val="none"/>
        </w:rPr>
      </w:pPr>
      <w:r>
        <w:rPr>
          <w:rFonts w:hint="eastAsia" w:cs="宋体"/>
          <w:color w:val="auto"/>
          <w:sz w:val="21"/>
          <w:highlight w:val="none"/>
        </w:rPr>
        <w:t>因不可抗力导致合同无法履行连续超过84天或累计超过140天的，发包人和承包人均有权解除合同。合同解除后，由双方当事人按照第4.4款〔商定或确定〕商定或确定发包人应支付的款项，该款项包括：</w:t>
      </w:r>
    </w:p>
    <w:p w14:paraId="1EA94521">
      <w:pPr>
        <w:pStyle w:val="80"/>
        <w:rPr>
          <w:rFonts w:hint="eastAsia" w:cs="宋体"/>
          <w:color w:val="auto"/>
          <w:sz w:val="21"/>
          <w:highlight w:val="none"/>
        </w:rPr>
      </w:pPr>
      <w:r>
        <w:rPr>
          <w:rFonts w:hint="eastAsia" w:cs="宋体"/>
          <w:color w:val="auto"/>
          <w:sz w:val="21"/>
          <w:highlight w:val="none"/>
        </w:rPr>
        <w:t>（1）合同解除前承包人已完成工作的价款；</w:t>
      </w:r>
    </w:p>
    <w:p w14:paraId="5ECDBABC">
      <w:pPr>
        <w:pStyle w:val="80"/>
        <w:rPr>
          <w:rFonts w:hint="eastAsia" w:cs="宋体"/>
          <w:color w:val="auto"/>
          <w:sz w:val="21"/>
          <w:highlight w:val="none"/>
        </w:rPr>
      </w:pPr>
      <w:r>
        <w:rPr>
          <w:rFonts w:hint="eastAsia" w:cs="宋体"/>
          <w:color w:val="auto"/>
          <w:sz w:val="21"/>
          <w:highlight w:val="none"/>
        </w:rPr>
        <w:t>（2）承包人为工程订购的并已交付给承包人，或承包人有责任接受交付的材料、工程设备和其他物品的价款；</w:t>
      </w:r>
    </w:p>
    <w:p w14:paraId="15819D89">
      <w:pPr>
        <w:pStyle w:val="80"/>
        <w:rPr>
          <w:rFonts w:hint="eastAsia" w:cs="宋体"/>
          <w:color w:val="auto"/>
          <w:sz w:val="21"/>
          <w:highlight w:val="none"/>
        </w:rPr>
      </w:pPr>
      <w:r>
        <w:rPr>
          <w:rFonts w:hint="eastAsia" w:cs="宋体"/>
          <w:color w:val="auto"/>
          <w:sz w:val="21"/>
          <w:highlight w:val="none"/>
        </w:rPr>
        <w:t>（3）发包人要求承包人退货或解除订货合同而产生的费用，或因不能退货或解除合同而产生的损失；</w:t>
      </w:r>
    </w:p>
    <w:p w14:paraId="28853F14">
      <w:pPr>
        <w:pStyle w:val="80"/>
        <w:rPr>
          <w:rFonts w:hint="eastAsia" w:cs="宋体"/>
          <w:color w:val="auto"/>
          <w:sz w:val="21"/>
          <w:highlight w:val="none"/>
        </w:rPr>
      </w:pPr>
      <w:r>
        <w:rPr>
          <w:rFonts w:hint="eastAsia" w:cs="宋体"/>
          <w:color w:val="auto"/>
          <w:sz w:val="21"/>
          <w:highlight w:val="none"/>
        </w:rPr>
        <w:t>（4）承包人撤离施工现场以及遣散承包人人员的费用；</w:t>
      </w:r>
    </w:p>
    <w:p w14:paraId="1AD19F7C">
      <w:pPr>
        <w:pStyle w:val="80"/>
        <w:rPr>
          <w:rFonts w:hint="eastAsia" w:cs="宋体"/>
          <w:color w:val="auto"/>
          <w:sz w:val="21"/>
          <w:highlight w:val="none"/>
        </w:rPr>
      </w:pPr>
      <w:r>
        <w:rPr>
          <w:rFonts w:hint="eastAsia" w:cs="宋体"/>
          <w:color w:val="auto"/>
          <w:sz w:val="21"/>
          <w:highlight w:val="none"/>
        </w:rPr>
        <w:t>（5）按照合同约定在合同解除前应支付给承包人的其他款项；</w:t>
      </w:r>
    </w:p>
    <w:p w14:paraId="76E01AE1">
      <w:pPr>
        <w:pStyle w:val="80"/>
        <w:rPr>
          <w:rFonts w:hint="eastAsia" w:cs="宋体"/>
          <w:color w:val="auto"/>
          <w:sz w:val="21"/>
          <w:highlight w:val="none"/>
        </w:rPr>
      </w:pPr>
      <w:r>
        <w:rPr>
          <w:rFonts w:hint="eastAsia" w:cs="宋体"/>
          <w:color w:val="auto"/>
          <w:sz w:val="21"/>
          <w:highlight w:val="none"/>
        </w:rPr>
        <w:t>（6）扣减承包人按照合同约定应向发包人支付的款项；</w:t>
      </w:r>
    </w:p>
    <w:p w14:paraId="0E742AD8">
      <w:pPr>
        <w:pStyle w:val="80"/>
        <w:rPr>
          <w:rFonts w:hint="eastAsia" w:cs="宋体"/>
          <w:color w:val="auto"/>
          <w:sz w:val="21"/>
          <w:highlight w:val="none"/>
        </w:rPr>
      </w:pPr>
      <w:r>
        <w:rPr>
          <w:rFonts w:hint="eastAsia" w:cs="宋体"/>
          <w:color w:val="auto"/>
          <w:sz w:val="21"/>
          <w:highlight w:val="none"/>
        </w:rPr>
        <w:t>（7）双方商定或确定的其他款项。</w:t>
      </w:r>
    </w:p>
    <w:p w14:paraId="199C52C0">
      <w:pPr>
        <w:pStyle w:val="80"/>
        <w:rPr>
          <w:rFonts w:hint="eastAsia" w:cs="宋体"/>
          <w:color w:val="auto"/>
          <w:sz w:val="21"/>
          <w:highlight w:val="none"/>
        </w:rPr>
      </w:pPr>
      <w:r>
        <w:rPr>
          <w:rFonts w:hint="eastAsia" w:cs="宋体"/>
          <w:color w:val="auto"/>
          <w:sz w:val="21"/>
          <w:highlight w:val="none"/>
        </w:rPr>
        <w:t>除专用合同条款另有约定外，合同解除后，发包人应在商定或确定上述款项后28天内完成上述款项的支付。</w:t>
      </w:r>
    </w:p>
    <w:p w14:paraId="1D1F3EA8">
      <w:pPr>
        <w:pStyle w:val="322"/>
        <w:rPr>
          <w:rFonts w:hint="eastAsia" w:ascii="宋体" w:cs="宋体"/>
          <w:color w:val="auto"/>
          <w:highlight w:val="none"/>
        </w:rPr>
      </w:pPr>
      <w:bookmarkStart w:id="662" w:name="_Toc351203612"/>
      <w:bookmarkStart w:id="663" w:name="_Toc478389161"/>
      <w:bookmarkStart w:id="664" w:name="_Toc337558828"/>
      <w:bookmarkStart w:id="665" w:name="_Toc296503120"/>
      <w:bookmarkStart w:id="666" w:name="_Toc296346621"/>
      <w:r>
        <w:rPr>
          <w:rFonts w:hint="eastAsia" w:ascii="宋体" w:cs="宋体"/>
          <w:color w:val="auto"/>
          <w:highlight w:val="none"/>
        </w:rPr>
        <w:t>18. 保险</w:t>
      </w:r>
      <w:bookmarkEnd w:id="662"/>
      <w:bookmarkEnd w:id="663"/>
    </w:p>
    <w:bookmarkEnd w:id="664"/>
    <w:bookmarkEnd w:id="665"/>
    <w:bookmarkEnd w:id="666"/>
    <w:p w14:paraId="52B381A1">
      <w:pPr>
        <w:pStyle w:val="322"/>
        <w:rPr>
          <w:rFonts w:hint="eastAsia" w:ascii="宋体" w:cs="宋体"/>
          <w:color w:val="auto"/>
          <w:highlight w:val="none"/>
        </w:rPr>
      </w:pPr>
      <w:bookmarkStart w:id="667" w:name="_Toc478389162"/>
      <w:bookmarkStart w:id="668" w:name="_Toc351203613"/>
      <w:bookmarkStart w:id="669" w:name="_Toc296346622"/>
      <w:bookmarkStart w:id="670" w:name="_Toc337558829"/>
      <w:bookmarkStart w:id="671" w:name="_Toc296503121"/>
      <w:r>
        <w:rPr>
          <w:rFonts w:hint="eastAsia" w:ascii="宋体" w:cs="宋体"/>
          <w:color w:val="auto"/>
          <w:highlight w:val="none"/>
        </w:rPr>
        <w:t>18.1 工程保险</w:t>
      </w:r>
      <w:bookmarkEnd w:id="667"/>
      <w:bookmarkEnd w:id="668"/>
    </w:p>
    <w:bookmarkEnd w:id="669"/>
    <w:bookmarkEnd w:id="670"/>
    <w:bookmarkEnd w:id="671"/>
    <w:p w14:paraId="4B80EC15">
      <w:pPr>
        <w:pStyle w:val="80"/>
        <w:rPr>
          <w:rFonts w:hint="eastAsia" w:cs="宋体"/>
          <w:color w:val="auto"/>
          <w:sz w:val="21"/>
          <w:highlight w:val="none"/>
        </w:rPr>
      </w:pPr>
      <w:r>
        <w:rPr>
          <w:rFonts w:hint="eastAsia" w:cs="宋体"/>
          <w:color w:val="auto"/>
          <w:sz w:val="21"/>
          <w:highlight w:val="none"/>
        </w:rPr>
        <w:t>除专用合同条款另有约定外，发包人应投保建筑工程一切险或安装工程一切险；发包人委托承包人投保的，因投保产生的保险费和其他相关费用由发包人承担。</w:t>
      </w:r>
    </w:p>
    <w:p w14:paraId="2BEDBF5E">
      <w:pPr>
        <w:pStyle w:val="322"/>
        <w:rPr>
          <w:rFonts w:hint="eastAsia" w:ascii="宋体" w:cs="宋体"/>
          <w:color w:val="auto"/>
          <w:highlight w:val="none"/>
        </w:rPr>
      </w:pPr>
      <w:bookmarkStart w:id="672" w:name="_Toc478389163"/>
      <w:bookmarkStart w:id="673" w:name="_Toc351203614"/>
      <w:bookmarkStart w:id="674" w:name="_Toc337558830"/>
      <w:bookmarkStart w:id="675" w:name="_Toc296346623"/>
      <w:bookmarkStart w:id="676" w:name="_Toc296503122"/>
      <w:r>
        <w:rPr>
          <w:rFonts w:hint="eastAsia" w:ascii="宋体" w:cs="宋体"/>
          <w:color w:val="auto"/>
          <w:highlight w:val="none"/>
        </w:rPr>
        <w:t>18.2 工伤保险</w:t>
      </w:r>
      <w:bookmarkEnd w:id="672"/>
      <w:bookmarkEnd w:id="673"/>
    </w:p>
    <w:bookmarkEnd w:id="674"/>
    <w:bookmarkEnd w:id="675"/>
    <w:bookmarkEnd w:id="676"/>
    <w:p w14:paraId="5AD3358A">
      <w:pPr>
        <w:pStyle w:val="80"/>
        <w:rPr>
          <w:rFonts w:hint="eastAsia" w:cs="宋体"/>
          <w:color w:val="auto"/>
          <w:sz w:val="21"/>
          <w:highlight w:val="none"/>
        </w:rPr>
      </w:pPr>
      <w:r>
        <w:rPr>
          <w:rFonts w:hint="eastAsia" w:cs="宋体"/>
          <w:color w:val="auto"/>
          <w:sz w:val="21"/>
          <w:highlight w:val="none"/>
        </w:rPr>
        <w:t>18.2.1发包人应依照法律规定参加工伤保险，并为在施工现场的全部员工办理工伤保险，缴纳工伤保险费，并要求监理人及由发包人为履行合同聘请的第三方依法参加工伤保险。</w:t>
      </w:r>
    </w:p>
    <w:p w14:paraId="73B9D867">
      <w:pPr>
        <w:pStyle w:val="80"/>
        <w:rPr>
          <w:rFonts w:hint="eastAsia" w:cs="宋体"/>
          <w:color w:val="auto"/>
          <w:sz w:val="21"/>
          <w:highlight w:val="none"/>
        </w:rPr>
      </w:pPr>
      <w:r>
        <w:rPr>
          <w:rFonts w:hint="eastAsia" w:cs="宋体"/>
          <w:color w:val="auto"/>
          <w:sz w:val="21"/>
          <w:highlight w:val="none"/>
        </w:rPr>
        <w:t>18.2.2承包人应依照法律规定参加工伤保险，并为其履行合同的全部员工办理工伤保险，缴纳工伤保险费，并要求分包人及由承包人为履行合同聘请的第三方依法参加工伤保险。</w:t>
      </w:r>
    </w:p>
    <w:p w14:paraId="3BAFEF7D">
      <w:pPr>
        <w:pStyle w:val="322"/>
        <w:rPr>
          <w:rFonts w:hint="eastAsia" w:ascii="宋体" w:cs="宋体"/>
          <w:color w:val="auto"/>
          <w:highlight w:val="none"/>
        </w:rPr>
      </w:pPr>
      <w:bookmarkStart w:id="677" w:name="_Toc478389164"/>
      <w:bookmarkStart w:id="678" w:name="_Toc351203615"/>
      <w:bookmarkStart w:id="679" w:name="_Toc296503125"/>
      <w:bookmarkStart w:id="680" w:name="_Toc296346626"/>
      <w:bookmarkStart w:id="681" w:name="_Toc337558831"/>
      <w:r>
        <w:rPr>
          <w:rFonts w:hint="eastAsia" w:ascii="宋体" w:cs="宋体"/>
          <w:color w:val="auto"/>
          <w:highlight w:val="none"/>
        </w:rPr>
        <w:t>18.3其他保险</w:t>
      </w:r>
      <w:bookmarkEnd w:id="677"/>
      <w:bookmarkEnd w:id="678"/>
    </w:p>
    <w:bookmarkEnd w:id="679"/>
    <w:bookmarkEnd w:id="680"/>
    <w:bookmarkEnd w:id="681"/>
    <w:p w14:paraId="678362DA">
      <w:pPr>
        <w:pStyle w:val="80"/>
        <w:rPr>
          <w:rFonts w:hint="eastAsia" w:cs="宋体"/>
          <w:color w:val="auto"/>
          <w:sz w:val="21"/>
          <w:highlight w:val="none"/>
        </w:rPr>
      </w:pPr>
      <w:r>
        <w:rPr>
          <w:rFonts w:hint="eastAsia" w:cs="宋体"/>
          <w:color w:val="auto"/>
          <w:sz w:val="21"/>
          <w:highlight w:val="none"/>
        </w:rPr>
        <w:t>发包人和承包人可以为其施工现场的全部人员办理意外伤害保险并支付保险费，包括其员工及为履行合同聘请的第三方的人员，具体事项由合同当事人在专用合同条款约定。</w:t>
      </w:r>
    </w:p>
    <w:p w14:paraId="36743A3C">
      <w:pPr>
        <w:pStyle w:val="80"/>
        <w:rPr>
          <w:rFonts w:hint="eastAsia" w:cs="宋体"/>
          <w:color w:val="auto"/>
          <w:sz w:val="21"/>
          <w:highlight w:val="none"/>
        </w:rPr>
      </w:pPr>
      <w:r>
        <w:rPr>
          <w:rFonts w:hint="eastAsia" w:cs="宋体"/>
          <w:color w:val="auto"/>
          <w:sz w:val="21"/>
          <w:highlight w:val="none"/>
        </w:rPr>
        <w:t>除专用合同条款另有约定外，承包人应为其施工设备等办理财产保险。</w:t>
      </w:r>
    </w:p>
    <w:p w14:paraId="23EADF00">
      <w:pPr>
        <w:pStyle w:val="322"/>
        <w:rPr>
          <w:rFonts w:hint="eastAsia" w:ascii="宋体" w:cs="宋体"/>
          <w:color w:val="auto"/>
          <w:highlight w:val="none"/>
        </w:rPr>
      </w:pPr>
      <w:bookmarkStart w:id="682" w:name="_Toc478389165"/>
      <w:bookmarkStart w:id="683" w:name="_Toc351203616"/>
      <w:r>
        <w:rPr>
          <w:rFonts w:hint="eastAsia" w:ascii="宋体" w:cs="宋体"/>
          <w:color w:val="auto"/>
          <w:highlight w:val="none"/>
        </w:rPr>
        <w:t>18.4持续保险</w:t>
      </w:r>
      <w:bookmarkEnd w:id="682"/>
      <w:bookmarkEnd w:id="683"/>
    </w:p>
    <w:p w14:paraId="0479B641">
      <w:pPr>
        <w:pStyle w:val="80"/>
        <w:rPr>
          <w:rFonts w:hint="eastAsia" w:cs="宋体"/>
          <w:color w:val="auto"/>
          <w:sz w:val="21"/>
          <w:highlight w:val="none"/>
        </w:rPr>
      </w:pPr>
      <w:r>
        <w:rPr>
          <w:rFonts w:hint="eastAsia" w:cs="宋体"/>
          <w:color w:val="auto"/>
          <w:sz w:val="21"/>
          <w:highlight w:val="none"/>
        </w:rPr>
        <w:t>合同当事人应与保险人保持联系，使保险人能够随时了解工程实施中的变动，并确保按保险合同条款要求持续保险。</w:t>
      </w:r>
    </w:p>
    <w:p w14:paraId="4C519861">
      <w:pPr>
        <w:pStyle w:val="322"/>
        <w:rPr>
          <w:rFonts w:hint="eastAsia" w:ascii="宋体" w:cs="宋体"/>
          <w:color w:val="auto"/>
          <w:highlight w:val="none"/>
        </w:rPr>
      </w:pPr>
      <w:bookmarkStart w:id="684" w:name="_Toc478389166"/>
      <w:bookmarkStart w:id="685" w:name="_Toc351203617"/>
      <w:bookmarkStart w:id="686" w:name="_Toc296503126"/>
      <w:bookmarkStart w:id="687" w:name="_Toc337558832"/>
      <w:bookmarkStart w:id="688" w:name="_Toc296346627"/>
      <w:r>
        <w:rPr>
          <w:rFonts w:hint="eastAsia" w:ascii="宋体" w:cs="宋体"/>
          <w:color w:val="auto"/>
          <w:highlight w:val="none"/>
        </w:rPr>
        <w:t>18.5 保险凭证</w:t>
      </w:r>
      <w:bookmarkEnd w:id="684"/>
      <w:bookmarkEnd w:id="685"/>
    </w:p>
    <w:bookmarkEnd w:id="686"/>
    <w:bookmarkEnd w:id="687"/>
    <w:bookmarkEnd w:id="688"/>
    <w:p w14:paraId="714FA6FD">
      <w:pPr>
        <w:pStyle w:val="80"/>
        <w:rPr>
          <w:rFonts w:hint="eastAsia" w:cs="宋体"/>
          <w:color w:val="auto"/>
          <w:sz w:val="21"/>
          <w:highlight w:val="none"/>
        </w:rPr>
      </w:pPr>
      <w:r>
        <w:rPr>
          <w:rFonts w:hint="eastAsia" w:cs="宋体"/>
          <w:color w:val="auto"/>
          <w:sz w:val="21"/>
          <w:highlight w:val="none"/>
        </w:rPr>
        <w:t>合同当事人应及时向另一方当事人提交其已投保的各项保险的凭证和保险单复印件。</w:t>
      </w:r>
    </w:p>
    <w:p w14:paraId="17C62B61">
      <w:pPr>
        <w:pStyle w:val="322"/>
        <w:rPr>
          <w:rFonts w:hint="eastAsia" w:ascii="宋体" w:cs="宋体"/>
          <w:color w:val="auto"/>
          <w:highlight w:val="none"/>
        </w:rPr>
      </w:pPr>
      <w:bookmarkStart w:id="689" w:name="_Toc351203618"/>
      <w:bookmarkStart w:id="690" w:name="_Toc478389167"/>
      <w:bookmarkStart w:id="691" w:name="_Toc296346628"/>
      <w:bookmarkStart w:id="692" w:name="_Toc296503127"/>
      <w:bookmarkStart w:id="693" w:name="_Toc337558833"/>
      <w:r>
        <w:rPr>
          <w:rFonts w:hint="eastAsia" w:ascii="宋体" w:cs="宋体"/>
          <w:color w:val="auto"/>
          <w:highlight w:val="none"/>
        </w:rPr>
        <w:t>18.6 未按约定投保的补救</w:t>
      </w:r>
      <w:bookmarkEnd w:id="689"/>
      <w:bookmarkEnd w:id="690"/>
    </w:p>
    <w:bookmarkEnd w:id="691"/>
    <w:bookmarkEnd w:id="692"/>
    <w:bookmarkEnd w:id="693"/>
    <w:p w14:paraId="287AD845">
      <w:pPr>
        <w:pStyle w:val="80"/>
        <w:rPr>
          <w:rFonts w:hint="eastAsia" w:cs="宋体"/>
          <w:color w:val="auto"/>
          <w:sz w:val="21"/>
          <w:highlight w:val="none"/>
        </w:rPr>
      </w:pPr>
      <w:r>
        <w:rPr>
          <w:rFonts w:hint="eastAsia" w:cs="宋体"/>
          <w:color w:val="auto"/>
          <w:sz w:val="21"/>
          <w:highlight w:val="none"/>
        </w:rPr>
        <w:t>18.6.1发包人未按合同约定办理保险，或未能使保险持续有效的，则承包人可代为办理，所需费用由发包人承担。发包人未按合同约定办理保险，导致未能得到足额赔偿的，由发包人负责补足。</w:t>
      </w:r>
    </w:p>
    <w:p w14:paraId="0BC7931B">
      <w:pPr>
        <w:pStyle w:val="80"/>
        <w:rPr>
          <w:rFonts w:hint="eastAsia" w:cs="宋体"/>
          <w:color w:val="auto"/>
          <w:sz w:val="21"/>
          <w:highlight w:val="none"/>
        </w:rPr>
      </w:pPr>
      <w:r>
        <w:rPr>
          <w:rFonts w:hint="eastAsia" w:cs="宋体"/>
          <w:color w:val="auto"/>
          <w:sz w:val="21"/>
          <w:highlight w:val="none"/>
        </w:rPr>
        <w:t>18.6.2承包人未按合同约定办理保险，或未能使保险持续有效的，则发包人可代为办理，所需费用由承包人承担。承包人未按合同约定办理保险，导致未能得到足额赔偿的，由承包人负责补足。</w:t>
      </w:r>
    </w:p>
    <w:p w14:paraId="02632397">
      <w:pPr>
        <w:pStyle w:val="322"/>
        <w:rPr>
          <w:rFonts w:hint="eastAsia" w:ascii="宋体" w:cs="宋体"/>
          <w:color w:val="auto"/>
          <w:highlight w:val="none"/>
        </w:rPr>
      </w:pPr>
      <w:bookmarkStart w:id="694" w:name="_Toc478389168"/>
      <w:bookmarkStart w:id="695" w:name="_Toc351203619"/>
      <w:bookmarkStart w:id="696" w:name="_Toc337558834"/>
      <w:r>
        <w:rPr>
          <w:rFonts w:hint="eastAsia" w:ascii="宋体" w:cs="宋体"/>
          <w:color w:val="auto"/>
          <w:highlight w:val="none"/>
        </w:rPr>
        <w:t>18.7 通知义务</w:t>
      </w:r>
      <w:bookmarkEnd w:id="694"/>
      <w:bookmarkEnd w:id="695"/>
    </w:p>
    <w:bookmarkEnd w:id="696"/>
    <w:p w14:paraId="305914D9">
      <w:pPr>
        <w:pStyle w:val="80"/>
        <w:rPr>
          <w:rFonts w:hint="eastAsia" w:cs="宋体"/>
          <w:color w:val="auto"/>
          <w:sz w:val="21"/>
          <w:highlight w:val="none"/>
        </w:rPr>
      </w:pPr>
      <w:r>
        <w:rPr>
          <w:rFonts w:hint="eastAsia" w:cs="宋体"/>
          <w:color w:val="auto"/>
          <w:sz w:val="21"/>
          <w:highlight w:val="none"/>
        </w:rPr>
        <w:t>除专用合同条款另有约定外，发包人变更除工伤保险之外的保险合同时，应事先征得承包人同意，并通知监理人；承包人变更除工伤保险之外的保险合同时，应事先征得发包人同意，并通知监理人。</w:t>
      </w:r>
    </w:p>
    <w:p w14:paraId="64819D20">
      <w:pPr>
        <w:pStyle w:val="80"/>
        <w:rPr>
          <w:rFonts w:hint="eastAsia" w:cs="宋体"/>
          <w:color w:val="auto"/>
          <w:sz w:val="21"/>
          <w:highlight w:val="none"/>
        </w:rPr>
      </w:pPr>
      <w:r>
        <w:rPr>
          <w:rFonts w:hint="eastAsia" w:cs="宋体"/>
          <w:color w:val="auto"/>
          <w:sz w:val="21"/>
          <w:highlight w:val="none"/>
        </w:rPr>
        <w:t>保险事故发生时，投保人应按照保险合同规定的条件和期限及时向保险人报告。发包人和承包人应当在知道保险事故发生后及时通知对方。</w:t>
      </w:r>
    </w:p>
    <w:p w14:paraId="5B75D2BA">
      <w:pPr>
        <w:pStyle w:val="322"/>
        <w:rPr>
          <w:rFonts w:hint="eastAsia" w:ascii="宋体" w:cs="宋体"/>
          <w:color w:val="auto"/>
          <w:highlight w:val="none"/>
        </w:rPr>
      </w:pPr>
      <w:bookmarkStart w:id="697" w:name="_Toc351203620"/>
      <w:bookmarkStart w:id="698" w:name="_Toc478389169"/>
      <w:bookmarkStart w:id="699" w:name="_Toc337558835"/>
      <w:bookmarkStart w:id="700" w:name="_Toc296346641"/>
      <w:bookmarkStart w:id="701" w:name="_Toc296503140"/>
      <w:r>
        <w:rPr>
          <w:rFonts w:hint="eastAsia" w:ascii="宋体" w:cs="宋体"/>
          <w:color w:val="auto"/>
          <w:highlight w:val="none"/>
        </w:rPr>
        <w:t>19. 索赔</w:t>
      </w:r>
      <w:bookmarkEnd w:id="697"/>
      <w:bookmarkEnd w:id="698"/>
    </w:p>
    <w:bookmarkEnd w:id="699"/>
    <w:bookmarkEnd w:id="700"/>
    <w:bookmarkEnd w:id="701"/>
    <w:p w14:paraId="52221E4F">
      <w:pPr>
        <w:pStyle w:val="322"/>
        <w:rPr>
          <w:rFonts w:hint="eastAsia" w:ascii="宋体" w:cs="宋体"/>
          <w:color w:val="auto"/>
          <w:highlight w:val="none"/>
        </w:rPr>
      </w:pPr>
      <w:bookmarkStart w:id="702" w:name="_Toc478389170"/>
      <w:bookmarkStart w:id="703" w:name="_Toc351203621"/>
      <w:bookmarkStart w:id="704" w:name="_Toc296346642"/>
      <w:bookmarkStart w:id="705" w:name="_Toc296503141"/>
      <w:bookmarkStart w:id="706" w:name="_Toc337558836"/>
      <w:r>
        <w:rPr>
          <w:rFonts w:hint="eastAsia" w:ascii="宋体" w:cs="宋体"/>
          <w:color w:val="auto"/>
          <w:highlight w:val="none"/>
        </w:rPr>
        <w:t>19.1承包人的索赔</w:t>
      </w:r>
      <w:bookmarkEnd w:id="702"/>
      <w:bookmarkEnd w:id="703"/>
    </w:p>
    <w:bookmarkEnd w:id="704"/>
    <w:bookmarkEnd w:id="705"/>
    <w:bookmarkEnd w:id="706"/>
    <w:p w14:paraId="01F19664">
      <w:pPr>
        <w:pStyle w:val="80"/>
        <w:rPr>
          <w:rFonts w:hint="eastAsia" w:cs="宋体"/>
          <w:color w:val="auto"/>
          <w:sz w:val="21"/>
          <w:highlight w:val="none"/>
        </w:rPr>
      </w:pPr>
      <w:r>
        <w:rPr>
          <w:rFonts w:hint="eastAsia" w:cs="宋体"/>
          <w:color w:val="auto"/>
          <w:sz w:val="21"/>
          <w:highlight w:val="none"/>
        </w:rPr>
        <w:t>根据合同约定，承包人认为有权得到追加付款和（或）延长工期的，应按以下程序向发包人提出索赔：</w:t>
      </w:r>
    </w:p>
    <w:p w14:paraId="2C233E11">
      <w:pPr>
        <w:pStyle w:val="80"/>
        <w:rPr>
          <w:rFonts w:hint="eastAsia" w:cs="宋体"/>
          <w:color w:val="auto"/>
          <w:sz w:val="21"/>
          <w:highlight w:val="none"/>
        </w:rPr>
      </w:pPr>
      <w:r>
        <w:rPr>
          <w:rFonts w:hint="eastAsia" w:cs="宋体"/>
          <w:color w:val="auto"/>
          <w:sz w:val="21"/>
          <w:highlight w:val="none"/>
        </w:rPr>
        <w:t>（1）承包人应在知道或应当知道索赔事件发生后28天内，向监理人递交索赔意向通知书，并说明发生索赔事件的事由；承包人未在前述28天内发出索赔意向通知书的，丧失要求追加付款和（或）延长工期的权利；</w:t>
      </w:r>
    </w:p>
    <w:p w14:paraId="5F10CD72">
      <w:pPr>
        <w:pStyle w:val="80"/>
        <w:rPr>
          <w:rFonts w:hint="eastAsia" w:cs="宋体"/>
          <w:color w:val="auto"/>
          <w:sz w:val="21"/>
          <w:highlight w:val="none"/>
        </w:rPr>
      </w:pPr>
      <w:r>
        <w:rPr>
          <w:rFonts w:hint="eastAsia" w:cs="宋体"/>
          <w:color w:val="auto"/>
          <w:sz w:val="21"/>
          <w:highlight w:val="none"/>
        </w:rPr>
        <w:t>（2）承包人应在发出索赔意向通知书后28天内，向监理人正式递交索赔报告；索赔报告应详细说明索赔理由以及要求追加的付款金额和（或）延长的工期，并附必要的记录和证明材料；</w:t>
      </w:r>
    </w:p>
    <w:p w14:paraId="22A672E5">
      <w:pPr>
        <w:pStyle w:val="80"/>
        <w:rPr>
          <w:rFonts w:hint="eastAsia" w:cs="宋体"/>
          <w:color w:val="auto"/>
          <w:sz w:val="21"/>
          <w:highlight w:val="none"/>
        </w:rPr>
      </w:pPr>
      <w:r>
        <w:rPr>
          <w:rFonts w:hint="eastAsia" w:cs="宋体"/>
          <w:color w:val="auto"/>
          <w:sz w:val="21"/>
          <w:highlight w:val="none"/>
        </w:rPr>
        <w:t>（3）索赔事件具有持续影响的，承包人应按合理时间间隔继续递交延续索赔通知，说明持续影响的实际情况和记录，列出累计的追加付款金额和（或）工期延长天数；</w:t>
      </w:r>
    </w:p>
    <w:p w14:paraId="669284EB">
      <w:pPr>
        <w:pStyle w:val="80"/>
        <w:rPr>
          <w:rFonts w:hint="eastAsia" w:cs="宋体"/>
          <w:color w:val="auto"/>
          <w:sz w:val="21"/>
          <w:highlight w:val="none"/>
        </w:rPr>
      </w:pPr>
      <w:r>
        <w:rPr>
          <w:rFonts w:hint="eastAsia" w:cs="宋体"/>
          <w:color w:val="auto"/>
          <w:sz w:val="21"/>
          <w:highlight w:val="none"/>
        </w:rPr>
        <w:t>（4）在索赔事件影响结束后28天内，承包人应向监理人递交最终索赔报告，说明最终要求索赔的追加付款金额和（或）延长的工期，并附必要的记录和证明材料。</w:t>
      </w:r>
    </w:p>
    <w:p w14:paraId="1E022163">
      <w:pPr>
        <w:pStyle w:val="322"/>
        <w:rPr>
          <w:rFonts w:hint="eastAsia" w:ascii="宋体" w:cs="宋体"/>
          <w:color w:val="auto"/>
          <w:highlight w:val="none"/>
        </w:rPr>
      </w:pPr>
      <w:bookmarkStart w:id="707" w:name="_Toc478389171"/>
      <w:bookmarkStart w:id="708" w:name="_Toc351203622"/>
      <w:bookmarkStart w:id="709" w:name="_Toc296503142"/>
      <w:bookmarkStart w:id="710" w:name="_Toc296346643"/>
      <w:bookmarkStart w:id="711" w:name="_Toc337558837"/>
      <w:r>
        <w:rPr>
          <w:rFonts w:hint="eastAsia" w:ascii="宋体" w:cs="宋体"/>
          <w:color w:val="auto"/>
          <w:highlight w:val="none"/>
        </w:rPr>
        <w:t>19.2 对承包人索赔的处理</w:t>
      </w:r>
      <w:bookmarkEnd w:id="707"/>
      <w:bookmarkEnd w:id="708"/>
    </w:p>
    <w:bookmarkEnd w:id="709"/>
    <w:bookmarkEnd w:id="710"/>
    <w:bookmarkEnd w:id="711"/>
    <w:p w14:paraId="52C789A9">
      <w:pPr>
        <w:pStyle w:val="80"/>
        <w:rPr>
          <w:rFonts w:hint="eastAsia" w:cs="宋体"/>
          <w:color w:val="auto"/>
          <w:sz w:val="21"/>
          <w:highlight w:val="none"/>
        </w:rPr>
      </w:pPr>
      <w:r>
        <w:rPr>
          <w:rFonts w:hint="eastAsia" w:cs="宋体"/>
          <w:color w:val="auto"/>
          <w:sz w:val="21"/>
          <w:highlight w:val="none"/>
        </w:rPr>
        <w:t>对承包人索赔的处理如下：</w:t>
      </w:r>
    </w:p>
    <w:p w14:paraId="4BF90929">
      <w:pPr>
        <w:pStyle w:val="80"/>
        <w:rPr>
          <w:rFonts w:hint="eastAsia" w:cs="宋体"/>
          <w:color w:val="auto"/>
          <w:sz w:val="21"/>
          <w:highlight w:val="none"/>
        </w:rPr>
      </w:pPr>
      <w:r>
        <w:rPr>
          <w:rFonts w:hint="eastAsia" w:cs="宋体"/>
          <w:color w:val="auto"/>
          <w:sz w:val="21"/>
          <w:highlight w:val="none"/>
        </w:rPr>
        <w:t>（1）监理人应在收到索赔报告后14天内完成审查并报送发包人。监理人对索赔报告存在异议的，有权要求承包人提交全部原始记录副本；</w:t>
      </w:r>
    </w:p>
    <w:p w14:paraId="2BE151E6">
      <w:pPr>
        <w:pStyle w:val="80"/>
        <w:rPr>
          <w:rFonts w:hint="eastAsia" w:cs="宋体"/>
          <w:color w:val="auto"/>
          <w:sz w:val="21"/>
          <w:highlight w:val="none"/>
        </w:rPr>
      </w:pPr>
      <w:r>
        <w:rPr>
          <w:rFonts w:hint="eastAsia" w:cs="宋体"/>
          <w:color w:val="auto"/>
          <w:sz w:val="21"/>
          <w:highlight w:val="none"/>
        </w:rPr>
        <w:t>（2）发包人应在监理人收到索赔报告或有关索赔的进一步证明材料后的28天内，由监理人向承包人出具经发包人签认的索赔处理结果。发包人逾期答复的，则视为认可承包人的索赔要求；</w:t>
      </w:r>
    </w:p>
    <w:p w14:paraId="7E0F9C86">
      <w:pPr>
        <w:pStyle w:val="80"/>
        <w:rPr>
          <w:rFonts w:hint="eastAsia" w:cs="宋体"/>
          <w:color w:val="auto"/>
          <w:sz w:val="21"/>
          <w:highlight w:val="none"/>
        </w:rPr>
      </w:pPr>
      <w:r>
        <w:rPr>
          <w:rFonts w:hint="eastAsia" w:cs="宋体"/>
          <w:color w:val="auto"/>
          <w:sz w:val="21"/>
          <w:highlight w:val="none"/>
        </w:rPr>
        <w:t>（3）承包人接受索赔处理结果的，索赔款项在当期进度款中进行支付；承包人不接受索赔处理结果的，按照第20条〔争议解决〕约定处理。</w:t>
      </w:r>
    </w:p>
    <w:p w14:paraId="37F4B4D2">
      <w:pPr>
        <w:pStyle w:val="322"/>
        <w:rPr>
          <w:rFonts w:hint="eastAsia" w:ascii="宋体" w:cs="宋体"/>
          <w:color w:val="auto"/>
          <w:highlight w:val="none"/>
        </w:rPr>
      </w:pPr>
      <w:bookmarkStart w:id="712" w:name="_Toc351203623"/>
      <w:bookmarkStart w:id="713" w:name="_Toc478389172"/>
      <w:bookmarkStart w:id="714" w:name="_Toc296503143"/>
      <w:bookmarkStart w:id="715" w:name="_Toc337558838"/>
      <w:bookmarkStart w:id="716" w:name="_Toc296346644"/>
      <w:r>
        <w:rPr>
          <w:rFonts w:hint="eastAsia" w:ascii="宋体" w:cs="宋体"/>
          <w:color w:val="auto"/>
          <w:highlight w:val="none"/>
        </w:rPr>
        <w:t>19.3发包人的索赔</w:t>
      </w:r>
      <w:bookmarkEnd w:id="712"/>
      <w:bookmarkEnd w:id="713"/>
    </w:p>
    <w:bookmarkEnd w:id="714"/>
    <w:bookmarkEnd w:id="715"/>
    <w:bookmarkEnd w:id="716"/>
    <w:p w14:paraId="41C9A4BF">
      <w:pPr>
        <w:pStyle w:val="80"/>
        <w:rPr>
          <w:rFonts w:hint="eastAsia" w:cs="宋体"/>
          <w:color w:val="auto"/>
          <w:sz w:val="21"/>
          <w:highlight w:val="none"/>
        </w:rPr>
      </w:pPr>
      <w:r>
        <w:rPr>
          <w:rFonts w:hint="eastAsia" w:cs="宋体"/>
          <w:color w:val="auto"/>
          <w:sz w:val="21"/>
          <w:highlight w:val="none"/>
        </w:rPr>
        <w:t>根据合同约定，发包人认为有权得到赔付金额和（或）延长缺陷责任期的，监理人应向承包人发出通知并附有详细的证明。</w:t>
      </w:r>
    </w:p>
    <w:p w14:paraId="6FC1FFA9">
      <w:pPr>
        <w:pStyle w:val="80"/>
        <w:rPr>
          <w:rFonts w:hint="eastAsia" w:cs="宋体"/>
          <w:color w:val="auto"/>
          <w:sz w:val="21"/>
          <w:highlight w:val="none"/>
        </w:rPr>
      </w:pPr>
      <w:r>
        <w:rPr>
          <w:rFonts w:hint="eastAsia" w:cs="宋体"/>
          <w:color w:val="auto"/>
          <w:sz w:val="21"/>
          <w:highlight w:val="none"/>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14:paraId="0079F328">
      <w:pPr>
        <w:pStyle w:val="322"/>
        <w:rPr>
          <w:rFonts w:hint="eastAsia" w:ascii="宋体" w:cs="宋体"/>
          <w:color w:val="auto"/>
          <w:highlight w:val="none"/>
        </w:rPr>
      </w:pPr>
      <w:bookmarkStart w:id="717" w:name="_Toc478389173"/>
      <w:bookmarkStart w:id="718" w:name="_Toc351203624"/>
      <w:bookmarkStart w:id="719" w:name="_Toc296503144"/>
      <w:bookmarkStart w:id="720" w:name="_Toc296346645"/>
      <w:bookmarkStart w:id="721" w:name="_Toc337558839"/>
      <w:r>
        <w:rPr>
          <w:rFonts w:hint="eastAsia" w:ascii="宋体" w:cs="宋体"/>
          <w:color w:val="auto"/>
          <w:highlight w:val="none"/>
        </w:rPr>
        <w:t>19.4 对发包人索赔的处理</w:t>
      </w:r>
      <w:bookmarkEnd w:id="717"/>
      <w:bookmarkEnd w:id="718"/>
    </w:p>
    <w:bookmarkEnd w:id="719"/>
    <w:bookmarkEnd w:id="720"/>
    <w:bookmarkEnd w:id="721"/>
    <w:p w14:paraId="6171E347">
      <w:pPr>
        <w:pStyle w:val="80"/>
        <w:rPr>
          <w:rFonts w:hint="eastAsia" w:cs="宋体"/>
          <w:color w:val="auto"/>
          <w:sz w:val="21"/>
          <w:highlight w:val="none"/>
        </w:rPr>
      </w:pPr>
      <w:r>
        <w:rPr>
          <w:rFonts w:hint="eastAsia" w:cs="宋体"/>
          <w:color w:val="auto"/>
          <w:sz w:val="21"/>
          <w:highlight w:val="none"/>
        </w:rPr>
        <w:t>对发包人索赔的处理如下：</w:t>
      </w:r>
    </w:p>
    <w:p w14:paraId="6928F8E7">
      <w:pPr>
        <w:pStyle w:val="80"/>
        <w:rPr>
          <w:rFonts w:hint="eastAsia" w:cs="宋体"/>
          <w:color w:val="auto"/>
          <w:sz w:val="21"/>
          <w:highlight w:val="none"/>
        </w:rPr>
      </w:pPr>
      <w:r>
        <w:rPr>
          <w:rFonts w:hint="eastAsia" w:cs="宋体"/>
          <w:color w:val="auto"/>
          <w:sz w:val="21"/>
          <w:highlight w:val="none"/>
        </w:rPr>
        <w:t>（1）承包人收到发包人提交的索赔报告后，应及时审查索赔报告的内容、查验发包人证明材料；</w:t>
      </w:r>
    </w:p>
    <w:p w14:paraId="63E1A09D">
      <w:pPr>
        <w:pStyle w:val="80"/>
        <w:rPr>
          <w:rFonts w:hint="eastAsia" w:cs="宋体"/>
          <w:color w:val="auto"/>
          <w:sz w:val="21"/>
          <w:highlight w:val="none"/>
        </w:rPr>
      </w:pPr>
      <w:r>
        <w:rPr>
          <w:rFonts w:hint="eastAsia" w:cs="宋体"/>
          <w:color w:val="auto"/>
          <w:sz w:val="21"/>
          <w:highlight w:val="none"/>
        </w:rPr>
        <w:t>（2）承包人应在收到索赔报告或有关索赔的进一步证明材料后28天内，将索赔处理结果答复发包人。如果承包人未在上述期限内作出答复的，则视为对发包人索赔要求的认可；</w:t>
      </w:r>
    </w:p>
    <w:p w14:paraId="61DB9A0C">
      <w:pPr>
        <w:pStyle w:val="80"/>
        <w:rPr>
          <w:rFonts w:hint="eastAsia" w:cs="宋体"/>
          <w:color w:val="auto"/>
          <w:sz w:val="21"/>
          <w:highlight w:val="none"/>
        </w:rPr>
      </w:pPr>
      <w:r>
        <w:rPr>
          <w:rFonts w:hint="eastAsia" w:cs="宋体"/>
          <w:color w:val="auto"/>
          <w:sz w:val="21"/>
          <w:highlight w:val="none"/>
        </w:rPr>
        <w:t>（3）承包人接受索赔处理结果的，发包人可从应支付给承包人的合同价款中扣除赔付的金额或延长缺陷责任期；发包人不接受索赔处理结果的，按第20条〔争议解决〕约定处理。</w:t>
      </w:r>
    </w:p>
    <w:p w14:paraId="40B1B798">
      <w:pPr>
        <w:pStyle w:val="322"/>
        <w:rPr>
          <w:rFonts w:hint="eastAsia" w:ascii="宋体" w:cs="宋体"/>
          <w:color w:val="auto"/>
          <w:highlight w:val="none"/>
        </w:rPr>
      </w:pPr>
      <w:bookmarkStart w:id="722" w:name="_Toc351203625"/>
      <w:bookmarkStart w:id="723" w:name="_Toc478389174"/>
      <w:r>
        <w:rPr>
          <w:rFonts w:hint="eastAsia" w:ascii="宋体" w:cs="宋体"/>
          <w:color w:val="auto"/>
          <w:highlight w:val="none"/>
        </w:rPr>
        <w:t>19.5 提出索赔的期限</w:t>
      </w:r>
      <w:bookmarkEnd w:id="722"/>
      <w:bookmarkEnd w:id="723"/>
    </w:p>
    <w:p w14:paraId="7CDD1802">
      <w:pPr>
        <w:pStyle w:val="80"/>
        <w:rPr>
          <w:rFonts w:hint="eastAsia" w:cs="宋体"/>
          <w:color w:val="auto"/>
          <w:sz w:val="21"/>
          <w:highlight w:val="none"/>
        </w:rPr>
      </w:pPr>
      <w:r>
        <w:rPr>
          <w:rFonts w:hint="eastAsia" w:cs="宋体"/>
          <w:color w:val="auto"/>
          <w:sz w:val="21"/>
          <w:highlight w:val="none"/>
        </w:rPr>
        <w:t>（1）承包人按第14.2款〔竣工结算审核〕约定接收竣工付款证书后，应被视为已无权再提出在工程接收证书颁发前所发生的任何索赔。</w:t>
      </w:r>
    </w:p>
    <w:p w14:paraId="48EF041B">
      <w:pPr>
        <w:pStyle w:val="80"/>
        <w:rPr>
          <w:rFonts w:hint="eastAsia" w:cs="宋体"/>
          <w:color w:val="auto"/>
          <w:sz w:val="21"/>
          <w:highlight w:val="none"/>
        </w:rPr>
      </w:pPr>
      <w:r>
        <w:rPr>
          <w:rFonts w:hint="eastAsia" w:cs="宋体"/>
          <w:color w:val="auto"/>
          <w:sz w:val="21"/>
          <w:highlight w:val="none"/>
        </w:rPr>
        <w:t>（2）承包人按第14.4款〔最终结清〕提交的最终结清申请单中，只限于提出工程接收证书颁发后发生的索赔。提出索赔的期限自接受最终结清证书时终止。</w:t>
      </w:r>
    </w:p>
    <w:p w14:paraId="147D518F">
      <w:pPr>
        <w:pStyle w:val="322"/>
        <w:spacing w:line="380" w:lineRule="exact"/>
        <w:rPr>
          <w:rFonts w:hint="eastAsia" w:ascii="宋体" w:cs="宋体"/>
          <w:color w:val="auto"/>
          <w:highlight w:val="none"/>
        </w:rPr>
      </w:pPr>
      <w:bookmarkStart w:id="724" w:name="_Toc351203626"/>
      <w:bookmarkStart w:id="725" w:name="_Toc478389175"/>
      <w:r>
        <w:rPr>
          <w:rFonts w:hint="eastAsia" w:ascii="宋体" w:cs="宋体"/>
          <w:color w:val="auto"/>
          <w:highlight w:val="none"/>
        </w:rPr>
        <w:t>20</w:t>
      </w:r>
      <w:bookmarkStart w:id="726" w:name="_Toc296346647"/>
      <w:bookmarkStart w:id="727" w:name="_Toc296503146"/>
      <w:bookmarkStart w:id="728" w:name="_Toc337558840"/>
      <w:r>
        <w:rPr>
          <w:rFonts w:hint="eastAsia" w:ascii="宋体" w:cs="宋体"/>
          <w:color w:val="auto"/>
          <w:highlight w:val="none"/>
        </w:rPr>
        <w:t>. 争议解决</w:t>
      </w:r>
      <w:bookmarkEnd w:id="724"/>
      <w:bookmarkEnd w:id="725"/>
    </w:p>
    <w:bookmarkEnd w:id="726"/>
    <w:bookmarkEnd w:id="727"/>
    <w:bookmarkEnd w:id="728"/>
    <w:p w14:paraId="26AE94F2">
      <w:pPr>
        <w:pStyle w:val="322"/>
        <w:spacing w:line="380" w:lineRule="exact"/>
        <w:rPr>
          <w:rFonts w:hint="eastAsia" w:ascii="宋体" w:cs="宋体"/>
          <w:color w:val="auto"/>
          <w:highlight w:val="none"/>
        </w:rPr>
      </w:pPr>
      <w:bookmarkStart w:id="729" w:name="_Toc351203627"/>
      <w:bookmarkStart w:id="730" w:name="_Toc478389176"/>
      <w:bookmarkStart w:id="731" w:name="_Toc337558841"/>
      <w:bookmarkStart w:id="732" w:name="_Toc296503147"/>
      <w:bookmarkStart w:id="733" w:name="_Toc296346648"/>
      <w:r>
        <w:rPr>
          <w:rFonts w:hint="eastAsia" w:ascii="宋体" w:cs="宋体"/>
          <w:color w:val="auto"/>
          <w:highlight w:val="none"/>
        </w:rPr>
        <w:t>20.1和解</w:t>
      </w:r>
      <w:bookmarkEnd w:id="729"/>
      <w:bookmarkEnd w:id="730"/>
    </w:p>
    <w:bookmarkEnd w:id="731"/>
    <w:bookmarkEnd w:id="732"/>
    <w:bookmarkEnd w:id="733"/>
    <w:p w14:paraId="1294D205">
      <w:pPr>
        <w:pStyle w:val="80"/>
        <w:spacing w:line="380" w:lineRule="exact"/>
        <w:rPr>
          <w:rFonts w:hint="eastAsia" w:cs="宋体"/>
          <w:color w:val="auto"/>
          <w:sz w:val="21"/>
          <w:highlight w:val="none"/>
        </w:rPr>
      </w:pPr>
      <w:r>
        <w:rPr>
          <w:rFonts w:hint="eastAsia" w:cs="宋体"/>
          <w:color w:val="auto"/>
          <w:sz w:val="21"/>
          <w:highlight w:val="none"/>
        </w:rPr>
        <w:t>合同当事人可以就争议自行和解，自行和解达成协议的经双方签字并盖章后作为合同补充文件，双方均应遵照执行。</w:t>
      </w:r>
    </w:p>
    <w:p w14:paraId="7249D5F1">
      <w:pPr>
        <w:pStyle w:val="322"/>
        <w:spacing w:line="380" w:lineRule="exact"/>
        <w:rPr>
          <w:rFonts w:hint="eastAsia" w:ascii="宋体" w:cs="宋体"/>
          <w:color w:val="auto"/>
          <w:highlight w:val="none"/>
        </w:rPr>
      </w:pPr>
      <w:bookmarkStart w:id="734" w:name="_Toc478389177"/>
      <w:bookmarkStart w:id="735" w:name="_Toc351203628"/>
      <w:r>
        <w:rPr>
          <w:rFonts w:hint="eastAsia" w:ascii="宋体" w:cs="宋体"/>
          <w:color w:val="auto"/>
          <w:highlight w:val="none"/>
        </w:rPr>
        <w:t>20</w:t>
      </w:r>
      <w:bookmarkStart w:id="736" w:name="_Toc296346649"/>
      <w:bookmarkStart w:id="737" w:name="_Toc296503148"/>
      <w:bookmarkStart w:id="738" w:name="_Toc337558842"/>
      <w:r>
        <w:rPr>
          <w:rFonts w:hint="eastAsia" w:ascii="宋体" w:cs="宋体"/>
          <w:color w:val="auto"/>
          <w:highlight w:val="none"/>
        </w:rPr>
        <w:t>.2调解</w:t>
      </w:r>
      <w:bookmarkEnd w:id="734"/>
      <w:bookmarkEnd w:id="735"/>
    </w:p>
    <w:bookmarkEnd w:id="736"/>
    <w:bookmarkEnd w:id="737"/>
    <w:bookmarkEnd w:id="738"/>
    <w:p w14:paraId="15A16D5F">
      <w:pPr>
        <w:pStyle w:val="80"/>
        <w:spacing w:line="380" w:lineRule="exact"/>
        <w:rPr>
          <w:rFonts w:hint="eastAsia" w:cs="宋体"/>
          <w:color w:val="auto"/>
          <w:sz w:val="21"/>
          <w:highlight w:val="none"/>
        </w:rPr>
      </w:pPr>
      <w:r>
        <w:rPr>
          <w:rFonts w:hint="eastAsia" w:cs="宋体"/>
          <w:color w:val="auto"/>
          <w:sz w:val="21"/>
          <w:highlight w:val="none"/>
        </w:rPr>
        <w:t>合同当事人可以就争议请求建设行政主管部门、行业协会或其他第三方进行调解，调解达成协议的，经双方签字并盖章后作为合同补充文件，双方均应遵照执行。</w:t>
      </w:r>
    </w:p>
    <w:p w14:paraId="6CEDA1DC">
      <w:pPr>
        <w:pStyle w:val="322"/>
        <w:spacing w:line="380" w:lineRule="exact"/>
        <w:rPr>
          <w:rFonts w:hint="eastAsia" w:ascii="宋体" w:cs="宋体"/>
          <w:color w:val="auto"/>
          <w:highlight w:val="none"/>
        </w:rPr>
      </w:pPr>
      <w:bookmarkStart w:id="739" w:name="_Toc478389178"/>
      <w:bookmarkStart w:id="740" w:name="_Toc351203629"/>
      <w:bookmarkStart w:id="741" w:name="_Toc296346650"/>
      <w:bookmarkStart w:id="742" w:name="_Toc337558843"/>
      <w:bookmarkStart w:id="743" w:name="_Toc296503149"/>
      <w:r>
        <w:rPr>
          <w:rFonts w:hint="eastAsia" w:ascii="宋体" w:cs="宋体"/>
          <w:color w:val="auto"/>
          <w:highlight w:val="none"/>
        </w:rPr>
        <w:t>20.3争议评审</w:t>
      </w:r>
      <w:bookmarkEnd w:id="739"/>
      <w:bookmarkEnd w:id="740"/>
    </w:p>
    <w:bookmarkEnd w:id="741"/>
    <w:bookmarkEnd w:id="742"/>
    <w:bookmarkEnd w:id="743"/>
    <w:p w14:paraId="736778A5">
      <w:pPr>
        <w:pStyle w:val="80"/>
        <w:spacing w:line="380" w:lineRule="exact"/>
        <w:rPr>
          <w:rFonts w:hint="eastAsia" w:cs="宋体"/>
          <w:color w:val="auto"/>
          <w:sz w:val="21"/>
          <w:highlight w:val="none"/>
        </w:rPr>
      </w:pPr>
      <w:r>
        <w:rPr>
          <w:rFonts w:hint="eastAsia" w:cs="宋体"/>
          <w:color w:val="auto"/>
          <w:sz w:val="21"/>
          <w:highlight w:val="none"/>
        </w:rPr>
        <w:t xml:space="preserve">合同当事人在专用合同条款中约定采取争议评审方式解决争议以及评审规则，并按下列约定执行： </w:t>
      </w:r>
    </w:p>
    <w:p w14:paraId="638C385E">
      <w:pPr>
        <w:pStyle w:val="80"/>
        <w:spacing w:line="380" w:lineRule="exact"/>
        <w:rPr>
          <w:rFonts w:hint="eastAsia" w:cs="宋体"/>
          <w:color w:val="auto"/>
          <w:sz w:val="21"/>
          <w:highlight w:val="none"/>
        </w:rPr>
      </w:pPr>
      <w:r>
        <w:rPr>
          <w:rFonts w:hint="eastAsia" w:cs="宋体"/>
          <w:color w:val="auto"/>
          <w:sz w:val="21"/>
          <w:highlight w:val="none"/>
        </w:rPr>
        <w:t>20.3.1 争议评审小组的确定</w:t>
      </w:r>
    </w:p>
    <w:p w14:paraId="155B53AE">
      <w:pPr>
        <w:pStyle w:val="80"/>
        <w:spacing w:line="380" w:lineRule="exact"/>
        <w:rPr>
          <w:rFonts w:hint="eastAsia" w:cs="宋体"/>
          <w:color w:val="auto"/>
          <w:sz w:val="21"/>
          <w:highlight w:val="none"/>
        </w:rPr>
      </w:pPr>
      <w:r>
        <w:rPr>
          <w:rFonts w:hint="eastAsia" w:cs="宋体"/>
          <w:color w:val="auto"/>
          <w:sz w:val="21"/>
          <w:highlight w:val="none"/>
        </w:rPr>
        <w:t>合同当事人可以共同选择一名或三名争议评审员，组成争议评审小组。除专用合同条款另有约定外，合同当事人应当自合同签订后28天内，或者争议发生后14天内，选定争议评审员。</w:t>
      </w:r>
    </w:p>
    <w:p w14:paraId="6BA5F268">
      <w:pPr>
        <w:pStyle w:val="80"/>
        <w:spacing w:line="380" w:lineRule="exact"/>
        <w:rPr>
          <w:rFonts w:hint="eastAsia" w:cs="宋体"/>
          <w:color w:val="auto"/>
          <w:sz w:val="21"/>
          <w:highlight w:val="none"/>
        </w:rPr>
      </w:pPr>
      <w:r>
        <w:rPr>
          <w:rFonts w:hint="eastAsia" w:cs="宋体"/>
          <w:color w:val="auto"/>
          <w:sz w:val="21"/>
          <w:highlight w:val="none"/>
        </w:rPr>
        <w:t xml:space="preserve">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 </w:t>
      </w:r>
    </w:p>
    <w:p w14:paraId="58516276">
      <w:pPr>
        <w:pStyle w:val="80"/>
        <w:spacing w:line="380" w:lineRule="exact"/>
        <w:rPr>
          <w:rFonts w:hint="eastAsia" w:cs="宋体"/>
          <w:color w:val="auto"/>
          <w:sz w:val="21"/>
          <w:highlight w:val="none"/>
        </w:rPr>
      </w:pPr>
      <w:r>
        <w:rPr>
          <w:rFonts w:hint="eastAsia" w:cs="宋体"/>
          <w:color w:val="auto"/>
          <w:sz w:val="21"/>
          <w:highlight w:val="none"/>
        </w:rPr>
        <w:t>除专用合同条款另有约定外，评审员报酬由发包人和承包人各承担一半。</w:t>
      </w:r>
    </w:p>
    <w:p w14:paraId="453B2B3F">
      <w:pPr>
        <w:pStyle w:val="80"/>
        <w:spacing w:line="380" w:lineRule="exact"/>
        <w:rPr>
          <w:rFonts w:hint="eastAsia" w:cs="宋体"/>
          <w:color w:val="auto"/>
          <w:sz w:val="21"/>
          <w:highlight w:val="none"/>
        </w:rPr>
      </w:pPr>
      <w:r>
        <w:rPr>
          <w:rFonts w:hint="eastAsia" w:cs="宋体"/>
          <w:color w:val="auto"/>
          <w:sz w:val="21"/>
          <w:highlight w:val="none"/>
        </w:rPr>
        <w:t>20.3.2 争议评审小组的决定</w:t>
      </w:r>
    </w:p>
    <w:p w14:paraId="09F6FCB0">
      <w:pPr>
        <w:pStyle w:val="80"/>
        <w:spacing w:line="380" w:lineRule="exact"/>
        <w:rPr>
          <w:rFonts w:hint="eastAsia" w:cs="宋体"/>
          <w:color w:val="auto"/>
          <w:sz w:val="21"/>
          <w:highlight w:val="none"/>
        </w:rPr>
      </w:pPr>
      <w:r>
        <w:rPr>
          <w:rFonts w:hint="eastAsia" w:cs="宋体"/>
          <w:color w:val="auto"/>
          <w:sz w:val="21"/>
          <w:highlight w:val="none"/>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14:paraId="63489585">
      <w:pPr>
        <w:pStyle w:val="80"/>
        <w:spacing w:line="380" w:lineRule="exact"/>
        <w:rPr>
          <w:rFonts w:hint="eastAsia" w:cs="宋体"/>
          <w:color w:val="auto"/>
          <w:sz w:val="21"/>
          <w:highlight w:val="none"/>
        </w:rPr>
      </w:pPr>
      <w:r>
        <w:rPr>
          <w:rFonts w:hint="eastAsia" w:cs="宋体"/>
          <w:color w:val="auto"/>
          <w:sz w:val="21"/>
          <w:highlight w:val="none"/>
        </w:rPr>
        <w:t>20.3.3 争议评审小组决定的效力</w:t>
      </w:r>
    </w:p>
    <w:p w14:paraId="729D083F">
      <w:pPr>
        <w:pStyle w:val="80"/>
        <w:spacing w:line="380" w:lineRule="exact"/>
        <w:rPr>
          <w:rFonts w:hint="eastAsia" w:cs="宋体"/>
          <w:color w:val="auto"/>
          <w:sz w:val="21"/>
          <w:highlight w:val="none"/>
        </w:rPr>
      </w:pPr>
      <w:r>
        <w:rPr>
          <w:rFonts w:hint="eastAsia" w:cs="宋体"/>
          <w:color w:val="auto"/>
          <w:sz w:val="21"/>
          <w:highlight w:val="none"/>
        </w:rPr>
        <w:t>争议评审小组作出的书面决定经合同当事人签字确认后，对双方具有约束力，双方应遵照执行。</w:t>
      </w:r>
    </w:p>
    <w:p w14:paraId="0D525F89">
      <w:pPr>
        <w:pStyle w:val="80"/>
        <w:spacing w:line="380" w:lineRule="exact"/>
        <w:rPr>
          <w:rFonts w:hint="eastAsia" w:cs="宋体"/>
          <w:color w:val="auto"/>
          <w:sz w:val="21"/>
          <w:highlight w:val="none"/>
        </w:rPr>
      </w:pPr>
      <w:r>
        <w:rPr>
          <w:rFonts w:hint="eastAsia" w:cs="宋体"/>
          <w:color w:val="auto"/>
          <w:sz w:val="21"/>
          <w:highlight w:val="none"/>
        </w:rPr>
        <w:t>任何一方当事人不接受争议评审小组决定或不履行争议评审小组决定的，双方可选择采用其他争议解决方式。</w:t>
      </w:r>
    </w:p>
    <w:p w14:paraId="2C27CDFB">
      <w:pPr>
        <w:pStyle w:val="322"/>
        <w:spacing w:line="380" w:lineRule="exact"/>
        <w:rPr>
          <w:rFonts w:hint="eastAsia" w:ascii="宋体" w:cs="宋体"/>
          <w:color w:val="auto"/>
          <w:highlight w:val="none"/>
        </w:rPr>
      </w:pPr>
      <w:bookmarkStart w:id="744" w:name="_Toc478389179"/>
      <w:bookmarkStart w:id="745" w:name="_Toc351203630"/>
      <w:bookmarkStart w:id="746" w:name="_Toc296503150"/>
      <w:bookmarkStart w:id="747" w:name="_Toc337558844"/>
      <w:bookmarkStart w:id="748" w:name="_Toc296346651"/>
      <w:r>
        <w:rPr>
          <w:rFonts w:hint="eastAsia" w:ascii="宋体" w:cs="宋体"/>
          <w:color w:val="auto"/>
          <w:highlight w:val="none"/>
        </w:rPr>
        <w:t>20.4仲裁或诉讼</w:t>
      </w:r>
      <w:bookmarkEnd w:id="744"/>
      <w:bookmarkEnd w:id="745"/>
    </w:p>
    <w:bookmarkEnd w:id="746"/>
    <w:bookmarkEnd w:id="747"/>
    <w:bookmarkEnd w:id="748"/>
    <w:p w14:paraId="0E15ED67">
      <w:pPr>
        <w:pStyle w:val="80"/>
        <w:spacing w:line="380" w:lineRule="exact"/>
        <w:rPr>
          <w:rFonts w:hint="eastAsia" w:cs="宋体"/>
          <w:color w:val="auto"/>
          <w:sz w:val="21"/>
          <w:highlight w:val="none"/>
        </w:rPr>
      </w:pPr>
      <w:r>
        <w:rPr>
          <w:rFonts w:hint="eastAsia" w:cs="宋体"/>
          <w:color w:val="auto"/>
          <w:sz w:val="21"/>
          <w:highlight w:val="none"/>
        </w:rPr>
        <w:t>因合同及合同有关事项产生的争议，合同当事人可以在专用合同条款中约定以下一种方式解决争议：</w:t>
      </w:r>
    </w:p>
    <w:p w14:paraId="7A414C60">
      <w:pPr>
        <w:pStyle w:val="80"/>
        <w:spacing w:line="380" w:lineRule="exact"/>
        <w:rPr>
          <w:rFonts w:hint="eastAsia" w:cs="宋体"/>
          <w:color w:val="auto"/>
          <w:sz w:val="21"/>
          <w:highlight w:val="none"/>
        </w:rPr>
      </w:pPr>
      <w:r>
        <w:rPr>
          <w:rFonts w:hint="eastAsia" w:cs="宋体"/>
          <w:color w:val="auto"/>
          <w:sz w:val="21"/>
          <w:highlight w:val="none"/>
        </w:rPr>
        <w:t>（1）向约定的仲裁委员会申请仲裁；</w:t>
      </w:r>
    </w:p>
    <w:p w14:paraId="361BF56A">
      <w:pPr>
        <w:pStyle w:val="80"/>
        <w:spacing w:line="380" w:lineRule="exact"/>
        <w:rPr>
          <w:rFonts w:hint="eastAsia" w:cs="宋体"/>
          <w:color w:val="auto"/>
          <w:sz w:val="21"/>
          <w:highlight w:val="none"/>
        </w:rPr>
      </w:pPr>
      <w:r>
        <w:rPr>
          <w:rFonts w:hint="eastAsia" w:cs="宋体"/>
          <w:color w:val="auto"/>
          <w:sz w:val="21"/>
          <w:highlight w:val="none"/>
        </w:rPr>
        <w:t>（2）向有管辖权的人民法院起诉。</w:t>
      </w:r>
    </w:p>
    <w:p w14:paraId="69A2A4C5">
      <w:pPr>
        <w:pStyle w:val="322"/>
        <w:spacing w:line="320" w:lineRule="exact"/>
        <w:rPr>
          <w:rFonts w:hint="eastAsia" w:ascii="宋体" w:cs="宋体"/>
          <w:color w:val="auto"/>
          <w:highlight w:val="none"/>
        </w:rPr>
      </w:pPr>
      <w:bookmarkStart w:id="749" w:name="_Toc351203631"/>
      <w:bookmarkStart w:id="750" w:name="_Toc478389180"/>
      <w:bookmarkStart w:id="751" w:name="_Toc296346653"/>
      <w:bookmarkStart w:id="752" w:name="_Toc337558845"/>
      <w:bookmarkStart w:id="753" w:name="_Toc296503152"/>
      <w:r>
        <w:rPr>
          <w:rFonts w:hint="eastAsia" w:ascii="宋体" w:cs="宋体"/>
          <w:color w:val="auto"/>
          <w:highlight w:val="none"/>
        </w:rPr>
        <w:t>20.5争议解决条款效力</w:t>
      </w:r>
      <w:bookmarkEnd w:id="749"/>
      <w:bookmarkEnd w:id="750"/>
    </w:p>
    <w:bookmarkEnd w:id="751"/>
    <w:bookmarkEnd w:id="752"/>
    <w:bookmarkEnd w:id="753"/>
    <w:p w14:paraId="1F97FB6D">
      <w:pPr>
        <w:pStyle w:val="80"/>
        <w:spacing w:line="320" w:lineRule="exact"/>
        <w:rPr>
          <w:rFonts w:hint="eastAsia" w:cs="宋体"/>
          <w:color w:val="auto"/>
          <w:sz w:val="21"/>
          <w:highlight w:val="none"/>
        </w:rPr>
      </w:pPr>
      <w:r>
        <w:rPr>
          <w:rFonts w:hint="eastAsia" w:cs="宋体"/>
          <w:color w:val="auto"/>
          <w:sz w:val="21"/>
          <w:highlight w:val="none"/>
        </w:rPr>
        <w:t xml:space="preserve">合同有关争议解决的条款独立存在，合同的变更、解除、终止、无效或者被撤销均不影响其效力。 </w:t>
      </w:r>
      <w:bookmarkEnd w:id="110"/>
      <w:bookmarkEnd w:id="111"/>
      <w:bookmarkEnd w:id="112"/>
      <w:bookmarkStart w:id="754" w:name="_Toc478389181"/>
    </w:p>
    <w:p w14:paraId="2495409E">
      <w:pPr>
        <w:pStyle w:val="2"/>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第三部分 专用合同条款</w:t>
      </w:r>
    </w:p>
    <w:bookmarkEnd w:id="754"/>
    <w:p w14:paraId="0CDCB3D6">
      <w:pPr>
        <w:pStyle w:val="322"/>
        <w:rPr>
          <w:rFonts w:hint="eastAsia" w:ascii="宋体" w:cs="宋体"/>
          <w:color w:val="auto"/>
          <w:highlight w:val="none"/>
        </w:rPr>
      </w:pPr>
      <w:bookmarkStart w:id="755" w:name="_Toc478389182"/>
      <w:bookmarkStart w:id="756" w:name="_Toc351203633"/>
      <w:bookmarkStart w:id="757" w:name="_Toc417904268"/>
      <w:r>
        <w:rPr>
          <w:rFonts w:hint="eastAsia" w:ascii="宋体" w:cs="宋体"/>
          <w:color w:val="auto"/>
          <w:highlight w:val="none"/>
        </w:rPr>
        <w:t>1</w:t>
      </w:r>
      <w:bookmarkStart w:id="758" w:name="_Toc296891196"/>
      <w:bookmarkStart w:id="759" w:name="_Toc296346657"/>
      <w:bookmarkStart w:id="760" w:name="_Toc297048342"/>
      <w:bookmarkStart w:id="761" w:name="_Toc296503156"/>
      <w:bookmarkStart w:id="762" w:name="_Toc296944495"/>
      <w:bookmarkStart w:id="763" w:name="_Toc296347155"/>
      <w:bookmarkStart w:id="764" w:name="_Toc292559361"/>
      <w:bookmarkStart w:id="765" w:name="_Toc296890984"/>
      <w:bookmarkStart w:id="766" w:name="_Toc297120456"/>
      <w:bookmarkStart w:id="767" w:name="_Toc292559866"/>
      <w:r>
        <w:rPr>
          <w:rFonts w:hint="eastAsia" w:ascii="宋体" w:cs="宋体"/>
          <w:color w:val="auto"/>
          <w:highlight w:val="none"/>
        </w:rPr>
        <w:t>. 一般约定</w:t>
      </w:r>
      <w:bookmarkEnd w:id="755"/>
      <w:bookmarkEnd w:id="756"/>
      <w:bookmarkEnd w:id="757"/>
    </w:p>
    <w:bookmarkEnd w:id="758"/>
    <w:bookmarkEnd w:id="759"/>
    <w:bookmarkEnd w:id="760"/>
    <w:bookmarkEnd w:id="761"/>
    <w:bookmarkEnd w:id="762"/>
    <w:bookmarkEnd w:id="763"/>
    <w:bookmarkEnd w:id="764"/>
    <w:bookmarkEnd w:id="765"/>
    <w:bookmarkEnd w:id="766"/>
    <w:bookmarkEnd w:id="767"/>
    <w:p w14:paraId="09EBC255">
      <w:pPr>
        <w:pStyle w:val="322"/>
        <w:rPr>
          <w:rFonts w:hint="eastAsia" w:ascii="宋体" w:cs="宋体"/>
          <w:color w:val="auto"/>
          <w:highlight w:val="none"/>
        </w:rPr>
      </w:pPr>
      <w:bookmarkStart w:id="768" w:name="_Toc478389183"/>
      <w:bookmarkStart w:id="769" w:name="_Toc417904269"/>
      <w:r>
        <w:rPr>
          <w:rFonts w:hint="eastAsia" w:ascii="宋体" w:cs="宋体"/>
          <w:color w:val="auto"/>
          <w:highlight w:val="none"/>
        </w:rPr>
        <w:t>1.1 词语定义</w:t>
      </w:r>
      <w:bookmarkEnd w:id="768"/>
      <w:bookmarkEnd w:id="769"/>
    </w:p>
    <w:p w14:paraId="348AE316">
      <w:pPr>
        <w:pStyle w:val="80"/>
        <w:rPr>
          <w:rFonts w:hint="eastAsia" w:cs="宋体"/>
          <w:color w:val="auto"/>
          <w:sz w:val="21"/>
          <w:highlight w:val="none"/>
        </w:rPr>
      </w:pPr>
      <w:r>
        <w:rPr>
          <w:rFonts w:hint="eastAsia" w:cs="宋体"/>
          <w:color w:val="auto"/>
          <w:sz w:val="21"/>
          <w:highlight w:val="none"/>
        </w:rPr>
        <w:t>1.1.1合同</w:t>
      </w:r>
    </w:p>
    <w:p w14:paraId="4F36A346">
      <w:pPr>
        <w:pStyle w:val="80"/>
        <w:rPr>
          <w:rFonts w:hint="eastAsia" w:cs="宋体"/>
          <w:color w:val="auto"/>
          <w:sz w:val="21"/>
          <w:highlight w:val="none"/>
        </w:rPr>
      </w:pPr>
      <w:r>
        <w:rPr>
          <w:rFonts w:hint="eastAsia" w:cs="宋体"/>
          <w:color w:val="auto"/>
          <w:sz w:val="21"/>
          <w:highlight w:val="none"/>
        </w:rPr>
        <w:t>1.1.1.10其他合同文件包括：</w:t>
      </w:r>
      <w:r>
        <w:rPr>
          <w:rFonts w:hint="eastAsia" w:cs="宋体"/>
          <w:color w:val="auto"/>
          <w:sz w:val="21"/>
          <w:highlight w:val="none"/>
          <w:u w:val="single"/>
        </w:rPr>
        <w:t>（1）本合同协议书；（2）成交通知书；（3）竞标函及其附件；（4）本合同专用条款及补充条款；（5）本合同通用条款；（6）标准、规范及有关技术文件；（7）工程量清单；（8）图纸；（9）本工程招标控制价造价成果文件及其他合同文件。</w:t>
      </w:r>
    </w:p>
    <w:p w14:paraId="7E229DED">
      <w:pPr>
        <w:pStyle w:val="80"/>
        <w:rPr>
          <w:rFonts w:hint="eastAsia" w:cs="宋体"/>
          <w:color w:val="auto"/>
          <w:sz w:val="21"/>
          <w:highlight w:val="none"/>
        </w:rPr>
      </w:pPr>
      <w:r>
        <w:rPr>
          <w:rFonts w:hint="eastAsia" w:cs="宋体"/>
          <w:color w:val="auto"/>
          <w:sz w:val="21"/>
          <w:highlight w:val="none"/>
        </w:rPr>
        <w:t>1.1.2 合同当事人及其他相关方</w:t>
      </w:r>
    </w:p>
    <w:p w14:paraId="111183B6">
      <w:pPr>
        <w:pStyle w:val="80"/>
        <w:rPr>
          <w:rFonts w:hint="eastAsia" w:cs="宋体"/>
          <w:color w:val="auto"/>
          <w:sz w:val="21"/>
          <w:highlight w:val="none"/>
        </w:rPr>
      </w:pPr>
      <w:r>
        <w:rPr>
          <w:rFonts w:hint="eastAsia" w:cs="宋体"/>
          <w:color w:val="auto"/>
          <w:sz w:val="21"/>
          <w:highlight w:val="none"/>
        </w:rPr>
        <w:t>1.1.2.4监理人</w:t>
      </w:r>
      <w:r>
        <w:rPr>
          <w:rFonts w:hint="eastAsia" w:cs="宋体"/>
          <w:color w:val="auto"/>
          <w:sz w:val="21"/>
          <w:highlight w:val="none"/>
          <w:u w:val="single"/>
        </w:rPr>
        <w:t xml:space="preserve">     （签约时填写）       </w:t>
      </w:r>
      <w:r>
        <w:rPr>
          <w:rFonts w:hint="eastAsia" w:cs="宋体"/>
          <w:color w:val="auto"/>
          <w:sz w:val="21"/>
          <w:highlight w:val="none"/>
        </w:rPr>
        <w:t>：</w:t>
      </w:r>
    </w:p>
    <w:p w14:paraId="67F6A545">
      <w:pPr>
        <w:pStyle w:val="80"/>
        <w:rPr>
          <w:rFonts w:hint="eastAsia" w:cs="宋体"/>
          <w:color w:val="auto"/>
          <w:sz w:val="21"/>
          <w:highlight w:val="none"/>
        </w:rPr>
      </w:pPr>
      <w:r>
        <w:rPr>
          <w:rFonts w:hint="eastAsia" w:cs="宋体"/>
          <w:color w:val="auto"/>
          <w:sz w:val="21"/>
          <w:highlight w:val="none"/>
        </w:rPr>
        <w:t>1.1.2.5 设计人：</w:t>
      </w:r>
    </w:p>
    <w:p w14:paraId="7C2F4531">
      <w:pPr>
        <w:pStyle w:val="80"/>
        <w:rPr>
          <w:rFonts w:hint="eastAsia" w:cs="宋体"/>
          <w:color w:val="auto"/>
          <w:sz w:val="21"/>
          <w:highlight w:val="none"/>
        </w:rPr>
      </w:pPr>
      <w:r>
        <w:rPr>
          <w:rFonts w:hint="eastAsia" w:cs="宋体"/>
          <w:color w:val="auto"/>
          <w:sz w:val="21"/>
          <w:highlight w:val="none"/>
        </w:rPr>
        <w:t>名    称：</w:t>
      </w:r>
      <w:r>
        <w:rPr>
          <w:rFonts w:hint="eastAsia" w:cs="宋体"/>
          <w:color w:val="auto"/>
          <w:sz w:val="21"/>
          <w:highlight w:val="none"/>
          <w:u w:val="single"/>
        </w:rPr>
        <w:t xml:space="preserve">    （签约时填写）</w:t>
      </w:r>
      <w:r>
        <w:rPr>
          <w:rFonts w:cs="宋体"/>
          <w:color w:val="auto"/>
          <w:sz w:val="21"/>
          <w:highlight w:val="none"/>
          <w:u w:val="single"/>
        </w:rPr>
        <w:t xml:space="preserve">        </w:t>
      </w:r>
      <w:r>
        <w:rPr>
          <w:rFonts w:hint="eastAsia" w:cs="宋体"/>
          <w:color w:val="auto"/>
          <w:sz w:val="21"/>
          <w:highlight w:val="none"/>
          <w:u w:val="single"/>
        </w:rPr>
        <w:t xml:space="preserve">            </w:t>
      </w:r>
      <w:r>
        <w:rPr>
          <w:rFonts w:hint="eastAsia" w:cs="宋体"/>
          <w:color w:val="auto"/>
          <w:sz w:val="21"/>
          <w:highlight w:val="none"/>
        </w:rPr>
        <w:t>；</w:t>
      </w:r>
    </w:p>
    <w:p w14:paraId="3C7E760B">
      <w:pPr>
        <w:pStyle w:val="80"/>
        <w:rPr>
          <w:rFonts w:hint="eastAsia" w:cs="宋体"/>
          <w:color w:val="auto"/>
          <w:sz w:val="21"/>
          <w:highlight w:val="none"/>
        </w:rPr>
      </w:pPr>
      <w:r>
        <w:rPr>
          <w:rFonts w:hint="eastAsia" w:cs="宋体"/>
          <w:color w:val="auto"/>
          <w:sz w:val="21"/>
          <w:highlight w:val="none"/>
        </w:rPr>
        <w:t>资质类别和等级：</w:t>
      </w:r>
      <w:r>
        <w:rPr>
          <w:rFonts w:hint="eastAsia" w:cs="宋体"/>
          <w:color w:val="auto"/>
          <w:sz w:val="21"/>
          <w:highlight w:val="none"/>
          <w:u w:val="single"/>
        </w:rPr>
        <w:t xml:space="preserve">     （签约时填写）                         </w:t>
      </w:r>
      <w:r>
        <w:rPr>
          <w:rFonts w:hint="eastAsia" w:cs="宋体"/>
          <w:color w:val="auto"/>
          <w:sz w:val="21"/>
          <w:highlight w:val="none"/>
        </w:rPr>
        <w:t>；</w:t>
      </w:r>
    </w:p>
    <w:p w14:paraId="5A83469B">
      <w:pPr>
        <w:pStyle w:val="80"/>
        <w:rPr>
          <w:rFonts w:hint="eastAsia" w:cs="宋体"/>
          <w:color w:val="auto"/>
          <w:sz w:val="21"/>
          <w:highlight w:val="none"/>
        </w:rPr>
      </w:pPr>
      <w:r>
        <w:rPr>
          <w:rFonts w:hint="eastAsia" w:cs="宋体"/>
          <w:color w:val="auto"/>
          <w:sz w:val="21"/>
          <w:highlight w:val="none"/>
        </w:rPr>
        <w:t>联系电话：</w:t>
      </w:r>
      <w:r>
        <w:rPr>
          <w:rFonts w:hint="eastAsia" w:cs="宋体"/>
          <w:color w:val="auto"/>
          <w:sz w:val="21"/>
          <w:highlight w:val="none"/>
          <w:u w:val="single"/>
        </w:rPr>
        <w:t xml:space="preserve">           （签约时填写）                 </w:t>
      </w:r>
      <w:r>
        <w:rPr>
          <w:rFonts w:cs="宋体"/>
          <w:color w:val="auto"/>
          <w:sz w:val="21"/>
          <w:highlight w:val="none"/>
          <w:u w:val="single"/>
        </w:rPr>
        <w:t xml:space="preserve"> </w:t>
      </w:r>
      <w:r>
        <w:rPr>
          <w:rFonts w:hint="eastAsia" w:cs="宋体"/>
          <w:color w:val="auto"/>
          <w:sz w:val="21"/>
          <w:highlight w:val="none"/>
          <w:u w:val="single"/>
        </w:rPr>
        <w:t xml:space="preserve">       </w:t>
      </w:r>
      <w:r>
        <w:rPr>
          <w:rFonts w:hint="eastAsia" w:cs="宋体"/>
          <w:color w:val="auto"/>
          <w:sz w:val="21"/>
          <w:highlight w:val="none"/>
        </w:rPr>
        <w:t>；</w:t>
      </w:r>
    </w:p>
    <w:p w14:paraId="79389480">
      <w:pPr>
        <w:pStyle w:val="80"/>
        <w:rPr>
          <w:rFonts w:hint="eastAsia" w:cs="宋体"/>
          <w:color w:val="auto"/>
          <w:sz w:val="21"/>
          <w:highlight w:val="none"/>
        </w:rPr>
      </w:pPr>
      <w:r>
        <w:rPr>
          <w:rFonts w:hint="eastAsia" w:cs="宋体"/>
          <w:color w:val="auto"/>
          <w:sz w:val="21"/>
          <w:highlight w:val="none"/>
        </w:rPr>
        <w:t>电子信箱：</w:t>
      </w:r>
      <w:r>
        <w:rPr>
          <w:rFonts w:hint="eastAsia" w:cs="宋体"/>
          <w:color w:val="auto"/>
          <w:sz w:val="21"/>
          <w:highlight w:val="none"/>
          <w:u w:val="single"/>
        </w:rPr>
        <w:t xml:space="preserve">           （签约时填写）                        </w:t>
      </w:r>
      <w:r>
        <w:rPr>
          <w:rFonts w:hint="eastAsia" w:cs="宋体"/>
          <w:color w:val="auto"/>
          <w:sz w:val="21"/>
          <w:highlight w:val="none"/>
        </w:rPr>
        <w:t>；</w:t>
      </w:r>
    </w:p>
    <w:p w14:paraId="0AA5FDCC">
      <w:pPr>
        <w:pStyle w:val="80"/>
        <w:rPr>
          <w:rFonts w:hint="eastAsia" w:cs="宋体"/>
          <w:color w:val="auto"/>
          <w:sz w:val="21"/>
          <w:highlight w:val="none"/>
        </w:rPr>
      </w:pPr>
      <w:r>
        <w:rPr>
          <w:rFonts w:hint="eastAsia" w:cs="宋体"/>
          <w:color w:val="auto"/>
          <w:sz w:val="21"/>
          <w:highlight w:val="none"/>
        </w:rPr>
        <w:t>通信地址：</w:t>
      </w:r>
      <w:r>
        <w:rPr>
          <w:rFonts w:hint="eastAsia" w:cs="宋体"/>
          <w:color w:val="auto"/>
          <w:sz w:val="21"/>
          <w:highlight w:val="none"/>
          <w:u w:val="single"/>
        </w:rPr>
        <w:t xml:space="preserve">           （签约时填写）                         </w:t>
      </w:r>
      <w:r>
        <w:rPr>
          <w:rFonts w:hint="eastAsia" w:cs="宋体"/>
          <w:color w:val="auto"/>
          <w:sz w:val="21"/>
          <w:highlight w:val="none"/>
        </w:rPr>
        <w:t>。</w:t>
      </w:r>
    </w:p>
    <w:p w14:paraId="1D062200">
      <w:pPr>
        <w:pStyle w:val="80"/>
        <w:rPr>
          <w:rFonts w:hint="eastAsia" w:cs="宋体"/>
          <w:color w:val="auto"/>
          <w:sz w:val="21"/>
          <w:highlight w:val="none"/>
        </w:rPr>
      </w:pPr>
      <w:r>
        <w:rPr>
          <w:rFonts w:hint="eastAsia" w:cs="宋体"/>
          <w:color w:val="auto"/>
          <w:sz w:val="21"/>
          <w:highlight w:val="none"/>
        </w:rPr>
        <w:t>1.1.3 工程和设备</w:t>
      </w:r>
    </w:p>
    <w:p w14:paraId="0F5317E5">
      <w:pPr>
        <w:pStyle w:val="80"/>
        <w:rPr>
          <w:rFonts w:hint="eastAsia" w:cs="宋体"/>
          <w:color w:val="auto"/>
          <w:sz w:val="21"/>
          <w:highlight w:val="none"/>
        </w:rPr>
      </w:pPr>
      <w:r>
        <w:rPr>
          <w:rFonts w:hint="eastAsia" w:cs="宋体"/>
          <w:color w:val="auto"/>
          <w:sz w:val="21"/>
          <w:highlight w:val="none"/>
        </w:rPr>
        <w:t>1.1.3.7 作为施工现场组成部分的其他场所包括：</w:t>
      </w:r>
      <w:r>
        <w:rPr>
          <w:rFonts w:hint="eastAsia" w:cs="宋体"/>
          <w:color w:val="auto"/>
          <w:sz w:val="21"/>
          <w:highlight w:val="none"/>
          <w:u w:val="single"/>
        </w:rPr>
        <w:t xml:space="preserve">  临时设施和临时用地 </w:t>
      </w:r>
      <w:r>
        <w:rPr>
          <w:rFonts w:hint="eastAsia" w:cs="宋体"/>
          <w:color w:val="auto"/>
          <w:sz w:val="21"/>
          <w:highlight w:val="none"/>
        </w:rPr>
        <w:t>。</w:t>
      </w:r>
    </w:p>
    <w:p w14:paraId="01C86105">
      <w:pPr>
        <w:pStyle w:val="80"/>
        <w:rPr>
          <w:rFonts w:hint="eastAsia" w:cs="宋体"/>
          <w:color w:val="auto"/>
          <w:sz w:val="21"/>
          <w:highlight w:val="none"/>
        </w:rPr>
      </w:pPr>
      <w:r>
        <w:rPr>
          <w:rFonts w:hint="eastAsia" w:cs="宋体"/>
          <w:color w:val="auto"/>
          <w:sz w:val="21"/>
          <w:highlight w:val="none"/>
        </w:rPr>
        <w:t>1.1.3.9 永久占地包括：</w:t>
      </w:r>
      <w:r>
        <w:rPr>
          <w:rFonts w:hint="eastAsia" w:cs="宋体"/>
          <w:color w:val="auto"/>
          <w:sz w:val="21"/>
          <w:highlight w:val="none"/>
          <w:u w:val="single"/>
        </w:rPr>
        <w:t xml:space="preserve">      建、构筑物用地                </w:t>
      </w:r>
      <w:r>
        <w:rPr>
          <w:rFonts w:hint="eastAsia" w:cs="宋体"/>
          <w:color w:val="auto"/>
          <w:sz w:val="21"/>
          <w:highlight w:val="none"/>
        </w:rPr>
        <w:t>。</w:t>
      </w:r>
    </w:p>
    <w:p w14:paraId="7F3EB276">
      <w:pPr>
        <w:pStyle w:val="80"/>
        <w:rPr>
          <w:rFonts w:hint="eastAsia" w:cs="宋体"/>
          <w:color w:val="auto"/>
          <w:sz w:val="21"/>
          <w:highlight w:val="none"/>
        </w:rPr>
      </w:pPr>
      <w:r>
        <w:rPr>
          <w:rFonts w:hint="eastAsia" w:cs="宋体"/>
          <w:color w:val="auto"/>
          <w:sz w:val="21"/>
          <w:highlight w:val="none"/>
        </w:rPr>
        <w:t>1.1.3.10 临时占地包括：</w:t>
      </w:r>
      <w:r>
        <w:rPr>
          <w:rFonts w:hint="eastAsia" w:cs="宋体"/>
          <w:color w:val="auto"/>
          <w:sz w:val="21"/>
          <w:highlight w:val="none"/>
          <w:u w:val="single"/>
        </w:rPr>
        <w:t xml:space="preserve">      临时设施和临时用地                  </w:t>
      </w:r>
      <w:r>
        <w:rPr>
          <w:rFonts w:hint="eastAsia" w:cs="宋体"/>
          <w:color w:val="auto"/>
          <w:sz w:val="21"/>
          <w:highlight w:val="none"/>
        </w:rPr>
        <w:t>。</w:t>
      </w:r>
    </w:p>
    <w:p w14:paraId="23515B2C">
      <w:pPr>
        <w:pStyle w:val="322"/>
        <w:rPr>
          <w:rFonts w:hint="eastAsia" w:ascii="宋体" w:cs="宋体"/>
          <w:color w:val="auto"/>
          <w:highlight w:val="none"/>
        </w:rPr>
      </w:pPr>
      <w:bookmarkStart w:id="770" w:name="_Toc478389184"/>
      <w:bookmarkStart w:id="771" w:name="_Toc417904270"/>
      <w:r>
        <w:rPr>
          <w:rFonts w:hint="eastAsia" w:ascii="宋体" w:cs="宋体"/>
          <w:color w:val="auto"/>
          <w:highlight w:val="none"/>
        </w:rPr>
        <w:t>1.3法律</w:t>
      </w:r>
      <w:bookmarkEnd w:id="770"/>
      <w:bookmarkEnd w:id="771"/>
    </w:p>
    <w:p w14:paraId="03236C99">
      <w:pPr>
        <w:pStyle w:val="80"/>
        <w:rPr>
          <w:rFonts w:hint="eastAsia" w:cs="宋体"/>
          <w:color w:val="auto"/>
          <w:sz w:val="21"/>
          <w:highlight w:val="none"/>
        </w:rPr>
      </w:pPr>
      <w:r>
        <w:rPr>
          <w:rFonts w:hint="eastAsia" w:cs="宋体"/>
          <w:color w:val="auto"/>
          <w:sz w:val="21"/>
          <w:highlight w:val="none"/>
        </w:rPr>
        <w:t>适用于合同的其他规范性文件：</w:t>
      </w:r>
      <w:r>
        <w:rPr>
          <w:rFonts w:hint="eastAsia" w:cs="宋体"/>
          <w:color w:val="auto"/>
          <w:sz w:val="21"/>
          <w:highlight w:val="none"/>
          <w:u w:val="single"/>
        </w:rPr>
        <w:t xml:space="preserve">  建筑安装相关   </w:t>
      </w:r>
      <w:r>
        <w:rPr>
          <w:rFonts w:hint="eastAsia" w:cs="宋体"/>
          <w:color w:val="auto"/>
          <w:sz w:val="21"/>
          <w:highlight w:val="none"/>
        </w:rPr>
        <w:t>。</w:t>
      </w:r>
    </w:p>
    <w:p w14:paraId="0109D33F">
      <w:pPr>
        <w:pStyle w:val="322"/>
        <w:rPr>
          <w:rFonts w:hint="eastAsia" w:ascii="宋体" w:cs="宋体"/>
          <w:color w:val="auto"/>
          <w:highlight w:val="none"/>
        </w:rPr>
      </w:pPr>
      <w:bookmarkStart w:id="772" w:name="_Toc417904271"/>
      <w:bookmarkStart w:id="773" w:name="_Toc478389185"/>
      <w:r>
        <w:rPr>
          <w:rFonts w:hint="eastAsia" w:ascii="宋体" w:cs="宋体"/>
          <w:color w:val="auto"/>
          <w:highlight w:val="none"/>
        </w:rPr>
        <w:t>1.4 标准和规范</w:t>
      </w:r>
      <w:bookmarkEnd w:id="772"/>
      <w:bookmarkEnd w:id="773"/>
    </w:p>
    <w:p w14:paraId="70F9CB10">
      <w:pPr>
        <w:pStyle w:val="80"/>
        <w:rPr>
          <w:rFonts w:hint="eastAsia" w:cs="宋体"/>
          <w:color w:val="auto"/>
          <w:sz w:val="21"/>
          <w:highlight w:val="none"/>
        </w:rPr>
      </w:pPr>
      <w:r>
        <w:rPr>
          <w:rFonts w:hint="eastAsia" w:cs="宋体"/>
          <w:color w:val="auto"/>
          <w:sz w:val="21"/>
          <w:highlight w:val="none"/>
        </w:rPr>
        <w:t>1.4.1适用于工程的标准规范包括：</w:t>
      </w:r>
      <w:r>
        <w:rPr>
          <w:rFonts w:hint="eastAsia" w:cs="宋体"/>
          <w:color w:val="auto"/>
          <w:sz w:val="21"/>
          <w:highlight w:val="none"/>
          <w:u w:val="single"/>
        </w:rPr>
        <w:t xml:space="preserve">     国家和地方性、行业规范    </w:t>
      </w:r>
      <w:r>
        <w:rPr>
          <w:rFonts w:hint="eastAsia" w:cs="宋体"/>
          <w:color w:val="auto"/>
          <w:sz w:val="21"/>
          <w:highlight w:val="none"/>
        </w:rPr>
        <w:t>。</w:t>
      </w:r>
    </w:p>
    <w:p w14:paraId="39F017F9">
      <w:pPr>
        <w:pStyle w:val="80"/>
        <w:rPr>
          <w:rFonts w:hint="eastAsia" w:cs="宋体"/>
          <w:color w:val="auto"/>
          <w:sz w:val="21"/>
          <w:highlight w:val="none"/>
        </w:rPr>
      </w:pPr>
      <w:r>
        <w:rPr>
          <w:rFonts w:hint="eastAsia" w:cs="宋体"/>
          <w:color w:val="auto"/>
          <w:sz w:val="21"/>
          <w:highlight w:val="none"/>
        </w:rPr>
        <w:t>1.4.2 发包人提供国外标准、规范的名称：</w:t>
      </w:r>
      <w:r>
        <w:rPr>
          <w:rFonts w:hint="eastAsia" w:cs="宋体"/>
          <w:color w:val="auto"/>
          <w:sz w:val="21"/>
          <w:highlight w:val="none"/>
          <w:u w:val="single"/>
        </w:rPr>
        <w:t xml:space="preserve">  无  </w:t>
      </w:r>
      <w:r>
        <w:rPr>
          <w:rFonts w:hint="eastAsia" w:cs="宋体"/>
          <w:color w:val="auto"/>
          <w:sz w:val="21"/>
          <w:highlight w:val="none"/>
        </w:rPr>
        <w:t>；</w:t>
      </w:r>
    </w:p>
    <w:p w14:paraId="4AD47928">
      <w:pPr>
        <w:pStyle w:val="80"/>
        <w:rPr>
          <w:rFonts w:hint="eastAsia" w:cs="宋体"/>
          <w:color w:val="auto"/>
          <w:sz w:val="21"/>
          <w:highlight w:val="none"/>
        </w:rPr>
      </w:pPr>
      <w:r>
        <w:rPr>
          <w:rFonts w:hint="eastAsia" w:cs="宋体"/>
          <w:color w:val="auto"/>
          <w:sz w:val="21"/>
          <w:highlight w:val="none"/>
        </w:rPr>
        <w:t>发包人提供国外标准、规范的份数：</w:t>
      </w:r>
      <w:r>
        <w:rPr>
          <w:rFonts w:hint="eastAsia" w:cs="宋体"/>
          <w:color w:val="auto"/>
          <w:sz w:val="21"/>
          <w:highlight w:val="none"/>
          <w:u w:val="single"/>
        </w:rPr>
        <w:t xml:space="preserve">    无     </w:t>
      </w:r>
      <w:r>
        <w:rPr>
          <w:rFonts w:hint="eastAsia" w:cs="宋体"/>
          <w:color w:val="auto"/>
          <w:sz w:val="21"/>
          <w:highlight w:val="none"/>
        </w:rPr>
        <w:t>；</w:t>
      </w:r>
    </w:p>
    <w:p w14:paraId="5438DB3B">
      <w:pPr>
        <w:pStyle w:val="80"/>
        <w:rPr>
          <w:rFonts w:hint="eastAsia" w:cs="宋体"/>
          <w:color w:val="auto"/>
          <w:sz w:val="21"/>
          <w:highlight w:val="none"/>
        </w:rPr>
      </w:pPr>
      <w:r>
        <w:rPr>
          <w:rFonts w:hint="eastAsia" w:cs="宋体"/>
          <w:color w:val="auto"/>
          <w:sz w:val="21"/>
          <w:highlight w:val="none"/>
        </w:rPr>
        <w:t>发包人提供国外标准、规范的名称：</w:t>
      </w:r>
      <w:r>
        <w:rPr>
          <w:rFonts w:hint="eastAsia" w:cs="宋体"/>
          <w:color w:val="auto"/>
          <w:sz w:val="21"/>
          <w:highlight w:val="none"/>
          <w:u w:val="single"/>
        </w:rPr>
        <w:t xml:space="preserve">      无               </w:t>
      </w:r>
      <w:r>
        <w:rPr>
          <w:rFonts w:hint="eastAsia" w:cs="宋体"/>
          <w:color w:val="auto"/>
          <w:sz w:val="21"/>
          <w:highlight w:val="none"/>
        </w:rPr>
        <w:t>。</w:t>
      </w:r>
    </w:p>
    <w:p w14:paraId="243F4F43">
      <w:pPr>
        <w:pStyle w:val="80"/>
        <w:rPr>
          <w:rFonts w:hint="eastAsia" w:cs="宋体"/>
          <w:color w:val="auto"/>
          <w:sz w:val="21"/>
          <w:highlight w:val="none"/>
        </w:rPr>
      </w:pPr>
      <w:r>
        <w:rPr>
          <w:rFonts w:hint="eastAsia" w:cs="宋体"/>
          <w:color w:val="auto"/>
          <w:sz w:val="21"/>
          <w:highlight w:val="none"/>
        </w:rPr>
        <w:t>1.4.3发包人对工程的技术标准和功能要求的特殊要求：</w:t>
      </w:r>
      <w:r>
        <w:rPr>
          <w:rFonts w:hint="eastAsia" w:cs="宋体"/>
          <w:color w:val="auto"/>
          <w:sz w:val="21"/>
          <w:highlight w:val="none"/>
          <w:u w:val="single"/>
        </w:rPr>
        <w:t xml:space="preserve">无    </w:t>
      </w:r>
      <w:r>
        <w:rPr>
          <w:rFonts w:hint="eastAsia" w:cs="宋体"/>
          <w:color w:val="auto"/>
          <w:sz w:val="21"/>
          <w:highlight w:val="none"/>
        </w:rPr>
        <w:t>。</w:t>
      </w:r>
    </w:p>
    <w:p w14:paraId="2BD0753D">
      <w:pPr>
        <w:pStyle w:val="322"/>
        <w:rPr>
          <w:rFonts w:hint="eastAsia" w:ascii="宋体" w:cs="宋体"/>
          <w:color w:val="auto"/>
          <w:highlight w:val="none"/>
        </w:rPr>
      </w:pPr>
      <w:bookmarkStart w:id="774" w:name="_Toc417904272"/>
      <w:bookmarkStart w:id="775" w:name="_Toc478389186"/>
      <w:r>
        <w:rPr>
          <w:rFonts w:hint="eastAsia" w:ascii="宋体" w:cs="宋体"/>
          <w:color w:val="auto"/>
          <w:highlight w:val="none"/>
        </w:rPr>
        <w:t>1.5 合同文件的优先顺序</w:t>
      </w:r>
      <w:bookmarkEnd w:id="774"/>
      <w:bookmarkEnd w:id="775"/>
    </w:p>
    <w:p w14:paraId="772E6BF7">
      <w:pPr>
        <w:spacing w:line="400" w:lineRule="exact"/>
        <w:ind w:firstLine="525" w:firstLineChars="250"/>
        <w:rPr>
          <w:rFonts w:hint="eastAsia" w:ascii="宋体" w:hAnsi="宋体" w:cs="宋体"/>
          <w:color w:val="auto"/>
          <w:szCs w:val="21"/>
          <w:highlight w:val="none"/>
        </w:rPr>
      </w:pPr>
      <w:r>
        <w:rPr>
          <w:rFonts w:hint="eastAsia" w:ascii="宋体" w:hAnsi="宋体" w:cs="宋体"/>
          <w:color w:val="auto"/>
          <w:szCs w:val="21"/>
          <w:highlight w:val="none"/>
        </w:rPr>
        <w:t>合同文件组成及优先顺序为：</w:t>
      </w:r>
      <w:r>
        <w:rPr>
          <w:rFonts w:hint="eastAsia" w:ascii="宋体" w:hAnsi="宋体" w:cs="宋体"/>
          <w:color w:val="auto"/>
          <w:szCs w:val="21"/>
          <w:highlight w:val="none"/>
          <w:u w:val="single"/>
        </w:rPr>
        <w:t>（1）本合同协议书；（2）成交通知书；（3）竞标函及其附件；（4）本合同专用条款及补充条款；（5）本合同通用条款；（6）标准、规范及有关技术文件；（7）工程量清单；（8）图纸（含图纸修改通知单及图纸设计变更文件）；（9）本工程其他合同文件。</w:t>
      </w:r>
    </w:p>
    <w:p w14:paraId="4AF0D585">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图纸与技术标准和要求之间有矛盾或者不一致的，以其中要求较严格的标准为准。</w:t>
      </w:r>
    </w:p>
    <w:p w14:paraId="143C33A6">
      <w:pPr>
        <w:pStyle w:val="80"/>
        <w:ind w:firstLine="0" w:firstLineChars="0"/>
        <w:rPr>
          <w:rFonts w:hint="eastAsia" w:cs="宋体"/>
          <w:color w:val="auto"/>
          <w:sz w:val="21"/>
          <w:highlight w:val="none"/>
        </w:rPr>
      </w:pPr>
      <w:r>
        <w:rPr>
          <w:rFonts w:hint="eastAsia" w:cs="宋体"/>
          <w:color w:val="auto"/>
          <w:sz w:val="21"/>
          <w:highlight w:val="none"/>
        </w:rPr>
        <w:t>合同双方在合同履行过程中签订的补充协议亦构成合同文件的组成部分，其解释顺序视其内容与其他合同文件的相互关系而定。</w:t>
      </w:r>
    </w:p>
    <w:p w14:paraId="64962318">
      <w:pPr>
        <w:pStyle w:val="322"/>
        <w:rPr>
          <w:rFonts w:hint="eastAsia" w:ascii="宋体" w:cs="宋体"/>
          <w:color w:val="auto"/>
          <w:highlight w:val="none"/>
        </w:rPr>
      </w:pPr>
      <w:bookmarkStart w:id="776" w:name="_Toc417904273"/>
      <w:bookmarkStart w:id="777" w:name="_Toc478389187"/>
      <w:r>
        <w:rPr>
          <w:rFonts w:hint="eastAsia" w:ascii="宋体" w:cs="宋体"/>
          <w:color w:val="auto"/>
          <w:highlight w:val="none"/>
        </w:rPr>
        <w:t>1.6 图纸和承包人文件</w:t>
      </w:r>
      <w:bookmarkEnd w:id="776"/>
      <w:bookmarkEnd w:id="777"/>
      <w:r>
        <w:rPr>
          <w:rFonts w:hint="eastAsia" w:ascii="宋体" w:cs="宋体"/>
          <w:color w:val="auto"/>
          <w:highlight w:val="none"/>
        </w:rPr>
        <w:tab/>
      </w:r>
    </w:p>
    <w:p w14:paraId="6ECD4DF8">
      <w:pPr>
        <w:pStyle w:val="80"/>
        <w:rPr>
          <w:rFonts w:hint="eastAsia" w:cs="宋体"/>
          <w:color w:val="auto"/>
          <w:sz w:val="21"/>
          <w:highlight w:val="none"/>
        </w:rPr>
      </w:pPr>
      <w:r>
        <w:rPr>
          <w:rFonts w:hint="eastAsia" w:cs="宋体"/>
          <w:color w:val="auto"/>
          <w:sz w:val="21"/>
          <w:highlight w:val="none"/>
        </w:rPr>
        <w:t>1.6.1 图纸的提供</w:t>
      </w:r>
    </w:p>
    <w:p w14:paraId="553525C5">
      <w:pPr>
        <w:pStyle w:val="80"/>
        <w:rPr>
          <w:rFonts w:hint="eastAsia" w:cs="宋体"/>
          <w:color w:val="auto"/>
          <w:sz w:val="21"/>
          <w:highlight w:val="none"/>
          <w:u w:val="single"/>
        </w:rPr>
      </w:pPr>
      <w:r>
        <w:rPr>
          <w:rFonts w:hint="eastAsia" w:cs="宋体"/>
          <w:color w:val="auto"/>
          <w:sz w:val="21"/>
          <w:highlight w:val="none"/>
        </w:rPr>
        <w:t>发包人向承包人提供图纸的期限：</w:t>
      </w:r>
      <w:r>
        <w:rPr>
          <w:rFonts w:hint="eastAsia" w:cs="宋体"/>
          <w:color w:val="auto"/>
          <w:sz w:val="21"/>
          <w:highlight w:val="none"/>
          <w:u w:val="single"/>
        </w:rPr>
        <w:t>合同生效后7天内；</w:t>
      </w:r>
    </w:p>
    <w:p w14:paraId="72F6C803">
      <w:pPr>
        <w:pStyle w:val="80"/>
        <w:rPr>
          <w:rFonts w:hint="eastAsia" w:cs="宋体"/>
          <w:color w:val="auto"/>
          <w:sz w:val="21"/>
          <w:highlight w:val="none"/>
        </w:rPr>
      </w:pPr>
      <w:r>
        <w:rPr>
          <w:rFonts w:hint="eastAsia" w:cs="宋体"/>
          <w:color w:val="auto"/>
          <w:sz w:val="21"/>
          <w:highlight w:val="none"/>
        </w:rPr>
        <w:t>发包人向承包人提供图纸的数量：</w:t>
      </w:r>
      <w:r>
        <w:rPr>
          <w:rFonts w:hint="eastAsia" w:cs="宋体"/>
          <w:color w:val="auto"/>
          <w:sz w:val="21"/>
          <w:highlight w:val="none"/>
          <w:u w:val="single"/>
        </w:rPr>
        <w:t>图纸和其他技术资料壹份（标准图集由承包人自备）</w:t>
      </w:r>
      <w:r>
        <w:rPr>
          <w:rFonts w:hint="eastAsia" w:cs="宋体"/>
          <w:color w:val="auto"/>
          <w:sz w:val="21"/>
          <w:highlight w:val="none"/>
        </w:rPr>
        <w:t>；</w:t>
      </w:r>
    </w:p>
    <w:p w14:paraId="006405F1">
      <w:pPr>
        <w:pStyle w:val="80"/>
        <w:rPr>
          <w:rFonts w:hint="eastAsia" w:cs="宋体"/>
          <w:color w:val="auto"/>
          <w:sz w:val="21"/>
          <w:highlight w:val="none"/>
        </w:rPr>
      </w:pPr>
      <w:r>
        <w:rPr>
          <w:rFonts w:hint="eastAsia" w:cs="宋体"/>
          <w:color w:val="auto"/>
          <w:sz w:val="21"/>
          <w:highlight w:val="none"/>
        </w:rPr>
        <w:t>发包人向承包人提供图纸的内容：</w:t>
      </w:r>
      <w:r>
        <w:rPr>
          <w:rFonts w:hint="eastAsia" w:cs="宋体"/>
          <w:color w:val="auto"/>
          <w:sz w:val="21"/>
          <w:highlight w:val="none"/>
          <w:u w:val="single"/>
        </w:rPr>
        <w:t xml:space="preserve">   与本项目相关             </w:t>
      </w:r>
      <w:r>
        <w:rPr>
          <w:rFonts w:hint="eastAsia" w:cs="宋体"/>
          <w:color w:val="auto"/>
          <w:sz w:val="21"/>
          <w:highlight w:val="none"/>
        </w:rPr>
        <w:t>。</w:t>
      </w:r>
    </w:p>
    <w:p w14:paraId="1844A2EE">
      <w:pPr>
        <w:pStyle w:val="80"/>
        <w:rPr>
          <w:rFonts w:hint="eastAsia" w:cs="宋体"/>
          <w:color w:val="auto"/>
          <w:sz w:val="21"/>
          <w:highlight w:val="none"/>
        </w:rPr>
      </w:pPr>
      <w:r>
        <w:rPr>
          <w:rFonts w:hint="eastAsia" w:cs="宋体"/>
          <w:color w:val="auto"/>
          <w:sz w:val="21"/>
          <w:highlight w:val="none"/>
        </w:rPr>
        <w:t>1.6.4 承包人文件</w:t>
      </w:r>
    </w:p>
    <w:p w14:paraId="1C2B36AB">
      <w:pPr>
        <w:pStyle w:val="80"/>
        <w:rPr>
          <w:rFonts w:hint="eastAsia" w:cs="宋体"/>
          <w:color w:val="auto"/>
          <w:sz w:val="21"/>
          <w:highlight w:val="none"/>
        </w:rPr>
      </w:pPr>
      <w:r>
        <w:rPr>
          <w:rFonts w:hint="eastAsia" w:cs="宋体"/>
          <w:color w:val="auto"/>
          <w:sz w:val="21"/>
          <w:highlight w:val="none"/>
        </w:rPr>
        <w:t>需要由承包人提供的文件，包括：</w:t>
      </w:r>
      <w:r>
        <w:rPr>
          <w:rFonts w:hint="eastAsia" w:cs="宋体"/>
          <w:color w:val="auto"/>
          <w:sz w:val="21"/>
          <w:highlight w:val="none"/>
          <w:u w:val="single"/>
        </w:rPr>
        <w:t>除专用合同条款约定的由承包人提供的设计文件外，本项约定的其他应由承包人提供的文件，包括必要的加工图和大样图，均不是合同计量与支付的依据文件。由承包人提供的文件范围：施工图以外的大样图、加工图、标准图等</w:t>
      </w:r>
      <w:r>
        <w:rPr>
          <w:rFonts w:hint="eastAsia" w:cs="宋体"/>
          <w:color w:val="auto"/>
          <w:sz w:val="21"/>
          <w:highlight w:val="none"/>
        </w:rPr>
        <w:t>；</w:t>
      </w:r>
    </w:p>
    <w:p w14:paraId="40DCF46D">
      <w:pPr>
        <w:pStyle w:val="80"/>
        <w:rPr>
          <w:rFonts w:hint="eastAsia" w:cs="宋体"/>
          <w:color w:val="auto"/>
          <w:sz w:val="21"/>
          <w:highlight w:val="none"/>
        </w:rPr>
      </w:pPr>
      <w:r>
        <w:rPr>
          <w:rFonts w:hint="eastAsia" w:cs="宋体"/>
          <w:color w:val="auto"/>
          <w:sz w:val="21"/>
          <w:highlight w:val="none"/>
        </w:rPr>
        <w:t>承包人提供的文件的期限为：</w:t>
      </w:r>
      <w:r>
        <w:rPr>
          <w:rFonts w:hint="eastAsia" w:cs="宋体"/>
          <w:color w:val="auto"/>
          <w:sz w:val="21"/>
          <w:highlight w:val="none"/>
          <w:u w:val="single"/>
        </w:rPr>
        <w:t xml:space="preserve">  构件开始施工前7天内  </w:t>
      </w:r>
      <w:r>
        <w:rPr>
          <w:rFonts w:hint="eastAsia" w:cs="宋体"/>
          <w:color w:val="auto"/>
          <w:sz w:val="21"/>
          <w:highlight w:val="none"/>
        </w:rPr>
        <w:t>；</w:t>
      </w:r>
    </w:p>
    <w:p w14:paraId="7799CF63">
      <w:pPr>
        <w:pStyle w:val="80"/>
        <w:rPr>
          <w:rFonts w:hint="eastAsia" w:cs="宋体"/>
          <w:color w:val="auto"/>
          <w:sz w:val="21"/>
          <w:highlight w:val="none"/>
        </w:rPr>
      </w:pPr>
      <w:r>
        <w:rPr>
          <w:rFonts w:hint="eastAsia" w:cs="宋体"/>
          <w:color w:val="auto"/>
          <w:sz w:val="21"/>
          <w:highlight w:val="none"/>
        </w:rPr>
        <w:t>承包人提供的文件的数量为：</w:t>
      </w:r>
      <w:r>
        <w:rPr>
          <w:rFonts w:hint="eastAsia" w:cs="宋体"/>
          <w:color w:val="auto"/>
          <w:sz w:val="21"/>
          <w:highlight w:val="none"/>
          <w:u w:val="single"/>
        </w:rPr>
        <w:t xml:space="preserve">      5份                </w:t>
      </w:r>
      <w:r>
        <w:rPr>
          <w:rFonts w:hint="eastAsia" w:cs="宋体"/>
          <w:color w:val="auto"/>
          <w:sz w:val="21"/>
          <w:highlight w:val="none"/>
        </w:rPr>
        <w:t>；</w:t>
      </w:r>
    </w:p>
    <w:p w14:paraId="62B60857">
      <w:pPr>
        <w:pStyle w:val="80"/>
        <w:rPr>
          <w:rFonts w:hint="eastAsia" w:cs="宋体"/>
          <w:color w:val="auto"/>
          <w:sz w:val="21"/>
          <w:highlight w:val="none"/>
        </w:rPr>
      </w:pPr>
      <w:r>
        <w:rPr>
          <w:rFonts w:hint="eastAsia" w:cs="宋体"/>
          <w:color w:val="auto"/>
          <w:sz w:val="21"/>
          <w:highlight w:val="none"/>
        </w:rPr>
        <w:t>承包人提供的文件的形式为：</w:t>
      </w:r>
      <w:r>
        <w:rPr>
          <w:rFonts w:hint="eastAsia" w:cs="宋体"/>
          <w:color w:val="auto"/>
          <w:sz w:val="21"/>
          <w:highlight w:val="none"/>
          <w:u w:val="single"/>
        </w:rPr>
        <w:t xml:space="preserve">      书面                 </w:t>
      </w:r>
      <w:r>
        <w:rPr>
          <w:rFonts w:hint="eastAsia" w:cs="宋体"/>
          <w:color w:val="auto"/>
          <w:sz w:val="21"/>
          <w:highlight w:val="none"/>
        </w:rPr>
        <w:t>；</w:t>
      </w:r>
    </w:p>
    <w:p w14:paraId="7C6AE9B6">
      <w:pPr>
        <w:pStyle w:val="80"/>
        <w:rPr>
          <w:rFonts w:hint="eastAsia" w:cs="宋体"/>
          <w:color w:val="auto"/>
          <w:sz w:val="21"/>
          <w:highlight w:val="none"/>
        </w:rPr>
      </w:pPr>
      <w:r>
        <w:rPr>
          <w:rFonts w:hint="eastAsia" w:cs="宋体"/>
          <w:color w:val="auto"/>
          <w:sz w:val="21"/>
          <w:highlight w:val="none"/>
        </w:rPr>
        <w:t>发包人审批承包人文件的期限：</w:t>
      </w:r>
      <w:r>
        <w:rPr>
          <w:rFonts w:hint="eastAsia" w:cs="宋体"/>
          <w:color w:val="auto"/>
          <w:sz w:val="21"/>
          <w:highlight w:val="none"/>
          <w:u w:val="single"/>
        </w:rPr>
        <w:t xml:space="preserve">     15天内                </w:t>
      </w:r>
      <w:r>
        <w:rPr>
          <w:rFonts w:hint="eastAsia" w:cs="宋体"/>
          <w:color w:val="auto"/>
          <w:sz w:val="21"/>
          <w:highlight w:val="none"/>
        </w:rPr>
        <w:t>。</w:t>
      </w:r>
    </w:p>
    <w:p w14:paraId="2C94F1D7">
      <w:pPr>
        <w:pStyle w:val="80"/>
        <w:rPr>
          <w:rFonts w:hint="eastAsia" w:cs="宋体"/>
          <w:color w:val="auto"/>
          <w:sz w:val="21"/>
          <w:highlight w:val="none"/>
        </w:rPr>
      </w:pPr>
      <w:r>
        <w:rPr>
          <w:rFonts w:hint="eastAsia" w:cs="宋体"/>
          <w:color w:val="auto"/>
          <w:sz w:val="21"/>
          <w:highlight w:val="none"/>
        </w:rPr>
        <w:t>1.6.5 现场图纸准备</w:t>
      </w:r>
    </w:p>
    <w:p w14:paraId="690E8F5B">
      <w:pPr>
        <w:pStyle w:val="80"/>
        <w:rPr>
          <w:rFonts w:hint="eastAsia" w:cs="宋体"/>
          <w:color w:val="auto"/>
          <w:sz w:val="21"/>
          <w:highlight w:val="none"/>
        </w:rPr>
      </w:pPr>
      <w:r>
        <w:rPr>
          <w:rFonts w:hint="eastAsia" w:cs="宋体"/>
          <w:color w:val="auto"/>
          <w:sz w:val="21"/>
          <w:highlight w:val="none"/>
        </w:rPr>
        <w:t>关于现场图纸准备的约定：</w:t>
      </w:r>
      <w:r>
        <w:rPr>
          <w:rFonts w:hint="eastAsia" w:cs="宋体"/>
          <w:color w:val="auto"/>
          <w:sz w:val="21"/>
          <w:highlight w:val="none"/>
          <w:u w:val="single"/>
        </w:rPr>
        <w:t xml:space="preserve"> 承包人应在施工现场另外保存一套完整的图纸和承包人文件，供发包人、监理人及有关人员进行工程检查时使用   </w:t>
      </w:r>
      <w:r>
        <w:rPr>
          <w:rFonts w:hint="eastAsia" w:cs="宋体"/>
          <w:color w:val="auto"/>
          <w:sz w:val="21"/>
          <w:highlight w:val="none"/>
        </w:rPr>
        <w:t>。</w:t>
      </w:r>
    </w:p>
    <w:p w14:paraId="6E9E967C">
      <w:pPr>
        <w:pStyle w:val="322"/>
        <w:rPr>
          <w:rFonts w:hint="eastAsia" w:ascii="宋体" w:cs="宋体"/>
          <w:color w:val="auto"/>
          <w:highlight w:val="none"/>
        </w:rPr>
      </w:pPr>
      <w:bookmarkStart w:id="778" w:name="_Toc417904274"/>
      <w:bookmarkStart w:id="779" w:name="_Toc478389188"/>
      <w:r>
        <w:rPr>
          <w:rFonts w:hint="eastAsia" w:ascii="宋体" w:cs="宋体"/>
          <w:color w:val="auto"/>
          <w:highlight w:val="none"/>
        </w:rPr>
        <w:t>1.7 联络</w:t>
      </w:r>
      <w:bookmarkEnd w:id="778"/>
      <w:bookmarkEnd w:id="779"/>
    </w:p>
    <w:p w14:paraId="54FFF99F">
      <w:pPr>
        <w:pStyle w:val="80"/>
        <w:rPr>
          <w:rFonts w:hint="eastAsia" w:cs="宋体"/>
          <w:color w:val="auto"/>
          <w:sz w:val="21"/>
          <w:highlight w:val="none"/>
        </w:rPr>
      </w:pPr>
      <w:r>
        <w:rPr>
          <w:rFonts w:hint="eastAsia" w:cs="宋体"/>
          <w:color w:val="auto"/>
          <w:sz w:val="21"/>
          <w:highlight w:val="none"/>
        </w:rPr>
        <w:t>1.7.1发包人和承包人应当在</w:t>
      </w:r>
      <w:r>
        <w:rPr>
          <w:rFonts w:hint="eastAsia" w:cs="宋体"/>
          <w:color w:val="auto"/>
          <w:sz w:val="21"/>
          <w:highlight w:val="none"/>
          <w:u w:val="single"/>
        </w:rPr>
        <w:t xml:space="preserve"> 进场施工前 7  </w:t>
      </w:r>
      <w:r>
        <w:rPr>
          <w:rFonts w:hint="eastAsia" w:cs="宋体"/>
          <w:color w:val="auto"/>
          <w:sz w:val="21"/>
          <w:highlight w:val="none"/>
        </w:rPr>
        <w:t>天内将与合同有关的通知、批准、证明、证书、指示、指令、要求、请求、同意、意见、确定和决定等书面函件送达对方当事人。</w:t>
      </w:r>
    </w:p>
    <w:p w14:paraId="7B183C39">
      <w:pPr>
        <w:pStyle w:val="80"/>
        <w:rPr>
          <w:rFonts w:hint="eastAsia" w:cs="宋体"/>
          <w:color w:val="auto"/>
          <w:sz w:val="21"/>
          <w:highlight w:val="none"/>
        </w:rPr>
      </w:pPr>
      <w:r>
        <w:rPr>
          <w:rFonts w:hint="eastAsia" w:cs="宋体"/>
          <w:color w:val="auto"/>
          <w:sz w:val="21"/>
          <w:highlight w:val="none"/>
        </w:rPr>
        <w:t>1.7.2 发包人接收文件的地点：</w:t>
      </w:r>
      <w:r>
        <w:rPr>
          <w:rFonts w:hint="eastAsia" w:cs="宋体"/>
          <w:color w:val="auto"/>
          <w:sz w:val="21"/>
          <w:highlight w:val="none"/>
          <w:u w:val="single"/>
        </w:rPr>
        <w:t xml:space="preserve">  桂林市区内  </w:t>
      </w:r>
      <w:r>
        <w:rPr>
          <w:rFonts w:hint="eastAsia" w:cs="宋体"/>
          <w:color w:val="auto"/>
          <w:sz w:val="21"/>
          <w:highlight w:val="none"/>
        </w:rPr>
        <w:t>；</w:t>
      </w:r>
    </w:p>
    <w:p w14:paraId="6BCB5363">
      <w:pPr>
        <w:pStyle w:val="80"/>
        <w:rPr>
          <w:rFonts w:hint="eastAsia" w:cs="宋体"/>
          <w:color w:val="auto"/>
          <w:sz w:val="21"/>
          <w:highlight w:val="none"/>
        </w:rPr>
      </w:pPr>
      <w:r>
        <w:rPr>
          <w:rFonts w:hint="eastAsia" w:cs="宋体"/>
          <w:color w:val="auto"/>
          <w:sz w:val="21"/>
          <w:highlight w:val="none"/>
        </w:rPr>
        <w:t>发包人指定的接收人为：</w:t>
      </w:r>
      <w:r>
        <w:rPr>
          <w:rFonts w:hint="eastAsia" w:cs="宋体"/>
          <w:color w:val="auto"/>
          <w:sz w:val="21"/>
          <w:highlight w:val="none"/>
          <w:u w:val="single"/>
        </w:rPr>
        <w:t xml:space="preserve">   双方按实际情况现场约定        </w:t>
      </w:r>
      <w:r>
        <w:rPr>
          <w:rFonts w:hint="eastAsia" w:cs="宋体"/>
          <w:color w:val="auto"/>
          <w:sz w:val="21"/>
          <w:highlight w:val="none"/>
        </w:rPr>
        <w:t>。</w:t>
      </w:r>
    </w:p>
    <w:p w14:paraId="724AE064">
      <w:pPr>
        <w:pStyle w:val="80"/>
        <w:rPr>
          <w:rFonts w:hint="eastAsia" w:cs="宋体"/>
          <w:color w:val="auto"/>
          <w:sz w:val="21"/>
          <w:highlight w:val="none"/>
        </w:rPr>
      </w:pPr>
      <w:r>
        <w:rPr>
          <w:rFonts w:hint="eastAsia" w:cs="宋体"/>
          <w:color w:val="auto"/>
          <w:sz w:val="21"/>
          <w:highlight w:val="none"/>
        </w:rPr>
        <w:t>承包人接收文件的地点：</w:t>
      </w:r>
      <w:r>
        <w:rPr>
          <w:rFonts w:hint="eastAsia" w:cs="宋体"/>
          <w:color w:val="auto"/>
          <w:sz w:val="21"/>
          <w:highlight w:val="none"/>
          <w:u w:val="single"/>
        </w:rPr>
        <w:t xml:space="preserve">     发包人资料室               </w:t>
      </w:r>
      <w:r>
        <w:rPr>
          <w:rFonts w:hint="eastAsia" w:cs="宋体"/>
          <w:color w:val="auto"/>
          <w:sz w:val="21"/>
          <w:highlight w:val="none"/>
        </w:rPr>
        <w:t>；</w:t>
      </w:r>
    </w:p>
    <w:p w14:paraId="3D8F5E08">
      <w:pPr>
        <w:pStyle w:val="80"/>
        <w:rPr>
          <w:rFonts w:hint="eastAsia" w:cs="宋体"/>
          <w:color w:val="auto"/>
          <w:sz w:val="21"/>
          <w:highlight w:val="none"/>
        </w:rPr>
      </w:pPr>
      <w:r>
        <w:rPr>
          <w:rFonts w:hint="eastAsia" w:cs="宋体"/>
          <w:color w:val="auto"/>
          <w:sz w:val="21"/>
          <w:highlight w:val="none"/>
        </w:rPr>
        <w:t>承包人指定的接收人为：</w:t>
      </w:r>
      <w:r>
        <w:rPr>
          <w:rFonts w:hint="eastAsia" w:cs="宋体"/>
          <w:color w:val="auto"/>
          <w:sz w:val="21"/>
          <w:highlight w:val="none"/>
          <w:u w:val="single"/>
        </w:rPr>
        <w:t xml:space="preserve">     （签约时填写）                      </w:t>
      </w:r>
      <w:r>
        <w:rPr>
          <w:rFonts w:hint="eastAsia" w:cs="宋体"/>
          <w:color w:val="auto"/>
          <w:sz w:val="21"/>
          <w:highlight w:val="none"/>
        </w:rPr>
        <w:t>。</w:t>
      </w:r>
    </w:p>
    <w:p w14:paraId="40171C91">
      <w:pPr>
        <w:pStyle w:val="322"/>
        <w:rPr>
          <w:rFonts w:hint="eastAsia" w:ascii="宋体" w:cs="宋体"/>
          <w:color w:val="auto"/>
          <w:highlight w:val="none"/>
        </w:rPr>
      </w:pPr>
      <w:bookmarkStart w:id="780" w:name="_Toc478389189"/>
      <w:bookmarkStart w:id="781" w:name="_Toc417904275"/>
      <w:r>
        <w:rPr>
          <w:rFonts w:hint="eastAsia" w:ascii="宋体" w:cs="宋体"/>
          <w:color w:val="auto"/>
          <w:highlight w:val="none"/>
        </w:rPr>
        <w:t>1.10 交通运输</w:t>
      </w:r>
      <w:bookmarkEnd w:id="780"/>
      <w:bookmarkEnd w:id="781"/>
    </w:p>
    <w:p w14:paraId="51AFC157">
      <w:pPr>
        <w:pStyle w:val="80"/>
        <w:rPr>
          <w:rFonts w:hint="eastAsia" w:cs="宋体"/>
          <w:color w:val="auto"/>
          <w:sz w:val="21"/>
          <w:highlight w:val="none"/>
        </w:rPr>
      </w:pPr>
      <w:r>
        <w:rPr>
          <w:rFonts w:hint="eastAsia" w:cs="宋体"/>
          <w:color w:val="auto"/>
          <w:sz w:val="21"/>
          <w:highlight w:val="none"/>
        </w:rPr>
        <w:t>1</w:t>
      </w:r>
      <w:bookmarkStart w:id="782" w:name="_Toc312677986"/>
      <w:bookmarkStart w:id="783" w:name="_Toc303539100"/>
      <w:bookmarkStart w:id="784" w:name="_Toc318581155"/>
      <w:bookmarkStart w:id="785" w:name="_Toc304295521"/>
      <w:bookmarkStart w:id="786" w:name="_Toc300934943"/>
      <w:r>
        <w:rPr>
          <w:rFonts w:hint="eastAsia" w:cs="宋体"/>
          <w:color w:val="auto"/>
          <w:sz w:val="21"/>
          <w:highlight w:val="none"/>
        </w:rPr>
        <w:t>.10.1 出入现场的权利</w:t>
      </w:r>
    </w:p>
    <w:p w14:paraId="5E98F833">
      <w:pPr>
        <w:pStyle w:val="80"/>
        <w:ind w:firstLine="0" w:firstLineChars="0"/>
        <w:rPr>
          <w:rFonts w:hint="eastAsia" w:cs="宋体"/>
          <w:color w:val="auto"/>
          <w:sz w:val="21"/>
          <w:highlight w:val="none"/>
        </w:rPr>
      </w:pPr>
      <w:r>
        <w:rPr>
          <w:rFonts w:hint="eastAsia" w:cs="宋体"/>
          <w:color w:val="auto"/>
          <w:sz w:val="21"/>
          <w:highlight w:val="none"/>
        </w:rPr>
        <w:t>关于出入现场的权利的约定：</w:t>
      </w:r>
      <w:r>
        <w:rPr>
          <w:rFonts w:hint="eastAsia" w:cs="宋体"/>
          <w:color w:val="auto"/>
          <w:sz w:val="21"/>
          <w:highlight w:val="none"/>
          <w:u w:val="single"/>
        </w:rPr>
        <w:t xml:space="preserve">   （签约时填写）   </w:t>
      </w:r>
      <w:r>
        <w:rPr>
          <w:rFonts w:hint="eastAsia" w:cs="宋体"/>
          <w:color w:val="auto"/>
          <w:sz w:val="21"/>
          <w:highlight w:val="none"/>
        </w:rPr>
        <w:t>。</w:t>
      </w:r>
    </w:p>
    <w:bookmarkEnd w:id="782"/>
    <w:bookmarkEnd w:id="783"/>
    <w:bookmarkEnd w:id="784"/>
    <w:bookmarkEnd w:id="785"/>
    <w:bookmarkEnd w:id="786"/>
    <w:p w14:paraId="2D76B550">
      <w:pPr>
        <w:pStyle w:val="80"/>
        <w:rPr>
          <w:rFonts w:hint="eastAsia" w:cs="宋体"/>
          <w:color w:val="auto"/>
          <w:sz w:val="21"/>
          <w:highlight w:val="none"/>
        </w:rPr>
      </w:pPr>
      <w:r>
        <w:rPr>
          <w:rFonts w:hint="eastAsia" w:cs="宋体"/>
          <w:color w:val="auto"/>
          <w:sz w:val="21"/>
          <w:highlight w:val="none"/>
        </w:rPr>
        <w:t>1</w:t>
      </w:r>
      <w:bookmarkStart w:id="787" w:name="_Toc303539101"/>
      <w:bookmarkStart w:id="788" w:name="_Toc312677987"/>
      <w:bookmarkStart w:id="789" w:name="_Toc304295522"/>
      <w:bookmarkStart w:id="790" w:name="_Toc300934944"/>
      <w:bookmarkStart w:id="791" w:name="_Toc318581156"/>
      <w:r>
        <w:rPr>
          <w:rFonts w:hint="eastAsia" w:cs="宋体"/>
          <w:color w:val="auto"/>
          <w:sz w:val="21"/>
          <w:highlight w:val="none"/>
        </w:rPr>
        <w:t>.10.3 场内交通</w:t>
      </w:r>
    </w:p>
    <w:p w14:paraId="3E169069">
      <w:pPr>
        <w:pStyle w:val="80"/>
        <w:ind w:firstLine="0" w:firstLineChars="0"/>
        <w:rPr>
          <w:rFonts w:hint="eastAsia" w:cs="宋体"/>
          <w:color w:val="auto"/>
          <w:sz w:val="21"/>
          <w:highlight w:val="none"/>
        </w:rPr>
      </w:pPr>
      <w:r>
        <w:rPr>
          <w:rFonts w:hint="eastAsia" w:cs="宋体"/>
          <w:color w:val="auto"/>
          <w:sz w:val="21"/>
          <w:highlight w:val="none"/>
        </w:rPr>
        <w:t>关于场外交通和场内交通的边界的约定：</w:t>
      </w:r>
      <w:r>
        <w:rPr>
          <w:rFonts w:hint="eastAsia" w:cs="宋体"/>
          <w:color w:val="auto"/>
          <w:sz w:val="21"/>
          <w:highlight w:val="none"/>
          <w:u w:val="single"/>
        </w:rPr>
        <w:t xml:space="preserve">   规划用边线     </w:t>
      </w:r>
      <w:r>
        <w:rPr>
          <w:rFonts w:hint="eastAsia" w:cs="宋体"/>
          <w:color w:val="auto"/>
          <w:sz w:val="21"/>
          <w:highlight w:val="none"/>
        </w:rPr>
        <w:t>。</w:t>
      </w:r>
    </w:p>
    <w:p w14:paraId="02AED787">
      <w:pPr>
        <w:pStyle w:val="80"/>
        <w:ind w:firstLine="0" w:firstLineChars="0"/>
        <w:rPr>
          <w:rFonts w:hint="eastAsia" w:cs="宋体"/>
          <w:color w:val="auto"/>
          <w:sz w:val="21"/>
          <w:highlight w:val="none"/>
        </w:rPr>
      </w:pPr>
      <w:r>
        <w:rPr>
          <w:rFonts w:hint="eastAsia" w:cs="宋体"/>
          <w:color w:val="auto"/>
          <w:sz w:val="21"/>
          <w:highlight w:val="none"/>
        </w:rPr>
        <w:t>关于发包人向承包人免费提供满足工程施工需要的场内道路和交通设施的约定：</w:t>
      </w:r>
      <w:r>
        <w:rPr>
          <w:rFonts w:hint="eastAsia" w:cs="宋体"/>
          <w:color w:val="auto"/>
          <w:sz w:val="21"/>
          <w:highlight w:val="none"/>
          <w:u w:val="single"/>
        </w:rPr>
        <w:t>货运通道及相关设施  。</w:t>
      </w:r>
      <w:bookmarkEnd w:id="787"/>
      <w:bookmarkEnd w:id="788"/>
      <w:bookmarkEnd w:id="789"/>
      <w:bookmarkEnd w:id="790"/>
      <w:bookmarkEnd w:id="791"/>
      <w:bookmarkStart w:id="792" w:name="_Toc318581157"/>
    </w:p>
    <w:p w14:paraId="088EFF2F">
      <w:pPr>
        <w:pStyle w:val="80"/>
        <w:rPr>
          <w:rFonts w:hint="eastAsia" w:cs="宋体"/>
          <w:color w:val="auto"/>
          <w:sz w:val="21"/>
          <w:highlight w:val="none"/>
        </w:rPr>
      </w:pPr>
      <w:r>
        <w:rPr>
          <w:rFonts w:hint="eastAsia" w:cs="宋体"/>
          <w:color w:val="auto"/>
          <w:sz w:val="21"/>
          <w:highlight w:val="none"/>
        </w:rPr>
        <w:t>1.10.4超大件和超重件的运输</w:t>
      </w:r>
    </w:p>
    <w:p w14:paraId="70E056D6">
      <w:pPr>
        <w:pStyle w:val="80"/>
        <w:rPr>
          <w:rFonts w:hint="eastAsia" w:cs="宋体"/>
          <w:color w:val="auto"/>
          <w:sz w:val="21"/>
          <w:highlight w:val="none"/>
        </w:rPr>
      </w:pPr>
      <w:r>
        <w:rPr>
          <w:rFonts w:hint="eastAsia" w:cs="宋体"/>
          <w:color w:val="auto"/>
          <w:sz w:val="21"/>
          <w:highlight w:val="none"/>
        </w:rPr>
        <w:t>运输超大件或超重件所需的道路和桥梁临时加固改造费用和其他有关费用由</w:t>
      </w:r>
      <w:r>
        <w:rPr>
          <w:rFonts w:hint="eastAsia" w:cs="宋体"/>
          <w:color w:val="auto"/>
          <w:sz w:val="21"/>
          <w:highlight w:val="none"/>
          <w:u w:val="single"/>
        </w:rPr>
        <w:t>承包人</w:t>
      </w:r>
      <w:r>
        <w:rPr>
          <w:rFonts w:hint="eastAsia" w:cs="宋体"/>
          <w:color w:val="auto"/>
          <w:sz w:val="21"/>
          <w:highlight w:val="none"/>
        </w:rPr>
        <w:t>承担。</w:t>
      </w:r>
    </w:p>
    <w:bookmarkEnd w:id="792"/>
    <w:p w14:paraId="69703961">
      <w:pPr>
        <w:pStyle w:val="322"/>
        <w:rPr>
          <w:rFonts w:hint="eastAsia" w:ascii="宋体" w:cs="宋体"/>
          <w:color w:val="auto"/>
          <w:highlight w:val="none"/>
        </w:rPr>
      </w:pPr>
      <w:bookmarkStart w:id="793" w:name="_Toc478389190"/>
      <w:bookmarkStart w:id="794" w:name="_Toc417904276"/>
      <w:r>
        <w:rPr>
          <w:rFonts w:hint="eastAsia" w:ascii="宋体" w:cs="宋体"/>
          <w:color w:val="auto"/>
          <w:highlight w:val="none"/>
        </w:rPr>
        <w:t>1.11 知识产权</w:t>
      </w:r>
      <w:bookmarkEnd w:id="793"/>
      <w:bookmarkEnd w:id="794"/>
    </w:p>
    <w:p w14:paraId="115633A7">
      <w:pPr>
        <w:pStyle w:val="80"/>
        <w:rPr>
          <w:rFonts w:hint="eastAsia" w:cs="宋体"/>
          <w:color w:val="auto"/>
          <w:sz w:val="21"/>
          <w:highlight w:val="none"/>
        </w:rPr>
      </w:pPr>
      <w:r>
        <w:rPr>
          <w:rFonts w:hint="eastAsia" w:cs="宋体"/>
          <w:color w:val="auto"/>
          <w:sz w:val="21"/>
          <w:highlight w:val="none"/>
        </w:rPr>
        <w:t>1.11.1关于发包人提供给承包人的图纸、发包人为实施工程自行编制或委托编制的技术规范以及反映发包人关于合同要求或其他类似性质的文件的著作权的归属：</w:t>
      </w:r>
      <w:r>
        <w:rPr>
          <w:rFonts w:hint="eastAsia" w:cs="宋体"/>
          <w:color w:val="auto"/>
          <w:sz w:val="21"/>
          <w:highlight w:val="none"/>
          <w:u w:val="single"/>
        </w:rPr>
        <w:t xml:space="preserve">    发包人   </w:t>
      </w:r>
      <w:r>
        <w:rPr>
          <w:rFonts w:hint="eastAsia" w:cs="宋体"/>
          <w:color w:val="auto"/>
          <w:sz w:val="21"/>
          <w:highlight w:val="none"/>
        </w:rPr>
        <w:t>。</w:t>
      </w:r>
    </w:p>
    <w:p w14:paraId="33085959">
      <w:pPr>
        <w:pStyle w:val="80"/>
        <w:rPr>
          <w:rFonts w:hint="eastAsia" w:cs="宋体"/>
          <w:color w:val="auto"/>
          <w:sz w:val="21"/>
          <w:highlight w:val="none"/>
        </w:rPr>
      </w:pPr>
      <w:r>
        <w:rPr>
          <w:rFonts w:hint="eastAsia" w:cs="宋体"/>
          <w:color w:val="auto"/>
          <w:sz w:val="21"/>
          <w:highlight w:val="none"/>
        </w:rPr>
        <w:t>关于发包人提供的上述文件的使用限制的要求：</w:t>
      </w:r>
      <w:r>
        <w:rPr>
          <w:rFonts w:hint="eastAsia" w:cs="宋体"/>
          <w:color w:val="auto"/>
          <w:sz w:val="21"/>
          <w:highlight w:val="none"/>
          <w:u w:val="single"/>
        </w:rPr>
        <w:t xml:space="preserve"> 未经发包人书面同意， 承包人不得为了合同以外的目的而复制、使用上述文件或将之提供给任何第三方  </w:t>
      </w:r>
      <w:r>
        <w:rPr>
          <w:rFonts w:hint="eastAsia" w:cs="宋体"/>
          <w:color w:val="auto"/>
          <w:sz w:val="21"/>
          <w:highlight w:val="none"/>
        </w:rPr>
        <w:t>。</w:t>
      </w:r>
    </w:p>
    <w:p w14:paraId="62587057">
      <w:pPr>
        <w:pStyle w:val="80"/>
        <w:rPr>
          <w:rFonts w:hint="eastAsia" w:cs="宋体"/>
          <w:color w:val="auto"/>
          <w:sz w:val="21"/>
          <w:highlight w:val="none"/>
        </w:rPr>
      </w:pPr>
      <w:r>
        <w:rPr>
          <w:rFonts w:hint="eastAsia" w:cs="宋体"/>
          <w:color w:val="auto"/>
          <w:sz w:val="21"/>
          <w:highlight w:val="none"/>
        </w:rPr>
        <w:t>1.11.2 关于承包人为实施工程所编制文件的著作权的归属：</w:t>
      </w:r>
      <w:r>
        <w:rPr>
          <w:rFonts w:hint="eastAsia" w:cs="宋体"/>
          <w:color w:val="auto"/>
          <w:sz w:val="21"/>
          <w:highlight w:val="none"/>
          <w:u w:val="single"/>
        </w:rPr>
        <w:t xml:space="preserve">      发包人     </w:t>
      </w:r>
      <w:r>
        <w:rPr>
          <w:rFonts w:hint="eastAsia" w:cs="宋体"/>
          <w:color w:val="auto"/>
          <w:sz w:val="21"/>
          <w:highlight w:val="none"/>
        </w:rPr>
        <w:t>。</w:t>
      </w:r>
    </w:p>
    <w:p w14:paraId="75DA9E9B">
      <w:pPr>
        <w:pStyle w:val="80"/>
        <w:rPr>
          <w:rFonts w:hint="eastAsia" w:cs="宋体"/>
          <w:color w:val="auto"/>
          <w:sz w:val="21"/>
          <w:highlight w:val="none"/>
        </w:rPr>
      </w:pPr>
      <w:r>
        <w:rPr>
          <w:rFonts w:hint="eastAsia" w:cs="宋体"/>
          <w:color w:val="auto"/>
          <w:sz w:val="21"/>
          <w:highlight w:val="none"/>
        </w:rPr>
        <w:t>关于承包人提供的上述文件的使用限制的要求：</w:t>
      </w:r>
      <w:r>
        <w:rPr>
          <w:rFonts w:hint="eastAsia" w:cs="宋体"/>
          <w:color w:val="auto"/>
          <w:sz w:val="21"/>
          <w:highlight w:val="none"/>
          <w:u w:val="single"/>
        </w:rPr>
        <w:t xml:space="preserve">    未经发包人书面同意， 承包人不得为了合同以外的目的而复制、使用上述文件或将之提供给任何第三方    </w:t>
      </w:r>
      <w:r>
        <w:rPr>
          <w:rFonts w:hint="eastAsia" w:cs="宋体"/>
          <w:color w:val="auto"/>
          <w:sz w:val="21"/>
          <w:highlight w:val="none"/>
        </w:rPr>
        <w:t>。</w:t>
      </w:r>
    </w:p>
    <w:p w14:paraId="5F039AD1">
      <w:pPr>
        <w:pStyle w:val="80"/>
        <w:rPr>
          <w:rFonts w:hint="eastAsia" w:cs="宋体"/>
          <w:color w:val="auto"/>
          <w:sz w:val="21"/>
          <w:highlight w:val="none"/>
        </w:rPr>
      </w:pPr>
      <w:r>
        <w:rPr>
          <w:rFonts w:hint="eastAsia" w:cs="宋体"/>
          <w:color w:val="auto"/>
          <w:sz w:val="21"/>
          <w:highlight w:val="none"/>
        </w:rPr>
        <w:t>1.11.4承包人在施工过程中所采用的专利、专有技术、技术秘密的使用费的承担方式：</w:t>
      </w:r>
      <w:r>
        <w:rPr>
          <w:rFonts w:hint="eastAsia" w:cs="宋体"/>
          <w:color w:val="auto"/>
          <w:sz w:val="21"/>
          <w:highlight w:val="none"/>
          <w:u w:val="single"/>
        </w:rPr>
        <w:t xml:space="preserve">  承包人承担  </w:t>
      </w:r>
      <w:r>
        <w:rPr>
          <w:rFonts w:hint="eastAsia" w:cs="宋体"/>
          <w:color w:val="auto"/>
          <w:sz w:val="21"/>
          <w:highlight w:val="none"/>
        </w:rPr>
        <w:t>。</w:t>
      </w:r>
    </w:p>
    <w:p w14:paraId="28571D2B">
      <w:pPr>
        <w:pStyle w:val="80"/>
        <w:rPr>
          <w:rFonts w:hint="eastAsia" w:cs="宋体"/>
          <w:color w:val="auto"/>
          <w:sz w:val="21"/>
          <w:highlight w:val="none"/>
        </w:rPr>
      </w:pPr>
      <w:r>
        <w:rPr>
          <w:rFonts w:hint="eastAsia" w:cs="宋体"/>
          <w:color w:val="auto"/>
          <w:sz w:val="21"/>
          <w:highlight w:val="none"/>
        </w:rPr>
        <w:t>1.13工程量清单错误的修正</w:t>
      </w:r>
    </w:p>
    <w:p w14:paraId="3106BAE9">
      <w:pPr>
        <w:pStyle w:val="80"/>
        <w:rPr>
          <w:rFonts w:hint="eastAsia" w:cs="宋体"/>
          <w:color w:val="auto"/>
          <w:sz w:val="21"/>
          <w:highlight w:val="none"/>
        </w:rPr>
      </w:pPr>
      <w:r>
        <w:rPr>
          <w:rFonts w:hint="eastAsia" w:cs="宋体"/>
          <w:color w:val="auto"/>
          <w:sz w:val="21"/>
          <w:highlight w:val="none"/>
        </w:rPr>
        <w:t>出现工程量清单错误时，是否调整合同价格：</w:t>
      </w:r>
      <w:r>
        <w:rPr>
          <w:rFonts w:hint="eastAsia" w:cs="宋体"/>
          <w:color w:val="auto"/>
          <w:sz w:val="21"/>
          <w:highlight w:val="none"/>
          <w:u w:val="single"/>
        </w:rPr>
        <w:t xml:space="preserve"> 调整</w:t>
      </w:r>
      <w:r>
        <w:rPr>
          <w:rFonts w:hint="eastAsia" w:cs="宋体"/>
          <w:color w:val="auto"/>
          <w:sz w:val="21"/>
          <w:highlight w:val="none"/>
        </w:rPr>
        <w:t>。</w:t>
      </w:r>
    </w:p>
    <w:p w14:paraId="6A3D50A3">
      <w:pPr>
        <w:pStyle w:val="80"/>
        <w:rPr>
          <w:rFonts w:hint="eastAsia" w:cs="宋体"/>
          <w:color w:val="auto"/>
          <w:sz w:val="21"/>
          <w:highlight w:val="none"/>
        </w:rPr>
      </w:pPr>
      <w:r>
        <w:rPr>
          <w:rFonts w:hint="eastAsia" w:cs="宋体"/>
          <w:color w:val="auto"/>
          <w:sz w:val="21"/>
          <w:highlight w:val="none"/>
        </w:rPr>
        <w:t>允许调整合同价格的工程量偏差范围：</w:t>
      </w:r>
      <w:r>
        <w:rPr>
          <w:rFonts w:hint="eastAsia" w:cs="宋体"/>
          <w:color w:val="auto"/>
          <w:sz w:val="21"/>
          <w:highlight w:val="none"/>
          <w:u w:val="single"/>
        </w:rPr>
        <w:t xml:space="preserve">  15%   </w:t>
      </w:r>
      <w:r>
        <w:rPr>
          <w:rFonts w:hint="eastAsia" w:cs="宋体"/>
          <w:color w:val="auto"/>
          <w:sz w:val="21"/>
          <w:highlight w:val="none"/>
        </w:rPr>
        <w:t>。</w:t>
      </w:r>
    </w:p>
    <w:p w14:paraId="4D4B6ECE">
      <w:pPr>
        <w:pStyle w:val="322"/>
        <w:rPr>
          <w:rFonts w:hint="eastAsia" w:ascii="宋体" w:cs="宋体"/>
          <w:color w:val="auto"/>
          <w:highlight w:val="none"/>
        </w:rPr>
      </w:pPr>
      <w:bookmarkStart w:id="795" w:name="_Toc478389191"/>
      <w:bookmarkStart w:id="796" w:name="_Toc351203634"/>
      <w:bookmarkStart w:id="797" w:name="_Toc417904277"/>
      <w:r>
        <w:rPr>
          <w:rFonts w:hint="eastAsia" w:ascii="宋体" w:cs="宋体"/>
          <w:color w:val="auto"/>
          <w:highlight w:val="none"/>
        </w:rPr>
        <w:t>2</w:t>
      </w:r>
      <w:bookmarkStart w:id="798" w:name="_Toc296890985"/>
      <w:bookmarkStart w:id="799" w:name="_Toc296347156"/>
      <w:bookmarkStart w:id="800" w:name="_Toc296346658"/>
      <w:bookmarkStart w:id="801" w:name="_Toc296944496"/>
      <w:bookmarkStart w:id="802" w:name="_Toc292559362"/>
      <w:bookmarkStart w:id="803" w:name="_Toc292559867"/>
      <w:bookmarkStart w:id="804" w:name="_Toc296891197"/>
      <w:bookmarkStart w:id="805" w:name="_Toc297048343"/>
      <w:bookmarkStart w:id="806" w:name="_Toc297120457"/>
      <w:bookmarkStart w:id="807" w:name="_Toc296503157"/>
      <w:r>
        <w:rPr>
          <w:rFonts w:hint="eastAsia" w:ascii="宋体" w:cs="宋体"/>
          <w:color w:val="auto"/>
          <w:highlight w:val="none"/>
        </w:rPr>
        <w:t>. 发包人</w:t>
      </w:r>
      <w:bookmarkEnd w:id="795"/>
      <w:bookmarkEnd w:id="796"/>
      <w:bookmarkEnd w:id="797"/>
    </w:p>
    <w:bookmarkEnd w:id="798"/>
    <w:bookmarkEnd w:id="799"/>
    <w:bookmarkEnd w:id="800"/>
    <w:bookmarkEnd w:id="801"/>
    <w:bookmarkEnd w:id="802"/>
    <w:bookmarkEnd w:id="803"/>
    <w:bookmarkEnd w:id="804"/>
    <w:bookmarkEnd w:id="805"/>
    <w:bookmarkEnd w:id="806"/>
    <w:bookmarkEnd w:id="807"/>
    <w:p w14:paraId="61E6BCC2">
      <w:pPr>
        <w:pStyle w:val="322"/>
        <w:rPr>
          <w:rFonts w:hint="eastAsia" w:ascii="宋体" w:cs="宋体"/>
          <w:color w:val="auto"/>
          <w:highlight w:val="none"/>
        </w:rPr>
      </w:pPr>
      <w:bookmarkStart w:id="808" w:name="_Toc417904278"/>
      <w:bookmarkStart w:id="809" w:name="_Toc478389192"/>
      <w:r>
        <w:rPr>
          <w:rFonts w:hint="eastAsia" w:ascii="宋体" w:cs="宋体"/>
          <w:color w:val="auto"/>
          <w:highlight w:val="none"/>
        </w:rPr>
        <w:t>2.2 发包人代表</w:t>
      </w:r>
      <w:bookmarkEnd w:id="808"/>
      <w:bookmarkEnd w:id="809"/>
    </w:p>
    <w:p w14:paraId="6BE45C34">
      <w:pPr>
        <w:pStyle w:val="80"/>
        <w:rPr>
          <w:rFonts w:hint="eastAsia" w:cs="宋体"/>
          <w:color w:val="auto"/>
          <w:sz w:val="21"/>
          <w:highlight w:val="none"/>
        </w:rPr>
      </w:pPr>
      <w:r>
        <w:rPr>
          <w:rFonts w:hint="eastAsia" w:cs="宋体"/>
          <w:color w:val="auto"/>
          <w:sz w:val="21"/>
          <w:highlight w:val="none"/>
        </w:rPr>
        <w:t>发包人代表：</w:t>
      </w:r>
    </w:p>
    <w:p w14:paraId="32B22F27">
      <w:pPr>
        <w:pStyle w:val="80"/>
        <w:rPr>
          <w:rFonts w:hint="eastAsia" w:cs="宋体"/>
          <w:color w:val="auto"/>
          <w:sz w:val="21"/>
          <w:highlight w:val="none"/>
        </w:rPr>
      </w:pPr>
      <w:r>
        <w:rPr>
          <w:rFonts w:hint="eastAsia" w:cs="宋体"/>
          <w:color w:val="auto"/>
          <w:sz w:val="21"/>
          <w:highlight w:val="none"/>
        </w:rPr>
        <w:t>姓    名：</w:t>
      </w:r>
      <w:r>
        <w:rPr>
          <w:rFonts w:hint="eastAsia" w:cs="宋体"/>
          <w:color w:val="auto"/>
          <w:sz w:val="21"/>
          <w:highlight w:val="none"/>
          <w:u w:val="single"/>
        </w:rPr>
        <w:t xml:space="preserve">    （签约时填写）       </w:t>
      </w:r>
      <w:r>
        <w:rPr>
          <w:rFonts w:hint="eastAsia" w:cs="宋体"/>
          <w:color w:val="auto"/>
          <w:sz w:val="21"/>
          <w:highlight w:val="none"/>
        </w:rPr>
        <w:t>；</w:t>
      </w:r>
    </w:p>
    <w:p w14:paraId="78C7B32C">
      <w:pPr>
        <w:pStyle w:val="80"/>
        <w:rPr>
          <w:rFonts w:hint="eastAsia" w:cs="宋体"/>
          <w:color w:val="auto"/>
          <w:sz w:val="21"/>
          <w:highlight w:val="none"/>
        </w:rPr>
      </w:pPr>
      <w:r>
        <w:rPr>
          <w:rFonts w:hint="eastAsia" w:cs="宋体"/>
          <w:color w:val="auto"/>
          <w:sz w:val="21"/>
          <w:highlight w:val="none"/>
        </w:rPr>
        <w:t>身份证号：</w:t>
      </w:r>
      <w:r>
        <w:rPr>
          <w:rFonts w:hint="eastAsia" w:cs="宋体"/>
          <w:color w:val="auto"/>
          <w:sz w:val="21"/>
          <w:highlight w:val="none"/>
          <w:u w:val="single"/>
        </w:rPr>
        <w:t xml:space="preserve">       （签约时填写）          </w:t>
      </w:r>
      <w:r>
        <w:rPr>
          <w:rFonts w:hint="eastAsia" w:cs="宋体"/>
          <w:color w:val="auto"/>
          <w:sz w:val="21"/>
          <w:highlight w:val="none"/>
        </w:rPr>
        <w:t>；</w:t>
      </w:r>
    </w:p>
    <w:p w14:paraId="20318E2E">
      <w:pPr>
        <w:pStyle w:val="80"/>
        <w:rPr>
          <w:rFonts w:hint="eastAsia" w:cs="宋体"/>
          <w:color w:val="auto"/>
          <w:sz w:val="21"/>
          <w:highlight w:val="none"/>
        </w:rPr>
      </w:pPr>
      <w:r>
        <w:rPr>
          <w:rFonts w:hint="eastAsia" w:cs="宋体"/>
          <w:color w:val="auto"/>
          <w:sz w:val="21"/>
          <w:highlight w:val="none"/>
        </w:rPr>
        <w:t>职    务：</w:t>
      </w:r>
      <w:r>
        <w:rPr>
          <w:rFonts w:hint="eastAsia" w:cs="宋体"/>
          <w:color w:val="auto"/>
          <w:sz w:val="21"/>
          <w:highlight w:val="none"/>
          <w:u w:val="single"/>
        </w:rPr>
        <w:t xml:space="preserve">       （签约时填写）             </w:t>
      </w:r>
      <w:r>
        <w:rPr>
          <w:rFonts w:hint="eastAsia" w:cs="宋体"/>
          <w:color w:val="auto"/>
          <w:sz w:val="21"/>
          <w:highlight w:val="none"/>
        </w:rPr>
        <w:t>；</w:t>
      </w:r>
    </w:p>
    <w:p w14:paraId="28284378">
      <w:pPr>
        <w:pStyle w:val="80"/>
        <w:rPr>
          <w:rFonts w:hint="eastAsia" w:cs="宋体"/>
          <w:color w:val="auto"/>
          <w:sz w:val="21"/>
          <w:highlight w:val="none"/>
        </w:rPr>
      </w:pPr>
      <w:r>
        <w:rPr>
          <w:rFonts w:hint="eastAsia" w:cs="宋体"/>
          <w:color w:val="auto"/>
          <w:sz w:val="21"/>
          <w:highlight w:val="none"/>
        </w:rPr>
        <w:t>联系电话：</w:t>
      </w:r>
      <w:r>
        <w:rPr>
          <w:rFonts w:hint="eastAsia" w:cs="宋体"/>
          <w:color w:val="auto"/>
          <w:sz w:val="21"/>
          <w:highlight w:val="none"/>
          <w:u w:val="single"/>
        </w:rPr>
        <w:t xml:space="preserve">     （签约时填写）         </w:t>
      </w:r>
      <w:r>
        <w:rPr>
          <w:rFonts w:hint="eastAsia" w:cs="宋体"/>
          <w:color w:val="auto"/>
          <w:sz w:val="21"/>
          <w:highlight w:val="none"/>
        </w:rPr>
        <w:t>；</w:t>
      </w:r>
    </w:p>
    <w:p w14:paraId="2BB11462">
      <w:pPr>
        <w:pStyle w:val="80"/>
        <w:rPr>
          <w:rFonts w:hint="eastAsia" w:cs="宋体"/>
          <w:color w:val="auto"/>
          <w:sz w:val="21"/>
          <w:highlight w:val="none"/>
        </w:rPr>
      </w:pPr>
      <w:r>
        <w:rPr>
          <w:rFonts w:hint="eastAsia" w:cs="宋体"/>
          <w:color w:val="auto"/>
          <w:sz w:val="21"/>
          <w:highlight w:val="none"/>
        </w:rPr>
        <w:t>电子信箱：</w:t>
      </w:r>
      <w:r>
        <w:rPr>
          <w:rFonts w:hint="eastAsia" w:cs="宋体"/>
          <w:color w:val="auto"/>
          <w:sz w:val="21"/>
          <w:highlight w:val="none"/>
          <w:u w:val="single"/>
        </w:rPr>
        <w:t xml:space="preserve">       （签约时填写）            </w:t>
      </w:r>
      <w:r>
        <w:rPr>
          <w:rFonts w:hint="eastAsia" w:cs="宋体"/>
          <w:color w:val="auto"/>
          <w:sz w:val="21"/>
          <w:highlight w:val="none"/>
        </w:rPr>
        <w:t>；</w:t>
      </w:r>
    </w:p>
    <w:p w14:paraId="4367B983">
      <w:pPr>
        <w:pStyle w:val="80"/>
        <w:rPr>
          <w:rFonts w:hint="eastAsia" w:cs="宋体"/>
          <w:color w:val="auto"/>
          <w:sz w:val="21"/>
          <w:highlight w:val="none"/>
        </w:rPr>
      </w:pPr>
      <w:r>
        <w:rPr>
          <w:rFonts w:hint="eastAsia" w:cs="宋体"/>
          <w:color w:val="auto"/>
          <w:sz w:val="21"/>
          <w:highlight w:val="none"/>
        </w:rPr>
        <w:t>通信地址：</w:t>
      </w:r>
      <w:r>
        <w:rPr>
          <w:rFonts w:hint="eastAsia" w:cs="宋体"/>
          <w:color w:val="auto"/>
          <w:sz w:val="21"/>
          <w:highlight w:val="none"/>
          <w:u w:val="single"/>
        </w:rPr>
        <w:t xml:space="preserve">       （签约时填写）               </w:t>
      </w:r>
      <w:r>
        <w:rPr>
          <w:rFonts w:hint="eastAsia" w:cs="宋体"/>
          <w:color w:val="auto"/>
          <w:sz w:val="21"/>
          <w:highlight w:val="none"/>
        </w:rPr>
        <w:t>。</w:t>
      </w:r>
    </w:p>
    <w:p w14:paraId="7D449C1F">
      <w:pPr>
        <w:pStyle w:val="80"/>
        <w:rPr>
          <w:rFonts w:hint="eastAsia" w:cs="宋体"/>
          <w:color w:val="auto"/>
          <w:sz w:val="21"/>
          <w:highlight w:val="none"/>
          <w:u w:val="single"/>
        </w:rPr>
      </w:pPr>
      <w:r>
        <w:rPr>
          <w:rFonts w:hint="eastAsia" w:cs="宋体"/>
          <w:color w:val="auto"/>
          <w:sz w:val="21"/>
          <w:highlight w:val="none"/>
        </w:rPr>
        <w:t>发包人对发包人代表的授权范围如下：</w:t>
      </w:r>
      <w:r>
        <w:rPr>
          <w:rFonts w:hint="eastAsia" w:cs="宋体"/>
          <w:color w:val="auto"/>
          <w:sz w:val="21"/>
          <w:highlight w:val="none"/>
          <w:u w:val="single"/>
        </w:rPr>
        <w:t xml:space="preserve">  对工程进度、质量进行监督、办理中间交工工程验收手续，负责现场签证，解决由发包人授权处理的事宜   </w:t>
      </w:r>
      <w:r>
        <w:rPr>
          <w:rFonts w:hint="eastAsia" w:cs="宋体"/>
          <w:color w:val="auto"/>
          <w:sz w:val="21"/>
          <w:highlight w:val="none"/>
        </w:rPr>
        <w:t>。</w:t>
      </w:r>
    </w:p>
    <w:p w14:paraId="4C2640AE">
      <w:pPr>
        <w:pStyle w:val="322"/>
        <w:rPr>
          <w:rFonts w:hint="eastAsia" w:ascii="宋体" w:cs="宋体"/>
          <w:color w:val="auto"/>
          <w:highlight w:val="none"/>
        </w:rPr>
      </w:pPr>
      <w:bookmarkStart w:id="810" w:name="_Toc478389193"/>
      <w:bookmarkStart w:id="811" w:name="_Toc417904279"/>
      <w:r>
        <w:rPr>
          <w:rFonts w:hint="eastAsia" w:ascii="宋体" w:cs="宋体"/>
          <w:color w:val="auto"/>
          <w:highlight w:val="none"/>
        </w:rPr>
        <w:t>2.4 施工现场、施工条件和基础资料的提供</w:t>
      </w:r>
      <w:bookmarkEnd w:id="810"/>
      <w:bookmarkEnd w:id="811"/>
    </w:p>
    <w:p w14:paraId="728C30F2">
      <w:pPr>
        <w:pStyle w:val="80"/>
        <w:rPr>
          <w:rFonts w:hint="eastAsia" w:cs="宋体"/>
          <w:color w:val="auto"/>
          <w:sz w:val="21"/>
          <w:highlight w:val="none"/>
        </w:rPr>
      </w:pPr>
      <w:r>
        <w:rPr>
          <w:rFonts w:hint="eastAsia" w:cs="宋体"/>
          <w:color w:val="auto"/>
          <w:sz w:val="21"/>
          <w:highlight w:val="none"/>
        </w:rPr>
        <w:t>2.4.1 提供施工现场</w:t>
      </w:r>
    </w:p>
    <w:p w14:paraId="073E96AC">
      <w:pPr>
        <w:pStyle w:val="80"/>
        <w:ind w:firstLine="0" w:firstLineChars="0"/>
        <w:rPr>
          <w:rFonts w:hint="eastAsia" w:cs="宋体"/>
          <w:color w:val="auto"/>
          <w:sz w:val="21"/>
          <w:highlight w:val="none"/>
        </w:rPr>
      </w:pPr>
      <w:r>
        <w:rPr>
          <w:rFonts w:hint="eastAsia" w:cs="宋体"/>
          <w:color w:val="auto"/>
          <w:sz w:val="21"/>
          <w:highlight w:val="none"/>
        </w:rPr>
        <w:t>关于发包人移交施工现场的期限要求：</w:t>
      </w:r>
      <w:r>
        <w:rPr>
          <w:rFonts w:hint="eastAsia" w:cs="宋体"/>
          <w:color w:val="auto"/>
          <w:sz w:val="21"/>
          <w:highlight w:val="none"/>
          <w:u w:val="single"/>
        </w:rPr>
        <w:t xml:space="preserve">  以发包人发出的开工令为准　</w:t>
      </w:r>
      <w:r>
        <w:rPr>
          <w:rFonts w:hint="eastAsia" w:cs="宋体"/>
          <w:color w:val="auto"/>
          <w:sz w:val="21"/>
          <w:highlight w:val="none"/>
        </w:rPr>
        <w:t>。</w:t>
      </w:r>
    </w:p>
    <w:p w14:paraId="0727078D">
      <w:pPr>
        <w:pStyle w:val="80"/>
        <w:rPr>
          <w:rFonts w:hint="eastAsia" w:cs="宋体"/>
          <w:color w:val="auto"/>
          <w:sz w:val="21"/>
          <w:highlight w:val="none"/>
        </w:rPr>
      </w:pPr>
      <w:r>
        <w:rPr>
          <w:rFonts w:hint="eastAsia" w:cs="宋体"/>
          <w:color w:val="auto"/>
          <w:sz w:val="21"/>
          <w:highlight w:val="none"/>
        </w:rPr>
        <w:t>2.4.2 提供施工条件</w:t>
      </w:r>
    </w:p>
    <w:p w14:paraId="7F594F23">
      <w:pPr>
        <w:pStyle w:val="80"/>
        <w:rPr>
          <w:rFonts w:hint="eastAsia" w:cs="宋体"/>
          <w:color w:val="auto"/>
          <w:sz w:val="21"/>
          <w:highlight w:val="none"/>
          <w:u w:val="single"/>
        </w:rPr>
      </w:pPr>
      <w:r>
        <w:rPr>
          <w:rFonts w:hint="eastAsia" w:cs="宋体"/>
          <w:color w:val="auto"/>
          <w:sz w:val="21"/>
          <w:highlight w:val="none"/>
        </w:rPr>
        <w:t>关于发包人应负责提供施工所需要的条件，包括：</w:t>
      </w:r>
      <w:r>
        <w:rPr>
          <w:rFonts w:hint="eastAsia" w:cs="宋体"/>
          <w:color w:val="auto"/>
          <w:sz w:val="21"/>
          <w:highlight w:val="none"/>
          <w:u w:val="single"/>
          <w:lang w:val="zh-CN"/>
        </w:rPr>
        <w:t>发包人按承包人的施工现场总平面布置图的要</w:t>
      </w:r>
      <w:r>
        <w:rPr>
          <w:rFonts w:hint="eastAsia" w:cs="宋体"/>
          <w:color w:val="auto"/>
          <w:sz w:val="21"/>
          <w:highlight w:val="none"/>
        </w:rPr>
        <w:t>求于开工7日前达到三通一平的施工要求，</w:t>
      </w:r>
      <w:r>
        <w:rPr>
          <w:rFonts w:hint="eastAsia" w:cs="宋体"/>
          <w:color w:val="auto"/>
          <w:sz w:val="21"/>
          <w:highlight w:val="none"/>
          <w:u w:val="single"/>
          <w:lang w:val="zh-CN"/>
        </w:rPr>
        <w:t>将水、电接至距拟建建筑物外墙（或构筑物外边线）200米范围内。电讯线路的接通由承包人自费解决；</w:t>
      </w:r>
      <w:r>
        <w:rPr>
          <w:rFonts w:hint="eastAsia" w:cs="宋体"/>
          <w:color w:val="auto"/>
          <w:sz w:val="21"/>
          <w:highlight w:val="none"/>
          <w:u w:val="single"/>
        </w:rPr>
        <w:t>电气管线</w:t>
      </w:r>
      <w:r>
        <w:rPr>
          <w:rFonts w:hint="eastAsia" w:cs="宋体"/>
          <w:color w:val="auto"/>
          <w:sz w:val="21"/>
          <w:highlight w:val="none"/>
          <w:u w:val="single"/>
          <w:lang w:val="zh-CN"/>
        </w:rPr>
        <w:t>的接通由承包人自费解决；承包人施工期间的生活用水、电、电讯、</w:t>
      </w:r>
      <w:r>
        <w:rPr>
          <w:rFonts w:hint="eastAsia" w:cs="宋体"/>
          <w:color w:val="auto"/>
          <w:sz w:val="21"/>
          <w:highlight w:val="none"/>
          <w:u w:val="single"/>
        </w:rPr>
        <w:t>电气</w:t>
      </w:r>
      <w:r>
        <w:rPr>
          <w:rFonts w:hint="eastAsia" w:cs="宋体"/>
          <w:color w:val="auto"/>
          <w:sz w:val="21"/>
          <w:highlight w:val="none"/>
          <w:u w:val="single"/>
          <w:lang w:val="zh-CN"/>
        </w:rPr>
        <w:t>费用由承包人支付；承包人负责在发包人指定的部位安装计量表，水电费按表计量度数</w:t>
      </w:r>
      <w:r>
        <w:rPr>
          <w:rFonts w:hint="eastAsia" w:cs="宋体"/>
          <w:color w:val="auto"/>
          <w:sz w:val="21"/>
          <w:highlight w:val="none"/>
        </w:rPr>
        <w:t>。</w:t>
      </w:r>
    </w:p>
    <w:p w14:paraId="203DE448">
      <w:pPr>
        <w:pStyle w:val="322"/>
        <w:rPr>
          <w:rFonts w:hint="eastAsia" w:ascii="宋体" w:cs="宋体"/>
          <w:color w:val="auto"/>
          <w:highlight w:val="none"/>
        </w:rPr>
      </w:pPr>
      <w:bookmarkStart w:id="812" w:name="_Toc478389194"/>
      <w:bookmarkStart w:id="813" w:name="_Toc417904280"/>
      <w:r>
        <w:rPr>
          <w:rFonts w:hint="eastAsia" w:ascii="宋体" w:cs="宋体"/>
          <w:color w:val="auto"/>
          <w:highlight w:val="none"/>
        </w:rPr>
        <w:t>2.5 资金来源证明及支付担保</w:t>
      </w:r>
      <w:bookmarkEnd w:id="812"/>
      <w:bookmarkEnd w:id="813"/>
    </w:p>
    <w:p w14:paraId="016B6DA9">
      <w:pPr>
        <w:pStyle w:val="80"/>
        <w:rPr>
          <w:rFonts w:hint="eastAsia" w:cs="宋体"/>
          <w:color w:val="auto"/>
          <w:sz w:val="21"/>
          <w:highlight w:val="none"/>
          <w:u w:val="single"/>
        </w:rPr>
      </w:pPr>
      <w:r>
        <w:rPr>
          <w:rFonts w:hint="eastAsia" w:cs="宋体"/>
          <w:color w:val="auto"/>
          <w:sz w:val="21"/>
          <w:highlight w:val="none"/>
        </w:rPr>
        <w:t>发包人提供资金来源证明的期限要求：</w:t>
      </w:r>
      <w:r>
        <w:rPr>
          <w:rFonts w:hint="eastAsia" w:cs="宋体"/>
          <w:color w:val="auto"/>
          <w:sz w:val="21"/>
          <w:highlight w:val="none"/>
          <w:u w:val="single"/>
        </w:rPr>
        <w:t>本合同生效之日起至发包人实际支付竣工付款之日止。</w:t>
      </w:r>
    </w:p>
    <w:p w14:paraId="115A9529">
      <w:pPr>
        <w:pStyle w:val="80"/>
        <w:rPr>
          <w:rFonts w:hint="eastAsia" w:cs="宋体"/>
          <w:color w:val="auto"/>
          <w:sz w:val="21"/>
          <w:highlight w:val="none"/>
        </w:rPr>
      </w:pPr>
      <w:r>
        <w:rPr>
          <w:rFonts w:hint="eastAsia" w:cs="宋体"/>
          <w:color w:val="auto"/>
          <w:sz w:val="21"/>
          <w:highlight w:val="none"/>
        </w:rPr>
        <w:t>发包人是否提供支付担保：</w:t>
      </w:r>
      <w:r>
        <w:rPr>
          <w:rFonts w:hint="eastAsia" w:cs="宋体"/>
          <w:color w:val="auto"/>
          <w:sz w:val="21"/>
          <w:highlight w:val="none"/>
          <w:u w:val="single"/>
        </w:rPr>
        <w:t>不提供。</w:t>
      </w:r>
    </w:p>
    <w:p w14:paraId="5B18F22D">
      <w:pPr>
        <w:pStyle w:val="80"/>
        <w:rPr>
          <w:rFonts w:hint="eastAsia" w:cs="宋体"/>
          <w:color w:val="auto"/>
          <w:sz w:val="21"/>
          <w:highlight w:val="none"/>
          <w:u w:val="single"/>
        </w:rPr>
      </w:pPr>
      <w:r>
        <w:rPr>
          <w:rFonts w:hint="eastAsia" w:cs="宋体"/>
          <w:color w:val="auto"/>
          <w:sz w:val="21"/>
          <w:highlight w:val="none"/>
        </w:rPr>
        <w:t>发包人提供支付担保的形式：</w:t>
      </w:r>
      <w:r>
        <w:rPr>
          <w:rFonts w:hint="eastAsia" w:cs="宋体"/>
          <w:color w:val="auto"/>
          <w:sz w:val="21"/>
          <w:highlight w:val="none"/>
          <w:u w:val="single"/>
        </w:rPr>
        <w:t xml:space="preserve">   无       </w:t>
      </w:r>
      <w:r>
        <w:rPr>
          <w:rFonts w:hint="eastAsia" w:cs="宋体"/>
          <w:color w:val="auto"/>
          <w:sz w:val="21"/>
          <w:highlight w:val="none"/>
        </w:rPr>
        <w:t>。</w:t>
      </w:r>
    </w:p>
    <w:p w14:paraId="670F9B19">
      <w:pPr>
        <w:pStyle w:val="322"/>
        <w:rPr>
          <w:rFonts w:hint="eastAsia" w:ascii="宋体" w:cs="宋体"/>
          <w:color w:val="auto"/>
          <w:highlight w:val="none"/>
        </w:rPr>
      </w:pPr>
      <w:bookmarkStart w:id="814" w:name="_Toc417904281"/>
      <w:bookmarkStart w:id="815" w:name="_Toc351203635"/>
      <w:bookmarkStart w:id="816" w:name="_Toc478389195"/>
      <w:r>
        <w:rPr>
          <w:rFonts w:hint="eastAsia" w:ascii="宋体" w:cs="宋体"/>
          <w:color w:val="auto"/>
          <w:highlight w:val="none"/>
        </w:rPr>
        <w:t>3</w:t>
      </w:r>
      <w:bookmarkStart w:id="817" w:name="_Toc296944497"/>
      <w:bookmarkStart w:id="818" w:name="_Toc296891198"/>
      <w:bookmarkStart w:id="819" w:name="_Toc297120458"/>
      <w:bookmarkStart w:id="820" w:name="_Toc296890986"/>
      <w:bookmarkStart w:id="821" w:name="_Toc296346659"/>
      <w:bookmarkStart w:id="822" w:name="_Toc296347157"/>
      <w:bookmarkStart w:id="823" w:name="_Toc292559363"/>
      <w:bookmarkStart w:id="824" w:name="_Toc292559868"/>
      <w:bookmarkStart w:id="825" w:name="_Toc297048344"/>
      <w:bookmarkStart w:id="826" w:name="_Toc296503158"/>
      <w:r>
        <w:rPr>
          <w:rFonts w:hint="eastAsia" w:ascii="宋体" w:cs="宋体"/>
          <w:color w:val="auto"/>
          <w:highlight w:val="none"/>
        </w:rPr>
        <w:t>. 承包人</w:t>
      </w:r>
      <w:bookmarkEnd w:id="814"/>
      <w:bookmarkEnd w:id="815"/>
      <w:bookmarkEnd w:id="816"/>
    </w:p>
    <w:bookmarkEnd w:id="817"/>
    <w:bookmarkEnd w:id="818"/>
    <w:bookmarkEnd w:id="819"/>
    <w:bookmarkEnd w:id="820"/>
    <w:bookmarkEnd w:id="821"/>
    <w:bookmarkEnd w:id="822"/>
    <w:bookmarkEnd w:id="823"/>
    <w:bookmarkEnd w:id="824"/>
    <w:bookmarkEnd w:id="825"/>
    <w:bookmarkEnd w:id="826"/>
    <w:p w14:paraId="5CBE0212">
      <w:pPr>
        <w:pStyle w:val="322"/>
        <w:rPr>
          <w:rFonts w:hint="eastAsia" w:ascii="宋体" w:cs="宋体"/>
          <w:color w:val="auto"/>
          <w:highlight w:val="none"/>
        </w:rPr>
      </w:pPr>
      <w:bookmarkStart w:id="827" w:name="_Toc417904282"/>
      <w:bookmarkStart w:id="828" w:name="_Toc478389196"/>
      <w:r>
        <w:rPr>
          <w:rFonts w:hint="eastAsia" w:ascii="宋体" w:cs="宋体"/>
          <w:color w:val="auto"/>
          <w:highlight w:val="none"/>
        </w:rPr>
        <w:t>3.1 承包人的一般义务</w:t>
      </w:r>
      <w:bookmarkEnd w:id="827"/>
      <w:bookmarkEnd w:id="828"/>
    </w:p>
    <w:p w14:paraId="00624D47">
      <w:pPr>
        <w:pStyle w:val="80"/>
        <w:ind w:firstLine="0" w:firstLineChars="0"/>
        <w:rPr>
          <w:rFonts w:hint="eastAsia" w:cs="宋体"/>
          <w:color w:val="auto"/>
          <w:sz w:val="21"/>
          <w:highlight w:val="none"/>
        </w:rPr>
      </w:pPr>
      <w:r>
        <w:rPr>
          <w:rFonts w:hint="eastAsia" w:cs="宋体"/>
          <w:color w:val="auto"/>
          <w:sz w:val="21"/>
          <w:highlight w:val="none"/>
        </w:rPr>
        <w:t>（9）承包人提交的竣工资料的内容：</w:t>
      </w:r>
      <w:r>
        <w:rPr>
          <w:rFonts w:hint="eastAsia" w:cs="宋体"/>
          <w:color w:val="auto"/>
          <w:sz w:val="21"/>
          <w:highlight w:val="none"/>
          <w:u w:val="single"/>
        </w:rPr>
        <w:t>按相关规定</w:t>
      </w:r>
      <w:r>
        <w:rPr>
          <w:rFonts w:hint="eastAsia" w:cs="宋体"/>
          <w:color w:val="auto"/>
          <w:sz w:val="21"/>
          <w:highlight w:val="none"/>
        </w:rPr>
        <w:t>。</w:t>
      </w:r>
    </w:p>
    <w:p w14:paraId="563B3D03">
      <w:pPr>
        <w:pStyle w:val="80"/>
        <w:rPr>
          <w:rFonts w:hint="eastAsia" w:cs="宋体"/>
          <w:color w:val="auto"/>
          <w:sz w:val="21"/>
          <w:highlight w:val="none"/>
        </w:rPr>
      </w:pPr>
      <w:r>
        <w:rPr>
          <w:rFonts w:hint="eastAsia" w:cs="宋体"/>
          <w:color w:val="auto"/>
          <w:sz w:val="21"/>
          <w:highlight w:val="none"/>
        </w:rPr>
        <w:t>承包人需要提交的竣工资料套数：</w:t>
      </w:r>
      <w:r>
        <w:rPr>
          <w:rFonts w:hint="eastAsia" w:cs="宋体"/>
          <w:color w:val="auto"/>
          <w:sz w:val="21"/>
          <w:highlight w:val="none"/>
          <w:u w:val="single"/>
        </w:rPr>
        <w:t xml:space="preserve">      8份           </w:t>
      </w:r>
      <w:r>
        <w:rPr>
          <w:rFonts w:hint="eastAsia" w:cs="宋体"/>
          <w:color w:val="auto"/>
          <w:sz w:val="21"/>
          <w:highlight w:val="none"/>
        </w:rPr>
        <w:t>。</w:t>
      </w:r>
    </w:p>
    <w:p w14:paraId="39A079FA">
      <w:pPr>
        <w:pStyle w:val="80"/>
        <w:rPr>
          <w:rFonts w:hint="eastAsia" w:cs="宋体"/>
          <w:color w:val="auto"/>
          <w:sz w:val="21"/>
          <w:highlight w:val="none"/>
        </w:rPr>
      </w:pPr>
      <w:r>
        <w:rPr>
          <w:rFonts w:hint="eastAsia" w:cs="宋体"/>
          <w:color w:val="auto"/>
          <w:sz w:val="21"/>
          <w:highlight w:val="none"/>
        </w:rPr>
        <w:t>承包人提交的竣工资料的费用承担：</w:t>
      </w:r>
      <w:r>
        <w:rPr>
          <w:rFonts w:hint="eastAsia" w:cs="宋体"/>
          <w:color w:val="auto"/>
          <w:sz w:val="21"/>
          <w:highlight w:val="none"/>
          <w:u w:val="single"/>
        </w:rPr>
        <w:t xml:space="preserve">     由承包人自行承担         </w:t>
      </w:r>
      <w:r>
        <w:rPr>
          <w:rFonts w:hint="eastAsia" w:cs="宋体"/>
          <w:color w:val="auto"/>
          <w:sz w:val="21"/>
          <w:highlight w:val="none"/>
        </w:rPr>
        <w:t>。</w:t>
      </w:r>
    </w:p>
    <w:p w14:paraId="5C744489">
      <w:pPr>
        <w:pStyle w:val="80"/>
        <w:rPr>
          <w:rFonts w:hint="eastAsia" w:cs="宋体"/>
          <w:color w:val="auto"/>
          <w:sz w:val="21"/>
          <w:highlight w:val="none"/>
        </w:rPr>
      </w:pPr>
      <w:r>
        <w:rPr>
          <w:rFonts w:hint="eastAsia" w:cs="宋体"/>
          <w:color w:val="auto"/>
          <w:sz w:val="21"/>
          <w:highlight w:val="none"/>
        </w:rPr>
        <w:t>承包人提交的竣工资料移交时间：</w:t>
      </w:r>
      <w:r>
        <w:rPr>
          <w:rFonts w:hint="eastAsia" w:cs="宋体"/>
          <w:color w:val="auto"/>
          <w:sz w:val="21"/>
          <w:highlight w:val="none"/>
          <w:u w:val="single"/>
        </w:rPr>
        <w:t xml:space="preserve">    竣工验收15天内       </w:t>
      </w:r>
      <w:r>
        <w:rPr>
          <w:rFonts w:hint="eastAsia" w:cs="宋体"/>
          <w:color w:val="auto"/>
          <w:sz w:val="21"/>
          <w:highlight w:val="none"/>
        </w:rPr>
        <w:t>。</w:t>
      </w:r>
    </w:p>
    <w:p w14:paraId="73761801">
      <w:pPr>
        <w:pStyle w:val="80"/>
        <w:rPr>
          <w:rFonts w:hint="eastAsia" w:cs="宋体"/>
          <w:color w:val="auto"/>
          <w:sz w:val="21"/>
          <w:highlight w:val="none"/>
        </w:rPr>
      </w:pPr>
      <w:r>
        <w:rPr>
          <w:rFonts w:hint="eastAsia" w:cs="宋体"/>
          <w:color w:val="auto"/>
          <w:sz w:val="21"/>
          <w:highlight w:val="none"/>
        </w:rPr>
        <w:t>承包人提交的竣工资料形式要求：</w:t>
      </w:r>
      <w:r>
        <w:rPr>
          <w:rFonts w:hint="eastAsia" w:cs="宋体"/>
          <w:color w:val="auto"/>
          <w:sz w:val="21"/>
          <w:highlight w:val="none"/>
          <w:u w:val="single"/>
        </w:rPr>
        <w:t xml:space="preserve">     纸质和电子文档       </w:t>
      </w:r>
      <w:r>
        <w:rPr>
          <w:rFonts w:hint="eastAsia" w:cs="宋体"/>
          <w:color w:val="auto"/>
          <w:sz w:val="21"/>
          <w:highlight w:val="none"/>
        </w:rPr>
        <w:t>。</w:t>
      </w:r>
    </w:p>
    <w:p w14:paraId="1483CF35">
      <w:pPr>
        <w:pStyle w:val="80"/>
        <w:rPr>
          <w:rFonts w:hint="eastAsia"/>
          <w:color w:val="auto"/>
          <w:highlight w:val="none"/>
        </w:rPr>
      </w:pPr>
      <w:r>
        <w:rPr>
          <w:rFonts w:hint="eastAsia" w:cs="宋体"/>
          <w:color w:val="auto"/>
          <w:sz w:val="21"/>
          <w:highlight w:val="none"/>
        </w:rPr>
        <w:t>（10）承包人应履行的其他义务：</w:t>
      </w:r>
      <w:r>
        <w:rPr>
          <w:rFonts w:hint="eastAsia" w:cs="宋体"/>
          <w:color w:val="auto"/>
          <w:sz w:val="21"/>
          <w:highlight w:val="none"/>
          <w:u w:val="single"/>
        </w:rPr>
        <w:t>①承包人应当主动配合发包人协调与施工现场周边农村及村民的关系，确保项目施工顺利进行；</w:t>
      </w:r>
      <w:r>
        <w:rPr>
          <w:rFonts w:hint="eastAsia"/>
          <w:color w:val="auto"/>
          <w:highlight w:val="none"/>
          <w:u w:val="single"/>
        </w:rPr>
        <w:t>②承包人应按时支付农民工工资，发包人支付到合同价款的80％时，承包人应全部支付完农民工工资，之后如有农民工到发包方单位及上级部门反映索要工资现象视为违约，每发生一次扣最终结算价的1％，发包方可从应向承包方支付的款项中扣除；③本工程必须是承包人独立完成，不得转包。如一经发现转包，发包人有权终止合同，依法另行选择承包人，原承包人无条件退出现场；④发包人另行发包的招标范围以外的工程，承包人必须无条件配合；⑤承包人在承包工程施工期间所发生的一切责任事故，全部由承包人承担经济责任和法律责任。⑥承包人应负责协调解决来自当地居民对工程施工的人为干扰，并承担相关费用。⑦承包人应始终采取各种合理的预防措施，防止承包人员或其内部发生任何非法的、骚动的或无序的行为，以保持安定，保护现场及第三人的财产和人身安全。⑧为发包人依法发包的专业工程承包商提供总承包管理与协调服务，并为专业工程承包商提供一切施工方便。为发包人和监理人在施工现场提供必要的办公室和办公桌椅等设备。⑨按相关部门有关规定配合发包人其他工程的施工等。</w:t>
      </w:r>
    </w:p>
    <w:p w14:paraId="1FB0ED03">
      <w:pPr>
        <w:pStyle w:val="322"/>
        <w:rPr>
          <w:rFonts w:hint="eastAsia" w:ascii="宋体" w:cs="宋体"/>
          <w:color w:val="auto"/>
          <w:highlight w:val="none"/>
        </w:rPr>
      </w:pPr>
      <w:bookmarkStart w:id="829" w:name="_Toc478389197"/>
      <w:bookmarkStart w:id="830" w:name="_Toc417904283"/>
      <w:r>
        <w:rPr>
          <w:rFonts w:hint="eastAsia" w:ascii="宋体" w:cs="宋体"/>
          <w:color w:val="auto"/>
          <w:highlight w:val="none"/>
        </w:rPr>
        <w:t>3.2 项目经理</w:t>
      </w:r>
      <w:bookmarkEnd w:id="829"/>
      <w:bookmarkEnd w:id="830"/>
    </w:p>
    <w:p w14:paraId="61814DE0">
      <w:pPr>
        <w:pStyle w:val="80"/>
        <w:ind w:left="420" w:leftChars="200" w:firstLine="0" w:firstLineChars="0"/>
        <w:rPr>
          <w:rFonts w:hint="eastAsia" w:cs="宋体"/>
          <w:color w:val="auto"/>
          <w:sz w:val="21"/>
          <w:highlight w:val="none"/>
        </w:rPr>
      </w:pPr>
      <w:r>
        <w:rPr>
          <w:rFonts w:hint="eastAsia" w:cs="宋体"/>
          <w:color w:val="auto"/>
          <w:sz w:val="21"/>
          <w:highlight w:val="none"/>
        </w:rPr>
        <w:t>3.2.1项目经理：（注：若发包人发现承包人投入本项目的项目经理已在其他在建项目中担任项目经理，发包人有权要求承包人更换，且更换的项目经理必须满足本项目的要求并同时经过发包人同意，否则按违约处理。）</w:t>
      </w:r>
    </w:p>
    <w:p w14:paraId="389576A6">
      <w:pPr>
        <w:pStyle w:val="80"/>
        <w:rPr>
          <w:rFonts w:hint="eastAsia" w:cs="宋体"/>
          <w:color w:val="auto"/>
          <w:sz w:val="21"/>
          <w:highlight w:val="none"/>
        </w:rPr>
      </w:pPr>
      <w:r>
        <w:rPr>
          <w:rFonts w:hint="eastAsia" w:cs="宋体"/>
          <w:color w:val="auto"/>
          <w:sz w:val="21"/>
          <w:highlight w:val="none"/>
        </w:rPr>
        <w:t>姓    名：</w:t>
      </w:r>
      <w:r>
        <w:rPr>
          <w:rFonts w:hint="eastAsia" w:cs="宋体"/>
          <w:color w:val="auto"/>
          <w:sz w:val="21"/>
          <w:highlight w:val="none"/>
          <w:u w:val="single"/>
        </w:rPr>
        <w:t xml:space="preserve">     （签约时填写）         </w:t>
      </w:r>
      <w:r>
        <w:rPr>
          <w:rFonts w:hint="eastAsia" w:cs="宋体"/>
          <w:color w:val="auto"/>
          <w:sz w:val="21"/>
          <w:highlight w:val="none"/>
        </w:rPr>
        <w:t>；</w:t>
      </w:r>
    </w:p>
    <w:p w14:paraId="58F583D6">
      <w:pPr>
        <w:pStyle w:val="80"/>
        <w:rPr>
          <w:rFonts w:hint="eastAsia" w:cs="宋体"/>
          <w:color w:val="auto"/>
          <w:sz w:val="21"/>
          <w:highlight w:val="none"/>
        </w:rPr>
      </w:pPr>
      <w:r>
        <w:rPr>
          <w:rFonts w:hint="eastAsia" w:cs="宋体"/>
          <w:color w:val="auto"/>
          <w:sz w:val="21"/>
          <w:highlight w:val="none"/>
        </w:rPr>
        <w:t>身份证号：</w:t>
      </w:r>
      <w:r>
        <w:rPr>
          <w:rFonts w:hint="eastAsia" w:cs="宋体"/>
          <w:color w:val="auto"/>
          <w:sz w:val="21"/>
          <w:highlight w:val="none"/>
          <w:u w:val="single"/>
        </w:rPr>
        <w:t xml:space="preserve">    （签约时填写）        </w:t>
      </w:r>
      <w:r>
        <w:rPr>
          <w:rFonts w:hint="eastAsia" w:cs="宋体"/>
          <w:color w:val="auto"/>
          <w:sz w:val="21"/>
          <w:highlight w:val="none"/>
        </w:rPr>
        <w:t>；</w:t>
      </w:r>
    </w:p>
    <w:p w14:paraId="5DCF9829">
      <w:pPr>
        <w:pStyle w:val="80"/>
        <w:rPr>
          <w:rFonts w:hint="eastAsia" w:cs="宋体"/>
          <w:color w:val="auto"/>
          <w:sz w:val="21"/>
          <w:highlight w:val="none"/>
        </w:rPr>
      </w:pPr>
      <w:r>
        <w:rPr>
          <w:rFonts w:hint="eastAsia" w:cs="宋体"/>
          <w:color w:val="auto"/>
          <w:sz w:val="21"/>
          <w:highlight w:val="none"/>
        </w:rPr>
        <w:t>建造师执业资格等级：</w:t>
      </w:r>
      <w:r>
        <w:rPr>
          <w:rFonts w:hint="eastAsia" w:cs="宋体"/>
          <w:color w:val="auto"/>
          <w:sz w:val="21"/>
          <w:highlight w:val="none"/>
          <w:u w:val="single"/>
        </w:rPr>
        <w:t xml:space="preserve">  （签约时填写）    </w:t>
      </w:r>
      <w:r>
        <w:rPr>
          <w:rFonts w:hint="eastAsia" w:cs="宋体"/>
          <w:color w:val="auto"/>
          <w:sz w:val="21"/>
          <w:highlight w:val="none"/>
        </w:rPr>
        <w:t>；</w:t>
      </w:r>
    </w:p>
    <w:p w14:paraId="000D3A8F">
      <w:pPr>
        <w:pStyle w:val="80"/>
        <w:rPr>
          <w:rFonts w:hint="eastAsia" w:cs="宋体"/>
          <w:color w:val="auto"/>
          <w:sz w:val="21"/>
          <w:highlight w:val="none"/>
        </w:rPr>
      </w:pPr>
      <w:r>
        <w:rPr>
          <w:rFonts w:hint="eastAsia" w:cs="宋体"/>
          <w:color w:val="auto"/>
          <w:sz w:val="21"/>
          <w:highlight w:val="none"/>
        </w:rPr>
        <w:t>建造师注册证书号：</w:t>
      </w:r>
      <w:r>
        <w:rPr>
          <w:rFonts w:hint="eastAsia" w:cs="宋体"/>
          <w:color w:val="auto"/>
          <w:sz w:val="21"/>
          <w:highlight w:val="none"/>
          <w:u w:val="single"/>
        </w:rPr>
        <w:t xml:space="preserve">  （签约时填写）              </w:t>
      </w:r>
      <w:r>
        <w:rPr>
          <w:rFonts w:hint="eastAsia" w:cs="宋体"/>
          <w:color w:val="auto"/>
          <w:sz w:val="21"/>
          <w:highlight w:val="none"/>
        </w:rPr>
        <w:t>；</w:t>
      </w:r>
    </w:p>
    <w:p w14:paraId="168C3560">
      <w:pPr>
        <w:pStyle w:val="80"/>
        <w:rPr>
          <w:rFonts w:hint="eastAsia" w:cs="宋体"/>
          <w:color w:val="auto"/>
          <w:sz w:val="21"/>
          <w:highlight w:val="none"/>
        </w:rPr>
      </w:pPr>
      <w:r>
        <w:rPr>
          <w:rFonts w:hint="eastAsia" w:cs="宋体"/>
          <w:color w:val="auto"/>
          <w:sz w:val="21"/>
          <w:highlight w:val="none"/>
        </w:rPr>
        <w:t>建造师执业印章号：</w:t>
      </w:r>
      <w:r>
        <w:rPr>
          <w:rFonts w:hint="eastAsia" w:cs="宋体"/>
          <w:color w:val="auto"/>
          <w:sz w:val="21"/>
          <w:highlight w:val="none"/>
          <w:u w:val="single"/>
        </w:rPr>
        <w:t xml:space="preserve">      （签约时填写）         </w:t>
      </w:r>
      <w:r>
        <w:rPr>
          <w:rFonts w:hint="eastAsia" w:cs="宋体"/>
          <w:color w:val="auto"/>
          <w:sz w:val="21"/>
          <w:highlight w:val="none"/>
        </w:rPr>
        <w:t>；</w:t>
      </w:r>
    </w:p>
    <w:p w14:paraId="1BE86AE9">
      <w:pPr>
        <w:pStyle w:val="80"/>
        <w:rPr>
          <w:rFonts w:hint="eastAsia" w:cs="宋体"/>
          <w:color w:val="auto"/>
          <w:sz w:val="21"/>
          <w:highlight w:val="none"/>
        </w:rPr>
      </w:pPr>
      <w:r>
        <w:rPr>
          <w:rFonts w:hint="eastAsia" w:cs="宋体"/>
          <w:color w:val="auto"/>
          <w:sz w:val="21"/>
          <w:highlight w:val="none"/>
        </w:rPr>
        <w:t>安全生产考核合格证书号：</w:t>
      </w:r>
      <w:r>
        <w:rPr>
          <w:rFonts w:hint="eastAsia" w:cs="宋体"/>
          <w:color w:val="auto"/>
          <w:sz w:val="21"/>
          <w:highlight w:val="none"/>
          <w:u w:val="single"/>
        </w:rPr>
        <w:t xml:space="preserve">   （签约时填写）        </w:t>
      </w:r>
      <w:r>
        <w:rPr>
          <w:rFonts w:hint="eastAsia" w:cs="宋体"/>
          <w:color w:val="auto"/>
          <w:sz w:val="21"/>
          <w:highlight w:val="none"/>
        </w:rPr>
        <w:t>；</w:t>
      </w:r>
    </w:p>
    <w:p w14:paraId="3E5A3545">
      <w:pPr>
        <w:pStyle w:val="80"/>
        <w:rPr>
          <w:rFonts w:hint="eastAsia" w:cs="宋体"/>
          <w:color w:val="auto"/>
          <w:sz w:val="21"/>
          <w:highlight w:val="none"/>
        </w:rPr>
      </w:pPr>
      <w:r>
        <w:rPr>
          <w:rFonts w:hint="eastAsia" w:cs="宋体"/>
          <w:color w:val="auto"/>
          <w:sz w:val="21"/>
          <w:highlight w:val="none"/>
        </w:rPr>
        <w:t>联系电话：</w:t>
      </w:r>
      <w:r>
        <w:rPr>
          <w:rFonts w:hint="eastAsia" w:cs="宋体"/>
          <w:color w:val="auto"/>
          <w:sz w:val="21"/>
          <w:highlight w:val="none"/>
          <w:u w:val="single"/>
        </w:rPr>
        <w:t xml:space="preserve">      （签约时填写）             </w:t>
      </w:r>
      <w:r>
        <w:rPr>
          <w:rFonts w:hint="eastAsia" w:cs="宋体"/>
          <w:color w:val="auto"/>
          <w:sz w:val="21"/>
          <w:highlight w:val="none"/>
        </w:rPr>
        <w:t>；</w:t>
      </w:r>
    </w:p>
    <w:p w14:paraId="25BA6A6A">
      <w:pPr>
        <w:pStyle w:val="80"/>
        <w:rPr>
          <w:rFonts w:hint="eastAsia" w:cs="宋体"/>
          <w:color w:val="auto"/>
          <w:sz w:val="21"/>
          <w:highlight w:val="none"/>
        </w:rPr>
      </w:pPr>
      <w:r>
        <w:rPr>
          <w:rFonts w:hint="eastAsia" w:cs="宋体"/>
          <w:color w:val="auto"/>
          <w:sz w:val="21"/>
          <w:highlight w:val="none"/>
        </w:rPr>
        <w:t>电子信箱：</w:t>
      </w:r>
      <w:r>
        <w:rPr>
          <w:rFonts w:hint="eastAsia" w:cs="宋体"/>
          <w:color w:val="auto"/>
          <w:sz w:val="21"/>
          <w:highlight w:val="none"/>
          <w:u w:val="single"/>
        </w:rPr>
        <w:t xml:space="preserve">      （签约时填写）              </w:t>
      </w:r>
      <w:r>
        <w:rPr>
          <w:rFonts w:hint="eastAsia" w:cs="宋体"/>
          <w:color w:val="auto"/>
          <w:sz w:val="21"/>
          <w:highlight w:val="none"/>
        </w:rPr>
        <w:t>；</w:t>
      </w:r>
    </w:p>
    <w:p w14:paraId="7B912FE2">
      <w:pPr>
        <w:pStyle w:val="80"/>
        <w:rPr>
          <w:rFonts w:hint="eastAsia" w:cs="宋体"/>
          <w:color w:val="auto"/>
          <w:sz w:val="21"/>
          <w:highlight w:val="none"/>
        </w:rPr>
      </w:pPr>
      <w:r>
        <w:rPr>
          <w:rFonts w:hint="eastAsia" w:cs="宋体"/>
          <w:color w:val="auto"/>
          <w:sz w:val="21"/>
          <w:highlight w:val="none"/>
        </w:rPr>
        <w:t>通信地址：</w:t>
      </w:r>
      <w:r>
        <w:rPr>
          <w:rFonts w:hint="eastAsia" w:cs="宋体"/>
          <w:color w:val="auto"/>
          <w:sz w:val="21"/>
          <w:highlight w:val="none"/>
          <w:u w:val="single"/>
        </w:rPr>
        <w:t xml:space="preserve">     （签约时填写）            </w:t>
      </w:r>
      <w:r>
        <w:rPr>
          <w:rFonts w:hint="eastAsia" w:cs="宋体"/>
          <w:color w:val="auto"/>
          <w:sz w:val="21"/>
          <w:highlight w:val="none"/>
        </w:rPr>
        <w:t>；</w:t>
      </w:r>
    </w:p>
    <w:p w14:paraId="0BE6E6F8">
      <w:pPr>
        <w:pStyle w:val="80"/>
        <w:rPr>
          <w:rFonts w:hint="eastAsia" w:cs="宋体"/>
          <w:color w:val="auto"/>
          <w:sz w:val="21"/>
          <w:highlight w:val="none"/>
        </w:rPr>
      </w:pPr>
      <w:r>
        <w:rPr>
          <w:rFonts w:hint="eastAsia" w:cs="宋体"/>
          <w:color w:val="auto"/>
          <w:sz w:val="21"/>
          <w:highlight w:val="none"/>
        </w:rPr>
        <w:t>承包人对项目经理的授权范围如下：</w:t>
      </w:r>
      <w:r>
        <w:rPr>
          <w:rFonts w:hint="eastAsia" w:cs="宋体"/>
          <w:color w:val="auto"/>
          <w:sz w:val="21"/>
          <w:highlight w:val="none"/>
          <w:u w:val="single"/>
        </w:rPr>
        <w:t xml:space="preserve">   （签约时填写）　</w:t>
      </w:r>
      <w:r>
        <w:rPr>
          <w:rFonts w:hint="eastAsia" w:cs="宋体"/>
          <w:color w:val="auto"/>
          <w:sz w:val="21"/>
          <w:highlight w:val="none"/>
        </w:rPr>
        <w:t>。</w:t>
      </w:r>
    </w:p>
    <w:p w14:paraId="343760EE">
      <w:pPr>
        <w:pStyle w:val="80"/>
        <w:rPr>
          <w:rFonts w:hint="eastAsia" w:cs="宋体"/>
          <w:color w:val="auto"/>
          <w:sz w:val="21"/>
          <w:highlight w:val="none"/>
          <w:u w:val="single"/>
        </w:rPr>
      </w:pPr>
      <w:r>
        <w:rPr>
          <w:rFonts w:hint="eastAsia" w:cs="宋体"/>
          <w:color w:val="auto"/>
          <w:sz w:val="21"/>
          <w:highlight w:val="none"/>
        </w:rPr>
        <w:t>关于项目经理每月在施工现场的时间要求：</w:t>
      </w:r>
      <w:r>
        <w:rPr>
          <w:rFonts w:hint="eastAsia" w:cs="宋体"/>
          <w:color w:val="auto"/>
          <w:sz w:val="21"/>
          <w:highlight w:val="none"/>
          <w:u w:val="single"/>
        </w:rPr>
        <w:t xml:space="preserve">  22天　　</w:t>
      </w:r>
    </w:p>
    <w:p w14:paraId="4B8E6413">
      <w:pPr>
        <w:pStyle w:val="80"/>
        <w:jc w:val="left"/>
        <w:rPr>
          <w:rFonts w:hint="eastAsia" w:cs="宋体"/>
          <w:color w:val="auto"/>
          <w:sz w:val="21"/>
          <w:highlight w:val="none"/>
          <w:u w:val="single"/>
        </w:rPr>
      </w:pPr>
      <w:r>
        <w:rPr>
          <w:rFonts w:hint="eastAsia" w:cs="宋体"/>
          <w:color w:val="auto"/>
          <w:sz w:val="21"/>
          <w:highlight w:val="none"/>
        </w:rPr>
        <w:t>项目经理未经批准，擅自离开施工现场的违约责任：</w:t>
      </w:r>
      <w:r>
        <w:rPr>
          <w:rFonts w:hint="eastAsia" w:cs="宋体"/>
          <w:color w:val="auto"/>
          <w:sz w:val="21"/>
          <w:highlight w:val="none"/>
          <w:u w:val="single"/>
        </w:rPr>
        <w:t>项目经理每月在岗带班时间不得少于当月施工时间的80%。未经发包人同意或正当理由，项目经理每月在岗带班时间少于当月施工时间80%的，少在岗带班一天，发包人有权处违约金1000元/日（人民币），累计超过3次（含3次），业主有权解除承包合同，所完成工程量不予以支付工程款，依法另行选择承包人，原承包人三日内无条件退出现场，但原承包人仍应当对已做工程的质量承担责任。</w:t>
      </w:r>
    </w:p>
    <w:p w14:paraId="30A21009">
      <w:pPr>
        <w:pStyle w:val="80"/>
        <w:rPr>
          <w:rFonts w:hint="eastAsia" w:cs="宋体"/>
          <w:color w:val="auto"/>
          <w:sz w:val="21"/>
          <w:highlight w:val="none"/>
        </w:rPr>
      </w:pPr>
      <w:r>
        <w:rPr>
          <w:rFonts w:hint="eastAsia" w:cs="宋体"/>
          <w:color w:val="auto"/>
          <w:sz w:val="21"/>
          <w:highlight w:val="none"/>
        </w:rPr>
        <w:t>承包人未提交劳动合同，以及没有为项目经理缴纳社会保险证明的违约责任：</w:t>
      </w:r>
      <w:r>
        <w:rPr>
          <w:rFonts w:hint="eastAsia" w:cs="宋体"/>
          <w:color w:val="auto"/>
          <w:sz w:val="21"/>
          <w:highlight w:val="none"/>
          <w:u w:val="single"/>
        </w:rPr>
        <w:t xml:space="preserve">若经发包人检查发现承包人违约则扣款2万元，若承包人不按要求及时整改，发包人有权解除合同   </w:t>
      </w:r>
      <w:r>
        <w:rPr>
          <w:rFonts w:hint="eastAsia" w:cs="宋体"/>
          <w:color w:val="auto"/>
          <w:sz w:val="21"/>
          <w:highlight w:val="none"/>
        </w:rPr>
        <w:t>。</w:t>
      </w:r>
    </w:p>
    <w:p w14:paraId="544DE8A8">
      <w:pPr>
        <w:pStyle w:val="80"/>
        <w:rPr>
          <w:rFonts w:hint="eastAsia" w:cs="宋体"/>
          <w:color w:val="auto"/>
          <w:sz w:val="21"/>
          <w:highlight w:val="none"/>
        </w:rPr>
      </w:pPr>
      <w:r>
        <w:rPr>
          <w:rFonts w:hint="eastAsia" w:cs="宋体"/>
          <w:color w:val="auto"/>
          <w:sz w:val="21"/>
          <w:highlight w:val="none"/>
        </w:rPr>
        <w:t>3.2.3承包人擅自更换项目经理的违约责任：</w:t>
      </w:r>
      <w:r>
        <w:rPr>
          <w:rFonts w:hint="eastAsia" w:cs="宋体"/>
          <w:color w:val="auto"/>
          <w:sz w:val="21"/>
          <w:highlight w:val="none"/>
          <w:u w:val="single"/>
        </w:rPr>
        <w:t>承包人项目经理必须与承包人竞标时所承诺的人员一致，并在约定开工日期前到任。在监理人向承包人颁发竣工证明材料名称前，项目经理不得同时兼任其他任何项目的项目经理。未经发包人书面同意，承包人擅自更换项目经理的视为违约，违约金处20000.00元/人•次（人民币）</w:t>
      </w:r>
      <w:r>
        <w:rPr>
          <w:rFonts w:hint="eastAsia" w:cs="宋体"/>
          <w:color w:val="auto"/>
          <w:sz w:val="21"/>
          <w:highlight w:val="none"/>
        </w:rPr>
        <w:t>。</w:t>
      </w:r>
    </w:p>
    <w:p w14:paraId="4BE3687F">
      <w:pPr>
        <w:pStyle w:val="80"/>
        <w:jc w:val="left"/>
        <w:rPr>
          <w:rFonts w:hint="eastAsia" w:cs="宋体"/>
          <w:color w:val="auto"/>
          <w:sz w:val="21"/>
          <w:highlight w:val="none"/>
          <w:u w:val="single"/>
        </w:rPr>
      </w:pPr>
      <w:r>
        <w:rPr>
          <w:rFonts w:hint="eastAsia" w:cs="宋体"/>
          <w:color w:val="auto"/>
          <w:sz w:val="21"/>
          <w:highlight w:val="none"/>
        </w:rPr>
        <w:t>3.2.4承包人无正当理由拒绝更换项目经理的违约责任：</w:t>
      </w:r>
      <w:r>
        <w:rPr>
          <w:rFonts w:hint="eastAsia" w:cs="宋体"/>
          <w:color w:val="auto"/>
          <w:sz w:val="21"/>
          <w:highlight w:val="none"/>
          <w:u w:val="single"/>
        </w:rPr>
        <w:t>因承包人项目经理不称职，发包人要求调换而未及时调换的，视为承包人违约，必须向发包人交纳处罚5000.00元/人•次（人民币），累计超过3次（含3次）发包人有权解除承包合同，所完成工程量不予以支付工程款，依法另行选择承包人，原承包人三日内无条件退出现场，但原承包人仍应当对已做工程的质量承担责任。</w:t>
      </w:r>
    </w:p>
    <w:p w14:paraId="6E2CA674">
      <w:pPr>
        <w:pStyle w:val="322"/>
        <w:rPr>
          <w:rFonts w:hint="eastAsia" w:ascii="宋体" w:cs="宋体"/>
          <w:color w:val="auto"/>
          <w:highlight w:val="none"/>
        </w:rPr>
      </w:pPr>
      <w:bookmarkStart w:id="831" w:name="_Toc478389198"/>
      <w:bookmarkStart w:id="832" w:name="_Toc417904284"/>
      <w:bookmarkStart w:id="833" w:name="_Toc373227709"/>
      <w:bookmarkStart w:id="834" w:name="_Toc389065275"/>
      <w:bookmarkStart w:id="835" w:name="_Toc373478356"/>
      <w:bookmarkStart w:id="836" w:name="_Toc395382511"/>
      <w:r>
        <w:rPr>
          <w:rFonts w:hint="eastAsia" w:ascii="宋体" w:cs="宋体"/>
          <w:color w:val="auto"/>
          <w:highlight w:val="none"/>
        </w:rPr>
        <w:t>3.3 承包人人员</w:t>
      </w:r>
      <w:bookmarkEnd w:id="831"/>
      <w:bookmarkEnd w:id="832"/>
      <w:bookmarkEnd w:id="833"/>
      <w:bookmarkEnd w:id="834"/>
      <w:bookmarkEnd w:id="835"/>
      <w:bookmarkEnd w:id="836"/>
    </w:p>
    <w:p w14:paraId="41FA9392">
      <w:pPr>
        <w:pStyle w:val="80"/>
        <w:rPr>
          <w:rFonts w:hint="eastAsia" w:cs="宋体"/>
          <w:color w:val="auto"/>
          <w:sz w:val="21"/>
          <w:highlight w:val="none"/>
          <w:u w:val="single"/>
        </w:rPr>
      </w:pPr>
      <w:r>
        <w:rPr>
          <w:rFonts w:hint="eastAsia" w:cs="宋体"/>
          <w:color w:val="auto"/>
          <w:sz w:val="21"/>
          <w:highlight w:val="none"/>
        </w:rPr>
        <w:t>3.3.1</w:t>
      </w:r>
      <w:r>
        <w:rPr>
          <w:rFonts w:hint="eastAsia" w:cs="宋体"/>
          <w:color w:val="auto"/>
          <w:sz w:val="21"/>
          <w:highlight w:val="none"/>
          <w:u w:val="single"/>
        </w:rPr>
        <w:t>承包人提交项目管理机构及施工现场管理人员安排报告（格式见合同附件3）的期限：合同签订后3天内。</w:t>
      </w:r>
    </w:p>
    <w:p w14:paraId="44FC2360">
      <w:pPr>
        <w:pStyle w:val="80"/>
        <w:rPr>
          <w:rFonts w:hint="eastAsia" w:cs="宋体"/>
          <w:color w:val="auto"/>
          <w:sz w:val="21"/>
          <w:highlight w:val="none"/>
          <w:u w:val="single"/>
        </w:rPr>
      </w:pPr>
      <w:r>
        <w:rPr>
          <w:rFonts w:hint="eastAsia" w:cs="宋体"/>
          <w:color w:val="auto"/>
          <w:sz w:val="21"/>
          <w:highlight w:val="none"/>
        </w:rPr>
        <w:t>3.3.3承包人无正当理由拒绝撤换主要施工管理人员的违约责任：</w:t>
      </w:r>
      <w:r>
        <w:rPr>
          <w:rFonts w:hint="eastAsia" w:cs="宋体"/>
          <w:color w:val="auto"/>
          <w:sz w:val="21"/>
          <w:highlight w:val="none"/>
          <w:u w:val="single"/>
        </w:rPr>
        <w:t>因承包人主要施工管理人员不称职，发包人要求调换而无正当理由拒绝撤换或未及时调换的，视为承包人违约，必须向发包人交纳处罚金，处罚标准：技术负责人5000元/人•次（人民币）；专业工程师2000元/人•次（人民币），累计超过3次（含3次）发包人有权解除承包合同，所完成工程量不予以支付工程款，依法另行选择承包人，原承包人三日内无条件退出现场，但原承包人仍应当对已做工程的质量承担责任。</w:t>
      </w:r>
    </w:p>
    <w:p w14:paraId="17E603D4">
      <w:pPr>
        <w:pStyle w:val="80"/>
        <w:rPr>
          <w:rFonts w:hint="eastAsia" w:cs="宋体"/>
          <w:color w:val="auto"/>
          <w:sz w:val="21"/>
          <w:highlight w:val="none"/>
          <w:u w:val="single"/>
        </w:rPr>
      </w:pPr>
      <w:r>
        <w:rPr>
          <w:rFonts w:hint="eastAsia" w:cs="宋体"/>
          <w:color w:val="auto"/>
          <w:sz w:val="21"/>
          <w:highlight w:val="none"/>
        </w:rPr>
        <w:t>3.3.4 承包人主要施工管理人员离开施工现场的批准要求：</w:t>
      </w:r>
      <w:r>
        <w:rPr>
          <w:rFonts w:hint="eastAsia" w:cs="宋体"/>
          <w:color w:val="auto"/>
          <w:sz w:val="21"/>
          <w:highlight w:val="none"/>
          <w:u w:val="single"/>
        </w:rPr>
        <w:t xml:space="preserve">  向发包人书面申请  </w:t>
      </w:r>
      <w:r>
        <w:rPr>
          <w:rFonts w:hint="eastAsia" w:cs="宋体"/>
          <w:color w:val="auto"/>
          <w:sz w:val="21"/>
          <w:highlight w:val="none"/>
        </w:rPr>
        <w:t>。</w:t>
      </w:r>
    </w:p>
    <w:p w14:paraId="6E2D8958">
      <w:pPr>
        <w:pStyle w:val="80"/>
        <w:rPr>
          <w:rFonts w:hint="eastAsia" w:cs="宋体"/>
          <w:color w:val="auto"/>
          <w:sz w:val="21"/>
          <w:highlight w:val="none"/>
          <w:u w:val="single"/>
        </w:rPr>
      </w:pPr>
      <w:r>
        <w:rPr>
          <w:rFonts w:hint="eastAsia" w:cs="宋体"/>
          <w:color w:val="auto"/>
          <w:sz w:val="21"/>
          <w:highlight w:val="none"/>
        </w:rPr>
        <w:t>3.3.5承包人擅自更换主要施工管理人员的违约责任：</w:t>
      </w:r>
      <w:r>
        <w:rPr>
          <w:rFonts w:hint="eastAsia" w:cs="宋体"/>
          <w:color w:val="auto"/>
          <w:sz w:val="21"/>
          <w:highlight w:val="none"/>
          <w:u w:val="single"/>
        </w:rPr>
        <w:t>项目技术负责人、专职安全员及其承诺的</w:t>
      </w:r>
      <w:r>
        <w:rPr>
          <w:rFonts w:hint="eastAsia" w:cs="宋体"/>
          <w:color w:val="auto"/>
          <w:sz w:val="21"/>
          <w:highlight w:val="none"/>
          <w:u w:val="single"/>
          <w:lang w:eastAsia="zh-CN"/>
        </w:rPr>
        <w:t>其他</w:t>
      </w:r>
      <w:r>
        <w:rPr>
          <w:rFonts w:hint="eastAsia" w:cs="宋体"/>
          <w:color w:val="auto"/>
          <w:sz w:val="21"/>
          <w:highlight w:val="none"/>
          <w:u w:val="single"/>
        </w:rPr>
        <w:t>在场管理人员未经发包人书面同意不准擅自更换，擅自更换项目技术负责人处5000元/人•次（人民币）违约金；擅自更换专职安全员处2000元/人•次（人民币）违约金；擅自更换</w:t>
      </w:r>
      <w:r>
        <w:rPr>
          <w:rFonts w:hint="eastAsia" w:cs="宋体"/>
          <w:color w:val="auto"/>
          <w:sz w:val="21"/>
          <w:highlight w:val="none"/>
          <w:u w:val="single"/>
          <w:lang w:eastAsia="zh-CN"/>
        </w:rPr>
        <w:t>其他</w:t>
      </w:r>
      <w:r>
        <w:rPr>
          <w:rFonts w:hint="eastAsia" w:cs="宋体"/>
          <w:color w:val="auto"/>
          <w:sz w:val="21"/>
          <w:highlight w:val="none"/>
          <w:u w:val="single"/>
        </w:rPr>
        <w:t>在场管理人员处1000元/人•次（人民币）违约金，累计超过3次（含3次）发包人有权解除承包合同，所完成工程量不予以支付工程款，依法另行选择承包人，原承包人三日内无条件退出现场，但原承包人仍应当对已做工程的质量承担责任。</w:t>
      </w:r>
    </w:p>
    <w:p w14:paraId="63FAF10C">
      <w:pPr>
        <w:pStyle w:val="80"/>
        <w:spacing w:line="440" w:lineRule="exact"/>
        <w:ind w:firstLine="424" w:firstLineChars="202"/>
        <w:jc w:val="left"/>
        <w:rPr>
          <w:rFonts w:hint="eastAsia" w:cs="宋体"/>
          <w:color w:val="auto"/>
          <w:sz w:val="21"/>
          <w:highlight w:val="none"/>
          <w:u w:val="single"/>
        </w:rPr>
      </w:pPr>
      <w:r>
        <w:rPr>
          <w:rFonts w:hint="eastAsia" w:cs="宋体"/>
          <w:color w:val="auto"/>
          <w:sz w:val="21"/>
          <w:highlight w:val="none"/>
        </w:rPr>
        <w:t>承包人主要施工管理人员擅自离开施工现场的违约责任：</w:t>
      </w:r>
      <w:r>
        <w:rPr>
          <w:rFonts w:hint="eastAsia" w:cs="宋体"/>
          <w:color w:val="auto"/>
          <w:sz w:val="21"/>
          <w:highlight w:val="none"/>
          <w:u w:val="single"/>
        </w:rPr>
        <w:t>未经发包人同意，项目技术负责人擅自离岗的，视为承包人违约，发包人有权处违约金2000元/人•次（人民币）；未经发包人同意，专职安全员擅自离岗的，视为承包人违约，发包人有权处违约金1000元/人•次（人民币）；</w:t>
      </w:r>
      <w:r>
        <w:rPr>
          <w:rFonts w:hint="eastAsia" w:cs="宋体"/>
          <w:color w:val="auto"/>
          <w:sz w:val="21"/>
          <w:highlight w:val="none"/>
          <w:u w:val="single"/>
          <w:lang w:eastAsia="zh-CN"/>
        </w:rPr>
        <w:t>其他</w:t>
      </w:r>
      <w:r>
        <w:rPr>
          <w:rFonts w:hint="eastAsia" w:cs="宋体"/>
          <w:color w:val="auto"/>
          <w:sz w:val="21"/>
          <w:highlight w:val="none"/>
          <w:u w:val="single"/>
        </w:rPr>
        <w:t xml:space="preserve">在场管理人员擅自离岗的，视为承包人违约，发包人有权处违约金5000元/人•次（人民币），累计超过3次（含3次）发包人有权解除承包合同，所完成工程量不予以支付工程款，依法另行选择承包人，原承包人三日内无条件退出现场，但原承包人仍应当对已做工程的质量承担责任。 </w:t>
      </w:r>
    </w:p>
    <w:p w14:paraId="2CFE51C5">
      <w:pPr>
        <w:pStyle w:val="322"/>
        <w:spacing w:line="440" w:lineRule="exact"/>
        <w:rPr>
          <w:rFonts w:hint="eastAsia" w:ascii="宋体" w:cs="宋体"/>
          <w:color w:val="auto"/>
          <w:highlight w:val="none"/>
        </w:rPr>
      </w:pPr>
      <w:bookmarkStart w:id="837" w:name="_Toc417904285"/>
      <w:bookmarkStart w:id="838" w:name="_Toc478389199"/>
      <w:r>
        <w:rPr>
          <w:rFonts w:hint="eastAsia" w:ascii="宋体" w:cs="宋体"/>
          <w:color w:val="auto"/>
          <w:highlight w:val="none"/>
        </w:rPr>
        <w:t>3</w:t>
      </w:r>
      <w:bookmarkStart w:id="839" w:name="_Toc312677988"/>
      <w:bookmarkStart w:id="840" w:name="_Toc292559364"/>
      <w:bookmarkStart w:id="841" w:name="_Toc297123492"/>
      <w:bookmarkStart w:id="842" w:name="_Toc304295523"/>
      <w:bookmarkStart w:id="843" w:name="_Toc296503159"/>
      <w:bookmarkStart w:id="844" w:name="_Toc296944498"/>
      <w:bookmarkStart w:id="845" w:name="_Toc292559869"/>
      <w:bookmarkStart w:id="846" w:name="_Toc296346660"/>
      <w:bookmarkStart w:id="847" w:name="_Toc296347158"/>
      <w:bookmarkStart w:id="848" w:name="_Toc300934945"/>
      <w:bookmarkStart w:id="849" w:name="_Toc303539102"/>
      <w:bookmarkStart w:id="850" w:name="_Toc297216151"/>
      <w:bookmarkStart w:id="851" w:name="_Toc297120459"/>
      <w:bookmarkStart w:id="852" w:name="_Toc297048345"/>
      <w:bookmarkStart w:id="853" w:name="_Toc296890987"/>
      <w:bookmarkStart w:id="854" w:name="_Toc296891199"/>
      <w:r>
        <w:rPr>
          <w:rFonts w:hint="eastAsia" w:ascii="宋体" w:cs="宋体"/>
          <w:color w:val="auto"/>
          <w:highlight w:val="none"/>
        </w:rPr>
        <w:t>.5 分包</w:t>
      </w:r>
      <w:bookmarkEnd w:id="837"/>
      <w:bookmarkEnd w:id="838"/>
    </w:p>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p w14:paraId="3393C86F">
      <w:pPr>
        <w:pStyle w:val="80"/>
        <w:spacing w:line="440" w:lineRule="exact"/>
        <w:rPr>
          <w:rFonts w:hint="eastAsia" w:cs="宋体"/>
          <w:color w:val="auto"/>
          <w:sz w:val="21"/>
          <w:highlight w:val="none"/>
        </w:rPr>
      </w:pPr>
      <w:r>
        <w:rPr>
          <w:rFonts w:hint="eastAsia" w:cs="宋体"/>
          <w:color w:val="auto"/>
          <w:sz w:val="21"/>
          <w:highlight w:val="none"/>
        </w:rPr>
        <w:t>3</w:t>
      </w:r>
      <w:bookmarkStart w:id="855" w:name="_Toc296347159"/>
      <w:bookmarkStart w:id="856" w:name="_Toc296944499"/>
      <w:bookmarkStart w:id="857" w:name="_Toc292559365"/>
      <w:bookmarkStart w:id="858" w:name="_Toc297048346"/>
      <w:bookmarkStart w:id="859" w:name="_Toc297216152"/>
      <w:bookmarkStart w:id="860" w:name="_Toc300934946"/>
      <w:bookmarkStart w:id="861" w:name="_Toc303539103"/>
      <w:bookmarkStart w:id="862" w:name="_Toc304295524"/>
      <w:bookmarkStart w:id="863" w:name="_Toc296346661"/>
      <w:bookmarkStart w:id="864" w:name="_Toc296890988"/>
      <w:bookmarkStart w:id="865" w:name="_Toc296503160"/>
      <w:bookmarkStart w:id="866" w:name="_Toc292559870"/>
      <w:bookmarkStart w:id="867" w:name="_Toc297123493"/>
      <w:bookmarkStart w:id="868" w:name="_Toc297120460"/>
      <w:bookmarkStart w:id="869" w:name="_Toc296891200"/>
      <w:bookmarkStart w:id="870" w:name="_Toc318581158"/>
      <w:bookmarkStart w:id="871" w:name="_Toc312677989"/>
      <w:r>
        <w:rPr>
          <w:rFonts w:hint="eastAsia" w:cs="宋体"/>
          <w:color w:val="auto"/>
          <w:sz w:val="21"/>
          <w:highlight w:val="none"/>
        </w:rPr>
        <w:t>.5.1 分包的一般约定</w:t>
      </w:r>
    </w:p>
    <w:p w14:paraId="477D2A4F">
      <w:pPr>
        <w:pStyle w:val="80"/>
        <w:spacing w:line="440" w:lineRule="exact"/>
        <w:rPr>
          <w:rFonts w:hint="eastAsia" w:cs="宋体"/>
          <w:color w:val="auto"/>
          <w:sz w:val="21"/>
          <w:highlight w:val="none"/>
        </w:rPr>
      </w:pPr>
      <w:r>
        <w:rPr>
          <w:rFonts w:hint="eastAsia" w:cs="宋体"/>
          <w:color w:val="auto"/>
          <w:sz w:val="21"/>
          <w:highlight w:val="none"/>
        </w:rPr>
        <w:t>禁止分包的工程包括：</w:t>
      </w:r>
      <w:r>
        <w:rPr>
          <w:rFonts w:hint="eastAsia" w:cs="宋体"/>
          <w:color w:val="auto"/>
          <w:sz w:val="21"/>
          <w:highlight w:val="none"/>
          <w:u w:val="single"/>
        </w:rPr>
        <w:t xml:space="preserve">  按国家规定及招标要求   </w:t>
      </w:r>
      <w:r>
        <w:rPr>
          <w:rFonts w:hint="eastAsia" w:cs="宋体"/>
          <w:color w:val="auto"/>
          <w:sz w:val="21"/>
          <w:highlight w:val="none"/>
        </w:rPr>
        <w:t>。</w:t>
      </w:r>
    </w:p>
    <w:p w14:paraId="27CCE654">
      <w:pPr>
        <w:pStyle w:val="80"/>
        <w:spacing w:line="440" w:lineRule="exact"/>
        <w:rPr>
          <w:rFonts w:hint="eastAsia" w:cs="宋体"/>
          <w:color w:val="auto"/>
          <w:sz w:val="21"/>
          <w:highlight w:val="none"/>
          <w:u w:val="single"/>
        </w:rPr>
      </w:pPr>
      <w:r>
        <w:rPr>
          <w:rFonts w:hint="eastAsia" w:cs="宋体"/>
          <w:color w:val="auto"/>
          <w:sz w:val="21"/>
          <w:highlight w:val="none"/>
        </w:rPr>
        <w:t>主体结构、关键性工作的范围：</w:t>
      </w:r>
      <w:r>
        <w:rPr>
          <w:rFonts w:hint="eastAsia" w:cs="宋体"/>
          <w:color w:val="auto"/>
          <w:sz w:val="21"/>
          <w:highlight w:val="none"/>
          <w:u w:val="single"/>
        </w:rPr>
        <w:t xml:space="preserve">  不允许分包　</w:t>
      </w:r>
      <w:r>
        <w:rPr>
          <w:rFonts w:hint="eastAsia" w:cs="宋体"/>
          <w:color w:val="auto"/>
          <w:sz w:val="21"/>
          <w:highlight w:val="none"/>
        </w:rPr>
        <w:t>。</w:t>
      </w:r>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Start w:id="872" w:name="_Toc296346662"/>
      <w:bookmarkStart w:id="873" w:name="_Toc297216153"/>
      <w:bookmarkStart w:id="874" w:name="_Toc296347160"/>
      <w:bookmarkStart w:id="875" w:name="_Toc304295525"/>
      <w:bookmarkStart w:id="876" w:name="_Toc296503161"/>
      <w:bookmarkStart w:id="877" w:name="_Toc303539104"/>
      <w:bookmarkStart w:id="878" w:name="_Toc297120461"/>
      <w:bookmarkStart w:id="879" w:name="_Toc300934947"/>
      <w:bookmarkStart w:id="880" w:name="_Toc296944500"/>
      <w:bookmarkStart w:id="881" w:name="_Toc297123494"/>
      <w:bookmarkStart w:id="882" w:name="_Toc297048347"/>
      <w:bookmarkStart w:id="883" w:name="_Toc296891201"/>
      <w:bookmarkStart w:id="884" w:name="_Toc296890989"/>
    </w:p>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p w14:paraId="7AACDEE2">
      <w:pPr>
        <w:pStyle w:val="322"/>
        <w:spacing w:line="440" w:lineRule="exact"/>
        <w:rPr>
          <w:rFonts w:hint="eastAsia" w:ascii="宋体" w:cs="宋体"/>
          <w:color w:val="auto"/>
          <w:highlight w:val="none"/>
        </w:rPr>
      </w:pPr>
      <w:bookmarkStart w:id="885" w:name="_Toc417904286"/>
      <w:bookmarkStart w:id="886" w:name="_Toc478389200"/>
      <w:r>
        <w:rPr>
          <w:rFonts w:hint="eastAsia" w:ascii="宋体" w:cs="宋体"/>
          <w:color w:val="auto"/>
          <w:highlight w:val="none"/>
        </w:rPr>
        <w:t>3.6 工程照管与成品、半成品保护</w:t>
      </w:r>
      <w:bookmarkEnd w:id="885"/>
      <w:bookmarkEnd w:id="886"/>
    </w:p>
    <w:p w14:paraId="54EF710C">
      <w:pPr>
        <w:pStyle w:val="80"/>
        <w:spacing w:line="440" w:lineRule="exact"/>
        <w:rPr>
          <w:rFonts w:hint="eastAsia" w:cs="宋体"/>
          <w:color w:val="auto"/>
          <w:sz w:val="21"/>
          <w:highlight w:val="none"/>
          <w:u w:val="single"/>
        </w:rPr>
      </w:pPr>
      <w:r>
        <w:rPr>
          <w:rFonts w:hint="eastAsia" w:cs="宋体"/>
          <w:color w:val="auto"/>
          <w:sz w:val="21"/>
          <w:highlight w:val="none"/>
        </w:rPr>
        <w:t>承包人负责照管工程及工程相关的材料、工程设备的时间：</w:t>
      </w:r>
      <w:r>
        <w:rPr>
          <w:rFonts w:hint="eastAsia" w:cs="宋体"/>
          <w:color w:val="auto"/>
          <w:sz w:val="21"/>
          <w:highlight w:val="none"/>
          <w:u w:val="single"/>
        </w:rPr>
        <w:t>发包人移交施工现场至验收交付发包人使用前　 。</w:t>
      </w:r>
    </w:p>
    <w:p w14:paraId="00D0B766">
      <w:pPr>
        <w:pStyle w:val="322"/>
        <w:spacing w:line="440" w:lineRule="exact"/>
        <w:rPr>
          <w:rFonts w:hint="eastAsia" w:ascii="宋体" w:cs="宋体"/>
          <w:color w:val="auto"/>
          <w:highlight w:val="none"/>
        </w:rPr>
      </w:pPr>
      <w:bookmarkStart w:id="887" w:name="_Toc417904287"/>
      <w:bookmarkStart w:id="888" w:name="_Toc478389201"/>
      <w:r>
        <w:rPr>
          <w:rFonts w:hint="eastAsia" w:ascii="宋体" w:cs="宋体"/>
          <w:color w:val="auto"/>
          <w:highlight w:val="none"/>
        </w:rPr>
        <w:t>3.7 履约保证金</w:t>
      </w:r>
      <w:bookmarkEnd w:id="887"/>
      <w:bookmarkEnd w:id="888"/>
    </w:p>
    <w:p w14:paraId="621875F5">
      <w:pPr>
        <w:pStyle w:val="80"/>
        <w:spacing w:line="440" w:lineRule="exact"/>
        <w:rPr>
          <w:rFonts w:hint="eastAsia" w:cs="宋体"/>
          <w:color w:val="auto"/>
          <w:sz w:val="21"/>
          <w:highlight w:val="none"/>
        </w:rPr>
      </w:pPr>
      <w:bookmarkStart w:id="889" w:name="_Toc417904288"/>
      <w:bookmarkStart w:id="890" w:name="_Toc351203636"/>
      <w:bookmarkStart w:id="891" w:name="_Toc478389202"/>
      <w:r>
        <w:rPr>
          <w:rFonts w:hint="eastAsia" w:cs="宋体"/>
          <w:color w:val="auto"/>
          <w:sz w:val="21"/>
          <w:highlight w:val="none"/>
        </w:rPr>
        <w:t>履约保证金金额：履约保证金按成交金额的2%。</w:t>
      </w:r>
    </w:p>
    <w:p w14:paraId="5F7210CB">
      <w:pPr>
        <w:pStyle w:val="80"/>
        <w:spacing w:line="440" w:lineRule="exact"/>
        <w:rPr>
          <w:rFonts w:hint="eastAsia" w:cs="宋体"/>
          <w:color w:val="auto"/>
          <w:sz w:val="21"/>
          <w:highlight w:val="none"/>
        </w:rPr>
      </w:pPr>
      <w:r>
        <w:rPr>
          <w:rFonts w:hint="eastAsia" w:cs="宋体"/>
          <w:color w:val="auto"/>
          <w:sz w:val="21"/>
          <w:highlight w:val="none"/>
        </w:rPr>
        <w:t>履约保证金递交方式：银行转账、支票、汇票、本票或者金融、担保机构出具的保函等非现金方式</w:t>
      </w:r>
    </w:p>
    <w:p w14:paraId="35FB2A6B">
      <w:pPr>
        <w:pStyle w:val="80"/>
        <w:spacing w:line="440" w:lineRule="exact"/>
        <w:rPr>
          <w:rFonts w:hint="eastAsia" w:cs="宋体"/>
          <w:color w:val="auto"/>
          <w:sz w:val="21"/>
          <w:highlight w:val="none"/>
        </w:rPr>
      </w:pPr>
      <w:r>
        <w:rPr>
          <w:rFonts w:hint="eastAsia" w:cs="宋体"/>
          <w:color w:val="auto"/>
          <w:sz w:val="21"/>
          <w:highlight w:val="none"/>
        </w:rPr>
        <w:t>履约保证金退付方式、时间及条件：</w:t>
      </w:r>
    </w:p>
    <w:p w14:paraId="7F970935">
      <w:pPr>
        <w:pStyle w:val="80"/>
        <w:spacing w:line="440" w:lineRule="exact"/>
        <w:rPr>
          <w:rFonts w:hint="eastAsia" w:cs="宋体"/>
          <w:color w:val="auto"/>
          <w:sz w:val="21"/>
          <w:highlight w:val="none"/>
        </w:rPr>
      </w:pPr>
      <w:r>
        <w:rPr>
          <w:rFonts w:hint="eastAsia" w:cs="宋体"/>
          <w:color w:val="auto"/>
          <w:sz w:val="21"/>
          <w:highlight w:val="none"/>
        </w:rPr>
        <w:t>（1）</w:t>
      </w:r>
      <w:r>
        <w:rPr>
          <w:rFonts w:hint="eastAsia" w:cs="宋体"/>
          <w:color w:val="auto"/>
          <w:highlight w:val="none"/>
        </w:rPr>
        <w:t>履约保证金在采购人按合同约定验收合格后</w:t>
      </w:r>
      <w:r>
        <w:rPr>
          <w:rFonts w:hint="eastAsia" w:cs="宋体"/>
          <w:color w:val="auto"/>
          <w:sz w:val="21"/>
          <w:highlight w:val="none"/>
        </w:rPr>
        <w:t>，由承包人凭《广西壮族自治区政府采购项目合同验收书》（详见附表）向发包人申请办理履约保证金退还手续，发包人在收到合格材料后五个工作日内以银行转账方式如数退还（不计利息）。</w:t>
      </w:r>
    </w:p>
    <w:p w14:paraId="60493B40">
      <w:pPr>
        <w:pStyle w:val="80"/>
        <w:spacing w:line="440" w:lineRule="exact"/>
        <w:rPr>
          <w:rFonts w:hint="eastAsia" w:cs="宋体"/>
          <w:color w:val="auto"/>
          <w:sz w:val="21"/>
          <w:highlight w:val="none"/>
        </w:rPr>
      </w:pPr>
      <w:r>
        <w:rPr>
          <w:rFonts w:hint="eastAsia" w:cs="宋体"/>
          <w:color w:val="auto"/>
          <w:sz w:val="21"/>
          <w:highlight w:val="none"/>
        </w:rPr>
        <w:t>（2）在履约保证金退还日期前，若承包人的开户名称、开户银行、账号有变动的，请以书面形式通知履约保证金收取单位，否则由此产生的后果由成交供应商自负。</w:t>
      </w:r>
    </w:p>
    <w:p w14:paraId="7472EFF9">
      <w:pPr>
        <w:pStyle w:val="80"/>
        <w:spacing w:line="440" w:lineRule="exact"/>
        <w:rPr>
          <w:rFonts w:hint="eastAsia" w:cs="宋体"/>
          <w:color w:val="auto"/>
          <w:sz w:val="21"/>
          <w:highlight w:val="none"/>
        </w:rPr>
      </w:pPr>
      <w:r>
        <w:rPr>
          <w:rFonts w:hint="eastAsia" w:cs="宋体"/>
          <w:color w:val="auto"/>
          <w:sz w:val="21"/>
          <w:highlight w:val="none"/>
        </w:rPr>
        <w:t>（3）承包人在签订合同后存在违约情形的，履约保证金不予退还。履约保证金不足以赔偿损失的，按实际损失赔偿。</w:t>
      </w:r>
    </w:p>
    <w:p w14:paraId="786D089B">
      <w:pPr>
        <w:pStyle w:val="80"/>
        <w:spacing w:line="440" w:lineRule="exact"/>
        <w:rPr>
          <w:rFonts w:hint="eastAsia" w:cs="宋体"/>
          <w:color w:val="auto"/>
          <w:sz w:val="21"/>
          <w:highlight w:val="none"/>
        </w:rPr>
      </w:pPr>
      <w:r>
        <w:rPr>
          <w:rFonts w:hint="eastAsia" w:cs="宋体"/>
          <w:color w:val="auto"/>
          <w:sz w:val="21"/>
          <w:highlight w:val="none"/>
        </w:rPr>
        <w:t>履约保证金指定账户：</w:t>
      </w:r>
    </w:p>
    <w:p w14:paraId="09F02AE8">
      <w:pPr>
        <w:pStyle w:val="80"/>
        <w:spacing w:line="440" w:lineRule="exact"/>
        <w:rPr>
          <w:rFonts w:hint="eastAsia" w:cs="宋体"/>
          <w:color w:val="auto"/>
          <w:sz w:val="21"/>
          <w:highlight w:val="none"/>
        </w:rPr>
      </w:pPr>
      <w:r>
        <w:rPr>
          <w:rFonts w:hint="eastAsia" w:cs="宋体"/>
          <w:color w:val="auto"/>
          <w:sz w:val="21"/>
          <w:highlight w:val="none"/>
        </w:rPr>
        <w:t>开户名称：桂林航天工业学院；</w:t>
      </w:r>
    </w:p>
    <w:p w14:paraId="5DAABEDA">
      <w:pPr>
        <w:pStyle w:val="80"/>
        <w:spacing w:line="440" w:lineRule="exact"/>
        <w:rPr>
          <w:rFonts w:hint="eastAsia" w:cs="宋体"/>
          <w:color w:val="auto"/>
          <w:sz w:val="21"/>
          <w:highlight w:val="none"/>
        </w:rPr>
      </w:pPr>
      <w:r>
        <w:rPr>
          <w:rFonts w:hint="eastAsia" w:cs="宋体"/>
          <w:color w:val="auto"/>
          <w:sz w:val="21"/>
          <w:highlight w:val="none"/>
        </w:rPr>
        <w:t>开户银行：建设银行桂林分行高新支行；</w:t>
      </w:r>
    </w:p>
    <w:p w14:paraId="7A68905A">
      <w:pPr>
        <w:pStyle w:val="80"/>
        <w:spacing w:line="440" w:lineRule="exact"/>
        <w:rPr>
          <w:rFonts w:hint="eastAsia" w:cs="宋体"/>
          <w:color w:val="auto"/>
          <w:sz w:val="21"/>
          <w:highlight w:val="none"/>
        </w:rPr>
      </w:pPr>
      <w:r>
        <w:rPr>
          <w:rFonts w:hint="eastAsia" w:cs="宋体"/>
          <w:color w:val="auto"/>
          <w:sz w:val="21"/>
          <w:highlight w:val="none"/>
        </w:rPr>
        <w:t>账号：45001635207050507101</w:t>
      </w:r>
    </w:p>
    <w:p w14:paraId="1876C0C3">
      <w:pPr>
        <w:pStyle w:val="80"/>
        <w:spacing w:line="440" w:lineRule="exact"/>
        <w:rPr>
          <w:rFonts w:hint="eastAsia" w:cs="宋体"/>
          <w:color w:val="auto"/>
          <w:sz w:val="21"/>
          <w:highlight w:val="none"/>
        </w:rPr>
      </w:pPr>
      <w:r>
        <w:rPr>
          <w:rFonts w:hint="eastAsia" w:cs="宋体"/>
          <w:color w:val="auto"/>
          <w:sz w:val="21"/>
          <w:highlight w:val="none"/>
        </w:rPr>
        <w:t>备    注：</w:t>
      </w:r>
    </w:p>
    <w:p w14:paraId="1ECDBA41">
      <w:pPr>
        <w:pStyle w:val="322"/>
        <w:spacing w:line="440" w:lineRule="exact"/>
        <w:ind w:firstLine="422" w:firstLineChars="200"/>
        <w:rPr>
          <w:rFonts w:hint="eastAsia"/>
          <w:color w:val="auto"/>
          <w:highlight w:val="none"/>
        </w:rPr>
      </w:pPr>
      <w:r>
        <w:rPr>
          <w:rFonts w:hint="eastAsia"/>
          <w:color w:val="auto"/>
          <w:highlight w:val="none"/>
        </w:rPr>
        <w:t>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p>
    <w:p w14:paraId="556F190B">
      <w:pPr>
        <w:pStyle w:val="322"/>
        <w:spacing w:line="440" w:lineRule="exact"/>
        <w:rPr>
          <w:rFonts w:hint="eastAsia" w:ascii="宋体" w:cs="宋体"/>
          <w:color w:val="auto"/>
          <w:highlight w:val="none"/>
        </w:rPr>
      </w:pPr>
      <w:r>
        <w:rPr>
          <w:rFonts w:hint="eastAsia" w:ascii="宋体" w:cs="宋体"/>
          <w:color w:val="auto"/>
          <w:highlight w:val="none"/>
        </w:rPr>
        <w:t>4</w:t>
      </w:r>
      <w:bookmarkStart w:id="892" w:name="_Toc292559366"/>
      <w:bookmarkStart w:id="893" w:name="_Toc296944501"/>
      <w:bookmarkStart w:id="894" w:name="_Toc267251413"/>
      <w:bookmarkStart w:id="895" w:name="_Toc296891202"/>
      <w:bookmarkStart w:id="896" w:name="_Toc296890990"/>
      <w:bookmarkStart w:id="897" w:name="_Toc297120462"/>
      <w:bookmarkStart w:id="898" w:name="_Toc292559871"/>
      <w:bookmarkStart w:id="899" w:name="_Toc296503162"/>
      <w:bookmarkStart w:id="900" w:name="_Toc296347161"/>
      <w:bookmarkStart w:id="901" w:name="_Toc296346663"/>
      <w:bookmarkStart w:id="902" w:name="_Toc297048348"/>
      <w:r>
        <w:rPr>
          <w:rFonts w:hint="eastAsia" w:ascii="宋体" w:cs="宋体"/>
          <w:color w:val="auto"/>
          <w:highlight w:val="none"/>
        </w:rPr>
        <w:t>. 监</w:t>
      </w:r>
      <w:bookmarkEnd w:id="892"/>
      <w:bookmarkEnd w:id="893"/>
      <w:bookmarkEnd w:id="894"/>
      <w:bookmarkEnd w:id="895"/>
      <w:bookmarkEnd w:id="896"/>
      <w:bookmarkEnd w:id="897"/>
      <w:bookmarkEnd w:id="898"/>
      <w:bookmarkEnd w:id="899"/>
      <w:bookmarkEnd w:id="900"/>
      <w:bookmarkEnd w:id="901"/>
      <w:bookmarkEnd w:id="902"/>
      <w:r>
        <w:rPr>
          <w:rFonts w:hint="eastAsia" w:ascii="宋体" w:cs="宋体"/>
          <w:color w:val="auto"/>
          <w:highlight w:val="none"/>
        </w:rPr>
        <w:t>理人</w:t>
      </w:r>
      <w:bookmarkEnd w:id="889"/>
      <w:bookmarkEnd w:id="890"/>
      <w:bookmarkEnd w:id="891"/>
    </w:p>
    <w:p w14:paraId="22209523">
      <w:pPr>
        <w:pStyle w:val="322"/>
        <w:spacing w:line="440" w:lineRule="exact"/>
        <w:rPr>
          <w:rFonts w:hint="eastAsia" w:ascii="宋体" w:cs="宋体"/>
          <w:color w:val="auto"/>
          <w:highlight w:val="none"/>
        </w:rPr>
      </w:pPr>
      <w:bookmarkStart w:id="903" w:name="_Toc417904289"/>
      <w:bookmarkStart w:id="904" w:name="_Toc478389203"/>
      <w:r>
        <w:rPr>
          <w:rFonts w:hint="eastAsia" w:ascii="宋体" w:cs="宋体"/>
          <w:color w:val="auto"/>
          <w:highlight w:val="none"/>
        </w:rPr>
        <w:t>4.1监理人的一般规定</w:t>
      </w:r>
      <w:bookmarkEnd w:id="903"/>
      <w:bookmarkEnd w:id="904"/>
    </w:p>
    <w:p w14:paraId="570626E5">
      <w:pPr>
        <w:pStyle w:val="80"/>
        <w:spacing w:line="440" w:lineRule="exact"/>
        <w:rPr>
          <w:rFonts w:hint="eastAsia" w:cs="宋体"/>
          <w:color w:val="auto"/>
          <w:sz w:val="21"/>
          <w:highlight w:val="none"/>
        </w:rPr>
      </w:pPr>
      <w:r>
        <w:rPr>
          <w:rFonts w:hint="eastAsia" w:cs="宋体"/>
          <w:color w:val="auto"/>
          <w:sz w:val="21"/>
          <w:highlight w:val="none"/>
        </w:rPr>
        <w:t>关于监理人的监理内容：</w:t>
      </w:r>
      <w:r>
        <w:rPr>
          <w:rFonts w:hint="eastAsia" w:cs="宋体"/>
          <w:color w:val="auto"/>
          <w:sz w:val="21"/>
          <w:highlight w:val="none"/>
          <w:u w:val="single"/>
        </w:rPr>
        <w:t xml:space="preserve">  （签约时填写）</w:t>
      </w:r>
      <w:r>
        <w:rPr>
          <w:rFonts w:hint="eastAsia" w:cs="宋体"/>
          <w:color w:val="auto"/>
          <w:sz w:val="21"/>
          <w:highlight w:val="none"/>
        </w:rPr>
        <w:t>。</w:t>
      </w:r>
    </w:p>
    <w:p w14:paraId="220F0E76">
      <w:pPr>
        <w:pStyle w:val="80"/>
        <w:spacing w:line="440" w:lineRule="exact"/>
        <w:rPr>
          <w:rFonts w:hint="eastAsia" w:cs="宋体"/>
          <w:color w:val="auto"/>
          <w:sz w:val="21"/>
          <w:highlight w:val="none"/>
        </w:rPr>
      </w:pPr>
      <w:r>
        <w:rPr>
          <w:rFonts w:hint="eastAsia" w:cs="宋体"/>
          <w:color w:val="auto"/>
          <w:sz w:val="21"/>
          <w:highlight w:val="none"/>
        </w:rPr>
        <w:t>关于监理人的监理权限：</w:t>
      </w:r>
      <w:r>
        <w:rPr>
          <w:rFonts w:hint="eastAsia" w:cs="宋体"/>
          <w:color w:val="auto"/>
          <w:sz w:val="21"/>
          <w:highlight w:val="none"/>
          <w:u w:val="single"/>
        </w:rPr>
        <w:t xml:space="preserve">  （签约时填写）   </w:t>
      </w:r>
      <w:r>
        <w:rPr>
          <w:rFonts w:hint="eastAsia" w:cs="宋体"/>
          <w:color w:val="auto"/>
          <w:sz w:val="21"/>
          <w:highlight w:val="none"/>
        </w:rPr>
        <w:t xml:space="preserve">。 </w:t>
      </w:r>
    </w:p>
    <w:p w14:paraId="36AA9497">
      <w:pPr>
        <w:pStyle w:val="80"/>
        <w:spacing w:line="440" w:lineRule="exact"/>
        <w:ind w:firstLine="0" w:firstLineChars="0"/>
        <w:rPr>
          <w:rFonts w:hint="eastAsia" w:cs="宋体"/>
          <w:color w:val="auto"/>
          <w:sz w:val="21"/>
          <w:highlight w:val="none"/>
        </w:rPr>
      </w:pPr>
      <w:r>
        <w:rPr>
          <w:rFonts w:hint="eastAsia" w:cs="宋体"/>
          <w:color w:val="auto"/>
          <w:sz w:val="21"/>
          <w:highlight w:val="none"/>
        </w:rPr>
        <w:t>关于监理人在施工现场的办公场所、生活场所的提供和费用承担的约定：</w:t>
      </w:r>
      <w:r>
        <w:rPr>
          <w:rFonts w:hint="eastAsia" w:cs="宋体"/>
          <w:color w:val="auto"/>
          <w:sz w:val="21"/>
          <w:highlight w:val="none"/>
          <w:u w:val="single"/>
        </w:rPr>
        <w:t>发包人与</w:t>
      </w:r>
      <w:r>
        <w:rPr>
          <w:rFonts w:hint="eastAsia" w:cs="宋体"/>
          <w:color w:val="auto"/>
          <w:sz w:val="21"/>
          <w:highlight w:val="none"/>
        </w:rPr>
        <w:t>监理人约定。</w:t>
      </w:r>
    </w:p>
    <w:p w14:paraId="491348E2">
      <w:pPr>
        <w:pStyle w:val="322"/>
        <w:spacing w:line="440" w:lineRule="exact"/>
        <w:rPr>
          <w:rFonts w:hint="eastAsia" w:ascii="宋体" w:cs="宋体"/>
          <w:color w:val="auto"/>
          <w:highlight w:val="none"/>
        </w:rPr>
      </w:pPr>
      <w:bookmarkStart w:id="905" w:name="_Toc478389204"/>
      <w:bookmarkStart w:id="906" w:name="_Toc417904290"/>
      <w:r>
        <w:rPr>
          <w:rFonts w:hint="eastAsia" w:ascii="宋体" w:cs="宋体"/>
          <w:color w:val="auto"/>
          <w:highlight w:val="none"/>
        </w:rPr>
        <w:t>4.2 监理人员</w:t>
      </w:r>
      <w:bookmarkEnd w:id="905"/>
      <w:bookmarkEnd w:id="906"/>
    </w:p>
    <w:p w14:paraId="03DFF2C0">
      <w:pPr>
        <w:pStyle w:val="80"/>
        <w:spacing w:line="440" w:lineRule="exact"/>
        <w:rPr>
          <w:rFonts w:hint="eastAsia" w:cs="宋体"/>
          <w:color w:val="auto"/>
          <w:sz w:val="21"/>
          <w:highlight w:val="none"/>
        </w:rPr>
      </w:pPr>
      <w:r>
        <w:rPr>
          <w:rFonts w:hint="eastAsia" w:cs="宋体"/>
          <w:color w:val="auto"/>
          <w:sz w:val="21"/>
          <w:highlight w:val="none"/>
        </w:rPr>
        <w:t>总监理工程师：</w:t>
      </w:r>
    </w:p>
    <w:p w14:paraId="417071C3">
      <w:pPr>
        <w:pStyle w:val="80"/>
        <w:spacing w:line="440" w:lineRule="exact"/>
        <w:rPr>
          <w:rFonts w:hint="eastAsia" w:cs="宋体"/>
          <w:color w:val="auto"/>
          <w:sz w:val="21"/>
          <w:highlight w:val="none"/>
        </w:rPr>
      </w:pPr>
      <w:r>
        <w:rPr>
          <w:rFonts w:hint="eastAsia" w:cs="宋体"/>
          <w:color w:val="auto"/>
          <w:sz w:val="21"/>
          <w:highlight w:val="none"/>
        </w:rPr>
        <w:t>姓    名：</w:t>
      </w:r>
      <w:r>
        <w:rPr>
          <w:rFonts w:hint="eastAsia" w:cs="宋体"/>
          <w:color w:val="auto"/>
          <w:sz w:val="21"/>
          <w:highlight w:val="none"/>
          <w:u w:val="single"/>
        </w:rPr>
        <w:t xml:space="preserve">   （签约时填写）       </w:t>
      </w:r>
      <w:r>
        <w:rPr>
          <w:rFonts w:hint="eastAsia" w:cs="宋体"/>
          <w:color w:val="auto"/>
          <w:sz w:val="21"/>
          <w:highlight w:val="none"/>
        </w:rPr>
        <w:t>；</w:t>
      </w:r>
    </w:p>
    <w:p w14:paraId="11C920A8">
      <w:pPr>
        <w:pStyle w:val="80"/>
        <w:spacing w:line="440" w:lineRule="exact"/>
        <w:rPr>
          <w:rFonts w:hint="eastAsia" w:cs="宋体"/>
          <w:color w:val="auto"/>
          <w:sz w:val="21"/>
          <w:highlight w:val="none"/>
        </w:rPr>
      </w:pPr>
      <w:r>
        <w:rPr>
          <w:rFonts w:hint="eastAsia" w:cs="宋体"/>
          <w:color w:val="auto"/>
          <w:sz w:val="21"/>
          <w:highlight w:val="none"/>
        </w:rPr>
        <w:t>职    务：</w:t>
      </w:r>
      <w:r>
        <w:rPr>
          <w:rFonts w:hint="eastAsia" w:cs="宋体"/>
          <w:color w:val="auto"/>
          <w:sz w:val="21"/>
          <w:highlight w:val="none"/>
          <w:u w:val="single"/>
        </w:rPr>
        <w:t>（签约时填写）</w:t>
      </w:r>
      <w:r>
        <w:rPr>
          <w:rFonts w:hint="eastAsia" w:cs="宋体"/>
          <w:color w:val="auto"/>
          <w:sz w:val="21"/>
          <w:highlight w:val="none"/>
        </w:rPr>
        <w:t>；</w:t>
      </w:r>
    </w:p>
    <w:p w14:paraId="6BF68633">
      <w:pPr>
        <w:pStyle w:val="80"/>
        <w:spacing w:line="440" w:lineRule="exact"/>
        <w:rPr>
          <w:rFonts w:hint="eastAsia" w:cs="宋体"/>
          <w:color w:val="auto"/>
          <w:sz w:val="21"/>
          <w:highlight w:val="none"/>
        </w:rPr>
      </w:pPr>
      <w:r>
        <w:rPr>
          <w:rFonts w:hint="eastAsia" w:cs="宋体"/>
          <w:color w:val="auto"/>
          <w:sz w:val="21"/>
          <w:highlight w:val="none"/>
        </w:rPr>
        <w:t>监理工程师执业资格证书号：</w:t>
      </w:r>
      <w:r>
        <w:rPr>
          <w:rFonts w:hint="eastAsia" w:cs="宋体"/>
          <w:color w:val="auto"/>
          <w:sz w:val="21"/>
          <w:highlight w:val="none"/>
          <w:u w:val="single"/>
        </w:rPr>
        <w:t>（签约时填写）</w:t>
      </w:r>
      <w:r>
        <w:rPr>
          <w:rFonts w:hint="eastAsia" w:cs="宋体"/>
          <w:color w:val="auto"/>
          <w:sz w:val="21"/>
          <w:highlight w:val="none"/>
        </w:rPr>
        <w:t>；</w:t>
      </w:r>
    </w:p>
    <w:p w14:paraId="6B874311">
      <w:pPr>
        <w:pStyle w:val="80"/>
        <w:spacing w:line="440" w:lineRule="exact"/>
        <w:rPr>
          <w:rFonts w:hint="eastAsia" w:cs="宋体"/>
          <w:color w:val="auto"/>
          <w:sz w:val="21"/>
          <w:highlight w:val="none"/>
        </w:rPr>
      </w:pPr>
      <w:r>
        <w:rPr>
          <w:rFonts w:hint="eastAsia" w:cs="宋体"/>
          <w:color w:val="auto"/>
          <w:sz w:val="21"/>
          <w:highlight w:val="none"/>
        </w:rPr>
        <w:t>联系电话：</w:t>
      </w:r>
      <w:r>
        <w:rPr>
          <w:rFonts w:hint="eastAsia" w:cs="宋体"/>
          <w:color w:val="auto"/>
          <w:sz w:val="21"/>
          <w:highlight w:val="none"/>
          <w:u w:val="single"/>
        </w:rPr>
        <w:t>（签约时填写）</w:t>
      </w:r>
      <w:r>
        <w:rPr>
          <w:rFonts w:hint="eastAsia" w:cs="宋体"/>
          <w:color w:val="auto"/>
          <w:sz w:val="21"/>
          <w:highlight w:val="none"/>
        </w:rPr>
        <w:t>；</w:t>
      </w:r>
    </w:p>
    <w:p w14:paraId="3F24DCC9">
      <w:pPr>
        <w:pStyle w:val="80"/>
        <w:spacing w:line="440" w:lineRule="exact"/>
        <w:rPr>
          <w:rFonts w:hint="eastAsia" w:cs="宋体"/>
          <w:color w:val="auto"/>
          <w:sz w:val="21"/>
          <w:highlight w:val="none"/>
        </w:rPr>
      </w:pPr>
      <w:r>
        <w:rPr>
          <w:rFonts w:hint="eastAsia" w:cs="宋体"/>
          <w:color w:val="auto"/>
          <w:sz w:val="21"/>
          <w:highlight w:val="none"/>
        </w:rPr>
        <w:t>电子信箱：</w:t>
      </w:r>
      <w:r>
        <w:rPr>
          <w:rFonts w:hint="eastAsia" w:cs="宋体"/>
          <w:color w:val="auto"/>
          <w:sz w:val="21"/>
          <w:highlight w:val="none"/>
          <w:u w:val="single"/>
        </w:rPr>
        <w:t>（签约时填写）</w:t>
      </w:r>
      <w:r>
        <w:rPr>
          <w:rFonts w:hint="eastAsia" w:cs="宋体"/>
          <w:color w:val="auto"/>
          <w:sz w:val="21"/>
          <w:highlight w:val="none"/>
        </w:rPr>
        <w:t>；</w:t>
      </w:r>
    </w:p>
    <w:p w14:paraId="0436DD5F">
      <w:pPr>
        <w:pStyle w:val="80"/>
        <w:spacing w:line="440" w:lineRule="exact"/>
        <w:rPr>
          <w:rFonts w:hint="eastAsia" w:cs="宋体"/>
          <w:color w:val="auto"/>
          <w:sz w:val="21"/>
          <w:highlight w:val="none"/>
        </w:rPr>
      </w:pPr>
      <w:r>
        <w:rPr>
          <w:rFonts w:hint="eastAsia" w:cs="宋体"/>
          <w:color w:val="auto"/>
          <w:sz w:val="21"/>
          <w:highlight w:val="none"/>
        </w:rPr>
        <w:t>通信地址：</w:t>
      </w:r>
      <w:r>
        <w:rPr>
          <w:rFonts w:hint="eastAsia" w:cs="宋体"/>
          <w:color w:val="auto"/>
          <w:sz w:val="21"/>
          <w:highlight w:val="none"/>
          <w:u w:val="single"/>
        </w:rPr>
        <w:t>（签约时填写）</w:t>
      </w:r>
      <w:r>
        <w:rPr>
          <w:rFonts w:hint="eastAsia" w:cs="宋体"/>
          <w:color w:val="auto"/>
          <w:sz w:val="21"/>
          <w:highlight w:val="none"/>
        </w:rPr>
        <w:t>；</w:t>
      </w:r>
    </w:p>
    <w:p w14:paraId="47D72A87">
      <w:pPr>
        <w:pStyle w:val="80"/>
        <w:spacing w:line="440" w:lineRule="exact"/>
        <w:rPr>
          <w:rFonts w:hint="eastAsia" w:cs="宋体"/>
          <w:color w:val="auto"/>
          <w:sz w:val="21"/>
          <w:highlight w:val="none"/>
        </w:rPr>
      </w:pPr>
      <w:r>
        <w:rPr>
          <w:rFonts w:hint="eastAsia" w:cs="宋体"/>
          <w:color w:val="auto"/>
          <w:sz w:val="21"/>
          <w:highlight w:val="none"/>
        </w:rPr>
        <w:t>关于监理人的其他约定：</w:t>
      </w:r>
      <w:r>
        <w:rPr>
          <w:rFonts w:hint="eastAsia" w:cs="宋体"/>
          <w:color w:val="auto"/>
          <w:sz w:val="21"/>
          <w:highlight w:val="none"/>
          <w:u w:val="single"/>
        </w:rPr>
        <w:t>（签约时填写）</w:t>
      </w:r>
      <w:r>
        <w:rPr>
          <w:rFonts w:hint="eastAsia" w:cs="宋体"/>
          <w:color w:val="auto"/>
          <w:sz w:val="21"/>
          <w:highlight w:val="none"/>
        </w:rPr>
        <w:t>。</w:t>
      </w:r>
    </w:p>
    <w:p w14:paraId="24874C8B">
      <w:pPr>
        <w:pStyle w:val="322"/>
        <w:spacing w:line="400" w:lineRule="exact"/>
        <w:rPr>
          <w:rFonts w:hint="eastAsia" w:ascii="宋体" w:cs="宋体"/>
          <w:color w:val="auto"/>
          <w:highlight w:val="none"/>
        </w:rPr>
      </w:pPr>
      <w:bookmarkStart w:id="907" w:name="_Toc478389205"/>
      <w:bookmarkStart w:id="908" w:name="_Toc417904291"/>
      <w:r>
        <w:rPr>
          <w:rFonts w:hint="eastAsia" w:ascii="宋体" w:cs="宋体"/>
          <w:color w:val="auto"/>
          <w:highlight w:val="none"/>
        </w:rPr>
        <w:t>4.4 商定或确定</w:t>
      </w:r>
      <w:bookmarkEnd w:id="907"/>
      <w:bookmarkEnd w:id="908"/>
    </w:p>
    <w:p w14:paraId="75903F9E">
      <w:pPr>
        <w:pStyle w:val="80"/>
        <w:spacing w:line="400" w:lineRule="exact"/>
        <w:rPr>
          <w:rFonts w:hint="eastAsia" w:cs="宋体"/>
          <w:color w:val="auto"/>
          <w:sz w:val="21"/>
          <w:highlight w:val="none"/>
        </w:rPr>
      </w:pPr>
      <w:bookmarkStart w:id="909" w:name="_Toc267251418"/>
      <w:r>
        <w:rPr>
          <w:rFonts w:hint="eastAsia" w:cs="宋体"/>
          <w:color w:val="auto"/>
          <w:sz w:val="21"/>
          <w:highlight w:val="none"/>
        </w:rPr>
        <w:t>在发包人和承包人不能通过协商达成一致意见时，发包人授权监理人对以下事项进行确定：</w:t>
      </w:r>
    </w:p>
    <w:p w14:paraId="39E58969">
      <w:pPr>
        <w:pStyle w:val="80"/>
        <w:spacing w:line="400" w:lineRule="exact"/>
        <w:rPr>
          <w:rFonts w:hint="eastAsia" w:cs="宋体"/>
          <w:color w:val="auto"/>
          <w:sz w:val="21"/>
          <w:highlight w:val="none"/>
        </w:rPr>
      </w:pPr>
      <w:r>
        <w:rPr>
          <w:rFonts w:hint="eastAsia" w:cs="宋体"/>
          <w:color w:val="auto"/>
          <w:sz w:val="21"/>
          <w:highlight w:val="none"/>
        </w:rPr>
        <w:t>（1）</w:t>
      </w:r>
      <w:r>
        <w:rPr>
          <w:rFonts w:hint="eastAsia" w:cs="宋体"/>
          <w:color w:val="auto"/>
          <w:sz w:val="21"/>
          <w:highlight w:val="none"/>
          <w:u w:val="single"/>
        </w:rPr>
        <w:t xml:space="preserve">      （签约时填写）        </w:t>
      </w:r>
      <w:r>
        <w:rPr>
          <w:rFonts w:hint="eastAsia" w:cs="宋体"/>
          <w:color w:val="auto"/>
          <w:sz w:val="21"/>
          <w:highlight w:val="none"/>
        </w:rPr>
        <w:t>；</w:t>
      </w:r>
    </w:p>
    <w:p w14:paraId="35D5421C">
      <w:pPr>
        <w:pStyle w:val="80"/>
        <w:spacing w:line="400" w:lineRule="exact"/>
        <w:rPr>
          <w:rFonts w:hint="eastAsia" w:cs="宋体"/>
          <w:color w:val="auto"/>
          <w:sz w:val="21"/>
          <w:highlight w:val="none"/>
        </w:rPr>
      </w:pPr>
      <w:r>
        <w:rPr>
          <w:rFonts w:hint="eastAsia" w:cs="宋体"/>
          <w:color w:val="auto"/>
          <w:sz w:val="21"/>
          <w:highlight w:val="none"/>
        </w:rPr>
        <w:t>（2）</w:t>
      </w:r>
      <w:r>
        <w:rPr>
          <w:rFonts w:hint="eastAsia" w:cs="宋体"/>
          <w:color w:val="auto"/>
          <w:sz w:val="21"/>
          <w:highlight w:val="none"/>
          <w:u w:val="single"/>
        </w:rPr>
        <w:t xml:space="preserve">     （签约时填写）          </w:t>
      </w:r>
      <w:r>
        <w:rPr>
          <w:rFonts w:hint="eastAsia" w:cs="宋体"/>
          <w:color w:val="auto"/>
          <w:sz w:val="21"/>
          <w:highlight w:val="none"/>
        </w:rPr>
        <w:t>；</w:t>
      </w:r>
    </w:p>
    <w:p w14:paraId="5155F227">
      <w:pPr>
        <w:pStyle w:val="80"/>
        <w:spacing w:line="400" w:lineRule="exact"/>
        <w:rPr>
          <w:rFonts w:hint="eastAsia" w:cs="宋体"/>
          <w:color w:val="auto"/>
          <w:sz w:val="21"/>
          <w:highlight w:val="none"/>
        </w:rPr>
      </w:pPr>
      <w:r>
        <w:rPr>
          <w:rFonts w:hint="eastAsia" w:cs="宋体"/>
          <w:color w:val="auto"/>
          <w:sz w:val="21"/>
          <w:highlight w:val="none"/>
        </w:rPr>
        <w:t>（3）</w:t>
      </w:r>
      <w:r>
        <w:rPr>
          <w:rFonts w:hint="eastAsia" w:cs="宋体"/>
          <w:color w:val="auto"/>
          <w:sz w:val="21"/>
          <w:highlight w:val="none"/>
          <w:u w:val="single"/>
        </w:rPr>
        <w:t xml:space="preserve">      （签约时填写）     </w:t>
      </w:r>
      <w:r>
        <w:rPr>
          <w:rFonts w:hint="eastAsia" w:cs="宋体"/>
          <w:color w:val="auto"/>
          <w:sz w:val="21"/>
          <w:highlight w:val="none"/>
        </w:rPr>
        <w:t>。</w:t>
      </w:r>
    </w:p>
    <w:p w14:paraId="6937B508">
      <w:pPr>
        <w:pStyle w:val="322"/>
        <w:spacing w:line="400" w:lineRule="exact"/>
        <w:rPr>
          <w:rFonts w:hint="eastAsia" w:ascii="宋体" w:cs="宋体"/>
          <w:color w:val="auto"/>
          <w:highlight w:val="none"/>
        </w:rPr>
      </w:pPr>
      <w:bookmarkStart w:id="910" w:name="_Toc478389206"/>
      <w:bookmarkStart w:id="911" w:name="_Toc417904292"/>
      <w:bookmarkStart w:id="912" w:name="_Toc351203637"/>
      <w:r>
        <w:rPr>
          <w:rFonts w:hint="eastAsia" w:ascii="宋体" w:cs="宋体"/>
          <w:color w:val="auto"/>
          <w:highlight w:val="none"/>
        </w:rPr>
        <w:t>5</w:t>
      </w:r>
      <w:bookmarkEnd w:id="909"/>
      <w:bookmarkStart w:id="913" w:name="_Toc292559367"/>
      <w:bookmarkStart w:id="914" w:name="_Toc296891203"/>
      <w:bookmarkStart w:id="915" w:name="_Toc296347162"/>
      <w:bookmarkStart w:id="916" w:name="_Toc292559872"/>
      <w:bookmarkStart w:id="917" w:name="_Toc297048349"/>
      <w:bookmarkStart w:id="918" w:name="_Toc296346664"/>
      <w:bookmarkStart w:id="919" w:name="_Toc297120463"/>
      <w:bookmarkStart w:id="920" w:name="_Toc296944502"/>
      <w:bookmarkStart w:id="921" w:name="_Toc296890991"/>
      <w:bookmarkStart w:id="922" w:name="_Toc296503163"/>
      <w:r>
        <w:rPr>
          <w:rFonts w:hint="eastAsia" w:ascii="宋体" w:cs="宋体"/>
          <w:color w:val="auto"/>
          <w:highlight w:val="none"/>
        </w:rPr>
        <w:t>. 工程质量</w:t>
      </w:r>
      <w:bookmarkEnd w:id="910"/>
      <w:bookmarkEnd w:id="911"/>
      <w:bookmarkEnd w:id="912"/>
    </w:p>
    <w:p w14:paraId="1928DF35">
      <w:pPr>
        <w:pStyle w:val="322"/>
        <w:spacing w:line="400" w:lineRule="exact"/>
        <w:rPr>
          <w:rFonts w:hint="eastAsia" w:ascii="宋体" w:cs="宋体"/>
          <w:color w:val="auto"/>
          <w:highlight w:val="none"/>
        </w:rPr>
      </w:pPr>
      <w:bookmarkStart w:id="923" w:name="_Toc417904293"/>
      <w:bookmarkStart w:id="924" w:name="_Toc478389207"/>
      <w:r>
        <w:rPr>
          <w:rFonts w:hint="eastAsia" w:ascii="宋体" w:cs="宋体"/>
          <w:color w:val="auto"/>
          <w:highlight w:val="none"/>
        </w:rPr>
        <w:t>5.1 质量要求</w:t>
      </w:r>
      <w:bookmarkEnd w:id="923"/>
      <w:bookmarkEnd w:id="924"/>
    </w:p>
    <w:p w14:paraId="5007ABED">
      <w:pPr>
        <w:pStyle w:val="80"/>
        <w:spacing w:line="400" w:lineRule="exact"/>
        <w:rPr>
          <w:rFonts w:hint="eastAsia" w:cs="宋体"/>
          <w:color w:val="auto"/>
          <w:sz w:val="21"/>
          <w:highlight w:val="none"/>
        </w:rPr>
      </w:pPr>
      <w:r>
        <w:rPr>
          <w:rFonts w:hint="eastAsia" w:cs="宋体"/>
          <w:color w:val="auto"/>
          <w:sz w:val="21"/>
          <w:highlight w:val="none"/>
        </w:rPr>
        <w:t>5</w:t>
      </w:r>
      <w:bookmarkStart w:id="925" w:name="_Toc303539106"/>
      <w:bookmarkStart w:id="926" w:name="_Toc318581164"/>
      <w:bookmarkStart w:id="927" w:name="_Toc312677997"/>
      <w:bookmarkStart w:id="928" w:name="_Toc297123496"/>
      <w:bookmarkStart w:id="929" w:name="_Toc297216155"/>
      <w:bookmarkStart w:id="930" w:name="_Toc300934949"/>
      <w:bookmarkStart w:id="931" w:name="_Toc304295527"/>
      <w:r>
        <w:rPr>
          <w:rFonts w:hint="eastAsia" w:cs="宋体"/>
          <w:color w:val="auto"/>
          <w:sz w:val="21"/>
          <w:highlight w:val="none"/>
        </w:rPr>
        <w:t>.1.1 特殊质量标准和要求：</w:t>
      </w:r>
      <w:r>
        <w:rPr>
          <w:rFonts w:hint="eastAsia" w:cs="宋体"/>
          <w:color w:val="auto"/>
          <w:sz w:val="21"/>
          <w:highlight w:val="none"/>
          <w:u w:val="single"/>
        </w:rPr>
        <w:t xml:space="preserve">   无  </w:t>
      </w:r>
      <w:r>
        <w:rPr>
          <w:rFonts w:hint="eastAsia" w:cs="宋体"/>
          <w:color w:val="auto"/>
          <w:sz w:val="21"/>
          <w:highlight w:val="none"/>
        </w:rPr>
        <w:t>。</w:t>
      </w:r>
    </w:p>
    <w:p w14:paraId="515B7B5D">
      <w:pPr>
        <w:pStyle w:val="80"/>
        <w:spacing w:line="400" w:lineRule="exact"/>
        <w:rPr>
          <w:rFonts w:hint="eastAsia" w:cs="宋体"/>
          <w:color w:val="auto"/>
          <w:sz w:val="21"/>
          <w:highlight w:val="none"/>
        </w:rPr>
      </w:pPr>
      <w:r>
        <w:rPr>
          <w:rFonts w:hint="eastAsia" w:cs="宋体"/>
          <w:color w:val="auto"/>
          <w:sz w:val="21"/>
          <w:highlight w:val="none"/>
        </w:rPr>
        <w:t>关于工程奖项的约定：</w:t>
      </w:r>
      <w:r>
        <w:rPr>
          <w:rFonts w:hint="eastAsia" w:cs="宋体"/>
          <w:color w:val="auto"/>
          <w:sz w:val="21"/>
          <w:highlight w:val="none"/>
          <w:u w:val="single"/>
        </w:rPr>
        <w:t xml:space="preserve">   无   </w:t>
      </w:r>
      <w:r>
        <w:rPr>
          <w:rFonts w:hint="eastAsia" w:cs="宋体"/>
          <w:color w:val="auto"/>
          <w:sz w:val="21"/>
          <w:highlight w:val="none"/>
        </w:rPr>
        <w:t>。</w:t>
      </w:r>
    </w:p>
    <w:p w14:paraId="3D987793">
      <w:pPr>
        <w:pStyle w:val="322"/>
        <w:spacing w:line="400" w:lineRule="exact"/>
        <w:rPr>
          <w:rFonts w:hint="eastAsia" w:ascii="宋体" w:cs="宋体"/>
          <w:color w:val="auto"/>
          <w:highlight w:val="none"/>
        </w:rPr>
      </w:pPr>
      <w:bookmarkStart w:id="932" w:name="_Toc417904294"/>
      <w:bookmarkStart w:id="933" w:name="_Toc478389208"/>
      <w:r>
        <w:rPr>
          <w:rFonts w:hint="eastAsia" w:ascii="宋体" w:cs="宋体"/>
          <w:color w:val="auto"/>
          <w:highlight w:val="none"/>
        </w:rPr>
        <w:t>5.3 隐蔽工程检查</w:t>
      </w:r>
      <w:bookmarkEnd w:id="932"/>
      <w:bookmarkEnd w:id="933"/>
    </w:p>
    <w:p w14:paraId="1D30259C">
      <w:pPr>
        <w:pStyle w:val="80"/>
        <w:spacing w:line="400" w:lineRule="exact"/>
        <w:rPr>
          <w:rFonts w:hint="eastAsia" w:cs="宋体"/>
          <w:color w:val="auto"/>
          <w:sz w:val="21"/>
          <w:highlight w:val="none"/>
        </w:rPr>
      </w:pPr>
      <w:r>
        <w:rPr>
          <w:rFonts w:hint="eastAsia" w:cs="宋体"/>
          <w:color w:val="auto"/>
          <w:sz w:val="21"/>
          <w:highlight w:val="none"/>
        </w:rPr>
        <w:t>5.3.2承包人提前通知发包人隐蔽工程检查的期限的约定：</w:t>
      </w:r>
      <w:r>
        <w:rPr>
          <w:rFonts w:hint="eastAsia" w:cs="宋体"/>
          <w:color w:val="auto"/>
          <w:sz w:val="21"/>
          <w:highlight w:val="none"/>
          <w:u w:val="single"/>
        </w:rPr>
        <w:t xml:space="preserve">　提前7天   </w:t>
      </w:r>
      <w:r>
        <w:rPr>
          <w:rFonts w:hint="eastAsia" w:cs="宋体"/>
          <w:color w:val="auto"/>
          <w:sz w:val="21"/>
          <w:highlight w:val="none"/>
        </w:rPr>
        <w:t>。</w:t>
      </w:r>
    </w:p>
    <w:p w14:paraId="5B1F9807">
      <w:pPr>
        <w:pStyle w:val="80"/>
        <w:spacing w:line="400" w:lineRule="exact"/>
        <w:rPr>
          <w:rFonts w:hint="eastAsia" w:cs="宋体"/>
          <w:color w:val="auto"/>
          <w:sz w:val="21"/>
          <w:highlight w:val="none"/>
        </w:rPr>
      </w:pPr>
      <w:r>
        <w:rPr>
          <w:rFonts w:hint="eastAsia" w:cs="宋体"/>
          <w:color w:val="auto"/>
          <w:sz w:val="21"/>
          <w:highlight w:val="none"/>
        </w:rPr>
        <w:t>发包人不能按时进行检查时，应提前</w:t>
      </w:r>
      <w:r>
        <w:rPr>
          <w:rFonts w:hint="eastAsia" w:cs="宋体"/>
          <w:color w:val="auto"/>
          <w:sz w:val="21"/>
          <w:highlight w:val="none"/>
          <w:u w:val="single"/>
        </w:rPr>
        <w:t xml:space="preserve">  24  </w:t>
      </w:r>
      <w:r>
        <w:rPr>
          <w:rFonts w:hint="eastAsia" w:cs="宋体"/>
          <w:color w:val="auto"/>
          <w:sz w:val="21"/>
          <w:highlight w:val="none"/>
        </w:rPr>
        <w:t>小时提交书面延期要求。</w:t>
      </w:r>
    </w:p>
    <w:p w14:paraId="661833E2">
      <w:pPr>
        <w:pStyle w:val="80"/>
        <w:spacing w:line="400" w:lineRule="exact"/>
        <w:rPr>
          <w:rFonts w:hint="eastAsia" w:cs="宋体"/>
          <w:color w:val="auto"/>
          <w:sz w:val="21"/>
          <w:highlight w:val="none"/>
        </w:rPr>
      </w:pPr>
      <w:r>
        <w:rPr>
          <w:rFonts w:hint="eastAsia" w:cs="宋体"/>
          <w:color w:val="auto"/>
          <w:sz w:val="21"/>
          <w:highlight w:val="none"/>
        </w:rPr>
        <w:t>关于延期最长不得超过：</w:t>
      </w:r>
      <w:r>
        <w:rPr>
          <w:rFonts w:hint="eastAsia" w:cs="宋体"/>
          <w:color w:val="auto"/>
          <w:sz w:val="21"/>
          <w:highlight w:val="none"/>
          <w:u w:val="single"/>
        </w:rPr>
        <w:t xml:space="preserve">  48  </w:t>
      </w:r>
      <w:r>
        <w:rPr>
          <w:rFonts w:hint="eastAsia" w:cs="宋体"/>
          <w:color w:val="auto"/>
          <w:sz w:val="21"/>
          <w:highlight w:val="none"/>
        </w:rPr>
        <w:t>小时。</w:t>
      </w:r>
    </w:p>
    <w:p w14:paraId="498B6228">
      <w:pPr>
        <w:pStyle w:val="80"/>
        <w:spacing w:line="400" w:lineRule="exact"/>
        <w:rPr>
          <w:rFonts w:hint="eastAsia" w:cs="宋体"/>
          <w:color w:val="auto"/>
          <w:sz w:val="21"/>
          <w:highlight w:val="none"/>
        </w:rPr>
      </w:pPr>
    </w:p>
    <w:p w14:paraId="03417872">
      <w:pPr>
        <w:pStyle w:val="322"/>
        <w:spacing w:line="400" w:lineRule="exact"/>
        <w:rPr>
          <w:rFonts w:hint="eastAsia" w:ascii="宋体" w:cs="宋体"/>
          <w:color w:val="auto"/>
          <w:highlight w:val="none"/>
        </w:rPr>
      </w:pPr>
      <w:bookmarkStart w:id="934" w:name="_Toc478389209"/>
      <w:bookmarkStart w:id="935" w:name="_Toc417904295"/>
      <w:bookmarkStart w:id="936" w:name="_Toc351203638"/>
      <w:r>
        <w:rPr>
          <w:rFonts w:hint="eastAsia" w:ascii="宋体" w:cs="宋体"/>
          <w:color w:val="auto"/>
          <w:highlight w:val="none"/>
        </w:rPr>
        <w:t>6. 安全文明施工与环境保护</w:t>
      </w:r>
      <w:bookmarkEnd w:id="934"/>
      <w:bookmarkEnd w:id="935"/>
      <w:bookmarkEnd w:id="936"/>
    </w:p>
    <w:p w14:paraId="01B64DB6">
      <w:pPr>
        <w:pStyle w:val="322"/>
        <w:spacing w:line="400" w:lineRule="exact"/>
        <w:rPr>
          <w:rFonts w:hint="eastAsia" w:ascii="宋体" w:cs="宋体"/>
          <w:color w:val="auto"/>
          <w:highlight w:val="none"/>
        </w:rPr>
      </w:pPr>
      <w:bookmarkStart w:id="937" w:name="_Toc417904296"/>
      <w:bookmarkStart w:id="938" w:name="_Toc478389210"/>
      <w:r>
        <w:rPr>
          <w:rFonts w:hint="eastAsia" w:ascii="宋体" w:cs="宋体"/>
          <w:color w:val="auto"/>
          <w:highlight w:val="none"/>
        </w:rPr>
        <w:t>6.1安全文明施工</w:t>
      </w:r>
      <w:bookmarkEnd w:id="937"/>
      <w:bookmarkEnd w:id="938"/>
    </w:p>
    <w:p w14:paraId="49CFFD9C">
      <w:pPr>
        <w:pStyle w:val="80"/>
        <w:spacing w:line="400" w:lineRule="exact"/>
        <w:rPr>
          <w:rFonts w:hint="eastAsia" w:cs="宋体"/>
          <w:color w:val="auto"/>
          <w:sz w:val="21"/>
          <w:highlight w:val="none"/>
        </w:rPr>
      </w:pPr>
      <w:r>
        <w:rPr>
          <w:rFonts w:hint="eastAsia" w:cs="宋体"/>
          <w:color w:val="auto"/>
          <w:sz w:val="21"/>
          <w:highlight w:val="none"/>
        </w:rPr>
        <w:t>6.1.1 项目安全生产的达标目标及相应事项的约定：</w:t>
      </w:r>
      <w:r>
        <w:rPr>
          <w:rFonts w:hint="eastAsia" w:cs="宋体"/>
          <w:color w:val="auto"/>
          <w:sz w:val="21"/>
          <w:highlight w:val="none"/>
          <w:u w:val="single"/>
        </w:rPr>
        <w:t xml:space="preserve">   按国家规定  </w:t>
      </w:r>
      <w:r>
        <w:rPr>
          <w:rFonts w:hint="eastAsia" w:cs="宋体"/>
          <w:color w:val="auto"/>
          <w:sz w:val="21"/>
          <w:highlight w:val="none"/>
        </w:rPr>
        <w:t>。</w:t>
      </w:r>
    </w:p>
    <w:p w14:paraId="4B4126E1">
      <w:pPr>
        <w:pStyle w:val="80"/>
        <w:spacing w:line="400" w:lineRule="exact"/>
        <w:rPr>
          <w:rFonts w:hint="eastAsia" w:cs="宋体"/>
          <w:color w:val="auto"/>
          <w:sz w:val="21"/>
          <w:highlight w:val="none"/>
        </w:rPr>
      </w:pPr>
      <w:r>
        <w:rPr>
          <w:rFonts w:hint="eastAsia" w:cs="宋体"/>
          <w:color w:val="auto"/>
          <w:sz w:val="21"/>
          <w:highlight w:val="none"/>
        </w:rPr>
        <w:t>6.1.4关于治安保卫的特别约定：</w:t>
      </w:r>
      <w:r>
        <w:rPr>
          <w:rFonts w:hint="eastAsia" w:cs="宋体"/>
          <w:color w:val="auto"/>
          <w:sz w:val="21"/>
          <w:highlight w:val="none"/>
          <w:u w:val="single"/>
        </w:rPr>
        <w:t>承包人应承担施工安全保卫工作及非夜间施工照明的责任，承包人应采取一切合理的预防措施，防止人员伤亡、财产损失事故，费用由承包人承担。承包人生活设施及施工场应自费配备消防设备，防止火灾发生。</w:t>
      </w:r>
    </w:p>
    <w:p w14:paraId="1D7D5670">
      <w:pPr>
        <w:pStyle w:val="80"/>
        <w:spacing w:line="400" w:lineRule="exact"/>
        <w:rPr>
          <w:rFonts w:hint="eastAsia" w:cs="宋体"/>
          <w:color w:val="auto"/>
          <w:sz w:val="21"/>
          <w:highlight w:val="none"/>
        </w:rPr>
      </w:pPr>
      <w:r>
        <w:rPr>
          <w:rFonts w:hint="eastAsia" w:cs="宋体"/>
          <w:color w:val="auto"/>
          <w:sz w:val="21"/>
          <w:highlight w:val="none"/>
        </w:rPr>
        <w:t>关于编制施工场地治安管理计划的约定：</w:t>
      </w:r>
      <w:r>
        <w:rPr>
          <w:rFonts w:hint="eastAsia" w:cs="宋体"/>
          <w:color w:val="auto"/>
          <w:sz w:val="21"/>
          <w:highlight w:val="none"/>
          <w:u w:val="single"/>
        </w:rPr>
        <w:t xml:space="preserve">   合同签订后7天内      </w:t>
      </w:r>
      <w:r>
        <w:rPr>
          <w:rFonts w:hint="eastAsia" w:cs="宋体"/>
          <w:color w:val="auto"/>
          <w:sz w:val="21"/>
          <w:highlight w:val="none"/>
        </w:rPr>
        <w:t>。</w:t>
      </w:r>
    </w:p>
    <w:p w14:paraId="6C69D236">
      <w:pPr>
        <w:pStyle w:val="80"/>
        <w:spacing w:line="400" w:lineRule="exact"/>
        <w:rPr>
          <w:rFonts w:hint="eastAsia" w:cs="宋体"/>
          <w:color w:val="auto"/>
          <w:sz w:val="21"/>
          <w:highlight w:val="none"/>
        </w:rPr>
      </w:pPr>
      <w:r>
        <w:rPr>
          <w:rFonts w:hint="eastAsia" w:cs="宋体"/>
          <w:color w:val="auto"/>
          <w:sz w:val="21"/>
          <w:highlight w:val="none"/>
        </w:rPr>
        <w:t>6.1.5 文明施工</w:t>
      </w:r>
    </w:p>
    <w:p w14:paraId="32B2656B">
      <w:pPr>
        <w:pStyle w:val="80"/>
        <w:spacing w:line="400" w:lineRule="exact"/>
        <w:rPr>
          <w:rFonts w:hint="eastAsia" w:cs="宋体"/>
          <w:color w:val="auto"/>
          <w:sz w:val="21"/>
          <w:highlight w:val="none"/>
        </w:rPr>
      </w:pPr>
      <w:r>
        <w:rPr>
          <w:rFonts w:hint="eastAsia" w:cs="宋体"/>
          <w:color w:val="auto"/>
          <w:sz w:val="21"/>
          <w:highlight w:val="none"/>
        </w:rPr>
        <w:t>合同当事人对文明施工的要求：</w:t>
      </w:r>
      <w:r>
        <w:rPr>
          <w:rFonts w:hint="eastAsia" w:cs="宋体"/>
          <w:color w:val="auto"/>
          <w:sz w:val="21"/>
          <w:highlight w:val="none"/>
          <w:u w:val="single"/>
        </w:rPr>
        <w:t xml:space="preserve"> 按国家及地方安全文明施工的有关规定及甲方 单位相关管理要求执行。 </w:t>
      </w:r>
      <w:r>
        <w:rPr>
          <w:rFonts w:hint="eastAsia" w:cs="宋体"/>
          <w:color w:val="auto"/>
          <w:sz w:val="21"/>
          <w:highlight w:val="none"/>
        </w:rPr>
        <w:t>。</w:t>
      </w:r>
    </w:p>
    <w:p w14:paraId="00E980D5">
      <w:pPr>
        <w:pStyle w:val="80"/>
        <w:spacing w:line="400" w:lineRule="exact"/>
        <w:rPr>
          <w:rFonts w:hint="eastAsia" w:cs="宋体"/>
          <w:color w:val="auto"/>
          <w:sz w:val="21"/>
          <w:highlight w:val="none"/>
          <w:u w:val="single"/>
        </w:rPr>
      </w:pPr>
      <w:r>
        <w:rPr>
          <w:rFonts w:hint="eastAsia" w:cs="宋体"/>
          <w:color w:val="auto"/>
          <w:sz w:val="21"/>
          <w:highlight w:val="none"/>
        </w:rPr>
        <w:t>6.1.6关于安全文明施工费支付比例和支付期限的约定：</w:t>
      </w:r>
      <w:r>
        <w:rPr>
          <w:rFonts w:hint="eastAsia" w:cs="宋体"/>
          <w:color w:val="auto"/>
          <w:sz w:val="21"/>
          <w:highlight w:val="none"/>
          <w:u w:val="single"/>
        </w:rPr>
        <w:t>使用要求：专款专用。具体按桂建质（2015）16号文《广西壮族自治区建设工程安全文明施工费使用管理细则》执行。</w:t>
      </w:r>
    </w:p>
    <w:p w14:paraId="19001F62">
      <w:pPr>
        <w:pStyle w:val="322"/>
        <w:spacing w:line="400" w:lineRule="exact"/>
        <w:rPr>
          <w:rFonts w:hint="eastAsia" w:ascii="宋体" w:cs="宋体"/>
          <w:color w:val="auto"/>
          <w:highlight w:val="none"/>
        </w:rPr>
      </w:pPr>
      <w:bookmarkStart w:id="939" w:name="_Toc389065287"/>
      <w:bookmarkStart w:id="940" w:name="_Toc373227721"/>
      <w:bookmarkStart w:id="941" w:name="_Toc395382523"/>
      <w:bookmarkStart w:id="942" w:name="_Toc373478368"/>
      <w:bookmarkStart w:id="943" w:name="_Toc478389211"/>
      <w:r>
        <w:rPr>
          <w:rFonts w:hint="eastAsia" w:ascii="宋体" w:cs="宋体"/>
          <w:color w:val="auto"/>
          <w:highlight w:val="none"/>
        </w:rPr>
        <w:t>6.3环境保护</w:t>
      </w:r>
      <w:bookmarkEnd w:id="939"/>
      <w:bookmarkEnd w:id="940"/>
      <w:bookmarkEnd w:id="941"/>
      <w:bookmarkEnd w:id="942"/>
      <w:bookmarkEnd w:id="943"/>
    </w:p>
    <w:p w14:paraId="34C0A854">
      <w:pPr>
        <w:spacing w:line="360" w:lineRule="auto"/>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u w:val="single"/>
        </w:rPr>
        <w:t>因施工需要，经发包人批准，由承包人办理有关施工场地交通、环卫和施工噪音管理等手续，费用由承包人负责。</w:t>
      </w:r>
    </w:p>
    <w:p w14:paraId="5E06668F">
      <w:pPr>
        <w:pStyle w:val="80"/>
        <w:spacing w:line="400" w:lineRule="exact"/>
        <w:rPr>
          <w:rFonts w:hint="eastAsia" w:cs="宋体"/>
          <w:color w:val="auto"/>
          <w:sz w:val="21"/>
          <w:highlight w:val="none"/>
          <w:u w:val="single"/>
        </w:rPr>
      </w:pPr>
      <w:r>
        <w:rPr>
          <w:rFonts w:hint="eastAsia" w:cs="宋体"/>
          <w:color w:val="auto"/>
          <w:sz w:val="21"/>
          <w:highlight w:val="none"/>
          <w:u w:val="single"/>
        </w:rPr>
        <w:t>经过城市道路的施工车辆，必须按交警、城管、运输等部门相关规定执行。由于施工车辆造成的道路、环境等污染，其责任和费用均由承包人承担。</w:t>
      </w:r>
    </w:p>
    <w:bookmarkEnd w:id="925"/>
    <w:bookmarkEnd w:id="926"/>
    <w:bookmarkEnd w:id="927"/>
    <w:bookmarkEnd w:id="928"/>
    <w:bookmarkEnd w:id="929"/>
    <w:bookmarkEnd w:id="930"/>
    <w:bookmarkEnd w:id="931"/>
    <w:p w14:paraId="36995B72">
      <w:pPr>
        <w:pStyle w:val="322"/>
        <w:spacing w:line="400" w:lineRule="exact"/>
        <w:rPr>
          <w:rFonts w:hint="eastAsia" w:ascii="宋体" w:cs="宋体"/>
          <w:color w:val="auto"/>
          <w:highlight w:val="none"/>
        </w:rPr>
      </w:pPr>
      <w:bookmarkStart w:id="944" w:name="_Toc351203639"/>
      <w:bookmarkStart w:id="945" w:name="_Toc417904297"/>
      <w:bookmarkStart w:id="946" w:name="_Toc478389212"/>
      <w:r>
        <w:rPr>
          <w:rFonts w:hint="eastAsia" w:ascii="宋体" w:cs="宋体"/>
          <w:color w:val="auto"/>
          <w:highlight w:val="none"/>
        </w:rPr>
        <w:t>7. 工期和进度</w:t>
      </w:r>
      <w:bookmarkEnd w:id="944"/>
      <w:bookmarkEnd w:id="945"/>
      <w:bookmarkEnd w:id="946"/>
    </w:p>
    <w:p w14:paraId="3455FE54">
      <w:pPr>
        <w:pStyle w:val="322"/>
        <w:spacing w:line="400" w:lineRule="exact"/>
        <w:rPr>
          <w:rFonts w:hint="eastAsia" w:ascii="宋体" w:cs="宋体"/>
          <w:color w:val="auto"/>
          <w:highlight w:val="none"/>
        </w:rPr>
      </w:pPr>
      <w:bookmarkStart w:id="947" w:name="_Toc478389213"/>
      <w:bookmarkStart w:id="948" w:name="_Toc417904298"/>
      <w:r>
        <w:rPr>
          <w:rFonts w:hint="eastAsia" w:ascii="宋体" w:cs="宋体"/>
          <w:color w:val="auto"/>
          <w:highlight w:val="none"/>
        </w:rPr>
        <w:t>7.1 施工组织设计</w:t>
      </w:r>
      <w:bookmarkEnd w:id="947"/>
      <w:bookmarkEnd w:id="948"/>
    </w:p>
    <w:p w14:paraId="620AB527">
      <w:pPr>
        <w:pStyle w:val="80"/>
        <w:spacing w:line="400" w:lineRule="exact"/>
        <w:rPr>
          <w:rFonts w:hint="eastAsia" w:cs="宋体"/>
          <w:color w:val="auto"/>
          <w:sz w:val="21"/>
          <w:highlight w:val="none"/>
        </w:rPr>
      </w:pPr>
      <w:r>
        <w:rPr>
          <w:rFonts w:hint="eastAsia" w:cs="宋体"/>
          <w:color w:val="auto"/>
          <w:sz w:val="21"/>
          <w:highlight w:val="none"/>
        </w:rPr>
        <w:t>7.1.1 合同当事人约定的施工组织设计应包括的其他内容：（1）管理人员名单，含职称、职务并附相关人员岗位证书等复印件；（2）施工进度计划包括总进度计划、分阶段和分项进度计划、设备材料人员进场计划；施工方案说明包括分部、分项工程或工程部位的名称及施工顺序和方法 ；（3） 国家及地方有关规定应当提交的内容。</w:t>
      </w:r>
    </w:p>
    <w:p w14:paraId="4FD494CD">
      <w:pPr>
        <w:pStyle w:val="80"/>
        <w:spacing w:line="400" w:lineRule="exact"/>
        <w:rPr>
          <w:rFonts w:hint="eastAsia" w:cs="宋体"/>
          <w:color w:val="auto"/>
          <w:sz w:val="21"/>
          <w:highlight w:val="none"/>
        </w:rPr>
      </w:pPr>
      <w:r>
        <w:rPr>
          <w:rFonts w:hint="eastAsia" w:cs="宋体"/>
          <w:color w:val="auto"/>
          <w:sz w:val="21"/>
          <w:highlight w:val="none"/>
        </w:rPr>
        <w:t>7.1.2 施工组织设计的提交和修改</w:t>
      </w:r>
    </w:p>
    <w:p w14:paraId="295D4B13">
      <w:pPr>
        <w:pStyle w:val="80"/>
        <w:spacing w:line="400" w:lineRule="exact"/>
        <w:rPr>
          <w:rFonts w:hint="eastAsia" w:cs="宋体"/>
          <w:color w:val="auto"/>
          <w:sz w:val="21"/>
          <w:highlight w:val="none"/>
        </w:rPr>
      </w:pPr>
      <w:r>
        <w:rPr>
          <w:rFonts w:hint="eastAsia" w:cs="宋体"/>
          <w:color w:val="auto"/>
          <w:sz w:val="21"/>
          <w:highlight w:val="none"/>
        </w:rPr>
        <w:t>承包人提交详细施工组织设计的期限的约定：</w:t>
      </w:r>
      <w:r>
        <w:rPr>
          <w:rFonts w:hint="eastAsia" w:cs="宋体"/>
          <w:color w:val="auto"/>
          <w:sz w:val="21"/>
          <w:highlight w:val="none"/>
          <w:u w:val="single"/>
        </w:rPr>
        <w:t xml:space="preserve">    合同签订后7天内     </w:t>
      </w:r>
      <w:r>
        <w:rPr>
          <w:rFonts w:hint="eastAsia" w:cs="宋体"/>
          <w:color w:val="auto"/>
          <w:sz w:val="21"/>
          <w:highlight w:val="none"/>
        </w:rPr>
        <w:t>。</w:t>
      </w:r>
    </w:p>
    <w:p w14:paraId="7B15E021">
      <w:pPr>
        <w:pStyle w:val="80"/>
        <w:spacing w:line="400" w:lineRule="exact"/>
        <w:rPr>
          <w:rFonts w:hint="eastAsia" w:cs="宋体"/>
          <w:color w:val="auto"/>
          <w:sz w:val="21"/>
          <w:highlight w:val="none"/>
        </w:rPr>
      </w:pPr>
      <w:r>
        <w:rPr>
          <w:rFonts w:hint="eastAsia" w:cs="宋体"/>
          <w:color w:val="auto"/>
          <w:sz w:val="21"/>
          <w:highlight w:val="none"/>
        </w:rPr>
        <w:t>发包人和监理人在收到详细的施工组织设计后确认或提出修改意见的期限：</w:t>
      </w:r>
      <w:r>
        <w:rPr>
          <w:rFonts w:hint="eastAsia" w:cs="宋体"/>
          <w:color w:val="auto"/>
          <w:sz w:val="21"/>
          <w:highlight w:val="none"/>
          <w:u w:val="single"/>
        </w:rPr>
        <w:t xml:space="preserve">  7天内 </w:t>
      </w:r>
      <w:r>
        <w:rPr>
          <w:rFonts w:hint="eastAsia" w:cs="宋体"/>
          <w:color w:val="auto"/>
          <w:sz w:val="21"/>
          <w:highlight w:val="none"/>
        </w:rPr>
        <w:t>。</w:t>
      </w:r>
    </w:p>
    <w:p w14:paraId="11445617">
      <w:pPr>
        <w:pStyle w:val="322"/>
        <w:spacing w:line="400" w:lineRule="exact"/>
        <w:rPr>
          <w:rFonts w:hint="eastAsia" w:ascii="宋体" w:cs="宋体"/>
          <w:color w:val="auto"/>
          <w:highlight w:val="none"/>
        </w:rPr>
      </w:pPr>
      <w:bookmarkStart w:id="949" w:name="_Toc417904299"/>
      <w:bookmarkStart w:id="950" w:name="_Toc478389214"/>
      <w:r>
        <w:rPr>
          <w:rFonts w:hint="eastAsia" w:ascii="宋体" w:cs="宋体"/>
          <w:color w:val="auto"/>
          <w:highlight w:val="none"/>
        </w:rPr>
        <w:t>7</w:t>
      </w:r>
      <w:bookmarkStart w:id="951" w:name="_Toc297216173"/>
      <w:bookmarkStart w:id="952" w:name="_Toc300934966"/>
      <w:bookmarkStart w:id="953" w:name="_Toc312678005"/>
      <w:bookmarkStart w:id="954" w:name="_Toc304295541"/>
      <w:bookmarkStart w:id="955" w:name="_Toc297123514"/>
      <w:bookmarkStart w:id="956" w:name="_Toc312677479"/>
      <w:bookmarkStart w:id="957" w:name="_Toc303539123"/>
      <w:r>
        <w:rPr>
          <w:rFonts w:hint="eastAsia" w:ascii="宋体" w:cs="宋体"/>
          <w:color w:val="auto"/>
          <w:highlight w:val="none"/>
        </w:rPr>
        <w:t>.2 施工进度计划</w:t>
      </w:r>
      <w:bookmarkEnd w:id="949"/>
      <w:bookmarkEnd w:id="950"/>
    </w:p>
    <w:p w14:paraId="05A76CD4">
      <w:pPr>
        <w:pStyle w:val="80"/>
        <w:spacing w:line="400" w:lineRule="exact"/>
        <w:rPr>
          <w:rFonts w:hint="eastAsia" w:cs="宋体"/>
          <w:color w:val="auto"/>
          <w:sz w:val="21"/>
          <w:highlight w:val="none"/>
        </w:rPr>
      </w:pPr>
      <w:r>
        <w:rPr>
          <w:rFonts w:hint="eastAsia" w:cs="宋体"/>
          <w:color w:val="auto"/>
          <w:sz w:val="21"/>
          <w:highlight w:val="none"/>
        </w:rPr>
        <w:t>7.2.2 施工进度计划的修订</w:t>
      </w:r>
    </w:p>
    <w:p w14:paraId="0306A489">
      <w:pPr>
        <w:pStyle w:val="80"/>
        <w:spacing w:line="410" w:lineRule="exact"/>
        <w:rPr>
          <w:rFonts w:hint="eastAsia" w:cs="宋体"/>
          <w:color w:val="auto"/>
          <w:sz w:val="21"/>
          <w:highlight w:val="none"/>
        </w:rPr>
      </w:pPr>
      <w:r>
        <w:rPr>
          <w:rFonts w:hint="eastAsia" w:cs="宋体"/>
          <w:color w:val="auto"/>
          <w:sz w:val="21"/>
          <w:highlight w:val="none"/>
        </w:rPr>
        <w:t>发包人和监理人在收到修订的施工进度计划后确认或提出修改意见的期限：</w:t>
      </w:r>
      <w:r>
        <w:rPr>
          <w:rFonts w:hint="eastAsia" w:cs="宋体"/>
          <w:color w:val="auto"/>
          <w:sz w:val="21"/>
          <w:highlight w:val="none"/>
          <w:u w:val="single"/>
        </w:rPr>
        <w:t>收到修订合同进度计划后7天</w:t>
      </w:r>
      <w:r>
        <w:rPr>
          <w:rFonts w:hint="eastAsia" w:cs="宋体"/>
          <w:color w:val="auto"/>
          <w:sz w:val="21"/>
          <w:highlight w:val="none"/>
        </w:rPr>
        <w:t>。</w:t>
      </w:r>
    </w:p>
    <w:p w14:paraId="30E2D2FE">
      <w:pPr>
        <w:pStyle w:val="322"/>
        <w:spacing w:line="410" w:lineRule="exact"/>
        <w:rPr>
          <w:rFonts w:hint="eastAsia" w:ascii="宋体" w:cs="宋体"/>
          <w:color w:val="auto"/>
          <w:highlight w:val="none"/>
        </w:rPr>
      </w:pPr>
      <w:bookmarkStart w:id="958" w:name="_Toc478389215"/>
      <w:bookmarkStart w:id="959" w:name="_Toc417904300"/>
      <w:r>
        <w:rPr>
          <w:rFonts w:hint="eastAsia" w:ascii="宋体" w:cs="宋体"/>
          <w:color w:val="auto"/>
          <w:highlight w:val="none"/>
        </w:rPr>
        <w:t>7.3 开工</w:t>
      </w:r>
      <w:bookmarkEnd w:id="958"/>
      <w:bookmarkEnd w:id="959"/>
    </w:p>
    <w:p w14:paraId="08C52F19">
      <w:pPr>
        <w:pStyle w:val="80"/>
        <w:spacing w:line="410" w:lineRule="exact"/>
        <w:rPr>
          <w:rFonts w:hint="eastAsia" w:cs="宋体"/>
          <w:color w:val="auto"/>
          <w:sz w:val="21"/>
          <w:highlight w:val="none"/>
        </w:rPr>
      </w:pPr>
      <w:r>
        <w:rPr>
          <w:rFonts w:hint="eastAsia" w:cs="宋体"/>
          <w:color w:val="auto"/>
          <w:sz w:val="21"/>
          <w:highlight w:val="none"/>
        </w:rPr>
        <w:t>7.3.1 开工准备</w:t>
      </w:r>
    </w:p>
    <w:p w14:paraId="0FAC8DE1">
      <w:pPr>
        <w:pStyle w:val="80"/>
        <w:spacing w:line="410" w:lineRule="exact"/>
        <w:rPr>
          <w:rFonts w:hint="eastAsia" w:cs="宋体"/>
          <w:color w:val="auto"/>
          <w:sz w:val="21"/>
          <w:highlight w:val="none"/>
          <w:u w:val="single"/>
        </w:rPr>
      </w:pPr>
      <w:r>
        <w:rPr>
          <w:rFonts w:hint="eastAsia" w:cs="宋体"/>
          <w:color w:val="auto"/>
          <w:sz w:val="21"/>
          <w:highlight w:val="none"/>
        </w:rPr>
        <w:t>关于承包人提交工程开工报审表的期限：</w:t>
      </w:r>
      <w:r>
        <w:rPr>
          <w:rFonts w:hint="eastAsia" w:cs="宋体"/>
          <w:color w:val="auto"/>
          <w:sz w:val="21"/>
          <w:highlight w:val="none"/>
          <w:u w:val="single"/>
        </w:rPr>
        <w:t xml:space="preserve">  合同签订后7天  </w:t>
      </w:r>
      <w:r>
        <w:rPr>
          <w:rFonts w:hint="eastAsia" w:cs="宋体"/>
          <w:color w:val="auto"/>
          <w:sz w:val="21"/>
          <w:highlight w:val="none"/>
        </w:rPr>
        <w:t>。</w:t>
      </w:r>
    </w:p>
    <w:p w14:paraId="69CBA243">
      <w:pPr>
        <w:pStyle w:val="80"/>
        <w:spacing w:line="410" w:lineRule="exact"/>
        <w:rPr>
          <w:rFonts w:hint="eastAsia" w:cs="宋体"/>
          <w:color w:val="auto"/>
          <w:sz w:val="21"/>
          <w:highlight w:val="none"/>
        </w:rPr>
      </w:pPr>
      <w:r>
        <w:rPr>
          <w:rFonts w:hint="eastAsia" w:cs="宋体"/>
          <w:color w:val="auto"/>
          <w:sz w:val="21"/>
          <w:highlight w:val="none"/>
        </w:rPr>
        <w:t>关于发包人应完成的其他开工准备工作及期限：</w:t>
      </w:r>
      <w:r>
        <w:rPr>
          <w:rFonts w:hint="eastAsia" w:cs="宋体"/>
          <w:color w:val="auto"/>
          <w:sz w:val="21"/>
          <w:highlight w:val="none"/>
          <w:u w:val="single"/>
        </w:rPr>
        <w:t xml:space="preserve">  合同签订后7天   </w:t>
      </w:r>
      <w:r>
        <w:rPr>
          <w:rFonts w:hint="eastAsia" w:cs="宋体"/>
          <w:color w:val="auto"/>
          <w:sz w:val="21"/>
          <w:highlight w:val="none"/>
        </w:rPr>
        <w:t>。</w:t>
      </w:r>
    </w:p>
    <w:p w14:paraId="441CE704">
      <w:pPr>
        <w:pStyle w:val="80"/>
        <w:spacing w:line="410" w:lineRule="exact"/>
        <w:rPr>
          <w:rFonts w:hint="eastAsia" w:cs="宋体"/>
          <w:color w:val="auto"/>
          <w:sz w:val="21"/>
          <w:highlight w:val="none"/>
        </w:rPr>
      </w:pPr>
      <w:r>
        <w:rPr>
          <w:rFonts w:hint="eastAsia" w:cs="宋体"/>
          <w:color w:val="auto"/>
          <w:sz w:val="21"/>
          <w:highlight w:val="none"/>
        </w:rPr>
        <w:t>关于承包人应完成的其他开工准备工作及期限：</w:t>
      </w:r>
      <w:r>
        <w:rPr>
          <w:rFonts w:hint="eastAsia" w:cs="宋体"/>
          <w:color w:val="auto"/>
          <w:sz w:val="21"/>
          <w:highlight w:val="none"/>
          <w:u w:val="single"/>
        </w:rPr>
        <w:t xml:space="preserve">   合同签订后7天   </w:t>
      </w:r>
      <w:r>
        <w:rPr>
          <w:rFonts w:hint="eastAsia" w:cs="宋体"/>
          <w:color w:val="auto"/>
          <w:sz w:val="21"/>
          <w:highlight w:val="none"/>
        </w:rPr>
        <w:t>。</w:t>
      </w:r>
    </w:p>
    <w:p w14:paraId="23D755E7">
      <w:pPr>
        <w:pStyle w:val="80"/>
        <w:spacing w:line="410" w:lineRule="exact"/>
        <w:rPr>
          <w:rFonts w:hint="eastAsia" w:cs="宋体"/>
          <w:color w:val="auto"/>
          <w:sz w:val="21"/>
          <w:highlight w:val="none"/>
        </w:rPr>
      </w:pPr>
      <w:r>
        <w:rPr>
          <w:rFonts w:hint="eastAsia" w:cs="宋体"/>
          <w:color w:val="auto"/>
          <w:sz w:val="21"/>
          <w:highlight w:val="none"/>
        </w:rPr>
        <w:t>7.3.2开工通知</w:t>
      </w:r>
    </w:p>
    <w:p w14:paraId="17074368">
      <w:pPr>
        <w:pStyle w:val="80"/>
        <w:spacing w:line="410" w:lineRule="exact"/>
        <w:rPr>
          <w:rFonts w:hint="eastAsia" w:cs="宋体"/>
          <w:color w:val="auto"/>
          <w:sz w:val="21"/>
          <w:highlight w:val="none"/>
        </w:rPr>
      </w:pPr>
      <w:r>
        <w:rPr>
          <w:rFonts w:hint="eastAsia" w:cs="宋体"/>
          <w:color w:val="auto"/>
          <w:sz w:val="21"/>
          <w:highlight w:val="none"/>
        </w:rPr>
        <w:t>因发包人原因造成监理人未能在计划开工日期之日起</w:t>
      </w:r>
      <w:r>
        <w:rPr>
          <w:rFonts w:hint="eastAsia" w:cs="宋体"/>
          <w:color w:val="auto"/>
          <w:sz w:val="21"/>
          <w:highlight w:val="none"/>
          <w:u w:val="single"/>
        </w:rPr>
        <w:t>180</w:t>
      </w:r>
      <w:r>
        <w:rPr>
          <w:rFonts w:hint="eastAsia" w:cs="宋体"/>
          <w:color w:val="auto"/>
          <w:sz w:val="21"/>
          <w:highlight w:val="none"/>
        </w:rPr>
        <w:t>天内发出开工通知的，承包人有权提出价格调整要求，或者解除合同。</w:t>
      </w:r>
    </w:p>
    <w:bookmarkEnd w:id="951"/>
    <w:bookmarkEnd w:id="952"/>
    <w:bookmarkEnd w:id="953"/>
    <w:bookmarkEnd w:id="954"/>
    <w:bookmarkEnd w:id="955"/>
    <w:bookmarkEnd w:id="956"/>
    <w:bookmarkEnd w:id="957"/>
    <w:p w14:paraId="0CB1A102">
      <w:pPr>
        <w:pStyle w:val="322"/>
        <w:spacing w:line="410" w:lineRule="exact"/>
        <w:rPr>
          <w:rFonts w:hint="eastAsia" w:ascii="宋体" w:cs="宋体"/>
          <w:color w:val="auto"/>
          <w:highlight w:val="none"/>
        </w:rPr>
      </w:pPr>
      <w:bookmarkStart w:id="960" w:name="_Toc478389216"/>
      <w:bookmarkStart w:id="961" w:name="_Toc417904301"/>
      <w:r>
        <w:rPr>
          <w:rFonts w:hint="eastAsia" w:ascii="宋体" w:cs="宋体"/>
          <w:color w:val="auto"/>
          <w:highlight w:val="none"/>
        </w:rPr>
        <w:t>7.4 测量放线</w:t>
      </w:r>
      <w:bookmarkEnd w:id="960"/>
      <w:bookmarkEnd w:id="961"/>
    </w:p>
    <w:p w14:paraId="157A945C">
      <w:pPr>
        <w:pStyle w:val="80"/>
        <w:spacing w:line="410" w:lineRule="exact"/>
        <w:rPr>
          <w:rFonts w:hint="eastAsia" w:cs="宋体"/>
          <w:color w:val="auto"/>
          <w:sz w:val="21"/>
          <w:highlight w:val="none"/>
          <w:u w:val="single"/>
        </w:rPr>
      </w:pPr>
      <w:r>
        <w:rPr>
          <w:rFonts w:hint="eastAsia" w:cs="宋体"/>
          <w:color w:val="auto"/>
          <w:sz w:val="21"/>
          <w:highlight w:val="none"/>
        </w:rPr>
        <w:t>7.4.1发包人通过监理人向承包人提供测量基准点、基准线和水准点及其书面资料的期限：</w:t>
      </w:r>
      <w:r>
        <w:rPr>
          <w:rFonts w:hint="eastAsia" w:cs="宋体"/>
          <w:color w:val="auto"/>
          <w:sz w:val="21"/>
          <w:highlight w:val="none"/>
          <w:u w:val="single"/>
        </w:rPr>
        <w:t xml:space="preserve">合同签订后14天　  </w:t>
      </w:r>
      <w:r>
        <w:rPr>
          <w:rFonts w:hint="eastAsia" w:cs="宋体"/>
          <w:color w:val="auto"/>
          <w:sz w:val="21"/>
          <w:highlight w:val="none"/>
        </w:rPr>
        <w:t>。</w:t>
      </w:r>
    </w:p>
    <w:p w14:paraId="1A9A3D9A">
      <w:pPr>
        <w:pStyle w:val="322"/>
        <w:spacing w:line="410" w:lineRule="exact"/>
        <w:rPr>
          <w:rFonts w:hint="eastAsia" w:ascii="宋体" w:cs="宋体"/>
          <w:color w:val="auto"/>
          <w:highlight w:val="none"/>
        </w:rPr>
      </w:pPr>
      <w:bookmarkStart w:id="962" w:name="_Toc417904302"/>
      <w:bookmarkStart w:id="963" w:name="_Toc478389217"/>
      <w:r>
        <w:rPr>
          <w:rFonts w:hint="eastAsia" w:ascii="宋体" w:cs="宋体"/>
          <w:color w:val="auto"/>
          <w:highlight w:val="none"/>
        </w:rPr>
        <w:t>7</w:t>
      </w:r>
      <w:bookmarkStart w:id="964" w:name="_Toc304295546"/>
      <w:bookmarkStart w:id="965" w:name="_Toc303539125"/>
      <w:bookmarkStart w:id="966" w:name="_Toc312677484"/>
      <w:bookmarkStart w:id="967" w:name="_Toc297123516"/>
      <w:bookmarkStart w:id="968" w:name="_Toc312678010"/>
      <w:bookmarkStart w:id="969" w:name="_Toc300934968"/>
      <w:bookmarkStart w:id="970" w:name="_Toc297216175"/>
      <w:r>
        <w:rPr>
          <w:rFonts w:hint="eastAsia" w:ascii="宋体" w:cs="宋体"/>
          <w:color w:val="auto"/>
          <w:highlight w:val="none"/>
        </w:rPr>
        <w:t>.5 工期延误</w:t>
      </w:r>
      <w:bookmarkEnd w:id="962"/>
      <w:bookmarkEnd w:id="963"/>
    </w:p>
    <w:bookmarkEnd w:id="964"/>
    <w:bookmarkEnd w:id="965"/>
    <w:bookmarkEnd w:id="966"/>
    <w:bookmarkEnd w:id="967"/>
    <w:bookmarkEnd w:id="968"/>
    <w:bookmarkEnd w:id="969"/>
    <w:bookmarkEnd w:id="970"/>
    <w:p w14:paraId="2A3A0EEB">
      <w:pPr>
        <w:pStyle w:val="80"/>
        <w:spacing w:line="410" w:lineRule="exact"/>
        <w:outlineLvl w:val="0"/>
        <w:rPr>
          <w:rFonts w:hint="eastAsia" w:cs="宋体"/>
          <w:color w:val="auto"/>
          <w:sz w:val="21"/>
          <w:highlight w:val="none"/>
        </w:rPr>
      </w:pPr>
      <w:bookmarkStart w:id="971" w:name="_Toc417904303"/>
      <w:bookmarkStart w:id="972" w:name="_Toc478389218"/>
      <w:r>
        <w:rPr>
          <w:rFonts w:hint="eastAsia" w:cs="宋体"/>
          <w:color w:val="auto"/>
          <w:sz w:val="21"/>
          <w:highlight w:val="none"/>
        </w:rPr>
        <w:t>7.5.1 因发包人原因导致工期延误</w:t>
      </w:r>
      <w:bookmarkEnd w:id="971"/>
      <w:bookmarkEnd w:id="972"/>
    </w:p>
    <w:p w14:paraId="105B1C46">
      <w:pPr>
        <w:pStyle w:val="80"/>
        <w:spacing w:line="410" w:lineRule="exact"/>
        <w:rPr>
          <w:rFonts w:hint="eastAsia" w:cs="宋体"/>
          <w:color w:val="auto"/>
          <w:sz w:val="21"/>
          <w:highlight w:val="none"/>
        </w:rPr>
      </w:pPr>
      <w:r>
        <w:rPr>
          <w:rFonts w:hint="eastAsia" w:cs="宋体"/>
          <w:color w:val="auto"/>
          <w:sz w:val="21"/>
          <w:highlight w:val="none"/>
        </w:rPr>
        <w:t>（7）因发包人原因导致工期延误的其他情形：</w:t>
      </w:r>
      <w:r>
        <w:rPr>
          <w:rFonts w:hint="eastAsia" w:cs="宋体"/>
          <w:color w:val="auto"/>
          <w:sz w:val="21"/>
          <w:highlight w:val="none"/>
          <w:u w:val="single"/>
        </w:rPr>
        <w:t xml:space="preserve">  无   </w:t>
      </w:r>
      <w:r>
        <w:rPr>
          <w:rFonts w:hint="eastAsia" w:cs="宋体"/>
          <w:color w:val="auto"/>
          <w:sz w:val="21"/>
          <w:highlight w:val="none"/>
        </w:rPr>
        <w:t>。</w:t>
      </w:r>
    </w:p>
    <w:p w14:paraId="1258672C">
      <w:pPr>
        <w:pStyle w:val="80"/>
        <w:spacing w:line="410" w:lineRule="exact"/>
        <w:rPr>
          <w:rFonts w:hint="eastAsia" w:cs="宋体"/>
          <w:color w:val="auto"/>
          <w:highlight w:val="none"/>
        </w:rPr>
      </w:pPr>
      <w:r>
        <w:rPr>
          <w:rFonts w:hint="eastAsia" w:cs="宋体"/>
          <w:color w:val="auto"/>
          <w:sz w:val="21"/>
          <w:highlight w:val="none"/>
        </w:rPr>
        <w:t>7</w:t>
      </w:r>
      <w:bookmarkStart w:id="973" w:name="_Toc318581169"/>
      <w:bookmarkStart w:id="974" w:name="_Toc312677486"/>
      <w:bookmarkStart w:id="975" w:name="_Toc312678012"/>
      <w:bookmarkStart w:id="976" w:name="_Toc304295548"/>
      <w:bookmarkStart w:id="977" w:name="_Toc297123518"/>
      <w:bookmarkStart w:id="978" w:name="_Toc300934970"/>
      <w:bookmarkStart w:id="979" w:name="_Toc303539127"/>
      <w:bookmarkStart w:id="980" w:name="_Toc297216177"/>
      <w:r>
        <w:rPr>
          <w:rFonts w:hint="eastAsia" w:cs="宋体"/>
          <w:color w:val="auto"/>
          <w:sz w:val="21"/>
          <w:highlight w:val="none"/>
        </w:rPr>
        <w:t>.5.2 因承包人原因导致工期延误：</w:t>
      </w:r>
      <w:bookmarkEnd w:id="973"/>
      <w:bookmarkEnd w:id="974"/>
      <w:bookmarkEnd w:id="975"/>
      <w:r>
        <w:rPr>
          <w:rFonts w:hint="eastAsia" w:cs="宋体"/>
          <w:color w:val="auto"/>
          <w:sz w:val="21"/>
          <w:highlight w:val="none"/>
        </w:rPr>
        <w:t>因</w:t>
      </w:r>
      <w:bookmarkStart w:id="981" w:name="_Toc312678013"/>
      <w:bookmarkStart w:id="982" w:name="_Toc312677487"/>
      <w:bookmarkStart w:id="983" w:name="_Toc318581170"/>
      <w:r>
        <w:rPr>
          <w:rFonts w:hint="eastAsia" w:cs="宋体"/>
          <w:color w:val="auto"/>
          <w:sz w:val="21"/>
          <w:highlight w:val="none"/>
        </w:rPr>
        <w:t>承包人原因造成工期延误，逾期竣工违约金的计算方法为：</w:t>
      </w:r>
      <w:r>
        <w:rPr>
          <w:rFonts w:hint="eastAsia" w:cs="宋体"/>
          <w:color w:val="auto"/>
          <w:highlight w:val="none"/>
        </w:rPr>
        <w:t>本合同约定承包人违约承担的违约责任：</w:t>
      </w:r>
      <w:r>
        <w:rPr>
          <w:rFonts w:hint="eastAsia"/>
          <w:color w:val="auto"/>
          <w:highlight w:val="none"/>
          <w:u w:val="single"/>
        </w:rPr>
        <w:t>除发包人原因及不可抗力原因外，承包人不得停工或延长工期。每停工1天或工期每延长1天的，承包人须向发包人支付合同金额的2%的违约金，最多不超过合同金额的10%。施工工期延长累计达7天以上（含7天）的，视为恶意拖延工期，发包人有权终止合同，所造成的一切损失由承包人承担。</w:t>
      </w:r>
      <w:bookmarkStart w:id="1525" w:name="_GoBack"/>
      <w:bookmarkEnd w:id="1525"/>
    </w:p>
    <w:p w14:paraId="647AD03C">
      <w:pPr>
        <w:pStyle w:val="80"/>
        <w:spacing w:line="410" w:lineRule="exact"/>
        <w:rPr>
          <w:rFonts w:hint="eastAsia" w:cs="宋体"/>
          <w:color w:val="auto"/>
          <w:sz w:val="21"/>
          <w:highlight w:val="none"/>
        </w:rPr>
      </w:pPr>
      <w:r>
        <w:rPr>
          <w:rFonts w:hint="eastAsia" w:cs="宋体"/>
          <w:color w:val="auto"/>
          <w:sz w:val="21"/>
          <w:highlight w:val="none"/>
        </w:rPr>
        <w:t>因承包人原因造成工期延误，逾期竣工违约金的上限：</w:t>
      </w:r>
      <w:r>
        <w:rPr>
          <w:rFonts w:hint="eastAsia"/>
          <w:color w:val="auto"/>
          <w:highlight w:val="none"/>
          <w:u w:val="single"/>
        </w:rPr>
        <w:t>合同金额的10%</w:t>
      </w:r>
      <w:r>
        <w:rPr>
          <w:rFonts w:hint="eastAsia" w:cs="宋体"/>
          <w:color w:val="auto"/>
          <w:sz w:val="21"/>
          <w:highlight w:val="none"/>
        </w:rPr>
        <w:t>。</w:t>
      </w:r>
      <w:bookmarkEnd w:id="976"/>
      <w:bookmarkEnd w:id="977"/>
      <w:bookmarkEnd w:id="978"/>
      <w:bookmarkEnd w:id="979"/>
      <w:bookmarkEnd w:id="980"/>
      <w:bookmarkEnd w:id="981"/>
      <w:bookmarkEnd w:id="982"/>
    </w:p>
    <w:bookmarkEnd w:id="983"/>
    <w:p w14:paraId="5693720D">
      <w:pPr>
        <w:pStyle w:val="322"/>
        <w:spacing w:line="410" w:lineRule="exact"/>
        <w:rPr>
          <w:rFonts w:hint="eastAsia" w:ascii="宋体" w:cs="宋体"/>
          <w:color w:val="auto"/>
          <w:highlight w:val="none"/>
        </w:rPr>
      </w:pPr>
      <w:bookmarkStart w:id="984" w:name="_Toc478389219"/>
      <w:bookmarkStart w:id="985" w:name="_Toc417904304"/>
      <w:r>
        <w:rPr>
          <w:rFonts w:hint="eastAsia" w:ascii="宋体" w:cs="宋体"/>
          <w:color w:val="auto"/>
          <w:highlight w:val="none"/>
        </w:rPr>
        <w:t>7</w:t>
      </w:r>
      <w:bookmarkStart w:id="986" w:name="_Toc303539128"/>
      <w:bookmarkStart w:id="987" w:name="_Toc297216178"/>
      <w:bookmarkStart w:id="988" w:name="_Toc297123519"/>
      <w:bookmarkStart w:id="989" w:name="_Toc312678015"/>
      <w:bookmarkStart w:id="990" w:name="_Toc300934971"/>
      <w:bookmarkStart w:id="991" w:name="_Toc304295549"/>
      <w:r>
        <w:rPr>
          <w:rFonts w:hint="eastAsia" w:ascii="宋体" w:cs="宋体"/>
          <w:color w:val="auto"/>
          <w:highlight w:val="none"/>
        </w:rPr>
        <w:t>.6 不</w:t>
      </w:r>
      <w:bookmarkEnd w:id="986"/>
      <w:bookmarkEnd w:id="987"/>
      <w:bookmarkEnd w:id="988"/>
      <w:bookmarkEnd w:id="989"/>
      <w:bookmarkEnd w:id="990"/>
      <w:bookmarkEnd w:id="991"/>
      <w:r>
        <w:rPr>
          <w:rFonts w:hint="eastAsia" w:ascii="宋体" w:cs="宋体"/>
          <w:color w:val="auto"/>
          <w:highlight w:val="none"/>
        </w:rPr>
        <w:t>利物质条件</w:t>
      </w:r>
      <w:bookmarkEnd w:id="984"/>
      <w:bookmarkEnd w:id="985"/>
    </w:p>
    <w:p w14:paraId="718B37E8">
      <w:pPr>
        <w:pStyle w:val="80"/>
        <w:spacing w:line="410" w:lineRule="exact"/>
        <w:rPr>
          <w:rFonts w:hint="eastAsia" w:cs="宋体"/>
          <w:color w:val="auto"/>
          <w:sz w:val="21"/>
          <w:highlight w:val="none"/>
        </w:rPr>
      </w:pPr>
      <w:bookmarkStart w:id="992" w:name="_Toc303539129"/>
      <w:bookmarkStart w:id="993" w:name="_Toc297123520"/>
      <w:bookmarkStart w:id="994" w:name="_Toc297216179"/>
      <w:bookmarkStart w:id="995" w:name="_Toc300934972"/>
      <w:bookmarkStart w:id="996" w:name="_Toc312678016"/>
      <w:bookmarkStart w:id="997" w:name="_Toc318581172"/>
      <w:bookmarkStart w:id="998" w:name="_Toc304295550"/>
      <w:r>
        <w:rPr>
          <w:rFonts w:hint="eastAsia" w:cs="宋体"/>
          <w:color w:val="auto"/>
          <w:sz w:val="21"/>
          <w:highlight w:val="none"/>
        </w:rPr>
        <w:t>不利物质条件的其他情形和有关约定：</w:t>
      </w:r>
      <w:r>
        <w:rPr>
          <w:rFonts w:hint="eastAsia" w:cs="宋体"/>
          <w:color w:val="auto"/>
          <w:sz w:val="21"/>
          <w:highlight w:val="none"/>
          <w:u w:val="single"/>
        </w:rPr>
        <w:t>一周内非承包人原因，停水、停电、停气造成停工连续超过8小时；重大设计变更和工程量增加；发包人手续不全致使施工不能正常进行；发包人未能按约定时间支付工程款致使施工不能正常进行的；非承包人原因的及发包人有关的停工通知，以上不利物质条件延误工期的相应延长工期，因发包人原因给承包人造成损失的由发包人相应赔偿承包人，属环境等原因的，双方协商处理。</w:t>
      </w:r>
    </w:p>
    <w:bookmarkEnd w:id="992"/>
    <w:bookmarkEnd w:id="993"/>
    <w:bookmarkEnd w:id="994"/>
    <w:bookmarkEnd w:id="995"/>
    <w:bookmarkEnd w:id="996"/>
    <w:bookmarkEnd w:id="997"/>
    <w:bookmarkEnd w:id="998"/>
    <w:p w14:paraId="04ECC1A9">
      <w:pPr>
        <w:pStyle w:val="322"/>
        <w:spacing w:line="410" w:lineRule="exact"/>
        <w:rPr>
          <w:rFonts w:hint="eastAsia" w:ascii="宋体" w:cs="宋体"/>
          <w:color w:val="auto"/>
          <w:highlight w:val="none"/>
        </w:rPr>
      </w:pPr>
      <w:bookmarkStart w:id="999" w:name="_Toc478389220"/>
      <w:bookmarkStart w:id="1000" w:name="_Toc417904305"/>
      <w:r>
        <w:rPr>
          <w:rFonts w:hint="eastAsia" w:ascii="宋体" w:cs="宋体"/>
          <w:color w:val="auto"/>
          <w:highlight w:val="none"/>
        </w:rPr>
        <w:t>7</w:t>
      </w:r>
      <w:bookmarkStart w:id="1001" w:name="_Toc297216180"/>
      <w:bookmarkStart w:id="1002" w:name="_Toc303539130"/>
      <w:bookmarkStart w:id="1003" w:name="_Toc312678017"/>
      <w:bookmarkStart w:id="1004" w:name="_Toc304295551"/>
      <w:bookmarkStart w:id="1005" w:name="_Toc297123521"/>
      <w:bookmarkStart w:id="1006" w:name="_Toc300934973"/>
      <w:r>
        <w:rPr>
          <w:rFonts w:hint="eastAsia" w:ascii="宋体" w:cs="宋体"/>
          <w:color w:val="auto"/>
          <w:highlight w:val="none"/>
        </w:rPr>
        <w:t>.7异常恶劣的气候条件</w:t>
      </w:r>
      <w:bookmarkEnd w:id="999"/>
      <w:bookmarkEnd w:id="1000"/>
    </w:p>
    <w:bookmarkEnd w:id="1001"/>
    <w:bookmarkEnd w:id="1002"/>
    <w:bookmarkEnd w:id="1003"/>
    <w:bookmarkEnd w:id="1004"/>
    <w:bookmarkEnd w:id="1005"/>
    <w:bookmarkEnd w:id="1006"/>
    <w:p w14:paraId="09CE25F9">
      <w:pPr>
        <w:pStyle w:val="80"/>
        <w:spacing w:line="430" w:lineRule="exact"/>
        <w:rPr>
          <w:rFonts w:hint="eastAsia" w:cs="宋体"/>
          <w:color w:val="auto"/>
          <w:sz w:val="21"/>
          <w:highlight w:val="none"/>
          <w:u w:val="single"/>
          <w:lang w:val="zh-CN"/>
        </w:rPr>
      </w:pPr>
      <w:r>
        <w:rPr>
          <w:rFonts w:hint="eastAsia" w:cs="宋体"/>
          <w:color w:val="auto"/>
          <w:sz w:val="21"/>
          <w:highlight w:val="none"/>
        </w:rPr>
        <w:t>发包人和承包人同意以下情形视为异常恶劣的气候条件：</w:t>
      </w:r>
      <w:r>
        <w:rPr>
          <w:rFonts w:hint="eastAsia" w:cs="宋体"/>
          <w:color w:val="auto"/>
          <w:sz w:val="21"/>
          <w:highlight w:val="none"/>
          <w:u w:val="single"/>
          <w:lang w:val="zh-CN"/>
        </w:rPr>
        <w:t>（1）10级及以上持续1天的大风；（2）暴雨级以上持续1天的大雨天；（3）50年及以上未发生过，持续2天的高温天气；（4）50年及以上未发生过，持续2天的低温天气  。</w:t>
      </w:r>
    </w:p>
    <w:p w14:paraId="44937010">
      <w:pPr>
        <w:pStyle w:val="322"/>
        <w:spacing w:line="430" w:lineRule="exact"/>
        <w:rPr>
          <w:rFonts w:hint="eastAsia" w:ascii="宋体" w:cs="宋体"/>
          <w:color w:val="auto"/>
          <w:highlight w:val="none"/>
        </w:rPr>
      </w:pPr>
      <w:bookmarkStart w:id="1007" w:name="_Toc417904306"/>
      <w:bookmarkStart w:id="1008" w:name="_Toc478389221"/>
      <w:r>
        <w:rPr>
          <w:rFonts w:hint="eastAsia" w:ascii="宋体" w:cs="宋体"/>
          <w:color w:val="auto"/>
          <w:highlight w:val="none"/>
        </w:rPr>
        <w:t>7.9 提前竣工的奖励</w:t>
      </w:r>
      <w:bookmarkEnd w:id="1007"/>
      <w:bookmarkEnd w:id="1008"/>
    </w:p>
    <w:p w14:paraId="673EEEE6">
      <w:pPr>
        <w:pStyle w:val="80"/>
        <w:spacing w:line="430" w:lineRule="exact"/>
        <w:rPr>
          <w:rFonts w:hint="eastAsia" w:cs="宋体"/>
          <w:color w:val="auto"/>
          <w:sz w:val="21"/>
          <w:highlight w:val="none"/>
        </w:rPr>
      </w:pPr>
      <w:r>
        <w:rPr>
          <w:rFonts w:hint="eastAsia" w:cs="宋体"/>
          <w:color w:val="auto"/>
          <w:sz w:val="21"/>
          <w:highlight w:val="none"/>
        </w:rPr>
        <w:t>7.9.2提前竣工的奖励：</w:t>
      </w:r>
      <w:r>
        <w:rPr>
          <w:rFonts w:hint="eastAsia" w:cs="宋体"/>
          <w:color w:val="auto"/>
          <w:sz w:val="21"/>
          <w:highlight w:val="none"/>
          <w:u w:val="single"/>
        </w:rPr>
        <w:t xml:space="preserve">     无      </w:t>
      </w:r>
      <w:r>
        <w:rPr>
          <w:rFonts w:hint="eastAsia" w:cs="宋体"/>
          <w:color w:val="auto"/>
          <w:sz w:val="21"/>
          <w:highlight w:val="none"/>
        </w:rPr>
        <w:t>。</w:t>
      </w:r>
    </w:p>
    <w:p w14:paraId="745FECA1">
      <w:pPr>
        <w:pStyle w:val="322"/>
        <w:spacing w:line="430" w:lineRule="exact"/>
        <w:rPr>
          <w:rFonts w:hint="eastAsia" w:ascii="宋体" w:cs="宋体"/>
          <w:color w:val="auto"/>
          <w:highlight w:val="none"/>
        </w:rPr>
      </w:pPr>
      <w:bookmarkStart w:id="1009" w:name="_Toc478389222"/>
      <w:bookmarkStart w:id="1010" w:name="_Toc417904307"/>
      <w:bookmarkStart w:id="1011" w:name="_Toc351203640"/>
      <w:r>
        <w:rPr>
          <w:rFonts w:hint="eastAsia" w:ascii="宋体" w:cs="宋体"/>
          <w:color w:val="auto"/>
          <w:highlight w:val="none"/>
        </w:rPr>
        <w:t>8. 材料与设备</w:t>
      </w:r>
      <w:bookmarkEnd w:id="1009"/>
      <w:bookmarkEnd w:id="1010"/>
      <w:bookmarkEnd w:id="1011"/>
    </w:p>
    <w:bookmarkEnd w:id="913"/>
    <w:bookmarkEnd w:id="914"/>
    <w:bookmarkEnd w:id="915"/>
    <w:bookmarkEnd w:id="916"/>
    <w:bookmarkEnd w:id="917"/>
    <w:bookmarkEnd w:id="918"/>
    <w:bookmarkEnd w:id="919"/>
    <w:bookmarkEnd w:id="920"/>
    <w:bookmarkEnd w:id="921"/>
    <w:bookmarkEnd w:id="922"/>
    <w:p w14:paraId="1F05DF17">
      <w:pPr>
        <w:pStyle w:val="322"/>
        <w:spacing w:line="430" w:lineRule="exact"/>
        <w:rPr>
          <w:rFonts w:hint="eastAsia" w:ascii="宋体" w:cs="宋体"/>
          <w:color w:val="auto"/>
          <w:highlight w:val="none"/>
        </w:rPr>
      </w:pPr>
      <w:bookmarkStart w:id="1012" w:name="_Toc478389223"/>
      <w:bookmarkStart w:id="1013" w:name="_Toc417904308"/>
      <w:r>
        <w:rPr>
          <w:rFonts w:hint="eastAsia" w:ascii="宋体" w:cs="宋体"/>
          <w:color w:val="auto"/>
          <w:highlight w:val="none"/>
        </w:rPr>
        <w:t>8</w:t>
      </w:r>
      <w:bookmarkStart w:id="1014" w:name="_Toc296944506"/>
      <w:bookmarkStart w:id="1015" w:name="_Toc300934979"/>
      <w:bookmarkStart w:id="1016" w:name="_Toc304295556"/>
      <w:bookmarkStart w:id="1017" w:name="_Toc297123527"/>
      <w:bookmarkStart w:id="1018" w:name="_Toc312678019"/>
      <w:bookmarkStart w:id="1019" w:name="_Toc296503167"/>
      <w:bookmarkStart w:id="1020" w:name="_Toc296346668"/>
      <w:bookmarkStart w:id="1021" w:name="_Toc297048353"/>
      <w:bookmarkStart w:id="1022" w:name="_Toc296890995"/>
      <w:bookmarkStart w:id="1023" w:name="_Toc297120467"/>
      <w:bookmarkStart w:id="1024" w:name="_Toc297216186"/>
      <w:bookmarkStart w:id="1025" w:name="_Toc292559877"/>
      <w:bookmarkStart w:id="1026" w:name="_Toc312677493"/>
      <w:bookmarkStart w:id="1027" w:name="_Toc296891207"/>
      <w:bookmarkStart w:id="1028" w:name="_Toc292559372"/>
      <w:bookmarkStart w:id="1029" w:name="_Toc280868654"/>
      <w:bookmarkStart w:id="1030" w:name="_Toc303539136"/>
      <w:bookmarkStart w:id="1031" w:name="_Toc296347166"/>
      <w:bookmarkStart w:id="1032" w:name="_Toc280868656"/>
      <w:bookmarkStart w:id="1033" w:name="_Toc267251424"/>
      <w:bookmarkStart w:id="1034" w:name="_Toc280868655"/>
      <w:r>
        <w:rPr>
          <w:rFonts w:hint="eastAsia" w:ascii="宋体" w:cs="宋体"/>
          <w:color w:val="auto"/>
          <w:highlight w:val="none"/>
        </w:rPr>
        <w:t>.4材料与工程设备的保管与使用</w:t>
      </w:r>
      <w:bookmarkEnd w:id="1012"/>
      <w:bookmarkEnd w:id="1013"/>
    </w:p>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p w14:paraId="3F4C3FE9">
      <w:pPr>
        <w:pStyle w:val="80"/>
        <w:spacing w:line="430" w:lineRule="exact"/>
        <w:rPr>
          <w:rFonts w:hint="eastAsia" w:cs="宋体"/>
          <w:color w:val="auto"/>
          <w:sz w:val="21"/>
          <w:highlight w:val="none"/>
        </w:rPr>
      </w:pPr>
      <w:r>
        <w:rPr>
          <w:rFonts w:hint="eastAsia" w:cs="宋体"/>
          <w:color w:val="auto"/>
          <w:sz w:val="21"/>
          <w:highlight w:val="none"/>
        </w:rPr>
        <w:t>8</w:t>
      </w:r>
      <w:bookmarkStart w:id="1035" w:name="_Toc292559878"/>
      <w:bookmarkStart w:id="1036" w:name="_Toc292559373"/>
      <w:bookmarkStart w:id="1037" w:name="_Toc296503168"/>
      <w:bookmarkStart w:id="1038" w:name="_Toc318581173"/>
      <w:bookmarkStart w:id="1039" w:name="_Toc303539137"/>
      <w:bookmarkStart w:id="1040" w:name="_Toc297216187"/>
      <w:bookmarkStart w:id="1041" w:name="_Toc300934980"/>
      <w:bookmarkStart w:id="1042" w:name="_Toc297120468"/>
      <w:bookmarkStart w:id="1043" w:name="_Toc312677494"/>
      <w:bookmarkStart w:id="1044" w:name="_Toc296891208"/>
      <w:bookmarkStart w:id="1045" w:name="_Toc304295557"/>
      <w:bookmarkStart w:id="1046" w:name="_Toc297048354"/>
      <w:bookmarkStart w:id="1047" w:name="_Toc297123528"/>
      <w:bookmarkStart w:id="1048" w:name="_Toc296347167"/>
      <w:bookmarkStart w:id="1049" w:name="_Toc296346669"/>
      <w:bookmarkStart w:id="1050" w:name="_Toc296890996"/>
      <w:bookmarkStart w:id="1051" w:name="_Toc296944507"/>
      <w:bookmarkStart w:id="1052" w:name="_Toc312678020"/>
      <w:r>
        <w:rPr>
          <w:rFonts w:hint="eastAsia" w:cs="宋体"/>
          <w:color w:val="auto"/>
          <w:sz w:val="21"/>
          <w:highlight w:val="none"/>
        </w:rPr>
        <w:t>.4.1发包人供应的材料设备的保管费用的承担：</w:t>
      </w:r>
      <w:r>
        <w:rPr>
          <w:rFonts w:hint="eastAsia" w:cs="宋体"/>
          <w:color w:val="auto"/>
          <w:sz w:val="21"/>
          <w:highlight w:val="none"/>
          <w:u w:val="single"/>
        </w:rPr>
        <w:t xml:space="preserve">承包人承担 </w:t>
      </w:r>
      <w:r>
        <w:rPr>
          <w:rFonts w:hint="eastAsia" w:cs="宋体"/>
          <w:color w:val="auto"/>
          <w:sz w:val="21"/>
          <w:highlight w:val="none"/>
        </w:rPr>
        <w:t>。</w:t>
      </w:r>
      <w:bookmarkEnd w:id="1035"/>
      <w:bookmarkEnd w:id="1036"/>
    </w:p>
    <w:p w14:paraId="6B3C9D37">
      <w:pPr>
        <w:spacing w:line="400" w:lineRule="exact"/>
        <w:ind w:firstLine="420" w:firstLineChars="200"/>
        <w:jc w:val="left"/>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8.5.3设备的其他</w:t>
      </w:r>
      <w:r>
        <w:rPr>
          <w:rFonts w:hint="eastAsia" w:cs="宋体"/>
          <w:color w:val="auto"/>
          <w:highlight w:val="none"/>
        </w:rPr>
        <w:t>要求：</w:t>
      </w:r>
      <w:r>
        <w:rPr>
          <w:rFonts w:hint="eastAsia" w:ascii="宋体" w:hAnsi="宋体" w:cs="宋体"/>
          <w:color w:val="auto"/>
          <w:kern w:val="0"/>
          <w:szCs w:val="21"/>
          <w:highlight w:val="none"/>
          <w:u w:val="single"/>
          <w:lang w:val="en-US" w:eastAsia="zh-CN"/>
        </w:rPr>
        <w:t>/</w:t>
      </w:r>
      <w:r>
        <w:rPr>
          <w:rFonts w:hint="eastAsia" w:ascii="宋体" w:hAnsi="宋体" w:cs="宋体"/>
          <w:color w:val="auto"/>
          <w:kern w:val="0"/>
          <w:szCs w:val="21"/>
          <w:highlight w:val="none"/>
          <w:u w:val="single"/>
        </w:rPr>
        <w:t>。</w:t>
      </w:r>
    </w:p>
    <w:p w14:paraId="0F684371">
      <w:pPr>
        <w:autoSpaceDE w:val="0"/>
        <w:autoSpaceDN w:val="0"/>
        <w:adjustRightInd w:val="0"/>
        <w:spacing w:line="360" w:lineRule="auto"/>
        <w:ind w:firstLine="420" w:firstLineChars="200"/>
        <w:jc w:val="left"/>
        <w:rPr>
          <w:rFonts w:hint="eastAsia" w:ascii="宋体" w:hAnsi="宋体" w:cs="宋体"/>
          <w:color w:val="auto"/>
          <w:kern w:val="0"/>
          <w:szCs w:val="21"/>
          <w:highlight w:val="none"/>
        </w:rPr>
      </w:pPr>
    </w:p>
    <w:p w14:paraId="2DEFEE4A">
      <w:pPr>
        <w:autoSpaceDE w:val="0"/>
        <w:autoSpaceDN w:val="0"/>
        <w:adjustRightInd w:val="0"/>
        <w:spacing w:line="360" w:lineRule="auto"/>
        <w:ind w:firstLine="420" w:firstLineChars="200"/>
        <w:jc w:val="left"/>
        <w:rPr>
          <w:rFonts w:hint="eastAsia" w:ascii="宋体" w:hAnsi="宋体" w:cs="宋体"/>
          <w:color w:val="auto"/>
          <w:kern w:val="0"/>
          <w:szCs w:val="21"/>
          <w:highlight w:val="none"/>
        </w:rPr>
      </w:pPr>
    </w:p>
    <w:p w14:paraId="465C94D2">
      <w:pPr>
        <w:pStyle w:val="322"/>
        <w:spacing w:line="430" w:lineRule="exact"/>
        <w:rPr>
          <w:rFonts w:hint="eastAsia" w:ascii="宋体" w:cs="宋体"/>
          <w:color w:val="auto"/>
          <w:highlight w:val="none"/>
        </w:rPr>
      </w:pPr>
      <w:bookmarkStart w:id="1053" w:name="_Toc395382536"/>
      <w:bookmarkStart w:id="1054" w:name="_Toc389065300"/>
      <w:bookmarkStart w:id="1055" w:name="_Toc373227734"/>
      <w:bookmarkStart w:id="1056" w:name="_Toc373478381"/>
      <w:bookmarkStart w:id="1057" w:name="_Toc478389224"/>
      <w:r>
        <w:rPr>
          <w:rFonts w:hint="eastAsia" w:ascii="宋体" w:cs="宋体"/>
          <w:color w:val="auto"/>
          <w:highlight w:val="none"/>
        </w:rPr>
        <w:t>8.6 样品</w:t>
      </w:r>
      <w:bookmarkEnd w:id="1053"/>
      <w:bookmarkEnd w:id="1054"/>
      <w:bookmarkEnd w:id="1055"/>
      <w:bookmarkEnd w:id="1056"/>
      <w:bookmarkEnd w:id="1057"/>
    </w:p>
    <w:p w14:paraId="68C62590">
      <w:pPr>
        <w:autoSpaceDE w:val="0"/>
        <w:autoSpaceDN w:val="0"/>
        <w:adjustRightIn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8.6.1 样品的报送与封存</w:t>
      </w:r>
    </w:p>
    <w:p w14:paraId="149BE706">
      <w:pPr>
        <w:pStyle w:val="80"/>
        <w:spacing w:line="430" w:lineRule="exact"/>
        <w:rPr>
          <w:rFonts w:hint="eastAsia" w:cs="宋体"/>
          <w:color w:val="auto"/>
          <w:sz w:val="21"/>
          <w:highlight w:val="none"/>
        </w:rPr>
      </w:pPr>
      <w:r>
        <w:rPr>
          <w:rFonts w:hint="eastAsia" w:cs="宋体"/>
          <w:color w:val="auto"/>
          <w:sz w:val="21"/>
          <w:highlight w:val="none"/>
        </w:rPr>
        <w:t>需要承包人报送样品的材料或工程设备，样品的种类、名称、规格、数量要求：</w:t>
      </w:r>
      <w:r>
        <w:rPr>
          <w:rFonts w:hint="eastAsia" w:cs="宋体"/>
          <w:color w:val="auto"/>
          <w:sz w:val="21"/>
          <w:highlight w:val="none"/>
          <w:u w:val="single"/>
        </w:rPr>
        <w:t>主要材料涉及品种、款式、颜色等方面内容的，承包人应提交准备合格的材料样品送发包人选定。</w:t>
      </w:r>
    </w:p>
    <w:p w14:paraId="3BFA7F43">
      <w:pPr>
        <w:pStyle w:val="322"/>
        <w:spacing w:line="430" w:lineRule="exact"/>
        <w:rPr>
          <w:rFonts w:hint="eastAsia" w:ascii="宋体" w:cs="宋体"/>
          <w:color w:val="auto"/>
          <w:highlight w:val="none"/>
        </w:rPr>
      </w:pPr>
      <w:bookmarkStart w:id="1058" w:name="_Toc478389225"/>
      <w:bookmarkStart w:id="1059" w:name="_Toc417904310"/>
      <w:r>
        <w:rPr>
          <w:rFonts w:hint="eastAsia" w:ascii="宋体" w:cs="宋体"/>
          <w:color w:val="auto"/>
          <w:highlight w:val="none"/>
        </w:rPr>
        <w:t>8.8 施工设备和临时设施</w:t>
      </w:r>
      <w:bookmarkEnd w:id="1058"/>
      <w:bookmarkEnd w:id="1059"/>
    </w:p>
    <w:p w14:paraId="13F0FC04">
      <w:pPr>
        <w:pStyle w:val="80"/>
        <w:spacing w:line="430" w:lineRule="exact"/>
        <w:rPr>
          <w:rFonts w:hint="eastAsia" w:cs="宋体"/>
          <w:color w:val="auto"/>
          <w:sz w:val="21"/>
          <w:highlight w:val="none"/>
        </w:rPr>
      </w:pPr>
      <w:r>
        <w:rPr>
          <w:rFonts w:hint="eastAsia" w:cs="宋体"/>
          <w:color w:val="auto"/>
          <w:sz w:val="21"/>
          <w:highlight w:val="none"/>
        </w:rPr>
        <w:t>8.8.1 承包人提供的施工设备和临时设施除专用合同条款另有约定的其他独立承包人和监理人指示的他人提供条件外，承包人运入施工场地的所有施工设备以及在施工场地建设的临时设施仅限于用于合同工程。承包人用于本工程的主要机械设备清单见合同附件6。</w:t>
      </w:r>
    </w:p>
    <w:p w14:paraId="1F00F4A8">
      <w:pPr>
        <w:pStyle w:val="80"/>
        <w:spacing w:line="430" w:lineRule="exact"/>
        <w:rPr>
          <w:rFonts w:hint="eastAsia" w:cs="宋体"/>
          <w:color w:val="auto"/>
          <w:sz w:val="21"/>
          <w:highlight w:val="none"/>
        </w:rPr>
      </w:pPr>
      <w:r>
        <w:rPr>
          <w:rFonts w:hint="eastAsia" w:cs="宋体"/>
          <w:color w:val="auto"/>
          <w:sz w:val="21"/>
          <w:highlight w:val="none"/>
        </w:rPr>
        <w:t xml:space="preserve">关于修建临时设施费用承担的约定： </w:t>
      </w:r>
    </w:p>
    <w:p w14:paraId="02B68449">
      <w:pPr>
        <w:pStyle w:val="80"/>
        <w:spacing w:line="430" w:lineRule="exact"/>
        <w:rPr>
          <w:rFonts w:hint="eastAsia" w:cs="宋体"/>
          <w:color w:val="auto"/>
          <w:sz w:val="21"/>
          <w:highlight w:val="none"/>
          <w:u w:val="single"/>
        </w:rPr>
      </w:pPr>
      <w:r>
        <w:rPr>
          <w:rFonts w:hint="eastAsia" w:cs="宋体"/>
          <w:color w:val="auto"/>
          <w:sz w:val="21"/>
          <w:highlight w:val="none"/>
          <w:u w:val="single"/>
        </w:rPr>
        <w:t>①承包人的临时用地（含项目部驻地等）租用费（含拆迁补偿）、临时用地的环保、恢复、临时用地的青苗补偿及地面附着物拆除等费用均由承包人负责，以上费用在竞标报价中综合考虑。</w:t>
      </w:r>
    </w:p>
    <w:p w14:paraId="2EFDA14A">
      <w:pPr>
        <w:pStyle w:val="80"/>
        <w:spacing w:line="430" w:lineRule="exact"/>
        <w:rPr>
          <w:rFonts w:hint="eastAsia" w:cs="宋体"/>
          <w:color w:val="auto"/>
          <w:sz w:val="21"/>
          <w:highlight w:val="none"/>
          <w:u w:val="single"/>
        </w:rPr>
      </w:pPr>
      <w:r>
        <w:rPr>
          <w:rFonts w:hint="eastAsia" w:cs="宋体"/>
          <w:color w:val="auto"/>
          <w:sz w:val="21"/>
          <w:highlight w:val="none"/>
          <w:u w:val="single"/>
        </w:rPr>
        <w:t>②承包人负责合同实施期间其合同段内临时交通道路（含场内外连接公共交通道路）和交通设施的修建、维修、养护和交通管理工作，并承担一切费用。</w:t>
      </w:r>
    </w:p>
    <w:p w14:paraId="53215346">
      <w:pPr>
        <w:pStyle w:val="80"/>
        <w:spacing w:line="430" w:lineRule="exact"/>
        <w:rPr>
          <w:rFonts w:hint="eastAsia" w:cs="宋体"/>
          <w:color w:val="auto"/>
          <w:sz w:val="21"/>
          <w:highlight w:val="none"/>
        </w:rPr>
      </w:pPr>
      <w:r>
        <w:rPr>
          <w:rFonts w:hint="eastAsia" w:cs="宋体"/>
          <w:color w:val="auto"/>
          <w:sz w:val="21"/>
          <w:highlight w:val="none"/>
          <w:u w:val="single"/>
        </w:rPr>
        <w:t>③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p>
    <w:p w14:paraId="40848889">
      <w:pPr>
        <w:autoSpaceDE w:val="0"/>
        <w:autoSpaceDN w:val="0"/>
        <w:adjustRightInd w:val="0"/>
        <w:spacing w:line="43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8.8.2 发包人提供的施工设备和临时设施</w:t>
      </w:r>
    </w:p>
    <w:p w14:paraId="3776BD05">
      <w:pPr>
        <w:autoSpaceDE w:val="0"/>
        <w:autoSpaceDN w:val="0"/>
        <w:adjustRightInd w:val="0"/>
        <w:spacing w:line="43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发包人提供的施工设备和临时设施：</w:t>
      </w:r>
      <w:r>
        <w:rPr>
          <w:rFonts w:hint="eastAsia" w:ascii="宋体" w:hAnsi="宋体" w:cs="宋体"/>
          <w:color w:val="auto"/>
          <w:szCs w:val="21"/>
          <w:highlight w:val="none"/>
          <w:u w:val="single"/>
        </w:rPr>
        <w:t>无</w:t>
      </w:r>
      <w:r>
        <w:rPr>
          <w:rFonts w:hint="eastAsia" w:ascii="宋体" w:hAnsi="宋体" w:cs="宋体"/>
          <w:color w:val="auto"/>
          <w:szCs w:val="21"/>
          <w:highlight w:val="none"/>
        </w:rPr>
        <w:t>。</w:t>
      </w:r>
    </w:p>
    <w:p w14:paraId="613E4D12">
      <w:pPr>
        <w:autoSpaceDE w:val="0"/>
        <w:autoSpaceDN w:val="0"/>
        <w:adjustRightInd w:val="0"/>
        <w:spacing w:line="43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发包人提供的施工设备和临时设施的运行、维护、拆除、清运费用的承担人：</w:t>
      </w:r>
      <w:r>
        <w:rPr>
          <w:rFonts w:hint="eastAsia" w:ascii="宋体" w:hAnsi="宋体" w:cs="宋体"/>
          <w:color w:val="auto"/>
          <w:szCs w:val="21"/>
          <w:highlight w:val="none"/>
          <w:u w:val="single"/>
        </w:rPr>
        <w:t>无</w:t>
      </w:r>
      <w:r>
        <w:rPr>
          <w:rFonts w:hint="eastAsia" w:ascii="宋体" w:hAnsi="宋体" w:cs="宋体"/>
          <w:color w:val="auto"/>
          <w:szCs w:val="21"/>
          <w:highlight w:val="none"/>
        </w:rPr>
        <w:t>。</w:t>
      </w:r>
    </w:p>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p w14:paraId="2E1F86BA">
      <w:pPr>
        <w:pStyle w:val="322"/>
        <w:spacing w:line="430" w:lineRule="exact"/>
        <w:rPr>
          <w:rFonts w:hint="eastAsia" w:ascii="宋体" w:cs="宋体"/>
          <w:color w:val="auto"/>
          <w:highlight w:val="none"/>
        </w:rPr>
      </w:pPr>
      <w:bookmarkStart w:id="1060" w:name="_Toc351203641"/>
      <w:bookmarkStart w:id="1061" w:name="_Toc417904311"/>
      <w:bookmarkStart w:id="1062" w:name="_Toc478389226"/>
      <w:r>
        <w:rPr>
          <w:rFonts w:hint="eastAsia" w:ascii="宋体" w:cs="宋体"/>
          <w:color w:val="auto"/>
          <w:highlight w:val="none"/>
        </w:rPr>
        <w:t>9</w:t>
      </w:r>
      <w:bookmarkEnd w:id="1032"/>
      <w:bookmarkEnd w:id="1033"/>
      <w:bookmarkEnd w:id="1034"/>
      <w:bookmarkStart w:id="1063" w:name="_Toc297123533"/>
      <w:bookmarkStart w:id="1064" w:name="_Toc312677495"/>
      <w:bookmarkStart w:id="1065" w:name="_Toc312678021"/>
      <w:bookmarkStart w:id="1066" w:name="_Toc303539139"/>
      <w:bookmarkStart w:id="1067" w:name="_Toc297216192"/>
      <w:bookmarkStart w:id="1068" w:name="_Toc300934982"/>
      <w:bookmarkStart w:id="1069" w:name="_Toc304295559"/>
      <w:bookmarkStart w:id="1070" w:name="_Toc267251428"/>
      <w:bookmarkStart w:id="1071" w:name="_Toc296346674"/>
      <w:bookmarkStart w:id="1072" w:name="_Toc292559883"/>
      <w:bookmarkStart w:id="1073" w:name="_Toc297048359"/>
      <w:bookmarkStart w:id="1074" w:name="_Toc292559378"/>
      <w:bookmarkStart w:id="1075" w:name="_Toc297120473"/>
      <w:bookmarkStart w:id="1076" w:name="_Toc296503173"/>
      <w:bookmarkStart w:id="1077" w:name="_Toc296347172"/>
      <w:bookmarkStart w:id="1078" w:name="_Toc267251427"/>
      <w:bookmarkStart w:id="1079" w:name="_Toc296891213"/>
      <w:bookmarkStart w:id="1080" w:name="_Toc296944512"/>
      <w:bookmarkStart w:id="1081" w:name="_Toc296891001"/>
      <w:r>
        <w:rPr>
          <w:rFonts w:hint="eastAsia" w:ascii="宋体" w:cs="宋体"/>
          <w:color w:val="auto"/>
          <w:highlight w:val="none"/>
        </w:rPr>
        <w:t>. 试验与检验</w:t>
      </w:r>
      <w:bookmarkEnd w:id="1060"/>
      <w:bookmarkEnd w:id="1061"/>
      <w:bookmarkEnd w:id="1062"/>
    </w:p>
    <w:bookmarkEnd w:id="1063"/>
    <w:bookmarkEnd w:id="1064"/>
    <w:bookmarkEnd w:id="1065"/>
    <w:bookmarkEnd w:id="1066"/>
    <w:bookmarkEnd w:id="1067"/>
    <w:bookmarkEnd w:id="1068"/>
    <w:bookmarkEnd w:id="1069"/>
    <w:p w14:paraId="0A806996">
      <w:pPr>
        <w:pStyle w:val="322"/>
        <w:rPr>
          <w:rFonts w:hint="eastAsia" w:ascii="宋体" w:cs="宋体"/>
          <w:color w:val="auto"/>
          <w:highlight w:val="none"/>
        </w:rPr>
      </w:pPr>
      <w:bookmarkStart w:id="1082" w:name="_Toc417904312"/>
      <w:bookmarkStart w:id="1083" w:name="_Toc478389227"/>
      <w:r>
        <w:rPr>
          <w:rFonts w:hint="eastAsia" w:ascii="宋体" w:cs="宋体"/>
          <w:color w:val="auto"/>
          <w:highlight w:val="none"/>
        </w:rPr>
        <w:t>9</w:t>
      </w:r>
      <w:bookmarkStart w:id="1084" w:name="_Toc312677496"/>
      <w:bookmarkStart w:id="1085" w:name="_Toc312678022"/>
      <w:bookmarkStart w:id="1086" w:name="_Toc300934983"/>
      <w:bookmarkStart w:id="1087" w:name="_Toc304295560"/>
      <w:bookmarkStart w:id="1088" w:name="_Toc303539140"/>
      <w:bookmarkStart w:id="1089" w:name="_Toc297123534"/>
      <w:bookmarkStart w:id="1090" w:name="_Toc297216193"/>
      <w:r>
        <w:rPr>
          <w:rFonts w:hint="eastAsia" w:ascii="宋体" w:cs="宋体"/>
          <w:color w:val="auto"/>
          <w:highlight w:val="none"/>
        </w:rPr>
        <w:t>.1试验设备与试验人员</w:t>
      </w:r>
      <w:bookmarkEnd w:id="1082"/>
      <w:bookmarkEnd w:id="1083"/>
    </w:p>
    <w:bookmarkEnd w:id="1084"/>
    <w:bookmarkEnd w:id="1085"/>
    <w:bookmarkEnd w:id="1086"/>
    <w:bookmarkEnd w:id="1087"/>
    <w:bookmarkEnd w:id="1088"/>
    <w:bookmarkEnd w:id="1089"/>
    <w:bookmarkEnd w:id="1090"/>
    <w:p w14:paraId="7B5F5510">
      <w:pPr>
        <w:pStyle w:val="80"/>
        <w:rPr>
          <w:rFonts w:hint="eastAsia" w:cs="宋体"/>
          <w:color w:val="auto"/>
          <w:sz w:val="21"/>
          <w:highlight w:val="none"/>
        </w:rPr>
      </w:pPr>
      <w:r>
        <w:rPr>
          <w:rFonts w:hint="eastAsia" w:cs="宋体"/>
          <w:color w:val="auto"/>
          <w:sz w:val="21"/>
          <w:highlight w:val="none"/>
        </w:rPr>
        <w:t>9</w:t>
      </w:r>
      <w:bookmarkStart w:id="1091" w:name="_Toc312678023"/>
      <w:bookmarkStart w:id="1092" w:name="_Toc304295561"/>
      <w:bookmarkStart w:id="1093" w:name="_Toc312677497"/>
      <w:bookmarkStart w:id="1094" w:name="_Toc303539141"/>
      <w:bookmarkStart w:id="1095" w:name="_Toc297123535"/>
      <w:bookmarkStart w:id="1096" w:name="_Toc300934984"/>
      <w:bookmarkStart w:id="1097" w:name="_Toc297216194"/>
      <w:bookmarkStart w:id="1098" w:name="_Toc318581174"/>
      <w:r>
        <w:rPr>
          <w:rFonts w:hint="eastAsia" w:cs="宋体"/>
          <w:color w:val="auto"/>
          <w:sz w:val="21"/>
          <w:highlight w:val="none"/>
        </w:rPr>
        <w:t>.1.2 试验设备</w:t>
      </w:r>
    </w:p>
    <w:p w14:paraId="134F4226">
      <w:pPr>
        <w:pStyle w:val="80"/>
        <w:rPr>
          <w:rFonts w:hint="eastAsia" w:cs="宋体"/>
          <w:color w:val="auto"/>
          <w:sz w:val="21"/>
          <w:highlight w:val="none"/>
        </w:rPr>
      </w:pPr>
      <w:r>
        <w:rPr>
          <w:rFonts w:hint="eastAsia" w:cs="宋体"/>
          <w:color w:val="auto"/>
          <w:sz w:val="21"/>
          <w:highlight w:val="none"/>
        </w:rPr>
        <w:t>施工现场需要配置的试验场所：</w:t>
      </w:r>
      <w:bookmarkEnd w:id="1091"/>
      <w:bookmarkEnd w:id="1092"/>
      <w:bookmarkEnd w:id="1093"/>
      <w:bookmarkEnd w:id="1094"/>
      <w:bookmarkEnd w:id="1095"/>
      <w:bookmarkEnd w:id="1096"/>
      <w:bookmarkEnd w:id="1097"/>
      <w:bookmarkStart w:id="1099" w:name="_Toc297216195"/>
      <w:bookmarkStart w:id="1100" w:name="_Toc297123536"/>
      <w:bookmarkStart w:id="1101" w:name="_Toc304295562"/>
      <w:bookmarkStart w:id="1102" w:name="_Toc303539142"/>
      <w:bookmarkStart w:id="1103" w:name="_Toc312677498"/>
      <w:bookmarkStart w:id="1104" w:name="_Toc312678024"/>
      <w:bookmarkStart w:id="1105" w:name="_Toc300934985"/>
      <w:r>
        <w:rPr>
          <w:rFonts w:hint="eastAsia" w:cs="宋体"/>
          <w:color w:val="auto"/>
          <w:sz w:val="21"/>
          <w:highlight w:val="none"/>
          <w:u w:val="single"/>
        </w:rPr>
        <w:t xml:space="preserve">   按实际需要和国家规定 </w:t>
      </w:r>
      <w:r>
        <w:rPr>
          <w:rFonts w:hint="eastAsia" w:cs="宋体"/>
          <w:color w:val="auto"/>
          <w:sz w:val="21"/>
          <w:highlight w:val="none"/>
        </w:rPr>
        <w:t xml:space="preserve">。 </w:t>
      </w:r>
    </w:p>
    <w:p w14:paraId="62A95EAE">
      <w:pPr>
        <w:pStyle w:val="80"/>
        <w:rPr>
          <w:rFonts w:hint="eastAsia" w:cs="宋体"/>
          <w:color w:val="auto"/>
          <w:sz w:val="21"/>
          <w:highlight w:val="none"/>
        </w:rPr>
      </w:pPr>
      <w:r>
        <w:rPr>
          <w:rFonts w:hint="eastAsia" w:cs="宋体"/>
          <w:color w:val="auto"/>
          <w:sz w:val="21"/>
          <w:highlight w:val="none"/>
        </w:rPr>
        <w:t>施工现场需要配备的试验设备：</w:t>
      </w:r>
      <w:r>
        <w:rPr>
          <w:rFonts w:hint="eastAsia" w:cs="宋体"/>
          <w:color w:val="auto"/>
          <w:sz w:val="21"/>
          <w:highlight w:val="none"/>
          <w:u w:val="single"/>
        </w:rPr>
        <w:t xml:space="preserve">    按实际需要和国家规定   </w:t>
      </w:r>
      <w:r>
        <w:rPr>
          <w:rFonts w:hint="eastAsia" w:cs="宋体"/>
          <w:color w:val="auto"/>
          <w:sz w:val="21"/>
          <w:highlight w:val="none"/>
        </w:rPr>
        <w:t>。</w:t>
      </w:r>
    </w:p>
    <w:p w14:paraId="16A21FDE">
      <w:pPr>
        <w:pStyle w:val="80"/>
        <w:rPr>
          <w:rFonts w:hint="eastAsia" w:cs="宋体"/>
          <w:color w:val="auto"/>
          <w:sz w:val="21"/>
          <w:highlight w:val="none"/>
        </w:rPr>
      </w:pPr>
      <w:r>
        <w:rPr>
          <w:rFonts w:hint="eastAsia" w:cs="宋体"/>
          <w:color w:val="auto"/>
          <w:sz w:val="21"/>
          <w:highlight w:val="none"/>
        </w:rPr>
        <w:t>施工现场需要具备的其他试验条件：</w:t>
      </w:r>
      <w:r>
        <w:rPr>
          <w:rFonts w:hint="eastAsia" w:cs="宋体"/>
          <w:color w:val="auto"/>
          <w:sz w:val="21"/>
          <w:highlight w:val="none"/>
          <w:u w:val="single"/>
        </w:rPr>
        <w:t xml:space="preserve">   按实际需要和国家规定  </w:t>
      </w:r>
      <w:r>
        <w:rPr>
          <w:rFonts w:hint="eastAsia" w:cs="宋体"/>
          <w:color w:val="auto"/>
          <w:sz w:val="21"/>
          <w:highlight w:val="none"/>
        </w:rPr>
        <w:t>。</w:t>
      </w:r>
    </w:p>
    <w:p w14:paraId="64AD3547">
      <w:pPr>
        <w:pStyle w:val="322"/>
        <w:rPr>
          <w:rFonts w:hint="eastAsia" w:ascii="宋体" w:cs="宋体"/>
          <w:color w:val="auto"/>
          <w:highlight w:val="none"/>
        </w:rPr>
      </w:pPr>
      <w:bookmarkStart w:id="1106" w:name="_Toc417904313"/>
      <w:bookmarkStart w:id="1107" w:name="_Toc478389228"/>
      <w:r>
        <w:rPr>
          <w:rFonts w:hint="eastAsia" w:ascii="宋体" w:cs="宋体"/>
          <w:color w:val="auto"/>
          <w:highlight w:val="none"/>
        </w:rPr>
        <w:t>9.4 现场工艺试验</w:t>
      </w:r>
      <w:bookmarkEnd w:id="1106"/>
      <w:bookmarkEnd w:id="1107"/>
    </w:p>
    <w:p w14:paraId="63E1D662">
      <w:pPr>
        <w:pStyle w:val="80"/>
        <w:rPr>
          <w:rFonts w:hint="eastAsia" w:cs="宋体"/>
          <w:color w:val="auto"/>
          <w:sz w:val="21"/>
          <w:highlight w:val="none"/>
        </w:rPr>
      </w:pPr>
      <w:r>
        <w:rPr>
          <w:rFonts w:hint="eastAsia" w:cs="宋体"/>
          <w:color w:val="auto"/>
          <w:sz w:val="21"/>
          <w:highlight w:val="none"/>
        </w:rPr>
        <w:t>现场工艺试验的有关约定：</w:t>
      </w:r>
      <w:r>
        <w:rPr>
          <w:rFonts w:hint="eastAsia" w:cs="宋体"/>
          <w:color w:val="auto"/>
          <w:sz w:val="21"/>
          <w:highlight w:val="none"/>
          <w:u w:val="single"/>
        </w:rPr>
        <w:t xml:space="preserve">    按实际需要和国家规定  </w:t>
      </w:r>
      <w:r>
        <w:rPr>
          <w:rFonts w:hint="eastAsia" w:cs="宋体"/>
          <w:color w:val="auto"/>
          <w:sz w:val="21"/>
          <w:highlight w:val="none"/>
        </w:rPr>
        <w:t>。</w:t>
      </w:r>
    </w:p>
    <w:bookmarkEnd w:id="1098"/>
    <w:bookmarkEnd w:id="1099"/>
    <w:bookmarkEnd w:id="1100"/>
    <w:bookmarkEnd w:id="1101"/>
    <w:bookmarkEnd w:id="1102"/>
    <w:bookmarkEnd w:id="1103"/>
    <w:bookmarkEnd w:id="1104"/>
    <w:bookmarkEnd w:id="1105"/>
    <w:p w14:paraId="69EA5586">
      <w:pPr>
        <w:pStyle w:val="322"/>
        <w:rPr>
          <w:rFonts w:hint="eastAsia" w:ascii="宋体" w:cs="宋体"/>
          <w:color w:val="auto"/>
          <w:highlight w:val="none"/>
        </w:rPr>
      </w:pPr>
      <w:bookmarkStart w:id="1108" w:name="_Toc351203642"/>
      <w:bookmarkStart w:id="1109" w:name="_Toc478389230"/>
      <w:bookmarkStart w:id="1110" w:name="_Toc417904315"/>
      <w:r>
        <w:rPr>
          <w:rFonts w:hint="eastAsia" w:ascii="宋体" w:cs="宋体"/>
          <w:color w:val="auto"/>
          <w:highlight w:val="none"/>
        </w:rPr>
        <w:t>1</w:t>
      </w:r>
      <w:bookmarkEnd w:id="1070"/>
      <w:bookmarkEnd w:id="1071"/>
      <w:bookmarkEnd w:id="1072"/>
      <w:bookmarkEnd w:id="1073"/>
      <w:bookmarkEnd w:id="1074"/>
      <w:bookmarkEnd w:id="1075"/>
      <w:bookmarkEnd w:id="1076"/>
      <w:bookmarkEnd w:id="1077"/>
      <w:bookmarkEnd w:id="1078"/>
      <w:bookmarkEnd w:id="1079"/>
      <w:bookmarkEnd w:id="1080"/>
      <w:bookmarkEnd w:id="1081"/>
      <w:bookmarkStart w:id="1111" w:name="_Toc296503193"/>
      <w:bookmarkStart w:id="1112" w:name="_Toc304295566"/>
      <w:bookmarkStart w:id="1113" w:name="_Toc296347192"/>
      <w:bookmarkStart w:id="1114" w:name="_Toc297123540"/>
      <w:bookmarkStart w:id="1115" w:name="_Toc296891021"/>
      <w:bookmarkStart w:id="1116" w:name="_Toc292559398"/>
      <w:bookmarkStart w:id="1117" w:name="_Toc297120493"/>
      <w:bookmarkStart w:id="1118" w:name="_Toc292559903"/>
      <w:bookmarkStart w:id="1119" w:name="_Toc297048379"/>
      <w:bookmarkStart w:id="1120" w:name="_Toc303539146"/>
      <w:bookmarkStart w:id="1121" w:name="_Toc300934989"/>
      <w:bookmarkStart w:id="1122" w:name="_Toc296944532"/>
      <w:bookmarkStart w:id="1123" w:name="_Toc296346694"/>
      <w:bookmarkStart w:id="1124" w:name="_Toc296891233"/>
      <w:bookmarkStart w:id="1125" w:name="_Toc297216199"/>
      <w:bookmarkStart w:id="1126" w:name="_Toc312678025"/>
      <w:bookmarkStart w:id="1127" w:name="_Toc312677499"/>
      <w:bookmarkStart w:id="1128" w:name="_Toc267251437"/>
      <w:bookmarkStart w:id="1129" w:name="_Toc267251441"/>
      <w:bookmarkStart w:id="1130" w:name="_Toc267251433"/>
      <w:bookmarkStart w:id="1131" w:name="_Toc267251440"/>
      <w:bookmarkStart w:id="1132" w:name="_Toc267251435"/>
      <w:bookmarkStart w:id="1133" w:name="_Toc267251439"/>
      <w:bookmarkStart w:id="1134" w:name="_Toc267251442"/>
      <w:r>
        <w:rPr>
          <w:rFonts w:hint="eastAsia" w:ascii="宋体" w:cs="宋体"/>
          <w:color w:val="auto"/>
          <w:highlight w:val="none"/>
        </w:rPr>
        <w:t>0. 变更</w:t>
      </w:r>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p>
    <w:bookmarkEnd w:id="1126"/>
    <w:bookmarkEnd w:id="1127"/>
    <w:p w14:paraId="5DDFF368">
      <w:pPr>
        <w:pStyle w:val="322"/>
        <w:rPr>
          <w:rFonts w:hint="eastAsia" w:ascii="宋体" w:cs="宋体"/>
          <w:color w:val="auto"/>
          <w:highlight w:val="none"/>
        </w:rPr>
      </w:pPr>
      <w:bookmarkStart w:id="1135" w:name="_Toc478389231"/>
      <w:bookmarkStart w:id="1136" w:name="_Toc417904316"/>
      <w:r>
        <w:rPr>
          <w:rFonts w:hint="eastAsia" w:ascii="宋体" w:cs="宋体"/>
          <w:color w:val="auto"/>
          <w:highlight w:val="none"/>
        </w:rPr>
        <w:t>1</w:t>
      </w:r>
      <w:bookmarkStart w:id="1137" w:name="_Toc304295567"/>
      <w:bookmarkStart w:id="1138" w:name="_Toc296503194"/>
      <w:bookmarkStart w:id="1139" w:name="_Toc296346695"/>
      <w:bookmarkStart w:id="1140" w:name="_Toc297123541"/>
      <w:bookmarkStart w:id="1141" w:name="_Toc300934990"/>
      <w:bookmarkStart w:id="1142" w:name="_Toc312677500"/>
      <w:bookmarkStart w:id="1143" w:name="_Toc303539147"/>
      <w:bookmarkStart w:id="1144" w:name="_Toc296891234"/>
      <w:bookmarkStart w:id="1145" w:name="_Toc292559399"/>
      <w:bookmarkStart w:id="1146" w:name="_Toc296891022"/>
      <w:bookmarkStart w:id="1147" w:name="_Toc292559904"/>
      <w:bookmarkStart w:id="1148" w:name="_Toc297216200"/>
      <w:bookmarkStart w:id="1149" w:name="_Toc296944533"/>
      <w:bookmarkStart w:id="1150" w:name="_Toc296347193"/>
      <w:bookmarkStart w:id="1151" w:name="_Toc297048380"/>
      <w:bookmarkStart w:id="1152" w:name="_Toc312678026"/>
      <w:bookmarkStart w:id="1153" w:name="_Toc297120494"/>
      <w:r>
        <w:rPr>
          <w:rFonts w:hint="eastAsia" w:ascii="宋体" w:cs="宋体"/>
          <w:color w:val="auto"/>
          <w:highlight w:val="none"/>
        </w:rPr>
        <w:t>0.1变更的范围</w:t>
      </w:r>
      <w:bookmarkEnd w:id="1135"/>
      <w:bookmarkEnd w:id="1136"/>
    </w:p>
    <w:p w14:paraId="7389D50A">
      <w:pPr>
        <w:pStyle w:val="80"/>
        <w:rPr>
          <w:rFonts w:hint="eastAsia" w:cs="宋体"/>
          <w:color w:val="auto"/>
          <w:sz w:val="21"/>
          <w:highlight w:val="none"/>
        </w:rPr>
      </w:pPr>
      <w:r>
        <w:rPr>
          <w:rFonts w:hint="eastAsia" w:cs="宋体"/>
          <w:color w:val="auto"/>
          <w:sz w:val="21"/>
          <w:highlight w:val="none"/>
        </w:rPr>
        <w:t>关于变更的范围的约定：</w:t>
      </w:r>
      <w:r>
        <w:rPr>
          <w:rFonts w:hint="eastAsia" w:cs="宋体"/>
          <w:color w:val="auto"/>
          <w:sz w:val="21"/>
          <w:highlight w:val="none"/>
          <w:u w:val="single"/>
        </w:rPr>
        <w:t>因设计变更或者现场签证导致变更后的预算超过分项预算或者总预算的5%以上的，须经发包人审核后实施。发包人可以取消部分工作内容施工。</w:t>
      </w:r>
    </w:p>
    <w:p w14:paraId="09BECEEE">
      <w:pPr>
        <w:pStyle w:val="322"/>
        <w:rPr>
          <w:rFonts w:hint="eastAsia" w:ascii="宋体" w:cs="宋体"/>
          <w:color w:val="auto"/>
          <w:highlight w:val="none"/>
        </w:rPr>
      </w:pPr>
      <w:bookmarkStart w:id="1154" w:name="_Toc373227741"/>
      <w:bookmarkStart w:id="1155" w:name="_Toc389065307"/>
      <w:bookmarkStart w:id="1156" w:name="_Toc373478388"/>
      <w:bookmarkStart w:id="1157" w:name="_Toc417904317"/>
      <w:bookmarkStart w:id="1158" w:name="_Toc395382544"/>
      <w:bookmarkStart w:id="1159" w:name="_Toc478389232"/>
      <w:r>
        <w:rPr>
          <w:rFonts w:hint="eastAsia" w:ascii="宋体" w:cs="宋体"/>
          <w:color w:val="auto"/>
          <w:highlight w:val="none"/>
        </w:rPr>
        <w:t>10.3 变更程序</w:t>
      </w:r>
      <w:bookmarkEnd w:id="1154"/>
      <w:bookmarkEnd w:id="1155"/>
      <w:bookmarkEnd w:id="1156"/>
      <w:bookmarkEnd w:id="1157"/>
      <w:bookmarkEnd w:id="1158"/>
      <w:bookmarkEnd w:id="1159"/>
    </w:p>
    <w:p w14:paraId="78154252">
      <w:pPr>
        <w:pStyle w:val="80"/>
        <w:rPr>
          <w:rFonts w:hint="eastAsia" w:cs="宋体"/>
          <w:bCs/>
          <w:color w:val="auto"/>
          <w:sz w:val="21"/>
          <w:highlight w:val="none"/>
        </w:rPr>
      </w:pPr>
      <w:r>
        <w:rPr>
          <w:rFonts w:hint="eastAsia" w:cs="宋体"/>
          <w:bCs/>
          <w:color w:val="auto"/>
          <w:sz w:val="21"/>
          <w:highlight w:val="none"/>
        </w:rPr>
        <w:t>10.3.2 非国有投资项目：</w:t>
      </w:r>
      <w:r>
        <w:rPr>
          <w:rFonts w:hint="eastAsia" w:cs="宋体"/>
          <w:color w:val="auto"/>
          <w:sz w:val="21"/>
          <w:highlight w:val="none"/>
          <w:u w:val="single"/>
        </w:rPr>
        <w:t>无</w:t>
      </w:r>
      <w:r>
        <w:rPr>
          <w:rFonts w:hint="eastAsia" w:cs="宋体"/>
          <w:bCs/>
          <w:color w:val="auto"/>
          <w:sz w:val="21"/>
          <w:highlight w:val="none"/>
        </w:rPr>
        <w:t>。</w:t>
      </w:r>
    </w:p>
    <w:p w14:paraId="629E3707">
      <w:pPr>
        <w:pStyle w:val="322"/>
        <w:rPr>
          <w:rFonts w:hint="eastAsia" w:ascii="宋体" w:cs="宋体"/>
          <w:color w:val="auto"/>
          <w:highlight w:val="none"/>
        </w:rPr>
      </w:pPr>
      <w:bookmarkStart w:id="1160" w:name="_Toc478389233"/>
      <w:bookmarkStart w:id="1161" w:name="_Toc417904318"/>
      <w:r>
        <w:rPr>
          <w:rFonts w:hint="eastAsia" w:ascii="宋体" w:cs="宋体"/>
          <w:color w:val="auto"/>
          <w:highlight w:val="none"/>
        </w:rPr>
        <w:t>10.4 变更估价</w:t>
      </w:r>
      <w:bookmarkEnd w:id="1160"/>
      <w:bookmarkEnd w:id="1161"/>
    </w:p>
    <w:p w14:paraId="6AB1EF77">
      <w:pPr>
        <w:pStyle w:val="80"/>
        <w:rPr>
          <w:rFonts w:hint="eastAsia" w:cs="宋体"/>
          <w:color w:val="auto"/>
          <w:highlight w:val="none"/>
          <w:u w:val="single"/>
        </w:rPr>
      </w:pPr>
      <w:r>
        <w:rPr>
          <w:rFonts w:hint="eastAsia" w:cs="宋体"/>
          <w:color w:val="auto"/>
          <w:sz w:val="21"/>
          <w:highlight w:val="none"/>
        </w:rPr>
        <w:t>10.4.1变更估价原则：</w:t>
      </w:r>
      <w:r>
        <w:rPr>
          <w:rFonts w:hint="eastAsia" w:cs="宋体"/>
          <w:color w:val="auto"/>
          <w:highlight w:val="none"/>
          <w:u w:val="single"/>
        </w:rPr>
        <w:t>工程变更合同价款按下列方法进行：因设计变更、相关签证及招标工程量清单错项、漏项引起工程项目、工程量任何变化的，变更合同价款按下列方法进行：①合同中已有适用于变更工程的项，按合同中已有的综合单价确定；②合同中有类似变更工程的项（指工程量清单项目中除主要材料不同外，人工、机械及其他材料均相同的项）， 综合单价按已有类似的综合单价加材料价差来确定；③合同中没有适用或类似于变更工程的项，其综合单价套用广西现行消耗量定额，费率按预算价的费率构成计取，材料价按施工期《桂林建设工程造价信息》公布价格的算</w:t>
      </w:r>
      <w:r>
        <w:rPr>
          <w:rFonts w:hint="eastAsia" w:cs="宋体"/>
          <w:color w:val="auto"/>
          <w:highlight w:val="none"/>
          <w:u w:val="single"/>
          <w:lang w:eastAsia="zh-CN"/>
        </w:rPr>
        <w:t>术</w:t>
      </w:r>
      <w:r>
        <w:rPr>
          <w:rFonts w:hint="eastAsia" w:cs="宋体"/>
          <w:color w:val="auto"/>
          <w:highlight w:val="none"/>
          <w:u w:val="single"/>
        </w:rPr>
        <w:t>平均值计取，装修、水电材料以及材料价格缺项的根据市场询价签证确定其材料价格，最后总价乘以系数（1</w:t>
      </w:r>
      <w:r>
        <w:rPr>
          <w:rFonts w:hint="eastAsia" w:cs="宋体"/>
          <w:color w:val="auto"/>
          <w:highlight w:val="none"/>
          <w:u w:val="single"/>
          <w:lang w:eastAsia="zh-CN"/>
        </w:rPr>
        <w:t>－</w:t>
      </w:r>
      <w:r>
        <w:rPr>
          <w:rFonts w:hint="eastAsia" w:cs="宋体"/>
          <w:color w:val="auto"/>
          <w:highlight w:val="none"/>
          <w:u w:val="single"/>
        </w:rPr>
        <w:t>优惠率  %）；④不适用上述条款的项，则由发包人和承包人协商签证确定；⑤因不可抗力产生的费用由发包人及承包人双方协商分担。⑤国家和自治区政策性调整有关费用标准的，按文件规定执行之日起进行调整⑥工程结算价格无论是合同内部分还是签证、变更增加部分，均需按照承诺下浮优惠率  %总价下浮。（优惠率=（1-成交金额/采购预算金额）×100％）</w:t>
      </w:r>
    </w:p>
    <w:p w14:paraId="473CA5F6">
      <w:pPr>
        <w:pStyle w:val="80"/>
        <w:ind w:firstLine="400"/>
        <w:rPr>
          <w:rFonts w:hint="eastAsia" w:cs="宋体"/>
          <w:color w:val="auto"/>
          <w:highlight w:val="none"/>
          <w:u w:val="single"/>
        </w:rPr>
      </w:pPr>
      <w:r>
        <w:rPr>
          <w:rFonts w:hint="eastAsia" w:cs="宋体"/>
          <w:color w:val="auto"/>
          <w:highlight w:val="none"/>
          <w:u w:val="single"/>
        </w:rPr>
        <w:t>工程变更导致实际完成的变更工程量与已标价清单或预算书中列明的该项目工程量有偏差时，其综合单价的确定按专用条款“</w:t>
      </w:r>
      <w:r>
        <w:rPr>
          <w:rFonts w:cs="宋体"/>
          <w:color w:val="auto"/>
          <w:highlight w:val="none"/>
          <w:u w:val="single"/>
        </w:rPr>
        <w:t>1.13</w:t>
      </w:r>
      <w:r>
        <w:rPr>
          <w:rFonts w:hint="eastAsia" w:cs="宋体"/>
          <w:color w:val="auto"/>
          <w:highlight w:val="none"/>
          <w:u w:val="single"/>
        </w:rPr>
        <w:t>工程量清单错误的修正”执行。</w:t>
      </w:r>
    </w:p>
    <w:p w14:paraId="7CB7A043">
      <w:pPr>
        <w:pStyle w:val="322"/>
        <w:spacing w:line="400" w:lineRule="exact"/>
        <w:rPr>
          <w:rFonts w:hint="eastAsia" w:ascii="宋体" w:cs="宋体"/>
          <w:color w:val="auto"/>
          <w:highlight w:val="none"/>
        </w:rPr>
      </w:pPr>
      <w:bookmarkStart w:id="1162" w:name="_Toc417904319"/>
      <w:bookmarkStart w:id="1163" w:name="_Toc478389234"/>
      <w:r>
        <w:rPr>
          <w:rFonts w:hint="eastAsia" w:ascii="宋体" w:cs="宋体"/>
          <w:color w:val="auto"/>
          <w:highlight w:val="none"/>
        </w:rPr>
        <w:t>1</w:t>
      </w:r>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Start w:id="1164" w:name="_Toc296346698"/>
      <w:bookmarkStart w:id="1165" w:name="_Toc297123544"/>
      <w:bookmarkStart w:id="1166" w:name="_Toc300934993"/>
      <w:bookmarkStart w:id="1167" w:name="_Toc296891237"/>
      <w:bookmarkStart w:id="1168" w:name="_Toc297216203"/>
      <w:bookmarkStart w:id="1169" w:name="_Toc296503197"/>
      <w:bookmarkStart w:id="1170" w:name="_Toc292559402"/>
      <w:bookmarkStart w:id="1171" w:name="_Toc292559907"/>
      <w:bookmarkStart w:id="1172" w:name="_Toc303539150"/>
      <w:bookmarkStart w:id="1173" w:name="_Toc296944536"/>
      <w:bookmarkStart w:id="1174" w:name="_Toc297048383"/>
      <w:bookmarkStart w:id="1175" w:name="_Toc297120497"/>
      <w:bookmarkStart w:id="1176" w:name="_Toc296347196"/>
      <w:bookmarkStart w:id="1177" w:name="_Toc296891025"/>
      <w:bookmarkStart w:id="1178" w:name="_Toc312678029"/>
      <w:bookmarkStart w:id="1179" w:name="_Toc312677503"/>
      <w:bookmarkStart w:id="1180" w:name="_Toc304295570"/>
      <w:r>
        <w:rPr>
          <w:rFonts w:hint="eastAsia" w:ascii="宋体" w:cs="宋体"/>
          <w:color w:val="auto"/>
          <w:highlight w:val="none"/>
        </w:rPr>
        <w:t>0.5承</w:t>
      </w:r>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Start w:id="1181" w:name="_Toc292559408"/>
      <w:bookmarkStart w:id="1182" w:name="_Toc297216204"/>
      <w:bookmarkStart w:id="1183" w:name="_Toc292559913"/>
      <w:bookmarkStart w:id="1184" w:name="_Toc297048389"/>
      <w:bookmarkStart w:id="1185" w:name="_Toc296503203"/>
      <w:bookmarkStart w:id="1186" w:name="_Toc300934994"/>
      <w:bookmarkStart w:id="1187" w:name="_Toc296891031"/>
      <w:bookmarkStart w:id="1188" w:name="_Toc297120503"/>
      <w:bookmarkStart w:id="1189" w:name="_Toc296891243"/>
      <w:bookmarkStart w:id="1190" w:name="_Toc296346704"/>
      <w:bookmarkStart w:id="1191" w:name="_Toc297123545"/>
      <w:bookmarkStart w:id="1192" w:name="_Toc296347202"/>
      <w:bookmarkStart w:id="1193" w:name="_Toc296944542"/>
      <w:bookmarkStart w:id="1194" w:name="_Toc303539151"/>
      <w:r>
        <w:rPr>
          <w:rFonts w:hint="eastAsia" w:ascii="宋体" w:cs="宋体"/>
          <w:color w:val="auto"/>
          <w:highlight w:val="none"/>
        </w:rPr>
        <w:t>包人的合理化建议</w:t>
      </w:r>
      <w:bookmarkEnd w:id="1162"/>
      <w:bookmarkEnd w:id="1163"/>
    </w:p>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p w14:paraId="2B8C18A3">
      <w:pPr>
        <w:pStyle w:val="80"/>
        <w:spacing w:line="400" w:lineRule="exact"/>
        <w:rPr>
          <w:rFonts w:hint="eastAsia" w:cs="宋体"/>
          <w:color w:val="auto"/>
          <w:sz w:val="21"/>
          <w:highlight w:val="none"/>
        </w:rPr>
      </w:pPr>
      <w:r>
        <w:rPr>
          <w:rFonts w:hint="eastAsia" w:cs="宋体"/>
          <w:color w:val="auto"/>
          <w:sz w:val="21"/>
          <w:highlight w:val="none"/>
        </w:rPr>
        <w:t>监理人审查承包人合理化建议的期限：</w:t>
      </w:r>
      <w:r>
        <w:rPr>
          <w:rFonts w:hint="eastAsia" w:cs="宋体"/>
          <w:color w:val="auto"/>
          <w:sz w:val="21"/>
          <w:highlight w:val="none"/>
          <w:u w:val="single"/>
        </w:rPr>
        <w:t xml:space="preserve">    7天内      </w:t>
      </w:r>
      <w:r>
        <w:rPr>
          <w:rFonts w:hint="eastAsia" w:cs="宋体"/>
          <w:color w:val="auto"/>
          <w:sz w:val="21"/>
          <w:highlight w:val="none"/>
        </w:rPr>
        <w:t>。</w:t>
      </w:r>
    </w:p>
    <w:p w14:paraId="3899E714">
      <w:pPr>
        <w:pStyle w:val="80"/>
        <w:spacing w:line="400" w:lineRule="exact"/>
        <w:rPr>
          <w:rFonts w:hint="eastAsia" w:cs="宋体"/>
          <w:color w:val="auto"/>
          <w:sz w:val="21"/>
          <w:highlight w:val="none"/>
        </w:rPr>
      </w:pPr>
      <w:r>
        <w:rPr>
          <w:rFonts w:hint="eastAsia" w:cs="宋体"/>
          <w:color w:val="auto"/>
          <w:sz w:val="21"/>
          <w:highlight w:val="none"/>
        </w:rPr>
        <w:t>发包人审批承包人合理化建议的期限：</w:t>
      </w:r>
      <w:r>
        <w:rPr>
          <w:rFonts w:hint="eastAsia" w:cs="宋体"/>
          <w:color w:val="auto"/>
          <w:sz w:val="21"/>
          <w:highlight w:val="none"/>
          <w:u w:val="single"/>
        </w:rPr>
        <w:t xml:space="preserve">     7天内      </w:t>
      </w:r>
      <w:r>
        <w:rPr>
          <w:rFonts w:hint="eastAsia" w:cs="宋体"/>
          <w:color w:val="auto"/>
          <w:sz w:val="21"/>
          <w:highlight w:val="none"/>
        </w:rPr>
        <w:t>。</w:t>
      </w:r>
    </w:p>
    <w:p w14:paraId="0342B725">
      <w:pPr>
        <w:pStyle w:val="80"/>
        <w:spacing w:line="400" w:lineRule="exact"/>
        <w:rPr>
          <w:rFonts w:hint="eastAsia" w:cs="宋体"/>
          <w:color w:val="auto"/>
          <w:sz w:val="21"/>
          <w:highlight w:val="none"/>
          <w:u w:val="single"/>
        </w:rPr>
      </w:pPr>
      <w:r>
        <w:rPr>
          <w:rFonts w:hint="eastAsia" w:cs="宋体"/>
          <w:color w:val="auto"/>
          <w:sz w:val="21"/>
          <w:highlight w:val="none"/>
        </w:rPr>
        <w:t>承</w:t>
      </w:r>
      <w:bookmarkStart w:id="1195" w:name="_Toc297216205"/>
      <w:bookmarkStart w:id="1196" w:name="_Toc296503204"/>
      <w:bookmarkStart w:id="1197" w:name="_Toc296944543"/>
      <w:bookmarkStart w:id="1198" w:name="_Toc303539152"/>
      <w:bookmarkStart w:id="1199" w:name="_Toc312678030"/>
      <w:bookmarkStart w:id="1200" w:name="_Toc304295571"/>
      <w:bookmarkStart w:id="1201" w:name="_Toc296891244"/>
      <w:bookmarkStart w:id="1202" w:name="_Toc296347203"/>
      <w:bookmarkStart w:id="1203" w:name="_Toc297120504"/>
      <w:bookmarkStart w:id="1204" w:name="_Toc296891032"/>
      <w:bookmarkStart w:id="1205" w:name="_Toc318581175"/>
      <w:bookmarkStart w:id="1206" w:name="_Toc296346705"/>
      <w:bookmarkStart w:id="1207" w:name="_Toc292559914"/>
      <w:bookmarkStart w:id="1208" w:name="_Toc300934995"/>
      <w:bookmarkStart w:id="1209" w:name="_Toc297123546"/>
      <w:bookmarkStart w:id="1210" w:name="_Toc297048390"/>
      <w:bookmarkStart w:id="1211" w:name="_Toc292559409"/>
      <w:bookmarkStart w:id="1212" w:name="_Toc312677504"/>
      <w:r>
        <w:rPr>
          <w:rFonts w:hint="eastAsia" w:cs="宋体"/>
          <w:color w:val="auto"/>
          <w:sz w:val="21"/>
          <w:highlight w:val="none"/>
        </w:rPr>
        <w:t>包人提出的合理化建议降低了合同价格或者提高了工程经济效益的奖励的方法和金额为：</w:t>
      </w:r>
      <w:r>
        <w:rPr>
          <w:rFonts w:hint="eastAsia" w:cs="宋体"/>
          <w:color w:val="auto"/>
          <w:sz w:val="21"/>
          <w:highlight w:val="none"/>
          <w:u w:val="single"/>
        </w:rPr>
        <w:t xml:space="preserve">  无 </w:t>
      </w:r>
      <w:r>
        <w:rPr>
          <w:rFonts w:hint="eastAsia" w:cs="宋体"/>
          <w:color w:val="auto"/>
          <w:sz w:val="21"/>
          <w:highlight w:val="none"/>
        </w:rPr>
        <w:t>。</w:t>
      </w:r>
    </w:p>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p w14:paraId="3178C7DB">
      <w:pPr>
        <w:pStyle w:val="322"/>
        <w:spacing w:line="400" w:lineRule="exact"/>
        <w:rPr>
          <w:rFonts w:hint="eastAsia" w:ascii="宋体" w:cs="宋体"/>
          <w:color w:val="auto"/>
          <w:highlight w:val="none"/>
        </w:rPr>
      </w:pPr>
      <w:bookmarkStart w:id="1213" w:name="_Toc417904320"/>
      <w:bookmarkStart w:id="1214" w:name="_Toc478389235"/>
      <w:r>
        <w:rPr>
          <w:rFonts w:hint="eastAsia" w:ascii="宋体" w:cs="宋体"/>
          <w:color w:val="auto"/>
          <w:highlight w:val="none"/>
        </w:rPr>
        <w:t>1</w:t>
      </w:r>
      <w:bookmarkStart w:id="1215" w:name="_Toc297120499"/>
      <w:bookmarkStart w:id="1216" w:name="_Toc296347198"/>
      <w:bookmarkStart w:id="1217" w:name="_Toc303539154"/>
      <w:bookmarkStart w:id="1218" w:name="_Toc296891239"/>
      <w:bookmarkStart w:id="1219" w:name="_Toc296346700"/>
      <w:bookmarkStart w:id="1220" w:name="_Toc300934997"/>
      <w:bookmarkStart w:id="1221" w:name="_Toc296891027"/>
      <w:bookmarkStart w:id="1222" w:name="_Toc297216207"/>
      <w:bookmarkStart w:id="1223" w:name="_Toc297048385"/>
      <w:bookmarkStart w:id="1224" w:name="_Toc296944538"/>
      <w:bookmarkStart w:id="1225" w:name="_Toc312678033"/>
      <w:bookmarkStart w:id="1226" w:name="_Toc312677507"/>
      <w:bookmarkStart w:id="1227" w:name="_Toc297123548"/>
      <w:bookmarkStart w:id="1228" w:name="_Toc296503199"/>
      <w:bookmarkStart w:id="1229" w:name="_Toc292559909"/>
      <w:bookmarkStart w:id="1230" w:name="_Toc292559404"/>
      <w:bookmarkStart w:id="1231" w:name="_Toc304295574"/>
      <w:r>
        <w:rPr>
          <w:rFonts w:hint="eastAsia" w:ascii="宋体" w:cs="宋体"/>
          <w:color w:val="auto"/>
          <w:highlight w:val="none"/>
        </w:rPr>
        <w:t>0.7 暂估价</w:t>
      </w:r>
      <w:bookmarkEnd w:id="1213"/>
      <w:bookmarkEnd w:id="1214"/>
    </w:p>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p w14:paraId="0197E5FF">
      <w:pPr>
        <w:pStyle w:val="80"/>
        <w:spacing w:line="400" w:lineRule="exact"/>
        <w:rPr>
          <w:rFonts w:hint="eastAsia" w:cs="宋体"/>
          <w:color w:val="auto"/>
          <w:sz w:val="21"/>
          <w:highlight w:val="none"/>
        </w:rPr>
      </w:pPr>
      <w:r>
        <w:rPr>
          <w:rFonts w:hint="eastAsia" w:cs="宋体"/>
          <w:color w:val="auto"/>
          <w:sz w:val="21"/>
          <w:highlight w:val="none"/>
        </w:rPr>
        <w:t>暂估价材料和工程设备的明细详见附件：《暂估价一览表》。</w:t>
      </w:r>
    </w:p>
    <w:p w14:paraId="3B5F0C0D">
      <w:pPr>
        <w:pStyle w:val="80"/>
        <w:spacing w:line="400" w:lineRule="exact"/>
        <w:outlineLvl w:val="0"/>
        <w:rPr>
          <w:rFonts w:hint="eastAsia" w:cs="宋体"/>
          <w:color w:val="auto"/>
          <w:sz w:val="21"/>
          <w:highlight w:val="none"/>
        </w:rPr>
      </w:pPr>
      <w:bookmarkStart w:id="1232" w:name="_Toc406522266"/>
      <w:bookmarkStart w:id="1233" w:name="_Toc406419390"/>
      <w:bookmarkStart w:id="1234" w:name="_Toc478389236"/>
      <w:bookmarkStart w:id="1235" w:name="_Toc417904321"/>
      <w:r>
        <w:rPr>
          <w:rFonts w:hint="eastAsia" w:cs="宋体"/>
          <w:color w:val="auto"/>
          <w:sz w:val="21"/>
          <w:highlight w:val="none"/>
        </w:rPr>
        <w:t>1</w:t>
      </w:r>
      <w:bookmarkStart w:id="1236" w:name="_Toc312678035"/>
      <w:bookmarkStart w:id="1237" w:name="_Toc318581177"/>
      <w:bookmarkStart w:id="1238" w:name="_Toc312677509"/>
      <w:r>
        <w:rPr>
          <w:rFonts w:hint="eastAsia" w:cs="宋体"/>
          <w:color w:val="auto"/>
          <w:sz w:val="21"/>
          <w:highlight w:val="none"/>
        </w:rPr>
        <w:t>0.7.1 依法必须招标的暂估价项目</w:t>
      </w:r>
      <w:bookmarkEnd w:id="1232"/>
      <w:bookmarkEnd w:id="1233"/>
      <w:bookmarkEnd w:id="1234"/>
      <w:bookmarkEnd w:id="1235"/>
    </w:p>
    <w:bookmarkEnd w:id="1236"/>
    <w:bookmarkEnd w:id="1237"/>
    <w:bookmarkEnd w:id="1238"/>
    <w:p w14:paraId="485E3334">
      <w:pPr>
        <w:pStyle w:val="80"/>
        <w:spacing w:line="400" w:lineRule="exact"/>
        <w:rPr>
          <w:rFonts w:hint="eastAsia" w:cs="宋体"/>
          <w:color w:val="auto"/>
          <w:sz w:val="21"/>
          <w:highlight w:val="none"/>
        </w:rPr>
      </w:pPr>
      <w:r>
        <w:rPr>
          <w:rFonts w:hint="eastAsia" w:cs="宋体"/>
          <w:color w:val="auto"/>
          <w:sz w:val="21"/>
          <w:highlight w:val="none"/>
        </w:rPr>
        <w:t>对于依法必须招标的暂估价项目的确认和批准采取第</w:t>
      </w:r>
      <w:r>
        <w:rPr>
          <w:rFonts w:hint="eastAsia" w:cs="宋体"/>
          <w:color w:val="auto"/>
          <w:sz w:val="21"/>
          <w:highlight w:val="none"/>
          <w:u w:val="single"/>
        </w:rPr>
        <w:t xml:space="preserve">  1  </w:t>
      </w:r>
      <w:r>
        <w:rPr>
          <w:rFonts w:hint="eastAsia" w:cs="宋体"/>
          <w:color w:val="auto"/>
          <w:sz w:val="21"/>
          <w:highlight w:val="none"/>
        </w:rPr>
        <w:t>种方式确定。</w:t>
      </w:r>
    </w:p>
    <w:p w14:paraId="60DF2715">
      <w:pPr>
        <w:pStyle w:val="80"/>
        <w:spacing w:line="400" w:lineRule="exact"/>
        <w:rPr>
          <w:rFonts w:hint="eastAsia" w:cs="宋体"/>
          <w:color w:val="auto"/>
          <w:sz w:val="21"/>
          <w:highlight w:val="none"/>
        </w:rPr>
      </w:pPr>
      <w:r>
        <w:rPr>
          <w:rFonts w:hint="eastAsia" w:cs="宋体"/>
          <w:color w:val="auto"/>
          <w:sz w:val="21"/>
          <w:highlight w:val="none"/>
        </w:rPr>
        <w:t>10.7.2 不属于依法必须招标的暂估价项目</w:t>
      </w:r>
    </w:p>
    <w:p w14:paraId="6BEB3E9F">
      <w:pPr>
        <w:pStyle w:val="80"/>
        <w:spacing w:line="400" w:lineRule="exact"/>
        <w:rPr>
          <w:rFonts w:hint="eastAsia" w:cs="宋体"/>
          <w:color w:val="auto"/>
          <w:sz w:val="21"/>
          <w:highlight w:val="none"/>
        </w:rPr>
      </w:pPr>
      <w:r>
        <w:rPr>
          <w:rFonts w:hint="eastAsia" w:cs="宋体"/>
          <w:color w:val="auto"/>
          <w:sz w:val="21"/>
          <w:highlight w:val="none"/>
        </w:rPr>
        <w:t>对于不属于依法必须招标的暂估价项目的确认和批准采取第</w:t>
      </w:r>
      <w:r>
        <w:rPr>
          <w:rFonts w:hint="eastAsia" w:cs="宋体"/>
          <w:color w:val="auto"/>
          <w:sz w:val="21"/>
          <w:highlight w:val="none"/>
          <w:u w:val="single"/>
        </w:rPr>
        <w:t xml:space="preserve"> </w:t>
      </w:r>
      <w:r>
        <w:rPr>
          <w:rFonts w:cs="宋体"/>
          <w:color w:val="auto"/>
          <w:sz w:val="21"/>
          <w:highlight w:val="none"/>
          <w:u w:val="single"/>
        </w:rPr>
        <w:t xml:space="preserve"> </w:t>
      </w:r>
      <w:r>
        <w:rPr>
          <w:rFonts w:hint="eastAsia" w:cs="宋体"/>
          <w:color w:val="auto"/>
          <w:sz w:val="21"/>
          <w:highlight w:val="none"/>
          <w:u w:val="single"/>
        </w:rPr>
        <w:t xml:space="preserve">3  </w:t>
      </w:r>
      <w:r>
        <w:rPr>
          <w:rFonts w:hint="eastAsia" w:cs="宋体"/>
          <w:color w:val="auto"/>
          <w:sz w:val="21"/>
          <w:highlight w:val="none"/>
        </w:rPr>
        <w:t xml:space="preserve"> 种方式确定。</w:t>
      </w:r>
    </w:p>
    <w:p w14:paraId="3ACE4C7A">
      <w:pPr>
        <w:pStyle w:val="80"/>
        <w:spacing w:line="400" w:lineRule="exact"/>
        <w:rPr>
          <w:rFonts w:hint="eastAsia" w:cs="宋体"/>
          <w:color w:val="auto"/>
          <w:sz w:val="21"/>
          <w:highlight w:val="none"/>
        </w:rPr>
      </w:pPr>
      <w:r>
        <w:rPr>
          <w:rFonts w:hint="eastAsia" w:cs="宋体"/>
          <w:color w:val="auto"/>
          <w:sz w:val="21"/>
          <w:highlight w:val="none"/>
        </w:rPr>
        <w:t>第3种方式：承包人直接实施的暂估价项目</w:t>
      </w:r>
    </w:p>
    <w:p w14:paraId="1758C1C2">
      <w:pPr>
        <w:pStyle w:val="80"/>
        <w:spacing w:line="400" w:lineRule="exact"/>
        <w:rPr>
          <w:rFonts w:hint="eastAsia" w:cs="宋体"/>
          <w:color w:val="auto"/>
          <w:sz w:val="21"/>
          <w:highlight w:val="none"/>
        </w:rPr>
      </w:pPr>
      <w:r>
        <w:rPr>
          <w:rFonts w:hint="eastAsia" w:cs="宋体"/>
          <w:color w:val="auto"/>
          <w:sz w:val="21"/>
          <w:highlight w:val="none"/>
        </w:rPr>
        <w:t>承包人直接实施的暂估价项目的约定：</w:t>
      </w:r>
      <w:r>
        <w:rPr>
          <w:rFonts w:hint="eastAsia" w:cs="宋体"/>
          <w:color w:val="auto"/>
          <w:sz w:val="21"/>
          <w:highlight w:val="none"/>
          <w:u w:val="single"/>
        </w:rPr>
        <w:t xml:space="preserve">按市场价格由发包人、承包人、发包人代表、发包人委托的造价咨询机构、现场监管代表及监理协商确定材料价  </w:t>
      </w:r>
      <w:r>
        <w:rPr>
          <w:rFonts w:hint="eastAsia" w:cs="宋体"/>
          <w:color w:val="auto"/>
          <w:sz w:val="21"/>
          <w:highlight w:val="none"/>
        </w:rPr>
        <w:t>。</w:t>
      </w:r>
    </w:p>
    <w:p w14:paraId="430DF65C">
      <w:pPr>
        <w:pStyle w:val="322"/>
        <w:spacing w:line="400" w:lineRule="exact"/>
        <w:rPr>
          <w:rFonts w:hint="eastAsia" w:ascii="宋体"/>
          <w:color w:val="auto"/>
          <w:highlight w:val="none"/>
        </w:rPr>
      </w:pPr>
      <w:bookmarkStart w:id="1239" w:name="_Toc417904322"/>
      <w:bookmarkStart w:id="1240" w:name="_Toc478389237"/>
      <w:r>
        <w:rPr>
          <w:rFonts w:hint="eastAsia" w:ascii="宋体" w:cs="宋体"/>
          <w:color w:val="auto"/>
          <w:highlight w:val="none"/>
        </w:rPr>
        <w:t>10.8 暂列金额</w:t>
      </w:r>
      <w:bookmarkEnd w:id="1239"/>
      <w:bookmarkEnd w:id="1240"/>
      <w:r>
        <w:rPr>
          <w:rFonts w:hint="eastAsia" w:ascii="宋体" w:cs="宋体"/>
          <w:color w:val="auto"/>
          <w:highlight w:val="none"/>
        </w:rPr>
        <w:t>（本工程无暂列金）</w:t>
      </w:r>
    </w:p>
    <w:p w14:paraId="09B0FAD2">
      <w:pPr>
        <w:pStyle w:val="322"/>
        <w:spacing w:line="400" w:lineRule="exact"/>
        <w:rPr>
          <w:rFonts w:hint="eastAsia" w:ascii="宋体" w:cs="宋体"/>
          <w:color w:val="auto"/>
          <w:highlight w:val="none"/>
        </w:rPr>
      </w:pPr>
      <w:bookmarkStart w:id="1241" w:name="_Toc478389238"/>
      <w:bookmarkStart w:id="1242" w:name="_Toc417904323"/>
      <w:bookmarkStart w:id="1243" w:name="_Toc351203643"/>
      <w:r>
        <w:rPr>
          <w:rFonts w:hint="eastAsia" w:ascii="宋体" w:cs="宋体"/>
          <w:color w:val="auto"/>
          <w:highlight w:val="none"/>
        </w:rPr>
        <w:t>11. 价格调整</w:t>
      </w:r>
      <w:bookmarkEnd w:id="1241"/>
      <w:bookmarkEnd w:id="1242"/>
      <w:bookmarkEnd w:id="1243"/>
    </w:p>
    <w:p w14:paraId="7384687E">
      <w:pPr>
        <w:pStyle w:val="322"/>
        <w:spacing w:line="400" w:lineRule="exact"/>
        <w:rPr>
          <w:rFonts w:hint="eastAsia" w:ascii="宋体" w:cs="宋体"/>
          <w:color w:val="auto"/>
          <w:highlight w:val="none"/>
        </w:rPr>
      </w:pPr>
      <w:r>
        <w:rPr>
          <w:rFonts w:hint="eastAsia"/>
          <w:color w:val="auto"/>
          <w:highlight w:val="none"/>
        </w:rPr>
        <w:t>11.1市场价格波动引起的调整</w:t>
      </w:r>
    </w:p>
    <w:p w14:paraId="65930422">
      <w:pPr>
        <w:pStyle w:val="80"/>
        <w:spacing w:line="400" w:lineRule="exact"/>
        <w:rPr>
          <w:rFonts w:hint="eastAsia" w:cs="宋体"/>
          <w:color w:val="auto"/>
          <w:sz w:val="21"/>
          <w:highlight w:val="none"/>
        </w:rPr>
      </w:pPr>
      <w:r>
        <w:rPr>
          <w:rFonts w:hint="eastAsia" w:cs="宋体"/>
          <w:color w:val="auto"/>
          <w:sz w:val="21"/>
          <w:highlight w:val="none"/>
        </w:rPr>
        <w:t>市场价格波动是否调整合同价格的约定：</w:t>
      </w:r>
      <w:r>
        <w:rPr>
          <w:rFonts w:hint="eastAsia" w:cs="宋体"/>
          <w:color w:val="auto"/>
          <w:sz w:val="21"/>
          <w:highlight w:val="none"/>
          <w:u w:val="single"/>
        </w:rPr>
        <w:t xml:space="preserve">     不调整    </w:t>
      </w:r>
      <w:r>
        <w:rPr>
          <w:rFonts w:hint="eastAsia" w:cs="宋体"/>
          <w:color w:val="auto"/>
          <w:sz w:val="21"/>
          <w:highlight w:val="none"/>
        </w:rPr>
        <w:t>。</w:t>
      </w:r>
    </w:p>
    <w:p w14:paraId="54126EE2">
      <w:pPr>
        <w:spacing w:line="40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其他约定：</w:t>
      </w:r>
      <w:r>
        <w:rPr>
          <w:rFonts w:hint="eastAsia" w:ascii="宋体" w:hAnsi="宋体" w:cs="宋体"/>
          <w:color w:val="auto"/>
          <w:szCs w:val="21"/>
          <w:highlight w:val="none"/>
          <w:u w:val="single"/>
          <w:lang w:val="en-US" w:eastAsia="zh-CN"/>
        </w:rPr>
        <w:t xml:space="preserve">     /       </w:t>
      </w:r>
      <w:r>
        <w:rPr>
          <w:rFonts w:hint="eastAsia" w:ascii="宋体" w:hAnsi="宋体" w:cs="宋体"/>
          <w:color w:val="auto"/>
          <w:szCs w:val="21"/>
          <w:highlight w:val="none"/>
          <w:u w:val="single"/>
        </w:rPr>
        <w:t>。</w:t>
      </w:r>
    </w:p>
    <w:p w14:paraId="5F56DA14">
      <w:pPr>
        <w:pStyle w:val="322"/>
        <w:rPr>
          <w:rFonts w:hint="eastAsia" w:ascii="宋体" w:cs="宋体"/>
          <w:b w:val="0"/>
          <w:bCs w:val="0"/>
          <w:color w:val="auto"/>
          <w:highlight w:val="none"/>
        </w:rPr>
      </w:pPr>
      <w:bookmarkStart w:id="1244" w:name="_Toc296347204"/>
      <w:bookmarkStart w:id="1245" w:name="_Toc292559410"/>
      <w:bookmarkStart w:id="1246" w:name="_Toc296503205"/>
      <w:bookmarkStart w:id="1247" w:name="_Toc296891245"/>
      <w:bookmarkStart w:id="1248" w:name="_Toc292559915"/>
      <w:bookmarkStart w:id="1249" w:name="_Toc296944544"/>
      <w:bookmarkStart w:id="1250" w:name="_Toc296891033"/>
      <w:bookmarkStart w:id="1251" w:name="_Toc296346706"/>
      <w:bookmarkStart w:id="1252" w:name="_Toc297048391"/>
      <w:bookmarkStart w:id="1253" w:name="_Toc297120505"/>
      <w:bookmarkStart w:id="1254" w:name="_Toc351203644"/>
      <w:bookmarkStart w:id="1255" w:name="_Toc478389239"/>
      <w:bookmarkStart w:id="1256" w:name="_Toc417904325"/>
      <w:r>
        <w:rPr>
          <w:rFonts w:hint="eastAsia" w:ascii="宋体" w:cs="宋体"/>
          <w:color w:val="auto"/>
          <w:highlight w:val="none"/>
        </w:rPr>
        <w:t xml:space="preserve">12. </w:t>
      </w:r>
      <w:bookmarkEnd w:id="1244"/>
      <w:bookmarkEnd w:id="1245"/>
      <w:bookmarkEnd w:id="1246"/>
      <w:bookmarkEnd w:id="1247"/>
      <w:bookmarkEnd w:id="1248"/>
      <w:bookmarkEnd w:id="1249"/>
      <w:bookmarkEnd w:id="1250"/>
      <w:bookmarkEnd w:id="1251"/>
      <w:bookmarkEnd w:id="1252"/>
      <w:bookmarkEnd w:id="1253"/>
      <w:r>
        <w:rPr>
          <w:rFonts w:hint="eastAsia" w:ascii="宋体" w:cs="宋体"/>
          <w:color w:val="auto"/>
          <w:highlight w:val="none"/>
        </w:rPr>
        <w:t>合同价格、计量与支付</w:t>
      </w:r>
      <w:bookmarkEnd w:id="1254"/>
      <w:bookmarkEnd w:id="1255"/>
      <w:bookmarkEnd w:id="1256"/>
    </w:p>
    <w:bookmarkEnd w:id="1128"/>
    <w:bookmarkEnd w:id="1129"/>
    <w:bookmarkEnd w:id="1130"/>
    <w:bookmarkEnd w:id="1131"/>
    <w:bookmarkEnd w:id="1132"/>
    <w:bookmarkEnd w:id="1133"/>
    <w:p w14:paraId="21F90A82">
      <w:pPr>
        <w:pStyle w:val="322"/>
        <w:rPr>
          <w:rFonts w:hint="eastAsia" w:ascii="宋体" w:cs="宋体"/>
          <w:color w:val="auto"/>
          <w:highlight w:val="none"/>
        </w:rPr>
      </w:pPr>
      <w:bookmarkStart w:id="1257" w:name="_Toc292559411"/>
      <w:bookmarkStart w:id="1258" w:name="_Toc292559916"/>
      <w:bookmarkStart w:id="1259" w:name="_Toc267251461"/>
      <w:bookmarkStart w:id="1260" w:name="_Toc296347205"/>
      <w:bookmarkStart w:id="1261" w:name="_Toc297120506"/>
      <w:bookmarkStart w:id="1262" w:name="_Toc296346707"/>
      <w:bookmarkStart w:id="1263" w:name="_Toc296944545"/>
      <w:bookmarkStart w:id="1264" w:name="_Toc297048392"/>
      <w:bookmarkStart w:id="1265" w:name="_Toc296891246"/>
      <w:bookmarkStart w:id="1266" w:name="_Toc296503206"/>
      <w:bookmarkStart w:id="1267" w:name="_Toc296891034"/>
      <w:bookmarkStart w:id="1268" w:name="_Toc373478396"/>
      <w:bookmarkStart w:id="1269" w:name="_Toc373227749"/>
      <w:bookmarkStart w:id="1270" w:name="_Toc478389240"/>
      <w:bookmarkStart w:id="1271" w:name="_Toc395382552"/>
      <w:bookmarkStart w:id="1272" w:name="_Toc417904326"/>
      <w:bookmarkStart w:id="1273" w:name="_Toc389065314"/>
      <w:bookmarkStart w:id="1274" w:name="_Toc406421001"/>
      <w:bookmarkStart w:id="1275" w:name="_Toc303539160"/>
      <w:bookmarkStart w:id="1276" w:name="_Toc300935003"/>
      <w:bookmarkStart w:id="1277" w:name="_Toc297123553"/>
      <w:bookmarkStart w:id="1278" w:name="_Toc304295580"/>
      <w:bookmarkStart w:id="1279" w:name="_Toc297216212"/>
      <w:bookmarkStart w:id="1280" w:name="_Toc312678041"/>
      <w:bookmarkStart w:id="1281" w:name="_Toc303539161"/>
      <w:bookmarkStart w:id="1282" w:name="_Toc300935004"/>
      <w:bookmarkStart w:id="1283" w:name="_Toc312678042"/>
      <w:bookmarkStart w:id="1284" w:name="_Toc297123554"/>
      <w:bookmarkStart w:id="1285" w:name="_Toc304295581"/>
      <w:bookmarkStart w:id="1286" w:name="_Toc297216213"/>
      <w:bookmarkStart w:id="1287" w:name="_Toc296891247"/>
      <w:bookmarkStart w:id="1288" w:name="_Toc296347206"/>
      <w:bookmarkStart w:id="1289" w:name="_Toc296891035"/>
      <w:bookmarkStart w:id="1290" w:name="_Toc297120507"/>
      <w:bookmarkStart w:id="1291" w:name="_Toc292559412"/>
      <w:bookmarkStart w:id="1292" w:name="_Toc297048393"/>
      <w:bookmarkStart w:id="1293" w:name="_Toc296944546"/>
      <w:bookmarkStart w:id="1294" w:name="_Toc292559917"/>
      <w:bookmarkStart w:id="1295" w:name="_Toc296346708"/>
      <w:bookmarkStart w:id="1296" w:name="_Toc296503207"/>
      <w:r>
        <w:rPr>
          <w:rFonts w:hint="eastAsia" w:ascii="宋体" w:cs="宋体"/>
          <w:color w:val="auto"/>
          <w:highlight w:val="none"/>
        </w:rPr>
        <w:t>12.1 合</w:t>
      </w:r>
      <w:bookmarkEnd w:id="1257"/>
      <w:bookmarkEnd w:id="1258"/>
      <w:bookmarkEnd w:id="1259"/>
      <w:r>
        <w:rPr>
          <w:rFonts w:hint="eastAsia" w:ascii="宋体" w:cs="宋体"/>
          <w:color w:val="auto"/>
          <w:highlight w:val="none"/>
        </w:rPr>
        <w:t>同价</w:t>
      </w:r>
      <w:bookmarkEnd w:id="1260"/>
      <w:bookmarkEnd w:id="1261"/>
      <w:bookmarkEnd w:id="1262"/>
      <w:bookmarkEnd w:id="1263"/>
      <w:bookmarkEnd w:id="1264"/>
      <w:bookmarkEnd w:id="1265"/>
      <w:bookmarkEnd w:id="1266"/>
      <w:bookmarkEnd w:id="1267"/>
      <w:r>
        <w:rPr>
          <w:rFonts w:hint="eastAsia" w:ascii="宋体" w:cs="宋体"/>
          <w:color w:val="auto"/>
          <w:highlight w:val="none"/>
        </w:rPr>
        <w:t>格形式</w:t>
      </w:r>
      <w:bookmarkEnd w:id="1268"/>
      <w:bookmarkEnd w:id="1269"/>
      <w:bookmarkEnd w:id="1270"/>
      <w:bookmarkEnd w:id="1271"/>
      <w:bookmarkEnd w:id="1272"/>
      <w:bookmarkEnd w:id="1273"/>
      <w:bookmarkEnd w:id="1274"/>
    </w:p>
    <w:bookmarkEnd w:id="1275"/>
    <w:bookmarkEnd w:id="1276"/>
    <w:bookmarkEnd w:id="1277"/>
    <w:bookmarkEnd w:id="1278"/>
    <w:bookmarkEnd w:id="1279"/>
    <w:bookmarkEnd w:id="1280"/>
    <w:p w14:paraId="6A14DD83">
      <w:pPr>
        <w:adjustRightInd w:val="0"/>
        <w:snapToGrid w:val="0"/>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（1）单价合同。</w:t>
      </w:r>
    </w:p>
    <w:p w14:paraId="3D82E4F3">
      <w:pPr>
        <w:adjustRightInd w:val="0"/>
        <w:snapToGrid w:val="0"/>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本合同价款采用固定综合单价方式确定。</w:t>
      </w:r>
    </w:p>
    <w:p w14:paraId="61960981">
      <w:pPr>
        <w:adjustRightInd w:val="0"/>
        <w:snapToGrid w:val="0"/>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综合单价包含的风险范围：</w:t>
      </w:r>
      <w:r>
        <w:rPr>
          <w:rFonts w:hint="eastAsia" w:hAnsi="宋体" w:cs="宋体"/>
          <w:color w:val="auto"/>
          <w:highlight w:val="none"/>
          <w:u w:val="single"/>
        </w:rPr>
        <w:t>除工程变更、项目特征不符、工程量清单缺项、工程量偏差、政策性调整</w:t>
      </w:r>
      <w:r>
        <w:rPr>
          <w:rFonts w:hint="eastAsia" w:ascii="宋体" w:hAnsi="宋体" w:cs="宋体"/>
          <w:color w:val="auto"/>
          <w:szCs w:val="21"/>
          <w:highlight w:val="none"/>
          <w:u w:val="single"/>
        </w:rPr>
        <w:t>。</w:t>
      </w:r>
    </w:p>
    <w:p w14:paraId="53F781CA">
      <w:pPr>
        <w:adjustRightInd w:val="0"/>
        <w:snapToGrid w:val="0"/>
        <w:spacing w:line="420" w:lineRule="exact"/>
        <w:ind w:firstLine="441" w:firstLineChars="210"/>
        <w:rPr>
          <w:rFonts w:hint="eastAsia" w:ascii="宋体" w:hAnsi="宋体" w:cs="宋体"/>
          <w:color w:val="auto"/>
          <w:szCs w:val="21"/>
          <w:highlight w:val="none"/>
        </w:rPr>
      </w:pPr>
      <w:r>
        <w:rPr>
          <w:rFonts w:hint="eastAsia" w:ascii="宋体" w:hAnsi="宋体" w:cs="宋体"/>
          <w:color w:val="auto"/>
          <w:szCs w:val="21"/>
          <w:highlight w:val="none"/>
        </w:rPr>
        <w:t>风险范围以外合同价格的调整方法：　</w:t>
      </w:r>
    </w:p>
    <w:p w14:paraId="593AF9BF">
      <w:pPr>
        <w:adjustRightInd w:val="0"/>
        <w:snapToGrid w:val="0"/>
        <w:spacing w:line="420" w:lineRule="exact"/>
        <w:ind w:firstLine="441" w:firstLineChars="210"/>
        <w:rPr>
          <w:rFonts w:hint="eastAsia" w:ascii="宋体" w:hAnsi="宋体" w:cs="宋体"/>
          <w:color w:val="auto"/>
          <w:szCs w:val="21"/>
          <w:highlight w:val="none"/>
        </w:rPr>
      </w:pPr>
      <w:r>
        <w:rPr>
          <w:rFonts w:hint="eastAsia" w:ascii="宋体" w:hAnsi="宋体" w:cs="宋体"/>
          <w:color w:val="auto"/>
          <w:szCs w:val="21"/>
          <w:highlight w:val="none"/>
        </w:rPr>
        <w:t>①工程变更：按10.4.1变更估价原则的约定调整。</w:t>
      </w:r>
    </w:p>
    <w:p w14:paraId="468C0CA6">
      <w:pPr>
        <w:adjustRightInd w:val="0"/>
        <w:snapToGrid w:val="0"/>
        <w:spacing w:line="420" w:lineRule="exact"/>
        <w:ind w:firstLine="441" w:firstLineChars="210"/>
        <w:rPr>
          <w:rFonts w:hint="eastAsia" w:ascii="宋体" w:hAnsi="宋体" w:cs="宋体"/>
          <w:color w:val="auto"/>
          <w:szCs w:val="21"/>
          <w:highlight w:val="none"/>
        </w:rPr>
      </w:pPr>
      <w:r>
        <w:rPr>
          <w:rFonts w:hint="eastAsia" w:ascii="宋体" w:hAnsi="宋体" w:cs="宋体"/>
          <w:color w:val="auto"/>
          <w:szCs w:val="21"/>
          <w:highlight w:val="none"/>
        </w:rPr>
        <w:t>②政策性调整：按自治区建设行政主管部门颁布的文件执行。</w:t>
      </w:r>
    </w:p>
    <w:p w14:paraId="05CE043D">
      <w:pPr>
        <w:adjustRightInd w:val="0"/>
        <w:snapToGrid w:val="0"/>
        <w:spacing w:line="420" w:lineRule="exact"/>
        <w:ind w:firstLine="441" w:firstLineChars="210"/>
        <w:rPr>
          <w:rFonts w:hint="eastAsia" w:ascii="宋体" w:hAnsi="宋体" w:cs="宋体"/>
          <w:color w:val="auto"/>
          <w:szCs w:val="21"/>
          <w:highlight w:val="none"/>
        </w:rPr>
      </w:pPr>
      <w:r>
        <w:rPr>
          <w:rFonts w:hint="eastAsia" w:ascii="宋体" w:hAnsi="宋体" w:cs="宋体"/>
          <w:color w:val="auto"/>
          <w:szCs w:val="21"/>
          <w:highlight w:val="none"/>
        </w:rPr>
        <w:t>③材料价格风险：按11.1的约定调整。</w:t>
      </w:r>
    </w:p>
    <w:p w14:paraId="4B855A06">
      <w:pPr>
        <w:adjustRightInd w:val="0"/>
        <w:snapToGrid w:val="0"/>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④</w:t>
      </w:r>
      <w:r>
        <w:rPr>
          <w:rFonts w:hint="eastAsia" w:ascii="宋体" w:hAnsi="宋体" w:cs="宋体"/>
          <w:color w:val="auto"/>
          <w:szCs w:val="21"/>
          <w:highlight w:val="none"/>
          <w:lang w:eastAsia="zh-CN"/>
        </w:rPr>
        <w:t>其他</w:t>
      </w:r>
      <w:r>
        <w:rPr>
          <w:rFonts w:hint="eastAsia" w:ascii="宋体" w:hAnsi="宋体" w:cs="宋体"/>
          <w:color w:val="auto"/>
          <w:szCs w:val="21"/>
          <w:highlight w:val="none"/>
        </w:rPr>
        <w:t>：</w:t>
      </w:r>
      <w:r>
        <w:rPr>
          <w:rFonts w:hint="eastAsia" w:ascii="宋体" w:hAnsi="宋体" w:cs="宋体"/>
          <w:color w:val="auto"/>
          <w:szCs w:val="21"/>
          <w:highlight w:val="none"/>
          <w:u w:val="single"/>
        </w:rPr>
        <w:t>无</w:t>
      </w:r>
      <w:r>
        <w:rPr>
          <w:rFonts w:hint="eastAsia" w:ascii="宋体" w:hAnsi="宋体" w:cs="宋体"/>
          <w:color w:val="auto"/>
          <w:szCs w:val="21"/>
          <w:highlight w:val="none"/>
        </w:rPr>
        <w:t>。</w:t>
      </w:r>
    </w:p>
    <w:p w14:paraId="55DB650E">
      <w:pPr>
        <w:pStyle w:val="322"/>
        <w:rPr>
          <w:rFonts w:hint="eastAsia" w:ascii="宋体" w:cs="宋体"/>
          <w:color w:val="auto"/>
          <w:highlight w:val="none"/>
        </w:rPr>
      </w:pPr>
      <w:bookmarkStart w:id="1297" w:name="_Toc478389241"/>
      <w:bookmarkStart w:id="1298" w:name="_Toc417904327"/>
      <w:r>
        <w:rPr>
          <w:rFonts w:hint="eastAsia" w:ascii="宋体" w:cs="宋体"/>
          <w:color w:val="auto"/>
          <w:highlight w:val="none"/>
        </w:rPr>
        <w:t>12.2 预付款</w:t>
      </w:r>
      <w:bookmarkEnd w:id="1297"/>
      <w:bookmarkEnd w:id="1298"/>
    </w:p>
    <w:bookmarkEnd w:id="1281"/>
    <w:bookmarkEnd w:id="1282"/>
    <w:bookmarkEnd w:id="1283"/>
    <w:bookmarkEnd w:id="1284"/>
    <w:bookmarkEnd w:id="1285"/>
    <w:bookmarkEnd w:id="1286"/>
    <w:p w14:paraId="5CC0B1DC">
      <w:pPr>
        <w:pStyle w:val="80"/>
        <w:rPr>
          <w:rFonts w:hint="eastAsia" w:cs="宋体"/>
          <w:color w:val="auto"/>
          <w:sz w:val="21"/>
          <w:highlight w:val="none"/>
        </w:rPr>
      </w:pPr>
      <w:r>
        <w:rPr>
          <w:rFonts w:hint="eastAsia" w:cs="宋体"/>
          <w:color w:val="auto"/>
          <w:sz w:val="21"/>
          <w:highlight w:val="none"/>
        </w:rPr>
        <w:t>12.2.1 预付款的支付</w:t>
      </w:r>
    </w:p>
    <w:p w14:paraId="677434B6">
      <w:pPr>
        <w:pStyle w:val="80"/>
        <w:rPr>
          <w:rFonts w:hint="eastAsia" w:cs="宋体"/>
          <w:color w:val="auto"/>
          <w:sz w:val="21"/>
          <w:highlight w:val="none"/>
        </w:rPr>
      </w:pPr>
      <w:r>
        <w:rPr>
          <w:rFonts w:hint="eastAsia" w:cs="宋体"/>
          <w:color w:val="auto"/>
          <w:sz w:val="21"/>
          <w:highlight w:val="none"/>
        </w:rPr>
        <w:t>预付款支付比例或金额：</w:t>
      </w:r>
      <w:r>
        <w:rPr>
          <w:rFonts w:hint="eastAsia" w:cs="宋体"/>
          <w:color w:val="auto"/>
          <w:sz w:val="21"/>
          <w:highlight w:val="none"/>
          <w:u w:val="single"/>
          <w:lang w:val="en-US" w:eastAsia="zh-CN"/>
        </w:rPr>
        <w:t>30%</w:t>
      </w:r>
      <w:r>
        <w:rPr>
          <w:rFonts w:hint="eastAsia" w:cs="宋体"/>
          <w:color w:val="auto"/>
          <w:sz w:val="21"/>
          <w:highlight w:val="none"/>
          <w:u w:val="single"/>
        </w:rPr>
        <w:t xml:space="preserve"> </w:t>
      </w:r>
      <w:r>
        <w:rPr>
          <w:rFonts w:hint="eastAsia" w:cs="宋体"/>
          <w:color w:val="auto"/>
          <w:sz w:val="21"/>
          <w:highlight w:val="none"/>
        </w:rPr>
        <w:t>。</w:t>
      </w:r>
    </w:p>
    <w:p w14:paraId="70172A9E">
      <w:pPr>
        <w:pStyle w:val="80"/>
        <w:rPr>
          <w:rFonts w:hint="eastAsia" w:cs="宋体"/>
          <w:color w:val="auto"/>
          <w:sz w:val="21"/>
          <w:highlight w:val="none"/>
        </w:rPr>
      </w:pPr>
      <w:r>
        <w:rPr>
          <w:rFonts w:hint="eastAsia" w:cs="宋体"/>
          <w:color w:val="auto"/>
          <w:sz w:val="21"/>
          <w:highlight w:val="none"/>
        </w:rPr>
        <w:t>预付款支付期限：</w:t>
      </w:r>
      <w:r>
        <w:rPr>
          <w:rFonts w:hint="eastAsia" w:cs="宋体"/>
          <w:color w:val="auto"/>
          <w:sz w:val="21"/>
          <w:highlight w:val="none"/>
          <w:u w:val="single"/>
        </w:rPr>
        <w:t>开工初期。</w:t>
      </w:r>
    </w:p>
    <w:p w14:paraId="43CADCF2">
      <w:pPr>
        <w:pStyle w:val="80"/>
        <w:rPr>
          <w:rFonts w:hint="eastAsia" w:cs="宋体"/>
          <w:color w:val="auto"/>
          <w:sz w:val="21"/>
          <w:highlight w:val="none"/>
        </w:rPr>
      </w:pPr>
      <w:r>
        <w:rPr>
          <w:rFonts w:hint="eastAsia" w:cs="宋体"/>
          <w:color w:val="auto"/>
          <w:sz w:val="21"/>
          <w:highlight w:val="none"/>
        </w:rPr>
        <w:t>预付款扣回的方式：</w:t>
      </w:r>
      <w:r>
        <w:rPr>
          <w:rFonts w:hint="eastAsia" w:cs="宋体"/>
          <w:color w:val="auto"/>
          <w:sz w:val="21"/>
          <w:highlight w:val="none"/>
          <w:u w:val="single"/>
        </w:rPr>
        <w:t>竣工验收合格</w:t>
      </w:r>
      <w:r>
        <w:rPr>
          <w:rFonts w:hint="eastAsia" w:cs="宋体"/>
          <w:color w:val="auto"/>
          <w:sz w:val="21"/>
          <w:highlight w:val="none"/>
          <w:u w:val="single"/>
          <w:lang w:eastAsia="zh-CN"/>
        </w:rPr>
        <w:t>后支付的款项扣回</w:t>
      </w:r>
      <w:r>
        <w:rPr>
          <w:rFonts w:hint="eastAsia" w:cs="宋体"/>
          <w:color w:val="auto"/>
          <w:sz w:val="21"/>
          <w:highlight w:val="none"/>
          <w:u w:val="single"/>
        </w:rPr>
        <w:t>。</w:t>
      </w:r>
    </w:p>
    <w:p w14:paraId="588AF8F8">
      <w:pPr>
        <w:pStyle w:val="80"/>
        <w:outlineLvl w:val="0"/>
        <w:rPr>
          <w:rFonts w:hint="eastAsia" w:cs="宋体"/>
          <w:color w:val="auto"/>
          <w:sz w:val="21"/>
          <w:highlight w:val="none"/>
        </w:rPr>
      </w:pPr>
      <w:bookmarkStart w:id="1299" w:name="_Toc478389242"/>
      <w:bookmarkStart w:id="1300" w:name="_Toc406522273"/>
      <w:bookmarkStart w:id="1301" w:name="_Toc417904328"/>
      <w:bookmarkStart w:id="1302" w:name="_Toc406419397"/>
      <w:r>
        <w:rPr>
          <w:rFonts w:hint="eastAsia" w:cs="宋体"/>
          <w:color w:val="auto"/>
          <w:sz w:val="21"/>
          <w:highlight w:val="none"/>
        </w:rPr>
        <w:t>12.2.2 预付款担保</w:t>
      </w:r>
      <w:bookmarkEnd w:id="1299"/>
      <w:bookmarkEnd w:id="1300"/>
      <w:bookmarkEnd w:id="1301"/>
      <w:bookmarkEnd w:id="1302"/>
    </w:p>
    <w:p w14:paraId="667E1FC1">
      <w:pPr>
        <w:pStyle w:val="80"/>
        <w:rPr>
          <w:rFonts w:hint="eastAsia" w:cs="宋体"/>
          <w:color w:val="auto"/>
          <w:sz w:val="21"/>
          <w:highlight w:val="none"/>
          <w:u w:val="single"/>
        </w:rPr>
      </w:pPr>
      <w:r>
        <w:rPr>
          <w:rFonts w:hint="eastAsia" w:cs="宋体"/>
          <w:color w:val="auto"/>
          <w:sz w:val="21"/>
          <w:highlight w:val="none"/>
        </w:rPr>
        <w:t>承包人提交预付款担保的期限：</w:t>
      </w:r>
      <w:r>
        <w:rPr>
          <w:rFonts w:hint="eastAsia" w:cs="宋体"/>
          <w:color w:val="auto"/>
          <w:sz w:val="21"/>
          <w:highlight w:val="none"/>
          <w:u w:val="single"/>
        </w:rPr>
        <w:t>/。</w:t>
      </w:r>
    </w:p>
    <w:p w14:paraId="0F950AE7">
      <w:pPr>
        <w:pStyle w:val="80"/>
        <w:rPr>
          <w:rFonts w:hint="eastAsia" w:cs="宋体"/>
          <w:color w:val="auto"/>
          <w:sz w:val="21"/>
          <w:highlight w:val="none"/>
        </w:rPr>
      </w:pPr>
      <w:r>
        <w:rPr>
          <w:rFonts w:hint="eastAsia" w:cs="宋体"/>
          <w:color w:val="auto"/>
          <w:sz w:val="21"/>
          <w:highlight w:val="none"/>
        </w:rPr>
        <w:t>预付款担保的形式为：</w:t>
      </w:r>
      <w:r>
        <w:rPr>
          <w:rFonts w:hint="eastAsia"/>
          <w:color w:val="auto"/>
          <w:highlight w:val="none"/>
          <w:u w:val="single"/>
        </w:rPr>
        <w:t>/</w:t>
      </w:r>
      <w:r>
        <w:rPr>
          <w:rFonts w:hint="eastAsia" w:cs="宋体"/>
          <w:color w:val="auto"/>
          <w:highlight w:val="none"/>
          <w:u w:val="single"/>
        </w:rPr>
        <w:t>。</w:t>
      </w:r>
    </w:p>
    <w:bookmarkEnd w:id="1287"/>
    <w:bookmarkEnd w:id="1288"/>
    <w:bookmarkEnd w:id="1289"/>
    <w:bookmarkEnd w:id="1290"/>
    <w:bookmarkEnd w:id="1291"/>
    <w:bookmarkEnd w:id="1292"/>
    <w:bookmarkEnd w:id="1293"/>
    <w:bookmarkEnd w:id="1294"/>
    <w:bookmarkEnd w:id="1295"/>
    <w:bookmarkEnd w:id="1296"/>
    <w:p w14:paraId="63D006F3">
      <w:pPr>
        <w:pStyle w:val="322"/>
        <w:rPr>
          <w:rFonts w:hint="eastAsia" w:ascii="宋体" w:cs="宋体"/>
          <w:color w:val="auto"/>
          <w:highlight w:val="none"/>
        </w:rPr>
      </w:pPr>
      <w:bookmarkStart w:id="1303" w:name="_Toc417904329"/>
      <w:bookmarkStart w:id="1304" w:name="_Toc478389243"/>
      <w:r>
        <w:rPr>
          <w:rFonts w:hint="eastAsia" w:ascii="宋体" w:cs="宋体"/>
          <w:color w:val="auto"/>
          <w:highlight w:val="none"/>
        </w:rPr>
        <w:t>12.3 计量</w:t>
      </w:r>
      <w:bookmarkEnd w:id="1303"/>
      <w:bookmarkEnd w:id="1304"/>
    </w:p>
    <w:p w14:paraId="3EA7799C">
      <w:pPr>
        <w:pStyle w:val="238"/>
        <w:spacing w:line="390" w:lineRule="exact"/>
        <w:ind w:firstLine="422" w:firstLineChars="200"/>
        <w:rPr>
          <w:rFonts w:hint="eastAsia" w:ascii="宋体" w:hAnsi="宋体" w:cs="宋体"/>
          <w:b/>
          <w:bCs/>
          <w:color w:val="auto"/>
          <w:szCs w:val="21"/>
          <w:highlight w:val="none"/>
          <w:u w:val="single"/>
        </w:rPr>
      </w:pPr>
      <w:bookmarkStart w:id="1305" w:name="_Toc406419399"/>
      <w:r>
        <w:rPr>
          <w:rFonts w:hint="eastAsia" w:ascii="宋体" w:hAnsi="宋体" w:cs="宋体"/>
          <w:b/>
          <w:bCs/>
          <w:color w:val="auto"/>
          <w:szCs w:val="21"/>
          <w:highlight w:val="none"/>
          <w:u w:val="single"/>
        </w:rPr>
        <w:t>12.3.1 计量原则</w:t>
      </w:r>
    </w:p>
    <w:p w14:paraId="39F12DA3">
      <w:pPr>
        <w:pStyle w:val="238"/>
        <w:spacing w:line="390" w:lineRule="exact"/>
        <w:ind w:firstLine="420" w:firstLineChars="200"/>
        <w:rPr>
          <w:rFonts w:hint="eastAsia" w:cs="宋体" w:asciiTheme="minorEastAsia" w:hAnsiTheme="minorEastAsia" w:eastAsiaTheme="minorEastAsia"/>
          <w:b/>
          <w:bCs/>
          <w:color w:val="auto"/>
          <w:szCs w:val="21"/>
          <w:highlight w:val="none"/>
          <w:u w:val="single"/>
        </w:rPr>
      </w:pPr>
      <w:r>
        <w:rPr>
          <w:rFonts w:hint="eastAsia" w:cs="宋体" w:asciiTheme="minorEastAsia" w:hAnsiTheme="minorEastAsia" w:eastAsiaTheme="minorEastAsia"/>
          <w:bCs/>
          <w:color w:val="auto"/>
          <w:szCs w:val="21"/>
          <w:highlight w:val="none"/>
          <w:u w:val="single"/>
        </w:rPr>
        <w:t>工程量计算规则：</w:t>
      </w:r>
      <w:r>
        <w:rPr>
          <w:rFonts w:hint="eastAsia" w:cs="宋体" w:asciiTheme="minorEastAsia" w:hAnsiTheme="minorEastAsia" w:eastAsiaTheme="minorEastAsia"/>
          <w:color w:val="auto"/>
          <w:highlight w:val="none"/>
          <w:u w:val="single"/>
        </w:rPr>
        <w:t>工程的计量均以《建设工程工程量清单计价规范》（GB50500－2013）及广西壮族自治区实施细则、《建设工程工程量清单计算规范》（GB50854~50862－2013）及广西实施细则、本工程补充项目清单为准。</w:t>
      </w:r>
    </w:p>
    <w:p w14:paraId="7470A97E">
      <w:pPr>
        <w:pStyle w:val="238"/>
        <w:spacing w:line="390" w:lineRule="exact"/>
        <w:ind w:firstLine="422" w:firstLineChars="200"/>
        <w:rPr>
          <w:rFonts w:hint="eastAsia" w:ascii="宋体" w:hAnsi="宋体" w:cs="宋体"/>
          <w:b/>
          <w:color w:val="auto"/>
          <w:szCs w:val="21"/>
          <w:highlight w:val="none"/>
          <w:u w:val="single"/>
        </w:rPr>
      </w:pPr>
      <w:r>
        <w:rPr>
          <w:rFonts w:hint="eastAsia" w:ascii="宋体" w:hAnsi="宋体" w:cs="宋体"/>
          <w:b/>
          <w:color w:val="auto"/>
          <w:szCs w:val="21"/>
          <w:highlight w:val="none"/>
          <w:u w:val="single"/>
        </w:rPr>
        <w:t>本工程最终结算价以审计审定为准。</w:t>
      </w:r>
    </w:p>
    <w:p w14:paraId="21233A77">
      <w:pPr>
        <w:pStyle w:val="80"/>
        <w:outlineLvl w:val="0"/>
        <w:rPr>
          <w:rFonts w:hint="eastAsia" w:cs="宋体"/>
          <w:color w:val="auto"/>
          <w:sz w:val="21"/>
          <w:highlight w:val="none"/>
        </w:rPr>
      </w:pPr>
      <w:bookmarkStart w:id="1306" w:name="_Toc406522275"/>
      <w:bookmarkStart w:id="1307" w:name="_Toc417904330"/>
      <w:bookmarkStart w:id="1308" w:name="_Toc478389244"/>
      <w:r>
        <w:rPr>
          <w:rFonts w:hint="eastAsia" w:cs="宋体"/>
          <w:color w:val="auto"/>
          <w:sz w:val="21"/>
          <w:highlight w:val="none"/>
        </w:rPr>
        <w:t>12.3.2 计量周期</w:t>
      </w:r>
      <w:bookmarkEnd w:id="1305"/>
      <w:bookmarkEnd w:id="1306"/>
      <w:bookmarkEnd w:id="1307"/>
      <w:bookmarkEnd w:id="1308"/>
    </w:p>
    <w:p w14:paraId="5F86AC17">
      <w:pPr>
        <w:pStyle w:val="80"/>
        <w:rPr>
          <w:rFonts w:hint="eastAsia" w:cs="宋体"/>
          <w:color w:val="auto"/>
          <w:sz w:val="21"/>
          <w:highlight w:val="none"/>
        </w:rPr>
      </w:pPr>
      <w:r>
        <w:rPr>
          <w:rFonts w:hint="eastAsia" w:cs="宋体"/>
          <w:color w:val="auto"/>
          <w:sz w:val="21"/>
          <w:highlight w:val="none"/>
        </w:rPr>
        <w:t>关于计量周期的约定：</w:t>
      </w:r>
      <w:r>
        <w:rPr>
          <w:rFonts w:hint="eastAsia" w:cs="宋体"/>
          <w:color w:val="auto"/>
          <w:sz w:val="21"/>
          <w:highlight w:val="none"/>
          <w:u w:val="single"/>
        </w:rPr>
        <w:t>本合同的计量周期为月，每月25日为当月计量截止日期（不含当日）和下月计量起始日期（含当日）。</w:t>
      </w:r>
    </w:p>
    <w:p w14:paraId="4C84C56C">
      <w:pPr>
        <w:pStyle w:val="80"/>
        <w:rPr>
          <w:rFonts w:hint="eastAsia" w:cs="宋体"/>
          <w:color w:val="auto"/>
          <w:sz w:val="21"/>
          <w:highlight w:val="none"/>
        </w:rPr>
      </w:pPr>
      <w:r>
        <w:rPr>
          <w:rFonts w:hint="eastAsia" w:cs="宋体"/>
          <w:color w:val="auto"/>
          <w:sz w:val="21"/>
          <w:highlight w:val="none"/>
        </w:rPr>
        <w:t>12.3.3 单价合同的计量</w:t>
      </w:r>
    </w:p>
    <w:p w14:paraId="1C969CA0">
      <w:pPr>
        <w:pStyle w:val="80"/>
        <w:rPr>
          <w:rFonts w:hint="eastAsia" w:cs="宋体"/>
          <w:color w:val="auto"/>
          <w:sz w:val="21"/>
          <w:highlight w:val="none"/>
        </w:rPr>
      </w:pPr>
      <w:r>
        <w:rPr>
          <w:rFonts w:hint="eastAsia" w:cs="宋体"/>
          <w:color w:val="auto"/>
          <w:sz w:val="21"/>
          <w:highlight w:val="none"/>
        </w:rPr>
        <w:t>关于单价合同计量的约定：</w:t>
      </w:r>
      <w:r>
        <w:rPr>
          <w:rFonts w:hint="eastAsia" w:cs="宋体"/>
          <w:color w:val="auto"/>
          <w:sz w:val="21"/>
          <w:highlight w:val="none"/>
          <w:u w:val="single"/>
        </w:rPr>
        <w:t xml:space="preserve">      按实际完成量           </w:t>
      </w:r>
      <w:r>
        <w:rPr>
          <w:rFonts w:hint="eastAsia" w:cs="宋体"/>
          <w:color w:val="auto"/>
          <w:sz w:val="21"/>
          <w:highlight w:val="none"/>
        </w:rPr>
        <w:t>。</w:t>
      </w:r>
    </w:p>
    <w:p w14:paraId="5903582D">
      <w:pPr>
        <w:pStyle w:val="80"/>
        <w:outlineLvl w:val="0"/>
        <w:rPr>
          <w:rFonts w:hint="eastAsia" w:cs="宋体"/>
          <w:color w:val="auto"/>
          <w:sz w:val="21"/>
          <w:highlight w:val="none"/>
        </w:rPr>
      </w:pPr>
      <w:bookmarkStart w:id="1309" w:name="_Toc417904331"/>
      <w:bookmarkStart w:id="1310" w:name="_Toc406419400"/>
      <w:bookmarkStart w:id="1311" w:name="_Toc406522276"/>
      <w:bookmarkStart w:id="1312" w:name="_Toc478389245"/>
      <w:r>
        <w:rPr>
          <w:rFonts w:hint="eastAsia" w:cs="宋体"/>
          <w:color w:val="auto"/>
          <w:sz w:val="21"/>
          <w:highlight w:val="none"/>
        </w:rPr>
        <w:t>12.3.4 总价合同的计量</w:t>
      </w:r>
      <w:bookmarkEnd w:id="1309"/>
      <w:bookmarkEnd w:id="1310"/>
      <w:bookmarkEnd w:id="1311"/>
      <w:bookmarkEnd w:id="1312"/>
    </w:p>
    <w:p w14:paraId="705A9D12">
      <w:pPr>
        <w:pStyle w:val="80"/>
        <w:rPr>
          <w:rFonts w:hint="eastAsia" w:cs="宋体"/>
          <w:color w:val="auto"/>
          <w:sz w:val="21"/>
          <w:highlight w:val="none"/>
        </w:rPr>
      </w:pPr>
      <w:r>
        <w:rPr>
          <w:rFonts w:hint="eastAsia" w:cs="宋体"/>
          <w:color w:val="auto"/>
          <w:sz w:val="21"/>
          <w:highlight w:val="none"/>
        </w:rPr>
        <w:t>关于总价合同计量的约定：</w:t>
      </w:r>
      <w:r>
        <w:rPr>
          <w:rFonts w:hint="eastAsia" w:cs="宋体"/>
          <w:color w:val="auto"/>
          <w:sz w:val="21"/>
          <w:highlight w:val="none"/>
          <w:u w:val="single"/>
        </w:rPr>
        <w:t xml:space="preserve">     无               </w:t>
      </w:r>
      <w:r>
        <w:rPr>
          <w:rFonts w:hint="eastAsia" w:cs="宋体"/>
          <w:color w:val="auto"/>
          <w:sz w:val="21"/>
          <w:highlight w:val="none"/>
        </w:rPr>
        <w:t>。</w:t>
      </w:r>
    </w:p>
    <w:p w14:paraId="5F48BCDD">
      <w:pPr>
        <w:pStyle w:val="80"/>
        <w:rPr>
          <w:rFonts w:hint="eastAsia" w:cs="宋体"/>
          <w:color w:val="auto"/>
          <w:sz w:val="21"/>
          <w:highlight w:val="none"/>
        </w:rPr>
      </w:pPr>
      <w:r>
        <w:rPr>
          <w:rFonts w:hint="eastAsia" w:cs="宋体"/>
          <w:color w:val="auto"/>
          <w:sz w:val="21"/>
          <w:highlight w:val="none"/>
        </w:rPr>
        <w:t>12.3.5总价合同采用支付分解表计量支付的，是否适用第12.3.4项〔总价合同的计量〕约定进行计量：</w:t>
      </w:r>
      <w:r>
        <w:rPr>
          <w:rFonts w:hint="eastAsia" w:cs="宋体"/>
          <w:color w:val="auto"/>
          <w:sz w:val="21"/>
          <w:highlight w:val="none"/>
          <w:u w:val="single"/>
        </w:rPr>
        <w:t xml:space="preserve">       无      </w:t>
      </w:r>
      <w:r>
        <w:rPr>
          <w:rFonts w:hint="eastAsia" w:cs="宋体"/>
          <w:color w:val="auto"/>
          <w:sz w:val="21"/>
          <w:highlight w:val="none"/>
        </w:rPr>
        <w:t>。</w:t>
      </w:r>
    </w:p>
    <w:p w14:paraId="048257E9">
      <w:pPr>
        <w:pStyle w:val="80"/>
        <w:outlineLvl w:val="0"/>
        <w:rPr>
          <w:rFonts w:hint="eastAsia" w:cs="宋体"/>
          <w:color w:val="auto"/>
          <w:sz w:val="21"/>
          <w:highlight w:val="none"/>
        </w:rPr>
      </w:pPr>
      <w:bookmarkStart w:id="1313" w:name="_Toc417904332"/>
      <w:bookmarkStart w:id="1314" w:name="_Toc478389246"/>
      <w:bookmarkStart w:id="1315" w:name="_Toc406522277"/>
      <w:bookmarkStart w:id="1316" w:name="_Toc406419401"/>
      <w:r>
        <w:rPr>
          <w:rFonts w:hint="eastAsia" w:cs="宋体"/>
          <w:color w:val="auto"/>
          <w:sz w:val="21"/>
          <w:highlight w:val="none"/>
        </w:rPr>
        <w:t>12.3.6 其他价格形式合同的计量</w:t>
      </w:r>
      <w:bookmarkEnd w:id="1313"/>
      <w:bookmarkEnd w:id="1314"/>
      <w:bookmarkEnd w:id="1315"/>
      <w:bookmarkEnd w:id="1316"/>
    </w:p>
    <w:p w14:paraId="17732F28">
      <w:pPr>
        <w:pStyle w:val="80"/>
        <w:rPr>
          <w:rFonts w:hint="eastAsia" w:cs="宋体"/>
          <w:color w:val="auto"/>
          <w:sz w:val="21"/>
          <w:highlight w:val="none"/>
        </w:rPr>
      </w:pPr>
      <w:r>
        <w:rPr>
          <w:rFonts w:hint="eastAsia" w:cs="宋体"/>
          <w:color w:val="auto"/>
          <w:sz w:val="21"/>
          <w:highlight w:val="none"/>
        </w:rPr>
        <w:t>其他价格形式的计量方式和程序：</w:t>
      </w:r>
      <w:r>
        <w:rPr>
          <w:rFonts w:hint="eastAsia" w:cs="宋体"/>
          <w:color w:val="auto"/>
          <w:sz w:val="21"/>
          <w:highlight w:val="none"/>
          <w:u w:val="single"/>
        </w:rPr>
        <w:t xml:space="preserve">    无       </w:t>
      </w:r>
      <w:r>
        <w:rPr>
          <w:rFonts w:hint="eastAsia" w:cs="宋体"/>
          <w:color w:val="auto"/>
          <w:sz w:val="21"/>
          <w:highlight w:val="none"/>
        </w:rPr>
        <w:t>。</w:t>
      </w:r>
    </w:p>
    <w:p w14:paraId="38E4DD22">
      <w:pPr>
        <w:pStyle w:val="322"/>
        <w:rPr>
          <w:rFonts w:hint="eastAsia" w:ascii="宋体" w:cs="宋体"/>
          <w:color w:val="auto"/>
          <w:highlight w:val="none"/>
        </w:rPr>
      </w:pPr>
      <w:bookmarkStart w:id="1317" w:name="_Toc417904333"/>
      <w:bookmarkStart w:id="1318" w:name="_Toc478389247"/>
      <w:r>
        <w:rPr>
          <w:rFonts w:hint="eastAsia" w:ascii="宋体" w:cs="宋体"/>
          <w:color w:val="auto"/>
          <w:highlight w:val="none"/>
        </w:rPr>
        <w:t>12.4 工程进度款支付</w:t>
      </w:r>
      <w:bookmarkEnd w:id="1317"/>
      <w:bookmarkEnd w:id="1318"/>
    </w:p>
    <w:p w14:paraId="3F0445C1">
      <w:pPr>
        <w:pStyle w:val="80"/>
        <w:rPr>
          <w:rFonts w:hint="eastAsia" w:cs="宋体"/>
          <w:color w:val="auto"/>
          <w:sz w:val="21"/>
          <w:highlight w:val="none"/>
        </w:rPr>
      </w:pPr>
      <w:bookmarkStart w:id="1319" w:name="_Toc296944550"/>
      <w:bookmarkStart w:id="1320" w:name="_Toc296347210"/>
      <w:bookmarkStart w:id="1321" w:name="_Toc297048397"/>
      <w:bookmarkStart w:id="1322" w:name="_Toc300935006"/>
      <w:bookmarkStart w:id="1323" w:name="_Toc297120511"/>
      <w:bookmarkStart w:id="1324" w:name="_Toc296503211"/>
      <w:bookmarkStart w:id="1325" w:name="_Toc292559921"/>
      <w:bookmarkStart w:id="1326" w:name="_Toc296891039"/>
      <w:bookmarkStart w:id="1327" w:name="_Toc296346712"/>
      <w:bookmarkStart w:id="1328" w:name="_Toc296891251"/>
      <w:bookmarkStart w:id="1329" w:name="_Toc303539163"/>
      <w:bookmarkStart w:id="1330" w:name="_Toc292559416"/>
      <w:bookmarkStart w:id="1331" w:name="_Toc297216215"/>
      <w:bookmarkStart w:id="1332" w:name="_Toc297123556"/>
      <w:r>
        <w:rPr>
          <w:rFonts w:hint="eastAsia" w:cs="宋体"/>
          <w:color w:val="auto"/>
          <w:sz w:val="21"/>
          <w:highlight w:val="none"/>
        </w:rPr>
        <w:t>12.4.1 付款周期</w:t>
      </w:r>
    </w:p>
    <w:p w14:paraId="21F4E63D">
      <w:pPr>
        <w:pStyle w:val="80"/>
        <w:ind w:firstLine="402"/>
        <w:rPr>
          <w:rFonts w:hint="eastAsia" w:cs="宋体"/>
          <w:color w:val="auto"/>
          <w:sz w:val="21"/>
          <w:highlight w:val="none"/>
        </w:rPr>
      </w:pPr>
      <w:bookmarkStart w:id="1333" w:name="_Toc406522279"/>
      <w:bookmarkStart w:id="1334" w:name="_Toc406419403"/>
      <w:bookmarkStart w:id="1335" w:name="_Toc478389248"/>
      <w:bookmarkStart w:id="1336" w:name="_Toc417904334"/>
      <w:r>
        <w:rPr>
          <w:rFonts w:hint="eastAsia" w:ascii="宋体" w:hAnsi="宋体"/>
          <w:b/>
          <w:color w:val="auto"/>
          <w:szCs w:val="21"/>
          <w:highlight w:val="none"/>
        </w:rPr>
        <w:t>经审定后支付</w:t>
      </w:r>
      <w:r>
        <w:rPr>
          <w:rFonts w:hint="eastAsia" w:ascii="宋体" w:hAnsi="宋体"/>
          <w:b/>
          <w:color w:val="auto"/>
          <w:szCs w:val="21"/>
          <w:highlight w:val="none"/>
          <w:lang w:eastAsia="zh-CN"/>
        </w:rPr>
        <w:t>至</w:t>
      </w:r>
      <w:r>
        <w:rPr>
          <w:rFonts w:hint="eastAsia" w:ascii="宋体" w:hAnsi="宋体"/>
          <w:b/>
          <w:color w:val="auto"/>
          <w:szCs w:val="21"/>
          <w:highlight w:val="none"/>
        </w:rPr>
        <w:t>工程结算</w:t>
      </w:r>
      <w:r>
        <w:rPr>
          <w:rFonts w:hint="eastAsia" w:ascii="宋体" w:hAnsi="宋体"/>
          <w:b/>
          <w:bCs w:val="0"/>
          <w:color w:val="auto"/>
          <w:szCs w:val="21"/>
          <w:highlight w:val="none"/>
        </w:rPr>
        <w:t>总额的</w:t>
      </w:r>
      <w:r>
        <w:rPr>
          <w:rFonts w:hint="eastAsia" w:ascii="宋体" w:hAnsi="宋体"/>
          <w:b/>
          <w:bCs w:val="0"/>
          <w:color w:val="auto"/>
          <w:szCs w:val="21"/>
          <w:highlight w:val="none"/>
          <w:lang w:val="en-US" w:eastAsia="zh-CN"/>
        </w:rPr>
        <w:t>97</w:t>
      </w:r>
      <w:r>
        <w:rPr>
          <w:rFonts w:hint="eastAsia" w:ascii="宋体" w:hAnsi="宋体"/>
          <w:b/>
          <w:bCs w:val="0"/>
          <w:color w:val="auto"/>
          <w:szCs w:val="21"/>
          <w:highlight w:val="none"/>
        </w:rPr>
        <w:t>%</w:t>
      </w:r>
      <w:r>
        <w:rPr>
          <w:rFonts w:hint="eastAsia"/>
          <w:b/>
          <w:bCs w:val="0"/>
          <w:color w:val="auto"/>
          <w:szCs w:val="21"/>
          <w:highlight w:val="none"/>
          <w:lang w:eastAsia="zh-CN"/>
        </w:rPr>
        <w:t>（</w:t>
      </w:r>
      <w:r>
        <w:rPr>
          <w:rFonts w:hint="eastAsia" w:ascii="宋体" w:hAnsi="宋体"/>
          <w:b/>
          <w:bCs w:val="0"/>
          <w:color w:val="auto"/>
          <w:szCs w:val="21"/>
          <w:highlight w:val="none"/>
          <w:lang w:eastAsia="zh-CN"/>
        </w:rPr>
        <w:t>其中：</w:t>
      </w:r>
      <w:r>
        <w:rPr>
          <w:rFonts w:hint="eastAsia" w:ascii="宋体" w:hAnsi="宋体"/>
          <w:b/>
          <w:bCs w:val="0"/>
          <w:color w:val="auto"/>
          <w:szCs w:val="21"/>
          <w:highlight w:val="none"/>
        </w:rPr>
        <w:t>开工初期支付合同工程</w:t>
      </w:r>
      <w:r>
        <w:rPr>
          <w:rFonts w:hint="eastAsia" w:ascii="宋体" w:hAnsi="宋体"/>
          <w:b/>
          <w:bCs w:val="0"/>
          <w:color w:val="auto"/>
          <w:szCs w:val="21"/>
          <w:highlight w:val="none"/>
          <w:lang w:eastAsia="zh-CN"/>
        </w:rPr>
        <w:t>总</w:t>
      </w:r>
      <w:r>
        <w:rPr>
          <w:rFonts w:hint="eastAsia" w:ascii="宋体" w:hAnsi="宋体"/>
          <w:b/>
          <w:bCs w:val="0"/>
          <w:color w:val="auto"/>
          <w:szCs w:val="21"/>
          <w:highlight w:val="none"/>
        </w:rPr>
        <w:t>价30%的工程预付款</w:t>
      </w:r>
      <w:r>
        <w:rPr>
          <w:rFonts w:hint="eastAsia" w:ascii="宋体" w:hAnsi="宋体"/>
          <w:b/>
          <w:bCs w:val="0"/>
          <w:color w:val="auto"/>
          <w:szCs w:val="21"/>
          <w:highlight w:val="none"/>
          <w:lang w:eastAsia="zh-CN"/>
        </w:rPr>
        <w:t>；工程经校内竣工验收</w:t>
      </w:r>
      <w:r>
        <w:rPr>
          <w:rFonts w:hint="eastAsia" w:ascii="宋体" w:hAnsi="宋体"/>
          <w:b/>
          <w:bCs w:val="0"/>
          <w:color w:val="auto"/>
          <w:szCs w:val="21"/>
          <w:highlight w:val="none"/>
        </w:rPr>
        <w:t>合格</w:t>
      </w:r>
      <w:r>
        <w:rPr>
          <w:rFonts w:hint="eastAsia" w:ascii="宋体" w:hAnsi="宋体"/>
          <w:b/>
          <w:bCs w:val="0"/>
          <w:color w:val="auto"/>
          <w:szCs w:val="21"/>
          <w:highlight w:val="none"/>
          <w:lang w:eastAsia="zh-CN"/>
        </w:rPr>
        <w:t>，</w:t>
      </w:r>
      <w:r>
        <w:rPr>
          <w:rFonts w:hint="eastAsia" w:asciiTheme="majorEastAsia" w:hAnsiTheme="majorEastAsia" w:eastAsiaTheme="majorEastAsia"/>
          <w:b/>
          <w:color w:val="auto"/>
          <w:szCs w:val="22"/>
          <w:highlight w:val="none"/>
          <w:lang w:eastAsia="zh-CN"/>
        </w:rPr>
        <w:t>发包人</w:t>
      </w:r>
      <w:r>
        <w:rPr>
          <w:rFonts w:hint="eastAsia" w:ascii="宋体" w:hAnsi="宋体"/>
          <w:b/>
          <w:bCs w:val="0"/>
          <w:color w:val="auto"/>
          <w:szCs w:val="21"/>
          <w:highlight w:val="none"/>
        </w:rPr>
        <w:t>支付</w:t>
      </w:r>
      <w:r>
        <w:rPr>
          <w:rFonts w:hint="eastAsia" w:ascii="宋体" w:hAnsi="宋体"/>
          <w:b/>
          <w:bCs w:val="0"/>
          <w:color w:val="auto"/>
          <w:szCs w:val="21"/>
          <w:highlight w:val="none"/>
          <w:lang w:eastAsia="zh-CN"/>
        </w:rPr>
        <w:t>至</w:t>
      </w:r>
      <w:r>
        <w:rPr>
          <w:rFonts w:hint="eastAsia" w:ascii="宋体" w:hAnsi="宋体"/>
          <w:b/>
          <w:bCs w:val="0"/>
          <w:color w:val="auto"/>
          <w:szCs w:val="21"/>
          <w:highlight w:val="none"/>
        </w:rPr>
        <w:t>已完成工程量造价</w:t>
      </w:r>
      <w:r>
        <w:rPr>
          <w:rFonts w:hint="eastAsia"/>
          <w:b/>
          <w:bCs w:val="0"/>
          <w:color w:val="auto"/>
          <w:szCs w:val="21"/>
          <w:highlight w:val="none"/>
          <w:lang w:eastAsia="zh-CN"/>
        </w:rPr>
        <w:t>的</w:t>
      </w:r>
      <w:r>
        <w:rPr>
          <w:rFonts w:hint="eastAsia" w:ascii="宋体" w:hAnsi="宋体"/>
          <w:b/>
          <w:bCs w:val="0"/>
          <w:color w:val="auto"/>
          <w:szCs w:val="21"/>
          <w:highlight w:val="none"/>
        </w:rPr>
        <w:t>85%</w:t>
      </w:r>
      <w:r>
        <w:rPr>
          <w:rFonts w:hint="eastAsia" w:ascii="宋体" w:hAnsi="宋体"/>
          <w:b/>
          <w:bCs w:val="0"/>
          <w:color w:val="auto"/>
          <w:szCs w:val="21"/>
          <w:highlight w:val="none"/>
          <w:lang w:eastAsia="zh-CN"/>
        </w:rPr>
        <w:t>；</w:t>
      </w:r>
      <w:r>
        <w:rPr>
          <w:rFonts w:hint="eastAsia" w:ascii="宋体" w:hAnsi="宋体"/>
          <w:b/>
          <w:bCs w:val="0"/>
          <w:color w:val="auto"/>
          <w:szCs w:val="21"/>
          <w:highlight w:val="none"/>
        </w:rPr>
        <w:t>工程结算经审定后支付</w:t>
      </w:r>
      <w:r>
        <w:rPr>
          <w:rFonts w:hint="eastAsia"/>
          <w:b/>
          <w:bCs w:val="0"/>
          <w:color w:val="auto"/>
          <w:szCs w:val="21"/>
          <w:highlight w:val="none"/>
          <w:lang w:eastAsia="zh-CN"/>
        </w:rPr>
        <w:t>至结算金额的</w:t>
      </w:r>
      <w:r>
        <w:rPr>
          <w:rFonts w:hint="eastAsia"/>
          <w:b/>
          <w:bCs w:val="0"/>
          <w:color w:val="auto"/>
          <w:szCs w:val="21"/>
          <w:highlight w:val="none"/>
          <w:lang w:val="en-US" w:eastAsia="zh-CN"/>
        </w:rPr>
        <w:t>97%），</w:t>
      </w:r>
      <w:r>
        <w:rPr>
          <w:rFonts w:hint="eastAsia" w:asciiTheme="majorEastAsia" w:hAnsiTheme="majorEastAsia" w:eastAsiaTheme="majorEastAsia"/>
          <w:b/>
          <w:color w:val="auto"/>
          <w:szCs w:val="22"/>
          <w:highlight w:val="none"/>
          <w:lang w:eastAsia="zh-CN"/>
        </w:rPr>
        <w:t>发包人</w:t>
      </w:r>
      <w:r>
        <w:rPr>
          <w:rFonts w:hint="eastAsia" w:asciiTheme="majorEastAsia" w:hAnsiTheme="majorEastAsia" w:eastAsiaTheme="majorEastAsia"/>
          <w:b/>
          <w:color w:val="auto"/>
          <w:szCs w:val="22"/>
          <w:highlight w:val="none"/>
        </w:rPr>
        <w:t>按工程价款结算总额的3%预留工程</w:t>
      </w:r>
      <w:r>
        <w:rPr>
          <w:rFonts w:hint="eastAsia" w:asciiTheme="majorEastAsia" w:hAnsiTheme="majorEastAsia" w:eastAsiaTheme="majorEastAsia"/>
          <w:b/>
          <w:color w:val="auto"/>
          <w:szCs w:val="22"/>
          <w:highlight w:val="none"/>
          <w:lang w:eastAsia="zh-CN"/>
        </w:rPr>
        <w:t>质量保证金</w:t>
      </w:r>
      <w:r>
        <w:rPr>
          <w:rFonts w:hint="eastAsia" w:asciiTheme="majorEastAsia" w:hAnsiTheme="majorEastAsia" w:eastAsiaTheme="majorEastAsia"/>
          <w:b/>
          <w:color w:val="auto"/>
          <w:szCs w:val="22"/>
          <w:highlight w:val="none"/>
        </w:rPr>
        <w:t>，待工程缺陷责任期满后退还</w:t>
      </w:r>
      <w:r>
        <w:rPr>
          <w:rFonts w:hint="eastAsia" w:ascii="宋体" w:hAnsi="宋体"/>
          <w:b/>
          <w:bCs w:val="0"/>
          <w:color w:val="auto"/>
          <w:szCs w:val="21"/>
          <w:highlight w:val="none"/>
          <w:lang w:eastAsia="zh-CN"/>
        </w:rPr>
        <w:t>。</w:t>
      </w:r>
      <w:r>
        <w:rPr>
          <w:rFonts w:hint="eastAsia" w:asciiTheme="majorEastAsia" w:hAnsiTheme="majorEastAsia" w:eastAsiaTheme="majorEastAsia"/>
          <w:b/>
          <w:color w:val="auto"/>
          <w:szCs w:val="22"/>
          <w:highlight w:val="none"/>
          <w:lang w:eastAsia="zh-CN"/>
        </w:rPr>
        <w:t>发包人</w:t>
      </w:r>
      <w:r>
        <w:rPr>
          <w:rFonts w:hint="eastAsia" w:ascii="宋体" w:hAnsi="宋体"/>
          <w:b/>
          <w:bCs w:val="0"/>
          <w:color w:val="auto"/>
          <w:szCs w:val="21"/>
          <w:highlight w:val="none"/>
        </w:rPr>
        <w:t>在支付每笔款项前，</w:t>
      </w:r>
      <w:r>
        <w:rPr>
          <w:rFonts w:hint="eastAsia" w:ascii="宋体" w:hAnsi="宋体"/>
          <w:b/>
          <w:bCs w:val="0"/>
          <w:color w:val="auto"/>
          <w:szCs w:val="21"/>
          <w:highlight w:val="none"/>
          <w:lang w:eastAsia="zh-CN"/>
        </w:rPr>
        <w:t>承包人</w:t>
      </w:r>
      <w:r>
        <w:rPr>
          <w:rFonts w:hint="eastAsia" w:ascii="宋体" w:hAnsi="宋体"/>
          <w:b/>
          <w:bCs w:val="0"/>
          <w:color w:val="auto"/>
          <w:szCs w:val="21"/>
          <w:highlight w:val="none"/>
        </w:rPr>
        <w:t>须按</w:t>
      </w:r>
      <w:r>
        <w:rPr>
          <w:rFonts w:hint="eastAsia" w:asciiTheme="majorEastAsia" w:hAnsiTheme="majorEastAsia" w:eastAsiaTheme="majorEastAsia"/>
          <w:b/>
          <w:color w:val="auto"/>
          <w:szCs w:val="22"/>
          <w:highlight w:val="none"/>
          <w:lang w:eastAsia="zh-CN"/>
        </w:rPr>
        <w:t>发包人</w:t>
      </w:r>
      <w:r>
        <w:rPr>
          <w:rFonts w:hint="eastAsia" w:ascii="宋体" w:hAnsi="宋体"/>
          <w:b/>
          <w:bCs w:val="0"/>
          <w:color w:val="auto"/>
          <w:szCs w:val="21"/>
          <w:highlight w:val="none"/>
        </w:rPr>
        <w:t>要求开具相应发票，</w:t>
      </w:r>
      <w:r>
        <w:rPr>
          <w:rFonts w:hint="eastAsia" w:ascii="宋体" w:hAnsi="宋体"/>
          <w:b/>
          <w:bCs w:val="0"/>
          <w:color w:val="auto"/>
          <w:szCs w:val="21"/>
          <w:highlight w:val="none"/>
          <w:lang w:eastAsia="zh-CN"/>
        </w:rPr>
        <w:t>发包人</w:t>
      </w:r>
      <w:r>
        <w:rPr>
          <w:rFonts w:hint="eastAsia" w:ascii="宋体" w:hAnsi="宋体"/>
          <w:b/>
          <w:bCs w:val="0"/>
          <w:color w:val="auto"/>
          <w:szCs w:val="21"/>
          <w:highlight w:val="none"/>
        </w:rPr>
        <w:t>收到发票后5个工作日内办理相应支付手续（</w:t>
      </w:r>
      <w:r>
        <w:rPr>
          <w:rFonts w:hint="eastAsia" w:ascii="宋体" w:hAnsi="宋体"/>
          <w:b/>
          <w:bCs w:val="0"/>
          <w:color w:val="auto"/>
          <w:szCs w:val="21"/>
          <w:highlight w:val="none"/>
          <w:lang w:eastAsia="zh-CN"/>
        </w:rPr>
        <w:t>所有款项均</w:t>
      </w:r>
      <w:r>
        <w:rPr>
          <w:rFonts w:hint="eastAsia" w:ascii="宋体" w:hAnsi="宋体"/>
          <w:b/>
          <w:bCs w:val="0"/>
          <w:color w:val="auto"/>
          <w:szCs w:val="21"/>
          <w:highlight w:val="none"/>
        </w:rPr>
        <w:t>无息</w:t>
      </w:r>
      <w:r>
        <w:rPr>
          <w:rFonts w:hint="eastAsia" w:ascii="宋体" w:hAnsi="宋体"/>
          <w:b/>
          <w:bCs w:val="0"/>
          <w:color w:val="auto"/>
          <w:szCs w:val="21"/>
          <w:highlight w:val="none"/>
          <w:lang w:eastAsia="zh-CN"/>
        </w:rPr>
        <w:t>支付</w:t>
      </w:r>
      <w:r>
        <w:rPr>
          <w:rFonts w:hint="eastAsia" w:ascii="宋体" w:hAnsi="宋体"/>
          <w:b/>
          <w:bCs w:val="0"/>
          <w:color w:val="auto"/>
          <w:szCs w:val="21"/>
          <w:highlight w:val="none"/>
        </w:rPr>
        <w:t>）。</w:t>
      </w:r>
      <w:r>
        <w:rPr>
          <w:rFonts w:hint="eastAsia" w:cs="宋体"/>
          <w:color w:val="auto"/>
          <w:sz w:val="21"/>
          <w:highlight w:val="none"/>
        </w:rPr>
        <w:t xml:space="preserve"> </w:t>
      </w:r>
    </w:p>
    <w:p w14:paraId="4B3185EE">
      <w:pPr>
        <w:pStyle w:val="80"/>
        <w:tabs>
          <w:tab w:val="left" w:pos="6424"/>
        </w:tabs>
        <w:outlineLvl w:val="0"/>
        <w:rPr>
          <w:rFonts w:hint="eastAsia" w:cs="宋体"/>
          <w:color w:val="auto"/>
          <w:sz w:val="21"/>
          <w:highlight w:val="none"/>
        </w:rPr>
      </w:pPr>
      <w:r>
        <w:rPr>
          <w:rFonts w:hint="eastAsia" w:cs="宋体"/>
          <w:color w:val="auto"/>
          <w:sz w:val="21"/>
          <w:highlight w:val="none"/>
        </w:rPr>
        <w:t>12.4.2 进度付款申请单的编制</w:t>
      </w:r>
      <w:bookmarkEnd w:id="1333"/>
      <w:bookmarkEnd w:id="1334"/>
      <w:bookmarkEnd w:id="1335"/>
      <w:bookmarkEnd w:id="1336"/>
      <w:r>
        <w:rPr>
          <w:rFonts w:cs="宋体"/>
          <w:color w:val="auto"/>
          <w:sz w:val="21"/>
          <w:highlight w:val="none"/>
        </w:rPr>
        <w:tab/>
      </w:r>
    </w:p>
    <w:p w14:paraId="45EBD826">
      <w:pPr>
        <w:pStyle w:val="80"/>
        <w:spacing w:line="480" w:lineRule="exact"/>
        <w:rPr>
          <w:rFonts w:hint="eastAsia" w:cs="宋体"/>
          <w:color w:val="auto"/>
          <w:sz w:val="21"/>
          <w:highlight w:val="none"/>
          <w:u w:val="single"/>
        </w:rPr>
      </w:pPr>
      <w:r>
        <w:rPr>
          <w:rFonts w:hint="eastAsia" w:cs="宋体"/>
          <w:color w:val="auto"/>
          <w:sz w:val="21"/>
          <w:highlight w:val="none"/>
        </w:rPr>
        <w:t>关于进度付款申请单编制的约定：</w:t>
      </w:r>
      <w:r>
        <w:rPr>
          <w:rFonts w:hint="eastAsia" w:cs="宋体"/>
          <w:color w:val="auto"/>
          <w:sz w:val="21"/>
          <w:highlight w:val="none"/>
          <w:u w:val="single"/>
        </w:rPr>
        <w:t>承包人应在每个计量周期到期后的7天内向发包人提交已完工程进度款支付申请一式四份，详细说明此周期自己认为有权得到的款额，包括分包人已完工程的价款。</w:t>
      </w:r>
    </w:p>
    <w:p w14:paraId="03CFF7BC">
      <w:pPr>
        <w:spacing w:line="480" w:lineRule="exact"/>
        <w:ind w:firstLine="420" w:firstLineChars="200"/>
        <w:rPr>
          <w:rFonts w:hint="eastAsia" w:ascii="宋体" w:hAnsi="宋体" w:cs="宋体"/>
          <w:color w:val="auto"/>
          <w:szCs w:val="21"/>
          <w:highlight w:val="none"/>
          <w:u w:val="single"/>
        </w:rPr>
      </w:pPr>
      <w:r>
        <w:rPr>
          <w:rFonts w:hint="eastAsia" w:ascii="宋体" w:hAnsi="宋体" w:cs="宋体"/>
          <w:bCs/>
          <w:color w:val="auto"/>
          <w:szCs w:val="21"/>
          <w:highlight w:val="none"/>
        </w:rPr>
        <w:t>工程完工，具备验收条件后，</w:t>
      </w:r>
      <w:r>
        <w:rPr>
          <w:rFonts w:hint="eastAsia" w:ascii="宋体" w:hAnsi="宋体" w:cs="宋体"/>
          <w:color w:val="auto"/>
          <w:kern w:val="0"/>
          <w:szCs w:val="21"/>
          <w:highlight w:val="none"/>
        </w:rPr>
        <w:t>经发包人或发包人委托的中介机构审定后方可办理工程结算或竣工决算。</w:t>
      </w:r>
    </w:p>
    <w:p w14:paraId="5C5F972D">
      <w:pPr>
        <w:pStyle w:val="80"/>
        <w:spacing w:line="480" w:lineRule="exact"/>
        <w:rPr>
          <w:rFonts w:hint="eastAsia" w:cs="宋体"/>
          <w:color w:val="auto"/>
          <w:sz w:val="21"/>
          <w:highlight w:val="none"/>
        </w:rPr>
      </w:pPr>
      <w:r>
        <w:rPr>
          <w:rFonts w:hint="eastAsia" w:cs="宋体"/>
          <w:color w:val="auto"/>
          <w:sz w:val="21"/>
          <w:highlight w:val="none"/>
        </w:rPr>
        <w:t>1</w:t>
      </w:r>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r>
        <w:rPr>
          <w:rFonts w:hint="eastAsia" w:cs="宋体"/>
          <w:color w:val="auto"/>
          <w:sz w:val="21"/>
          <w:highlight w:val="none"/>
        </w:rPr>
        <w:t>2.4.3 进度付款申请单的提交</w:t>
      </w:r>
    </w:p>
    <w:p w14:paraId="5A3775CF">
      <w:pPr>
        <w:pStyle w:val="80"/>
        <w:spacing w:line="480" w:lineRule="exact"/>
        <w:rPr>
          <w:rFonts w:hint="eastAsia" w:cs="宋体"/>
          <w:color w:val="auto"/>
          <w:sz w:val="21"/>
          <w:highlight w:val="none"/>
        </w:rPr>
      </w:pPr>
      <w:r>
        <w:rPr>
          <w:rFonts w:hint="eastAsia" w:cs="宋体"/>
          <w:color w:val="auto"/>
          <w:sz w:val="21"/>
          <w:highlight w:val="none"/>
        </w:rPr>
        <w:t>（1）单价合同进度付款申请单提交的约定：</w:t>
      </w:r>
      <w:r>
        <w:rPr>
          <w:rFonts w:hint="eastAsia" w:cs="宋体"/>
          <w:color w:val="auto"/>
          <w:sz w:val="21"/>
          <w:highlight w:val="none"/>
          <w:u w:val="single"/>
        </w:rPr>
        <w:t xml:space="preserve">    按支付方式的进度　　 </w:t>
      </w:r>
      <w:r>
        <w:rPr>
          <w:rFonts w:hint="eastAsia" w:cs="宋体"/>
          <w:color w:val="auto"/>
          <w:sz w:val="21"/>
          <w:highlight w:val="none"/>
        </w:rPr>
        <w:t>。</w:t>
      </w:r>
    </w:p>
    <w:p w14:paraId="1CAF6596">
      <w:pPr>
        <w:pStyle w:val="80"/>
        <w:spacing w:line="480" w:lineRule="exact"/>
        <w:rPr>
          <w:rFonts w:hint="eastAsia" w:cs="宋体"/>
          <w:color w:val="auto"/>
          <w:sz w:val="21"/>
          <w:highlight w:val="none"/>
        </w:rPr>
      </w:pPr>
      <w:r>
        <w:rPr>
          <w:rFonts w:hint="eastAsia" w:cs="宋体"/>
          <w:color w:val="auto"/>
          <w:sz w:val="21"/>
          <w:highlight w:val="none"/>
        </w:rPr>
        <w:t>（2）总价合同进度付款申请单提交的约定：</w:t>
      </w:r>
      <w:r>
        <w:rPr>
          <w:rFonts w:hint="eastAsia" w:cs="宋体"/>
          <w:color w:val="auto"/>
          <w:sz w:val="21"/>
          <w:highlight w:val="none"/>
          <w:u w:val="single"/>
        </w:rPr>
        <w:t xml:space="preserve">   无　　  </w:t>
      </w:r>
      <w:r>
        <w:rPr>
          <w:rFonts w:hint="eastAsia" w:cs="宋体"/>
          <w:color w:val="auto"/>
          <w:sz w:val="21"/>
          <w:highlight w:val="none"/>
        </w:rPr>
        <w:t>。</w:t>
      </w:r>
    </w:p>
    <w:p w14:paraId="0FD8E7BD">
      <w:pPr>
        <w:pStyle w:val="80"/>
        <w:spacing w:line="480" w:lineRule="exact"/>
        <w:rPr>
          <w:rFonts w:hint="eastAsia" w:cs="宋体"/>
          <w:color w:val="auto"/>
          <w:sz w:val="21"/>
          <w:highlight w:val="none"/>
        </w:rPr>
      </w:pPr>
      <w:r>
        <w:rPr>
          <w:rFonts w:hint="eastAsia" w:cs="宋体"/>
          <w:color w:val="auto"/>
          <w:sz w:val="21"/>
          <w:highlight w:val="none"/>
        </w:rPr>
        <w:t>（3）其他价格形式合同进度付款申请单提交的约定：</w:t>
      </w:r>
      <w:r>
        <w:rPr>
          <w:rFonts w:hint="eastAsia" w:cs="宋体"/>
          <w:color w:val="auto"/>
          <w:sz w:val="21"/>
          <w:highlight w:val="none"/>
          <w:u w:val="single"/>
        </w:rPr>
        <w:t xml:space="preserve">   无    　  </w:t>
      </w:r>
      <w:r>
        <w:rPr>
          <w:rFonts w:hint="eastAsia" w:cs="宋体"/>
          <w:color w:val="auto"/>
          <w:sz w:val="21"/>
          <w:highlight w:val="none"/>
        </w:rPr>
        <w:t>。</w:t>
      </w:r>
    </w:p>
    <w:p w14:paraId="0F3EF2A3">
      <w:pPr>
        <w:pStyle w:val="80"/>
        <w:spacing w:line="480" w:lineRule="exact"/>
        <w:outlineLvl w:val="0"/>
        <w:rPr>
          <w:rFonts w:hint="eastAsia" w:cs="宋体"/>
          <w:color w:val="auto"/>
          <w:sz w:val="21"/>
          <w:highlight w:val="none"/>
        </w:rPr>
      </w:pPr>
      <w:bookmarkStart w:id="1337" w:name="_Toc478389249"/>
      <w:bookmarkStart w:id="1338" w:name="_Toc406419404"/>
      <w:bookmarkStart w:id="1339" w:name="_Toc406522280"/>
      <w:bookmarkStart w:id="1340" w:name="_Toc417904335"/>
      <w:r>
        <w:rPr>
          <w:rFonts w:hint="eastAsia" w:cs="宋体"/>
          <w:color w:val="auto"/>
          <w:sz w:val="21"/>
          <w:highlight w:val="none"/>
        </w:rPr>
        <w:t>12.4.4 进度款审核和支付</w:t>
      </w:r>
      <w:bookmarkEnd w:id="1337"/>
      <w:bookmarkEnd w:id="1338"/>
      <w:bookmarkEnd w:id="1339"/>
      <w:bookmarkEnd w:id="1340"/>
    </w:p>
    <w:p w14:paraId="7CEF1ACC">
      <w:pPr>
        <w:pStyle w:val="80"/>
        <w:spacing w:line="480" w:lineRule="exact"/>
        <w:rPr>
          <w:rFonts w:hint="eastAsia" w:cs="宋体"/>
          <w:color w:val="auto"/>
          <w:sz w:val="21"/>
          <w:highlight w:val="none"/>
          <w:u w:val="single"/>
        </w:rPr>
      </w:pPr>
      <w:r>
        <w:rPr>
          <w:rFonts w:hint="eastAsia" w:cs="宋体"/>
          <w:color w:val="auto"/>
          <w:sz w:val="21"/>
          <w:highlight w:val="none"/>
        </w:rPr>
        <w:t>（1）监理人审查并报送发包人的期限：</w:t>
      </w:r>
      <w:r>
        <w:rPr>
          <w:rFonts w:hint="eastAsia" w:cs="宋体"/>
          <w:color w:val="auto"/>
          <w:sz w:val="21"/>
          <w:highlight w:val="none"/>
          <w:u w:val="single"/>
        </w:rPr>
        <w:t xml:space="preserve">  3天内　</w:t>
      </w:r>
      <w:r>
        <w:rPr>
          <w:rFonts w:hint="eastAsia" w:cs="宋体"/>
          <w:color w:val="auto"/>
          <w:sz w:val="21"/>
          <w:highlight w:val="none"/>
        </w:rPr>
        <w:t>。</w:t>
      </w:r>
    </w:p>
    <w:p w14:paraId="7BE3FE2A">
      <w:pPr>
        <w:pStyle w:val="80"/>
        <w:spacing w:line="480" w:lineRule="exact"/>
        <w:rPr>
          <w:rFonts w:hint="eastAsia" w:cs="宋体"/>
          <w:color w:val="auto"/>
          <w:sz w:val="21"/>
          <w:highlight w:val="none"/>
        </w:rPr>
      </w:pPr>
      <w:r>
        <w:rPr>
          <w:rFonts w:hint="eastAsia" w:cs="宋体"/>
          <w:color w:val="auto"/>
          <w:sz w:val="21"/>
          <w:highlight w:val="none"/>
        </w:rPr>
        <w:t>发包人完成审批并签发进度款支付证书的期限：</w:t>
      </w:r>
      <w:r>
        <w:rPr>
          <w:rFonts w:hint="eastAsia" w:cs="宋体"/>
          <w:color w:val="auto"/>
          <w:sz w:val="21"/>
          <w:highlight w:val="none"/>
          <w:u w:val="single"/>
        </w:rPr>
        <w:t xml:space="preserve">     7天内        </w:t>
      </w:r>
      <w:r>
        <w:rPr>
          <w:rFonts w:hint="eastAsia" w:cs="宋体"/>
          <w:color w:val="auto"/>
          <w:sz w:val="21"/>
          <w:highlight w:val="none"/>
        </w:rPr>
        <w:t>。</w:t>
      </w:r>
    </w:p>
    <w:p w14:paraId="749A8D69">
      <w:pPr>
        <w:pStyle w:val="80"/>
        <w:spacing w:line="480" w:lineRule="exact"/>
        <w:rPr>
          <w:rFonts w:hint="eastAsia" w:cs="宋体"/>
          <w:color w:val="auto"/>
          <w:sz w:val="21"/>
          <w:highlight w:val="none"/>
        </w:rPr>
      </w:pPr>
      <w:r>
        <w:rPr>
          <w:rFonts w:hint="eastAsia" w:cs="宋体"/>
          <w:color w:val="auto"/>
          <w:sz w:val="21"/>
          <w:highlight w:val="none"/>
        </w:rPr>
        <w:t>（2）发包人支付进度款的期限：</w:t>
      </w:r>
      <w:r>
        <w:rPr>
          <w:rFonts w:hint="eastAsia" w:cs="宋体"/>
          <w:color w:val="auto"/>
          <w:sz w:val="21"/>
          <w:highlight w:val="none"/>
          <w:u w:val="single"/>
        </w:rPr>
        <w:t xml:space="preserve">   承包人提出书面申请后30个工作日内    　　　</w:t>
      </w:r>
      <w:r>
        <w:rPr>
          <w:rFonts w:hint="eastAsia" w:cs="宋体"/>
          <w:color w:val="auto"/>
          <w:sz w:val="21"/>
          <w:highlight w:val="none"/>
        </w:rPr>
        <w:t>。</w:t>
      </w:r>
    </w:p>
    <w:p w14:paraId="682FF498">
      <w:pPr>
        <w:pStyle w:val="80"/>
        <w:spacing w:line="480" w:lineRule="exact"/>
        <w:rPr>
          <w:rFonts w:hint="eastAsia" w:cs="宋体"/>
          <w:color w:val="auto"/>
          <w:sz w:val="21"/>
          <w:highlight w:val="none"/>
        </w:rPr>
      </w:pPr>
      <w:r>
        <w:rPr>
          <w:rFonts w:hint="eastAsia" w:cs="宋体"/>
          <w:color w:val="auto"/>
          <w:sz w:val="21"/>
          <w:highlight w:val="none"/>
        </w:rPr>
        <w:t>发包人逾期支付进度款的违约金的计算方式：</w:t>
      </w:r>
      <w:r>
        <w:rPr>
          <w:rFonts w:hint="eastAsia" w:cs="宋体"/>
          <w:color w:val="auto"/>
          <w:sz w:val="21"/>
          <w:highlight w:val="none"/>
          <w:u w:val="single"/>
        </w:rPr>
        <w:t xml:space="preserve">      无     </w:t>
      </w:r>
      <w:r>
        <w:rPr>
          <w:rFonts w:hint="eastAsia" w:cs="宋体"/>
          <w:color w:val="auto"/>
          <w:sz w:val="21"/>
          <w:highlight w:val="none"/>
        </w:rPr>
        <w:t>。</w:t>
      </w:r>
    </w:p>
    <w:p w14:paraId="12C76A60">
      <w:pPr>
        <w:pStyle w:val="80"/>
        <w:spacing w:line="480" w:lineRule="exact"/>
        <w:rPr>
          <w:rFonts w:hint="eastAsia" w:cs="宋体"/>
          <w:color w:val="auto"/>
          <w:sz w:val="21"/>
          <w:highlight w:val="none"/>
        </w:rPr>
      </w:pPr>
      <w:r>
        <w:rPr>
          <w:rFonts w:hint="eastAsia" w:cs="宋体"/>
          <w:color w:val="auto"/>
          <w:sz w:val="21"/>
          <w:highlight w:val="none"/>
        </w:rPr>
        <w:t>（</w:t>
      </w:r>
      <w:r>
        <w:rPr>
          <w:rFonts w:cs="宋体"/>
          <w:color w:val="auto"/>
          <w:sz w:val="21"/>
          <w:highlight w:val="none"/>
        </w:rPr>
        <w:t>3</w:t>
      </w:r>
      <w:r>
        <w:rPr>
          <w:rFonts w:hint="eastAsia" w:cs="宋体"/>
          <w:color w:val="auto"/>
          <w:sz w:val="21"/>
          <w:highlight w:val="none"/>
        </w:rPr>
        <w:t>）</w:t>
      </w:r>
      <w:r>
        <w:rPr>
          <w:rFonts w:cs="宋体"/>
          <w:color w:val="auto"/>
          <w:sz w:val="21"/>
          <w:highlight w:val="none"/>
        </w:rPr>
        <w:t xml:space="preserve"> </w:t>
      </w:r>
      <w:r>
        <w:rPr>
          <w:rFonts w:hint="eastAsia" w:cs="宋体"/>
          <w:color w:val="auto"/>
          <w:sz w:val="21"/>
          <w:highlight w:val="none"/>
        </w:rPr>
        <w:t>农民工工资支付</w:t>
      </w:r>
    </w:p>
    <w:p w14:paraId="0748A1B8">
      <w:pPr>
        <w:pStyle w:val="80"/>
        <w:spacing w:line="480" w:lineRule="exact"/>
        <w:rPr>
          <w:rFonts w:hint="eastAsia" w:cs="宋体"/>
          <w:color w:val="auto"/>
          <w:sz w:val="21"/>
          <w:highlight w:val="none"/>
        </w:rPr>
      </w:pPr>
      <w:r>
        <w:rPr>
          <w:rFonts w:cs="宋体"/>
          <w:color w:val="auto"/>
          <w:sz w:val="21"/>
          <w:highlight w:val="none"/>
        </w:rPr>
        <w:t>1</w:t>
      </w:r>
      <w:r>
        <w:rPr>
          <w:rFonts w:hint="eastAsia" w:cs="宋体"/>
          <w:color w:val="auto"/>
          <w:sz w:val="21"/>
          <w:highlight w:val="none"/>
        </w:rPr>
        <w:t>）人工费用是指发包人向承包人专用账户拨付的专项用于支付农民工工资的工程款。农民工工资专用账户是指承包人在工程建设项目所在地银行业金融机构（简称银行）开立的，专项用于支付农民工工资的专用存款账户。</w:t>
      </w:r>
    </w:p>
    <w:p w14:paraId="0870D635">
      <w:pPr>
        <w:pStyle w:val="80"/>
        <w:spacing w:line="480" w:lineRule="exact"/>
        <w:rPr>
          <w:rFonts w:hint="eastAsia" w:cs="宋体"/>
          <w:color w:val="auto"/>
          <w:sz w:val="21"/>
          <w:highlight w:val="none"/>
        </w:rPr>
      </w:pPr>
      <w:r>
        <w:rPr>
          <w:rFonts w:cs="宋体"/>
          <w:color w:val="auto"/>
          <w:sz w:val="21"/>
          <w:highlight w:val="none"/>
        </w:rPr>
        <w:t>2</w:t>
      </w:r>
      <w:r>
        <w:rPr>
          <w:rFonts w:hint="eastAsia" w:cs="宋体"/>
          <w:color w:val="auto"/>
          <w:sz w:val="21"/>
          <w:highlight w:val="none"/>
        </w:rPr>
        <w:t>）人工费应与工程进度款</w:t>
      </w:r>
      <w:r>
        <w:rPr>
          <w:rFonts w:hint="eastAsia" w:cs="宋体"/>
          <w:color w:val="auto"/>
          <w:sz w:val="21"/>
          <w:highlight w:val="none"/>
          <w:lang w:eastAsia="zh-CN"/>
        </w:rPr>
        <w:t>分账管理</w:t>
      </w:r>
      <w:r>
        <w:rPr>
          <w:rFonts w:hint="eastAsia" w:cs="宋体"/>
          <w:color w:val="auto"/>
          <w:sz w:val="21"/>
          <w:highlight w:val="none"/>
        </w:rPr>
        <w:t>。必须按时足额支付，人工费拨付周期不得超过</w:t>
      </w:r>
      <w:r>
        <w:rPr>
          <w:rFonts w:cs="宋体"/>
          <w:color w:val="auto"/>
          <w:sz w:val="21"/>
          <w:highlight w:val="none"/>
        </w:rPr>
        <w:t>1</w:t>
      </w:r>
      <w:r>
        <w:rPr>
          <w:rFonts w:hint="eastAsia" w:cs="宋体"/>
          <w:color w:val="auto"/>
          <w:sz w:val="21"/>
          <w:highlight w:val="none"/>
        </w:rPr>
        <w:t>个月，最少每月支付一次，无工程款申请的月份，承包人单独上报人工费划拨申请；若因发包人未按照合同约定划拨工程款项导致拖欠工资的，由发包人以未结清的工程款项为限先行垫付所拖欠的工资；承包人向发包人申请工程进度款时必须把农民工工资部分单独列明，如果未单独列明，监理单位不得签支付证书等支付工程款的手续，发包人单位不得审批和支付工程款。发包人必须把工程款</w:t>
      </w:r>
      <w:r>
        <w:rPr>
          <w:rFonts w:hint="eastAsia" w:cs="宋体"/>
          <w:color w:val="auto"/>
          <w:sz w:val="21"/>
          <w:highlight w:val="none"/>
          <w:lang w:eastAsia="zh-CN"/>
        </w:rPr>
        <w:t>分账</w:t>
      </w:r>
      <w:r>
        <w:rPr>
          <w:rFonts w:hint="eastAsia" w:cs="宋体"/>
          <w:color w:val="auto"/>
          <w:sz w:val="21"/>
          <w:highlight w:val="none"/>
        </w:rPr>
        <w:t>出来的人工费转入承包人农民工工资支付专用账户，转入农民工工资支付专用账户环节必须有银行流水凭证。</w:t>
      </w:r>
    </w:p>
    <w:p w14:paraId="6BD651DE">
      <w:pPr>
        <w:pStyle w:val="80"/>
        <w:spacing w:line="480" w:lineRule="exact"/>
        <w:rPr>
          <w:rFonts w:hint="eastAsia" w:cs="宋体"/>
          <w:color w:val="auto"/>
          <w:sz w:val="21"/>
          <w:highlight w:val="none"/>
        </w:rPr>
      </w:pPr>
      <w:r>
        <w:rPr>
          <w:rFonts w:cs="宋体"/>
          <w:color w:val="auto"/>
          <w:sz w:val="21"/>
          <w:highlight w:val="none"/>
        </w:rPr>
        <w:t>3</w:t>
      </w:r>
      <w:r>
        <w:rPr>
          <w:rFonts w:hint="eastAsia" w:cs="宋体"/>
          <w:color w:val="auto"/>
          <w:sz w:val="21"/>
          <w:highlight w:val="none"/>
        </w:rPr>
        <w:t>）发包人依据工程进度，审核承包人申报的工程进度款，按照与承包人约定的人工费支付比例20</w:t>
      </w:r>
      <w:r>
        <w:rPr>
          <w:rFonts w:cs="宋体"/>
          <w:color w:val="auto"/>
          <w:sz w:val="21"/>
          <w:highlight w:val="none"/>
        </w:rPr>
        <w:t>%</w:t>
      </w:r>
      <w:r>
        <w:rPr>
          <w:rFonts w:hint="eastAsia" w:cs="宋体"/>
          <w:color w:val="auto"/>
          <w:sz w:val="21"/>
          <w:highlight w:val="none"/>
        </w:rPr>
        <w:t>（房建项目不少于</w:t>
      </w:r>
      <w:r>
        <w:rPr>
          <w:rFonts w:cs="宋体"/>
          <w:color w:val="auto"/>
          <w:sz w:val="21"/>
          <w:highlight w:val="none"/>
        </w:rPr>
        <w:t>20%</w:t>
      </w:r>
      <w:r>
        <w:rPr>
          <w:rFonts w:hint="eastAsia" w:cs="宋体"/>
          <w:color w:val="auto"/>
          <w:sz w:val="21"/>
          <w:highlight w:val="none"/>
        </w:rPr>
        <w:t>，市政项目不少于</w:t>
      </w:r>
      <w:r>
        <w:rPr>
          <w:rFonts w:cs="宋体"/>
          <w:color w:val="auto"/>
          <w:sz w:val="21"/>
          <w:highlight w:val="none"/>
        </w:rPr>
        <w:t>15%</w:t>
      </w:r>
      <w:r>
        <w:rPr>
          <w:rFonts w:hint="eastAsia" w:cs="宋体"/>
          <w:color w:val="auto"/>
          <w:sz w:val="21"/>
          <w:highlight w:val="none"/>
        </w:rPr>
        <w:t>），将人工费及时足额拨付至承包人的农民工工资专用账户，其余工程进度款项由发包人支付到承包人的单位基本户。</w:t>
      </w:r>
    </w:p>
    <w:p w14:paraId="180FAEB5">
      <w:pPr>
        <w:pStyle w:val="80"/>
        <w:spacing w:line="480" w:lineRule="exact"/>
        <w:rPr>
          <w:rFonts w:hint="eastAsia" w:cs="宋体"/>
          <w:color w:val="auto"/>
          <w:sz w:val="21"/>
          <w:highlight w:val="none"/>
        </w:rPr>
      </w:pPr>
      <w:r>
        <w:rPr>
          <w:rFonts w:cs="宋体"/>
          <w:color w:val="auto"/>
          <w:sz w:val="21"/>
          <w:highlight w:val="none"/>
        </w:rPr>
        <w:t>4</w:t>
      </w:r>
      <w:r>
        <w:rPr>
          <w:rFonts w:hint="eastAsia" w:cs="宋体"/>
          <w:color w:val="auto"/>
          <w:sz w:val="21"/>
          <w:highlight w:val="none"/>
        </w:rPr>
        <w:t>）工程建设领域总包单位对农民工工资支付负总责，推行分包单位农民工工资委托总包单位代发制度（以下简称总包代发制度）。工程建设项目</w:t>
      </w:r>
      <w:r>
        <w:rPr>
          <w:rFonts w:hint="eastAsia" w:cs="宋体"/>
          <w:color w:val="auto"/>
          <w:sz w:val="21"/>
          <w:highlight w:val="none"/>
          <w:lang w:eastAsia="zh-CN"/>
        </w:rPr>
        <w:t>实行</w:t>
      </w:r>
      <w:r>
        <w:rPr>
          <w:rFonts w:hint="eastAsia" w:cs="宋体"/>
          <w:color w:val="auto"/>
          <w:sz w:val="21"/>
          <w:highlight w:val="none"/>
        </w:rPr>
        <w:t>总包代发制度的，总包单位与分包单位签订委托工资支付协议。</w:t>
      </w:r>
      <w:r>
        <w:rPr>
          <w:rFonts w:cs="宋体"/>
          <w:color w:val="auto"/>
          <w:sz w:val="21"/>
          <w:highlight w:val="none"/>
        </w:rPr>
        <w:t xml:space="preserve"> </w:t>
      </w:r>
    </w:p>
    <w:p w14:paraId="2CAE0F60">
      <w:pPr>
        <w:pStyle w:val="80"/>
        <w:spacing w:line="480" w:lineRule="exact"/>
        <w:rPr>
          <w:rFonts w:hint="eastAsia" w:cs="宋体"/>
          <w:color w:val="auto"/>
          <w:sz w:val="21"/>
          <w:highlight w:val="none"/>
        </w:rPr>
      </w:pPr>
      <w:r>
        <w:rPr>
          <w:rFonts w:cs="宋体"/>
          <w:color w:val="auto"/>
          <w:sz w:val="21"/>
          <w:highlight w:val="none"/>
        </w:rPr>
        <w:t>5</w:t>
      </w:r>
      <w:r>
        <w:rPr>
          <w:rFonts w:hint="eastAsia" w:cs="宋体"/>
          <w:color w:val="auto"/>
          <w:sz w:val="21"/>
          <w:highlight w:val="none"/>
        </w:rPr>
        <w:t>）凡未向付款单位提供农民工工资专用账户的，或者请款单位在申请工程进度款时未将人工费单列的，付款单位有权拒绝支付工程进度款。</w:t>
      </w:r>
    </w:p>
    <w:p w14:paraId="2C90A381">
      <w:pPr>
        <w:pStyle w:val="80"/>
        <w:spacing w:line="480" w:lineRule="exact"/>
        <w:rPr>
          <w:rFonts w:hint="eastAsia" w:cs="宋体"/>
          <w:color w:val="auto"/>
          <w:sz w:val="21"/>
          <w:highlight w:val="none"/>
        </w:rPr>
      </w:pPr>
      <w:r>
        <w:rPr>
          <w:rFonts w:cs="宋体"/>
          <w:color w:val="auto"/>
          <w:sz w:val="21"/>
          <w:highlight w:val="none"/>
        </w:rPr>
        <w:t>6</w:t>
      </w:r>
      <w:r>
        <w:rPr>
          <w:rFonts w:hint="eastAsia" w:cs="宋体"/>
          <w:color w:val="auto"/>
          <w:sz w:val="21"/>
          <w:highlight w:val="none"/>
        </w:rPr>
        <w:t>）人工费使用要求：专款专用，除发放农民工工资外，不得用于其他用途。</w:t>
      </w:r>
    </w:p>
    <w:p w14:paraId="43DD463C">
      <w:pPr>
        <w:pStyle w:val="80"/>
        <w:spacing w:line="480" w:lineRule="exact"/>
        <w:rPr>
          <w:rFonts w:hint="eastAsia" w:cs="宋体"/>
          <w:color w:val="auto"/>
          <w:sz w:val="21"/>
          <w:highlight w:val="none"/>
        </w:rPr>
      </w:pPr>
      <w:r>
        <w:rPr>
          <w:rFonts w:cs="宋体"/>
          <w:color w:val="auto"/>
          <w:sz w:val="21"/>
          <w:highlight w:val="none"/>
        </w:rPr>
        <w:t>7</w:t>
      </w:r>
      <w:r>
        <w:rPr>
          <w:rFonts w:hint="eastAsia" w:cs="宋体"/>
          <w:color w:val="auto"/>
          <w:sz w:val="21"/>
          <w:highlight w:val="none"/>
        </w:rPr>
        <w:t>）承包人将人工费支付情况定期报告发包人和监理单位，并提供相应的材料接受建设行政主管部门和劳动保障行政主管部门对此事项监管。</w:t>
      </w:r>
    </w:p>
    <w:p w14:paraId="1ADC3262">
      <w:pPr>
        <w:pStyle w:val="80"/>
        <w:spacing w:line="480" w:lineRule="exact"/>
        <w:rPr>
          <w:rFonts w:hint="eastAsia" w:cs="宋体"/>
          <w:color w:val="auto"/>
          <w:highlight w:val="none"/>
        </w:rPr>
      </w:pPr>
      <w:r>
        <w:rPr>
          <w:rFonts w:cs="宋体"/>
          <w:color w:val="auto"/>
          <w:sz w:val="21"/>
          <w:highlight w:val="none"/>
        </w:rPr>
        <w:t>8</w:t>
      </w:r>
      <w:r>
        <w:rPr>
          <w:rFonts w:hint="eastAsia" w:cs="宋体"/>
          <w:color w:val="auto"/>
          <w:sz w:val="21"/>
          <w:highlight w:val="none"/>
        </w:rPr>
        <w:t>）人工费支付专用账户：××××公司农民工工资支付专用账户。账号</w:t>
      </w:r>
      <w:r>
        <w:rPr>
          <w:rFonts w:hint="eastAsia" w:cs="宋体"/>
          <w:color w:val="auto"/>
          <w:highlight w:val="none"/>
        </w:rPr>
        <w:t>：</w:t>
      </w:r>
      <w:r>
        <w:rPr>
          <w:rFonts w:cs="宋体"/>
          <w:color w:val="auto"/>
          <w:highlight w:val="none"/>
          <w:u w:val="single"/>
        </w:rPr>
        <w:t xml:space="preserve">  </w:t>
      </w:r>
      <w:r>
        <w:rPr>
          <w:rFonts w:hint="eastAsia" w:cs="宋体"/>
          <w:color w:val="auto"/>
          <w:highlight w:val="none"/>
          <w:u w:val="single"/>
        </w:rPr>
        <w:t></w:t>
      </w:r>
      <w:r>
        <w:rPr>
          <w:rFonts w:cs="宋体"/>
          <w:color w:val="auto"/>
          <w:highlight w:val="none"/>
          <w:u w:val="single"/>
        </w:rPr>
        <w:t xml:space="preserve">         </w:t>
      </w:r>
      <w:r>
        <w:rPr>
          <w:rFonts w:hint="eastAsia" w:cs="宋体"/>
          <w:color w:val="auto"/>
          <w:highlight w:val="none"/>
        </w:rPr>
        <w:t>。</w:t>
      </w:r>
    </w:p>
    <w:p w14:paraId="0C859120">
      <w:pPr>
        <w:pStyle w:val="80"/>
        <w:spacing w:line="480" w:lineRule="exact"/>
        <w:rPr>
          <w:rFonts w:hint="eastAsia" w:cs="宋体"/>
          <w:color w:val="auto"/>
          <w:sz w:val="21"/>
          <w:highlight w:val="none"/>
        </w:rPr>
      </w:pPr>
      <w:r>
        <w:rPr>
          <w:rFonts w:hint="eastAsia" w:cs="宋体"/>
          <w:color w:val="auto"/>
          <w:sz w:val="21"/>
          <w:highlight w:val="none"/>
        </w:rPr>
        <w:t>12.4.6 支付分解表的编制</w:t>
      </w:r>
    </w:p>
    <w:p w14:paraId="7B1D42F3">
      <w:pPr>
        <w:pStyle w:val="80"/>
        <w:spacing w:line="480" w:lineRule="exact"/>
        <w:rPr>
          <w:rFonts w:hint="eastAsia" w:cs="宋体"/>
          <w:color w:val="auto"/>
          <w:sz w:val="21"/>
          <w:highlight w:val="none"/>
        </w:rPr>
      </w:pPr>
      <w:r>
        <w:rPr>
          <w:rFonts w:hint="eastAsia" w:cs="宋体"/>
          <w:color w:val="auto"/>
          <w:sz w:val="21"/>
          <w:highlight w:val="none"/>
          <w:lang w:eastAsia="zh-CN"/>
        </w:rPr>
        <w:t>2.</w:t>
      </w:r>
      <w:r>
        <w:rPr>
          <w:rFonts w:hint="eastAsia" w:cs="宋体"/>
          <w:color w:val="auto"/>
          <w:sz w:val="21"/>
          <w:highlight w:val="none"/>
        </w:rPr>
        <w:t>总价合同支付分解表的编制与审批：</w:t>
      </w:r>
      <w:r>
        <w:rPr>
          <w:rFonts w:hint="eastAsia" w:cs="宋体"/>
          <w:color w:val="auto"/>
          <w:sz w:val="21"/>
          <w:highlight w:val="none"/>
          <w:u w:val="single"/>
        </w:rPr>
        <w:t xml:space="preserve">    无   </w:t>
      </w:r>
      <w:r>
        <w:rPr>
          <w:rFonts w:hint="eastAsia" w:cs="宋体"/>
          <w:color w:val="auto"/>
          <w:sz w:val="21"/>
          <w:highlight w:val="none"/>
        </w:rPr>
        <w:t>。</w:t>
      </w:r>
    </w:p>
    <w:p w14:paraId="2C9E6BAD">
      <w:pPr>
        <w:pStyle w:val="80"/>
        <w:spacing w:line="480" w:lineRule="exact"/>
        <w:rPr>
          <w:rFonts w:hint="eastAsia" w:cs="宋体"/>
          <w:color w:val="auto"/>
          <w:sz w:val="21"/>
          <w:highlight w:val="none"/>
        </w:rPr>
      </w:pPr>
      <w:r>
        <w:rPr>
          <w:rFonts w:hint="eastAsia" w:cs="宋体"/>
          <w:color w:val="auto"/>
          <w:sz w:val="21"/>
          <w:highlight w:val="none"/>
          <w:lang w:eastAsia="zh-CN"/>
        </w:rPr>
        <w:t>3.</w:t>
      </w:r>
      <w:r>
        <w:rPr>
          <w:rFonts w:hint="eastAsia" w:cs="宋体"/>
          <w:color w:val="auto"/>
          <w:sz w:val="21"/>
          <w:highlight w:val="none"/>
        </w:rPr>
        <w:t>单价合同的总价项目支付分解表的编制与审批：</w:t>
      </w:r>
      <w:r>
        <w:rPr>
          <w:rFonts w:hint="eastAsia" w:cs="宋体"/>
          <w:color w:val="auto"/>
          <w:sz w:val="21"/>
          <w:highlight w:val="none"/>
          <w:u w:val="single"/>
        </w:rPr>
        <w:t xml:space="preserve">    按支付方式      </w:t>
      </w:r>
      <w:r>
        <w:rPr>
          <w:rFonts w:hint="eastAsia" w:cs="宋体"/>
          <w:color w:val="auto"/>
          <w:sz w:val="21"/>
          <w:highlight w:val="none"/>
        </w:rPr>
        <w:t>。</w:t>
      </w:r>
    </w:p>
    <w:bookmarkEnd w:id="1134"/>
    <w:p w14:paraId="54958804">
      <w:pPr>
        <w:pStyle w:val="322"/>
        <w:spacing w:line="480" w:lineRule="exact"/>
        <w:rPr>
          <w:rFonts w:hint="eastAsia" w:ascii="宋体" w:cs="宋体"/>
          <w:color w:val="auto"/>
          <w:highlight w:val="none"/>
        </w:rPr>
      </w:pPr>
      <w:bookmarkStart w:id="1341" w:name="_Toc417904336"/>
      <w:bookmarkStart w:id="1342" w:name="_Toc478389250"/>
      <w:bookmarkStart w:id="1343" w:name="_Toc351203645"/>
      <w:bookmarkStart w:id="1344" w:name="_Toc292559929"/>
      <w:bookmarkStart w:id="1345" w:name="_Toc297048405"/>
      <w:bookmarkStart w:id="1346" w:name="_Toc297123564"/>
      <w:bookmarkStart w:id="1347" w:name="_Toc300935015"/>
      <w:bookmarkStart w:id="1348" w:name="_Toc292559424"/>
      <w:bookmarkStart w:id="1349" w:name="_Toc296891259"/>
      <w:bookmarkStart w:id="1350" w:name="_Toc296347218"/>
      <w:bookmarkStart w:id="1351" w:name="_Toc297120519"/>
      <w:bookmarkStart w:id="1352" w:name="_Toc303539172"/>
      <w:bookmarkStart w:id="1353" w:name="_Toc297216223"/>
      <w:bookmarkStart w:id="1354" w:name="_Toc312678053"/>
      <w:bookmarkStart w:id="1355" w:name="_Toc296891047"/>
      <w:bookmarkStart w:id="1356" w:name="_Toc296944558"/>
      <w:bookmarkStart w:id="1357" w:name="_Toc296503219"/>
      <w:bookmarkStart w:id="1358" w:name="_Toc304295593"/>
      <w:bookmarkStart w:id="1359" w:name="_Toc296346720"/>
      <w:r>
        <w:rPr>
          <w:rFonts w:hint="eastAsia" w:ascii="宋体" w:cs="宋体"/>
          <w:color w:val="auto"/>
          <w:highlight w:val="none"/>
        </w:rPr>
        <w:t>13. 验收</w:t>
      </w:r>
      <w:bookmarkEnd w:id="1341"/>
      <w:bookmarkEnd w:id="1342"/>
      <w:bookmarkEnd w:id="1343"/>
    </w:p>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p w14:paraId="078FD5D3">
      <w:pPr>
        <w:pStyle w:val="322"/>
        <w:spacing w:line="480" w:lineRule="exact"/>
        <w:rPr>
          <w:rFonts w:hint="eastAsia" w:ascii="宋体" w:cs="宋体"/>
          <w:color w:val="auto"/>
          <w:highlight w:val="none"/>
        </w:rPr>
      </w:pPr>
      <w:bookmarkStart w:id="1360" w:name="_Toc417904337"/>
      <w:bookmarkStart w:id="1361" w:name="_Toc478389251"/>
      <w:r>
        <w:rPr>
          <w:rFonts w:hint="eastAsia" w:ascii="宋体" w:cs="宋体"/>
          <w:color w:val="auto"/>
          <w:highlight w:val="none"/>
        </w:rPr>
        <w:t>13.1 分部分项工程验收</w:t>
      </w:r>
      <w:bookmarkEnd w:id="1360"/>
      <w:bookmarkEnd w:id="1361"/>
    </w:p>
    <w:p w14:paraId="340AC75C">
      <w:pPr>
        <w:pStyle w:val="80"/>
        <w:spacing w:line="480" w:lineRule="exact"/>
        <w:rPr>
          <w:rFonts w:hint="eastAsia" w:cs="宋体"/>
          <w:color w:val="auto"/>
          <w:sz w:val="21"/>
          <w:highlight w:val="none"/>
        </w:rPr>
      </w:pPr>
      <w:r>
        <w:rPr>
          <w:rFonts w:hint="eastAsia" w:cs="宋体"/>
          <w:color w:val="auto"/>
          <w:sz w:val="21"/>
          <w:highlight w:val="none"/>
        </w:rPr>
        <w:t>13.1.2监理人不能按时进行验收时，应提前</w:t>
      </w:r>
      <w:r>
        <w:rPr>
          <w:rFonts w:hint="eastAsia" w:cs="宋体"/>
          <w:color w:val="auto"/>
          <w:sz w:val="21"/>
          <w:highlight w:val="none"/>
          <w:u w:val="single"/>
        </w:rPr>
        <w:t xml:space="preserve">  24   </w:t>
      </w:r>
      <w:r>
        <w:rPr>
          <w:rFonts w:hint="eastAsia" w:cs="宋体"/>
          <w:color w:val="auto"/>
          <w:sz w:val="21"/>
          <w:highlight w:val="none"/>
        </w:rPr>
        <w:t>小时提交书面延期要求。</w:t>
      </w:r>
    </w:p>
    <w:p w14:paraId="1C8EE7BF">
      <w:pPr>
        <w:pStyle w:val="80"/>
        <w:spacing w:line="480" w:lineRule="exact"/>
        <w:rPr>
          <w:rFonts w:hint="eastAsia" w:cs="宋体"/>
          <w:b/>
          <w:color w:val="auto"/>
          <w:sz w:val="21"/>
          <w:highlight w:val="none"/>
        </w:rPr>
      </w:pPr>
      <w:r>
        <w:rPr>
          <w:rFonts w:hint="eastAsia" w:cs="宋体"/>
          <w:color w:val="auto"/>
          <w:sz w:val="21"/>
          <w:highlight w:val="none"/>
        </w:rPr>
        <w:t>关于延期最长不得超过：</w:t>
      </w:r>
      <w:r>
        <w:rPr>
          <w:rFonts w:hint="eastAsia" w:cs="宋体"/>
          <w:color w:val="auto"/>
          <w:sz w:val="21"/>
          <w:highlight w:val="none"/>
          <w:u w:val="single"/>
        </w:rPr>
        <w:t xml:space="preserve">    48    </w:t>
      </w:r>
      <w:r>
        <w:rPr>
          <w:rFonts w:hint="eastAsia" w:cs="宋体"/>
          <w:color w:val="auto"/>
          <w:sz w:val="21"/>
          <w:highlight w:val="none"/>
        </w:rPr>
        <w:t>小时。</w:t>
      </w:r>
    </w:p>
    <w:p w14:paraId="315D3D44">
      <w:pPr>
        <w:pStyle w:val="322"/>
        <w:spacing w:line="480" w:lineRule="exact"/>
        <w:rPr>
          <w:rFonts w:hint="eastAsia" w:ascii="宋体" w:cs="宋体"/>
          <w:color w:val="auto"/>
          <w:highlight w:val="none"/>
        </w:rPr>
      </w:pPr>
      <w:bookmarkStart w:id="1362" w:name="_Toc478389252"/>
      <w:bookmarkStart w:id="1363" w:name="_Toc417904338"/>
      <w:bookmarkStart w:id="1364" w:name="_Toc304295596"/>
      <w:bookmarkStart w:id="1365" w:name="_Toc296503223"/>
      <w:bookmarkStart w:id="1366" w:name="_Toc292559428"/>
      <w:bookmarkStart w:id="1367" w:name="_Toc296891263"/>
      <w:bookmarkStart w:id="1368" w:name="_Toc296346724"/>
      <w:bookmarkStart w:id="1369" w:name="_Toc292559933"/>
      <w:bookmarkStart w:id="1370" w:name="_Toc312678056"/>
      <w:bookmarkStart w:id="1371" w:name="_Toc297216224"/>
      <w:bookmarkStart w:id="1372" w:name="_Toc296891051"/>
      <w:bookmarkStart w:id="1373" w:name="_Toc296347222"/>
      <w:bookmarkStart w:id="1374" w:name="_Toc303539173"/>
      <w:bookmarkStart w:id="1375" w:name="_Toc296944562"/>
      <w:bookmarkStart w:id="1376" w:name="_Toc300935016"/>
      <w:bookmarkStart w:id="1377" w:name="_Toc297123565"/>
      <w:bookmarkStart w:id="1378" w:name="_Toc297048409"/>
      <w:bookmarkStart w:id="1379" w:name="_Toc297120523"/>
      <w:bookmarkStart w:id="1380" w:name="_Toc267251474"/>
      <w:bookmarkStart w:id="1381" w:name="_Toc267251471"/>
      <w:bookmarkStart w:id="1382" w:name="_Toc267251475"/>
      <w:bookmarkStart w:id="1383" w:name="_Toc267251473"/>
      <w:bookmarkStart w:id="1384" w:name="_Toc267251472"/>
      <w:bookmarkStart w:id="1385" w:name="_Toc267251470"/>
      <w:bookmarkStart w:id="1386" w:name="_Toc267251476"/>
      <w:r>
        <w:rPr>
          <w:rFonts w:hint="eastAsia" w:ascii="宋体" w:cs="宋体"/>
          <w:color w:val="auto"/>
          <w:highlight w:val="none"/>
        </w:rPr>
        <w:t>13.2 竣工验收</w:t>
      </w:r>
      <w:bookmarkEnd w:id="1362"/>
      <w:bookmarkEnd w:id="1363"/>
    </w:p>
    <w:p w14:paraId="610419FD">
      <w:pPr>
        <w:pStyle w:val="80"/>
        <w:spacing w:line="480" w:lineRule="exact"/>
        <w:rPr>
          <w:rFonts w:hint="eastAsia" w:cs="宋体"/>
          <w:color w:val="auto"/>
          <w:sz w:val="21"/>
          <w:highlight w:val="none"/>
        </w:rPr>
      </w:pPr>
      <w:r>
        <w:rPr>
          <w:rFonts w:hint="eastAsia" w:cs="宋体"/>
          <w:color w:val="auto"/>
          <w:sz w:val="21"/>
          <w:highlight w:val="none"/>
        </w:rPr>
        <w:t>13.2.1竣工验收条件</w:t>
      </w:r>
    </w:p>
    <w:p w14:paraId="7565F944">
      <w:pPr>
        <w:pStyle w:val="80"/>
        <w:spacing w:line="480" w:lineRule="exact"/>
        <w:rPr>
          <w:rFonts w:hint="eastAsia" w:cs="宋体"/>
          <w:color w:val="auto"/>
          <w:sz w:val="21"/>
          <w:highlight w:val="none"/>
        </w:rPr>
      </w:pPr>
      <w:r>
        <w:rPr>
          <w:rFonts w:hint="eastAsia" w:cs="宋体"/>
          <w:color w:val="auto"/>
          <w:sz w:val="21"/>
          <w:highlight w:val="none"/>
        </w:rPr>
        <w:t>（3）承包人负责整理和提交的竣工验收资料应当符合工程所在地建设行政主管部门和（或）城市建设档案管理机构有关施工资料的要求，具体内容包括：</w:t>
      </w:r>
      <w:r>
        <w:rPr>
          <w:rFonts w:hint="eastAsia" w:cs="宋体"/>
          <w:color w:val="auto"/>
          <w:sz w:val="21"/>
          <w:highlight w:val="none"/>
          <w:u w:val="single"/>
        </w:rPr>
        <w:t>①工程具备竣工验收条件，承包人按工程竣工验收有关规定，向发包人提交符合城建档案馆归档要求内容装订成册的完整竣工资料及竣工验收报告、工程竣工图；②承包人所提交的竣工资料必须符合《建设工程文件归档整理规范》要求</w:t>
      </w:r>
      <w:r>
        <w:rPr>
          <w:rFonts w:hint="eastAsia" w:cs="宋体"/>
          <w:color w:val="auto"/>
          <w:sz w:val="21"/>
          <w:highlight w:val="none"/>
        </w:rPr>
        <w:t>。</w:t>
      </w:r>
    </w:p>
    <w:p w14:paraId="6418974B">
      <w:pPr>
        <w:pStyle w:val="80"/>
        <w:spacing w:line="480" w:lineRule="exact"/>
        <w:rPr>
          <w:rFonts w:hint="eastAsia" w:cs="宋体"/>
          <w:color w:val="auto"/>
          <w:sz w:val="21"/>
          <w:highlight w:val="none"/>
        </w:rPr>
      </w:pPr>
      <w:r>
        <w:rPr>
          <w:rFonts w:hint="eastAsia" w:cs="宋体"/>
          <w:color w:val="auto"/>
          <w:sz w:val="21"/>
          <w:highlight w:val="none"/>
        </w:rPr>
        <w:t>竣工验收资料的份数：</w:t>
      </w:r>
      <w:r>
        <w:rPr>
          <w:rFonts w:hint="eastAsia" w:cs="宋体"/>
          <w:color w:val="auto"/>
          <w:sz w:val="21"/>
          <w:highlight w:val="none"/>
          <w:u w:val="single"/>
        </w:rPr>
        <w:t xml:space="preserve">   4份     </w:t>
      </w:r>
      <w:r>
        <w:rPr>
          <w:rFonts w:hint="eastAsia" w:cs="宋体"/>
          <w:color w:val="auto"/>
          <w:sz w:val="21"/>
          <w:highlight w:val="none"/>
        </w:rPr>
        <w:t>。</w:t>
      </w:r>
    </w:p>
    <w:p w14:paraId="1E71002D">
      <w:pPr>
        <w:pStyle w:val="80"/>
        <w:spacing w:line="480" w:lineRule="exact"/>
        <w:rPr>
          <w:rFonts w:hint="eastAsia" w:cs="宋体"/>
          <w:color w:val="auto"/>
          <w:sz w:val="21"/>
          <w:highlight w:val="none"/>
        </w:rPr>
      </w:pPr>
      <w:r>
        <w:rPr>
          <w:rFonts w:hint="eastAsia" w:cs="宋体"/>
          <w:bCs/>
          <w:color w:val="auto"/>
          <w:sz w:val="21"/>
          <w:highlight w:val="none"/>
        </w:rPr>
        <w:t>承包人提供竣工图的约定：</w:t>
      </w:r>
      <w:r>
        <w:rPr>
          <w:rFonts w:hint="eastAsia" w:cs="宋体"/>
          <w:bCs/>
          <w:color w:val="auto"/>
          <w:sz w:val="21"/>
          <w:highlight w:val="none"/>
          <w:u w:val="single"/>
        </w:rPr>
        <w:t>承包人按实际工程施工提供竣工图。</w:t>
      </w:r>
    </w:p>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p w14:paraId="70206F59">
      <w:pPr>
        <w:pStyle w:val="80"/>
        <w:spacing w:line="480" w:lineRule="exact"/>
        <w:rPr>
          <w:rFonts w:hint="eastAsia" w:cs="宋体"/>
          <w:color w:val="auto"/>
          <w:sz w:val="21"/>
          <w:highlight w:val="none"/>
        </w:rPr>
      </w:pPr>
      <w:bookmarkStart w:id="1387" w:name="_Toc280868704"/>
      <w:bookmarkStart w:id="1388" w:name="_Toc280868705"/>
      <w:bookmarkStart w:id="1389" w:name="_Toc280868706"/>
      <w:bookmarkStart w:id="1390" w:name="_Toc280868707"/>
      <w:bookmarkStart w:id="1391" w:name="_Toc280868708"/>
      <w:bookmarkStart w:id="1392" w:name="_Toc280868709"/>
      <w:r>
        <w:rPr>
          <w:rFonts w:hint="eastAsia" w:cs="宋体"/>
          <w:color w:val="auto"/>
          <w:sz w:val="21"/>
          <w:highlight w:val="none"/>
        </w:rPr>
        <w:t>13.2.2竣工验收程序</w:t>
      </w:r>
    </w:p>
    <w:bookmarkEnd w:id="1387"/>
    <w:p w14:paraId="275CA198">
      <w:pPr>
        <w:pStyle w:val="80"/>
        <w:spacing w:line="480" w:lineRule="exact"/>
        <w:rPr>
          <w:rFonts w:hint="eastAsia" w:cs="宋体"/>
          <w:color w:val="auto"/>
          <w:sz w:val="21"/>
          <w:highlight w:val="none"/>
        </w:rPr>
      </w:pPr>
      <w:r>
        <w:rPr>
          <w:rFonts w:hint="eastAsia" w:cs="宋体"/>
          <w:color w:val="auto"/>
          <w:sz w:val="21"/>
          <w:highlight w:val="none"/>
        </w:rPr>
        <w:t>关于竣工验收程序的约定：</w:t>
      </w:r>
      <w:r>
        <w:rPr>
          <w:rFonts w:hint="eastAsia" w:cs="宋体"/>
          <w:color w:val="auto"/>
          <w:sz w:val="21"/>
          <w:highlight w:val="none"/>
          <w:u w:val="single"/>
        </w:rPr>
        <w:t xml:space="preserve">  </w:t>
      </w:r>
      <w:r>
        <w:rPr>
          <w:rFonts w:hint="eastAsia"/>
          <w:color w:val="auto"/>
          <w:highlight w:val="none"/>
          <w:u w:val="single"/>
        </w:rPr>
        <w:t>按国家及地方规定和规范要求</w:t>
      </w:r>
      <w:r>
        <w:rPr>
          <w:rFonts w:hint="eastAsia" w:cs="宋体"/>
          <w:color w:val="auto"/>
          <w:sz w:val="21"/>
          <w:highlight w:val="none"/>
        </w:rPr>
        <w:t>。</w:t>
      </w:r>
    </w:p>
    <w:p w14:paraId="27B00C3A">
      <w:pPr>
        <w:pStyle w:val="80"/>
        <w:spacing w:line="480" w:lineRule="exact"/>
        <w:rPr>
          <w:rFonts w:hint="eastAsia" w:cs="宋体"/>
          <w:color w:val="auto"/>
          <w:sz w:val="21"/>
          <w:highlight w:val="none"/>
        </w:rPr>
      </w:pPr>
      <w:r>
        <w:rPr>
          <w:rFonts w:hint="eastAsia" w:cs="宋体"/>
          <w:color w:val="auto"/>
          <w:sz w:val="21"/>
          <w:highlight w:val="none"/>
        </w:rPr>
        <w:t>发包人不按照本项约定组织竣工验收、颁发工程验收证书的违约金的计算方法：</w:t>
      </w:r>
      <w:r>
        <w:rPr>
          <w:rFonts w:hint="eastAsia" w:cs="宋体"/>
          <w:color w:val="auto"/>
          <w:sz w:val="21"/>
          <w:highlight w:val="none"/>
          <w:u w:val="single"/>
        </w:rPr>
        <w:t xml:space="preserve"> 无</w:t>
      </w:r>
      <w:r>
        <w:rPr>
          <w:rFonts w:hint="eastAsia" w:cs="宋体"/>
          <w:color w:val="auto"/>
          <w:sz w:val="21"/>
          <w:highlight w:val="none"/>
        </w:rPr>
        <w:t>。</w:t>
      </w:r>
    </w:p>
    <w:bookmarkEnd w:id="1388"/>
    <w:p w14:paraId="27D1D5E7">
      <w:pPr>
        <w:pStyle w:val="80"/>
        <w:spacing w:line="480" w:lineRule="exact"/>
        <w:rPr>
          <w:rFonts w:hint="eastAsia" w:cs="宋体"/>
          <w:color w:val="auto"/>
          <w:sz w:val="21"/>
          <w:highlight w:val="none"/>
        </w:rPr>
      </w:pPr>
      <w:r>
        <w:rPr>
          <w:rFonts w:hint="eastAsia" w:cs="宋体"/>
          <w:color w:val="auto"/>
          <w:sz w:val="21"/>
          <w:highlight w:val="none"/>
        </w:rPr>
        <w:t>13.2.5移交、接收全部与部分工程</w:t>
      </w:r>
    </w:p>
    <w:bookmarkEnd w:id="1389"/>
    <w:p w14:paraId="3807C7AD">
      <w:pPr>
        <w:pStyle w:val="80"/>
        <w:spacing w:line="480" w:lineRule="exact"/>
        <w:rPr>
          <w:rFonts w:hint="eastAsia" w:cs="宋体"/>
          <w:color w:val="auto"/>
          <w:sz w:val="21"/>
          <w:highlight w:val="none"/>
        </w:rPr>
      </w:pPr>
      <w:r>
        <w:rPr>
          <w:rFonts w:hint="eastAsia" w:cs="宋体"/>
          <w:color w:val="auto"/>
          <w:sz w:val="21"/>
          <w:highlight w:val="none"/>
        </w:rPr>
        <w:t>承包人向发包人移交工程的期限：</w:t>
      </w:r>
      <w:r>
        <w:rPr>
          <w:rFonts w:hint="eastAsia" w:cs="宋体"/>
          <w:color w:val="auto"/>
          <w:sz w:val="21"/>
          <w:highlight w:val="none"/>
          <w:u w:val="single"/>
        </w:rPr>
        <w:t xml:space="preserve">  竣工验收后7天内   </w:t>
      </w:r>
      <w:r>
        <w:rPr>
          <w:rFonts w:hint="eastAsia" w:cs="宋体"/>
          <w:color w:val="auto"/>
          <w:sz w:val="21"/>
          <w:highlight w:val="none"/>
        </w:rPr>
        <w:t>。</w:t>
      </w:r>
    </w:p>
    <w:p w14:paraId="1D83F9A3">
      <w:pPr>
        <w:pStyle w:val="80"/>
        <w:spacing w:line="480" w:lineRule="exact"/>
        <w:rPr>
          <w:rFonts w:hint="eastAsia" w:cs="宋体"/>
          <w:color w:val="auto"/>
          <w:sz w:val="21"/>
          <w:highlight w:val="none"/>
          <w:u w:val="single"/>
        </w:rPr>
      </w:pPr>
      <w:r>
        <w:rPr>
          <w:rFonts w:hint="eastAsia" w:cs="宋体"/>
          <w:color w:val="auto"/>
          <w:sz w:val="21"/>
          <w:highlight w:val="none"/>
        </w:rPr>
        <w:t>发包人未按本合同约定接收全部或部分工程的，违约金的计算方法为：</w:t>
      </w:r>
      <w:r>
        <w:rPr>
          <w:rFonts w:hint="eastAsia" w:cs="宋体"/>
          <w:color w:val="auto"/>
          <w:sz w:val="21"/>
          <w:highlight w:val="none"/>
          <w:u w:val="single"/>
        </w:rPr>
        <w:t xml:space="preserve"> 按延期工程造价万分之二，最高限额为延期工程造价2%　 </w:t>
      </w:r>
      <w:r>
        <w:rPr>
          <w:rFonts w:hint="eastAsia" w:cs="宋体"/>
          <w:color w:val="auto"/>
          <w:sz w:val="21"/>
          <w:highlight w:val="none"/>
        </w:rPr>
        <w:t>。</w:t>
      </w:r>
    </w:p>
    <w:bookmarkEnd w:id="1390"/>
    <w:p w14:paraId="6B0CA81F">
      <w:pPr>
        <w:pStyle w:val="80"/>
        <w:spacing w:line="480" w:lineRule="exact"/>
        <w:rPr>
          <w:rFonts w:hint="eastAsia" w:cs="宋体"/>
          <w:color w:val="auto"/>
          <w:sz w:val="21"/>
          <w:highlight w:val="none"/>
        </w:rPr>
      </w:pPr>
      <w:r>
        <w:rPr>
          <w:rFonts w:hint="eastAsia" w:cs="宋体"/>
          <w:color w:val="auto"/>
          <w:sz w:val="21"/>
          <w:highlight w:val="none"/>
        </w:rPr>
        <w:t>承包人未按时移交工程的，违约金的计算方法为：</w:t>
      </w:r>
      <w:r>
        <w:rPr>
          <w:rFonts w:hint="eastAsia" w:cs="宋体"/>
          <w:color w:val="auto"/>
          <w:sz w:val="21"/>
          <w:highlight w:val="none"/>
          <w:u w:val="single"/>
        </w:rPr>
        <w:t xml:space="preserve">按延期工程造价万分之四，最高限额为延期工程造价2%   </w:t>
      </w:r>
      <w:r>
        <w:rPr>
          <w:rFonts w:hint="eastAsia" w:cs="宋体"/>
          <w:color w:val="auto"/>
          <w:sz w:val="21"/>
          <w:highlight w:val="none"/>
        </w:rPr>
        <w:t>。</w:t>
      </w:r>
    </w:p>
    <w:bookmarkEnd w:id="1391"/>
    <w:p w14:paraId="5F9A9928">
      <w:pPr>
        <w:pStyle w:val="322"/>
        <w:spacing w:line="480" w:lineRule="exact"/>
        <w:rPr>
          <w:rFonts w:hint="eastAsia" w:ascii="宋体" w:cs="宋体"/>
          <w:color w:val="auto"/>
          <w:highlight w:val="none"/>
        </w:rPr>
      </w:pPr>
      <w:bookmarkStart w:id="1393" w:name="_Toc417904342"/>
      <w:bookmarkStart w:id="1394" w:name="_Toc478389253"/>
      <w:r>
        <w:rPr>
          <w:rFonts w:hint="eastAsia" w:ascii="宋体" w:cs="宋体"/>
          <w:color w:val="auto"/>
          <w:highlight w:val="none"/>
        </w:rPr>
        <w:t>13.6 竣工退场</w:t>
      </w:r>
      <w:bookmarkEnd w:id="1393"/>
      <w:bookmarkEnd w:id="1394"/>
    </w:p>
    <w:p w14:paraId="48F282F3">
      <w:pPr>
        <w:pStyle w:val="80"/>
        <w:spacing w:line="480" w:lineRule="exact"/>
        <w:rPr>
          <w:rFonts w:hint="eastAsia" w:cs="宋体"/>
          <w:color w:val="auto"/>
          <w:sz w:val="21"/>
          <w:highlight w:val="none"/>
        </w:rPr>
      </w:pPr>
      <w:r>
        <w:rPr>
          <w:rFonts w:hint="eastAsia" w:cs="宋体"/>
          <w:color w:val="auto"/>
          <w:sz w:val="21"/>
          <w:highlight w:val="none"/>
        </w:rPr>
        <w:t>13.6.1 竣工退场</w:t>
      </w:r>
    </w:p>
    <w:p w14:paraId="1A9681F1">
      <w:pPr>
        <w:spacing w:line="480" w:lineRule="exact"/>
        <w:ind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rPr>
        <w:t>承包人完成竣工退场的期限：</w:t>
      </w:r>
      <w:r>
        <w:rPr>
          <w:rFonts w:hint="eastAsia" w:ascii="宋体" w:hAnsi="宋体" w:cs="宋体"/>
          <w:color w:val="auto"/>
          <w:szCs w:val="21"/>
          <w:highlight w:val="none"/>
        </w:rPr>
        <w:t>承包人按照通用合同条款</w:t>
      </w:r>
      <w:r>
        <w:rPr>
          <w:rFonts w:hint="eastAsia" w:ascii="宋体" w:hAnsi="宋体" w:cs="宋体"/>
          <w:color w:val="auto"/>
          <w:szCs w:val="21"/>
          <w:highlight w:val="none"/>
          <w:lang w:eastAsia="zh-CN"/>
        </w:rPr>
        <w:t>规</w:t>
      </w:r>
      <w:r>
        <w:rPr>
          <w:rFonts w:hint="eastAsia" w:ascii="宋体" w:hAnsi="宋体" w:cs="宋体"/>
          <w:color w:val="auto"/>
          <w:szCs w:val="21"/>
          <w:highlight w:val="none"/>
        </w:rPr>
        <w:t>定撤离施工场地（现场）时，监理人和承包人应当办理永久工程和施工场地移交手续，移交手续以书面方式出具，并分别经过发包人、监理人和承包人的签认。</w:t>
      </w:r>
    </w:p>
    <w:p w14:paraId="1B03AFFA">
      <w:pPr>
        <w:pStyle w:val="80"/>
        <w:spacing w:line="480" w:lineRule="exact"/>
        <w:rPr>
          <w:rFonts w:hint="eastAsia" w:cs="宋体"/>
          <w:color w:val="auto"/>
          <w:sz w:val="21"/>
          <w:highlight w:val="none"/>
        </w:rPr>
      </w:pPr>
      <w:r>
        <w:rPr>
          <w:rFonts w:hint="eastAsia" w:cs="宋体"/>
          <w:color w:val="auto"/>
          <w:sz w:val="21"/>
          <w:highlight w:val="none"/>
        </w:rPr>
        <w:t>缺陷责任期满时，承包人可以继续在施工场地保留的人员和施工设备以及最终撤离的期限：</w:t>
      </w:r>
      <w:r>
        <w:rPr>
          <w:rFonts w:hint="eastAsia" w:cs="宋体"/>
          <w:color w:val="auto"/>
          <w:sz w:val="21"/>
          <w:highlight w:val="none"/>
          <w:u w:val="single"/>
        </w:rPr>
        <w:t xml:space="preserve">同通用条款 </w:t>
      </w:r>
      <w:r>
        <w:rPr>
          <w:rFonts w:hint="eastAsia" w:cs="宋体"/>
          <w:color w:val="auto"/>
          <w:sz w:val="21"/>
          <w:highlight w:val="none"/>
        </w:rPr>
        <w:t>。</w:t>
      </w:r>
    </w:p>
    <w:p w14:paraId="7782D0D9">
      <w:pPr>
        <w:pStyle w:val="322"/>
        <w:spacing w:line="480" w:lineRule="exact"/>
        <w:rPr>
          <w:rFonts w:hint="eastAsia" w:ascii="宋体" w:cs="宋体"/>
          <w:color w:val="auto"/>
          <w:highlight w:val="none"/>
        </w:rPr>
      </w:pPr>
      <w:bookmarkStart w:id="1395" w:name="_Toc351203646"/>
      <w:bookmarkStart w:id="1396" w:name="_Toc417904343"/>
      <w:bookmarkStart w:id="1397" w:name="_Toc478389254"/>
      <w:r>
        <w:rPr>
          <w:rFonts w:hint="eastAsia" w:ascii="宋体" w:cs="宋体"/>
          <w:color w:val="auto"/>
          <w:highlight w:val="none"/>
        </w:rPr>
        <w:t>14. 竣工结算</w:t>
      </w:r>
      <w:bookmarkEnd w:id="1395"/>
      <w:bookmarkEnd w:id="1396"/>
      <w:bookmarkEnd w:id="1397"/>
    </w:p>
    <w:p w14:paraId="70931C86">
      <w:pPr>
        <w:pStyle w:val="322"/>
        <w:spacing w:line="480" w:lineRule="exact"/>
        <w:rPr>
          <w:rFonts w:hint="eastAsia" w:ascii="宋体" w:cs="宋体"/>
          <w:color w:val="auto"/>
          <w:highlight w:val="none"/>
        </w:rPr>
      </w:pPr>
      <w:bookmarkStart w:id="1398" w:name="_Toc417904344"/>
      <w:bookmarkStart w:id="1399" w:name="_Toc478389255"/>
      <w:r>
        <w:rPr>
          <w:rFonts w:hint="eastAsia" w:ascii="宋体" w:cs="宋体"/>
          <w:color w:val="auto"/>
          <w:highlight w:val="none"/>
        </w:rPr>
        <w:t>14.1 竣工结算申请</w:t>
      </w:r>
      <w:bookmarkEnd w:id="1398"/>
      <w:bookmarkEnd w:id="1399"/>
    </w:p>
    <w:p w14:paraId="56BA3F15">
      <w:pPr>
        <w:pStyle w:val="80"/>
        <w:spacing w:line="480" w:lineRule="exact"/>
        <w:rPr>
          <w:rFonts w:hint="eastAsia" w:cs="宋体"/>
          <w:color w:val="auto"/>
          <w:sz w:val="21"/>
          <w:highlight w:val="none"/>
        </w:rPr>
      </w:pPr>
      <w:r>
        <w:rPr>
          <w:rFonts w:hint="eastAsia" w:cs="宋体"/>
          <w:color w:val="auto"/>
          <w:sz w:val="21"/>
          <w:highlight w:val="none"/>
        </w:rPr>
        <w:t>承包人提交竣工结算申请单的期限：</w:t>
      </w:r>
      <w:r>
        <w:rPr>
          <w:rFonts w:hint="eastAsia" w:cs="宋体"/>
          <w:color w:val="auto"/>
          <w:sz w:val="21"/>
          <w:highlight w:val="none"/>
          <w:u w:val="single"/>
        </w:rPr>
        <w:t xml:space="preserve">  28天内 </w:t>
      </w:r>
      <w:r>
        <w:rPr>
          <w:rFonts w:hint="eastAsia" w:cs="宋体"/>
          <w:color w:val="auto"/>
          <w:sz w:val="21"/>
          <w:highlight w:val="none"/>
        </w:rPr>
        <w:t>。</w:t>
      </w:r>
    </w:p>
    <w:p w14:paraId="4212F2F4">
      <w:pPr>
        <w:pStyle w:val="80"/>
        <w:spacing w:line="480" w:lineRule="exact"/>
        <w:rPr>
          <w:rFonts w:hint="eastAsia" w:cs="宋体"/>
          <w:color w:val="auto"/>
          <w:sz w:val="21"/>
          <w:highlight w:val="none"/>
        </w:rPr>
      </w:pPr>
      <w:r>
        <w:rPr>
          <w:rFonts w:hint="eastAsia" w:cs="宋体"/>
          <w:color w:val="auto"/>
          <w:sz w:val="21"/>
          <w:highlight w:val="none"/>
        </w:rPr>
        <w:t>竣工结算申请单应包括的内容：</w:t>
      </w:r>
      <w:r>
        <w:rPr>
          <w:rFonts w:hint="eastAsia" w:cs="宋体"/>
          <w:color w:val="auto"/>
          <w:sz w:val="21"/>
          <w:highlight w:val="none"/>
          <w:u w:val="single"/>
        </w:rPr>
        <w:t xml:space="preserve">    已竣工完成的工程量  </w:t>
      </w:r>
      <w:r>
        <w:rPr>
          <w:rFonts w:hint="eastAsia" w:cs="宋体"/>
          <w:color w:val="auto"/>
          <w:sz w:val="21"/>
          <w:highlight w:val="none"/>
        </w:rPr>
        <w:t>。</w:t>
      </w:r>
    </w:p>
    <w:p w14:paraId="6BFF4AD0">
      <w:pPr>
        <w:pStyle w:val="322"/>
        <w:rPr>
          <w:rFonts w:hint="eastAsia" w:ascii="宋体" w:cs="宋体"/>
          <w:color w:val="auto"/>
          <w:highlight w:val="none"/>
        </w:rPr>
      </w:pPr>
      <w:bookmarkStart w:id="1400" w:name="_Toc417904345"/>
      <w:bookmarkStart w:id="1401" w:name="_Toc478389256"/>
      <w:r>
        <w:rPr>
          <w:rFonts w:hint="eastAsia" w:ascii="宋体" w:cs="宋体"/>
          <w:color w:val="auto"/>
          <w:highlight w:val="none"/>
        </w:rPr>
        <w:t>14.2 竣工结算审核</w:t>
      </w:r>
      <w:bookmarkEnd w:id="1400"/>
      <w:bookmarkEnd w:id="1401"/>
    </w:p>
    <w:p w14:paraId="3BE5F50A">
      <w:pPr>
        <w:pStyle w:val="238"/>
        <w:spacing w:line="39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（1）本工程最终竣工结算需报审计部门审定，承包人所编制的工程竣工资料经发包人审核后，送到审计部门之日起，承包人所遗漏的与工程造价有关的资料不再作为结算审核依据，按自动放弃处理。</w:t>
      </w:r>
    </w:p>
    <w:p w14:paraId="7FF654A0">
      <w:pPr>
        <w:pStyle w:val="238"/>
        <w:spacing w:line="39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（2）如承包人报送的工程结算总价过高，造成该结算审减率超过6%以上的，则超出6%以上部分的审核费由承包人承担，费用由发包人从承包人工程结算款中扣除。审减率=（送审造价-审定造价）/送审造价*100%。</w:t>
      </w:r>
    </w:p>
    <w:p w14:paraId="28196FB8">
      <w:pPr>
        <w:pStyle w:val="238"/>
        <w:spacing w:line="39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（3）发包人竣工结算报告审查时间</w:t>
      </w:r>
    </w:p>
    <w:tbl>
      <w:tblPr>
        <w:tblStyle w:val="47"/>
        <w:tblW w:w="0" w:type="auto"/>
        <w:tblInd w:w="1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1"/>
        <w:gridCol w:w="2835"/>
        <w:gridCol w:w="5245"/>
      </w:tblGrid>
      <w:tr w14:paraId="66F9F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1" w:type="dxa"/>
            <w:tcBorders>
              <w:top w:val="single" w:color="auto" w:sz="4" w:space="0"/>
              <w:left w:val="single" w:color="auto" w:sz="4" w:space="0"/>
              <w:bottom w:val="single" w:color="auto" w:sz="4" w:space="0"/>
              <w:right w:val="single" w:color="auto" w:sz="4" w:space="0"/>
            </w:tcBorders>
          </w:tcPr>
          <w:p w14:paraId="72DFA767">
            <w:pPr>
              <w:pStyle w:val="238"/>
              <w:spacing w:line="390" w:lineRule="exact"/>
              <w:ind w:right="-105" w:rightChars="-50"/>
              <w:rPr>
                <w:rFonts w:hint="eastAsia" w:ascii="宋体" w:hAnsi="宋体" w:cs="宋体"/>
                <w:bCs/>
                <w:color w:val="auto"/>
                <w:szCs w:val="21"/>
                <w:highlight w:val="none"/>
              </w:rPr>
            </w:pPr>
          </w:p>
        </w:tc>
        <w:tc>
          <w:tcPr>
            <w:tcW w:w="2835" w:type="dxa"/>
            <w:tcBorders>
              <w:top w:val="single" w:color="auto" w:sz="4" w:space="0"/>
              <w:left w:val="single" w:color="auto" w:sz="4" w:space="0"/>
              <w:bottom w:val="single" w:color="auto" w:sz="4" w:space="0"/>
              <w:right w:val="single" w:color="auto" w:sz="4" w:space="0"/>
            </w:tcBorders>
          </w:tcPr>
          <w:p w14:paraId="09261827">
            <w:pPr>
              <w:pStyle w:val="238"/>
              <w:spacing w:line="390" w:lineRule="exact"/>
              <w:ind w:right="-105" w:rightChars="-50"/>
              <w:jc w:val="center"/>
              <w:rPr>
                <w:rFonts w:hint="eastAsia" w:ascii="宋体" w:hAnsi="宋体" w:cs="宋体"/>
                <w:bCs/>
                <w:color w:val="auto"/>
                <w:szCs w:val="21"/>
                <w:highlight w:val="none"/>
              </w:rPr>
            </w:pPr>
            <w:r>
              <w:rPr>
                <w:rFonts w:hint="eastAsia" w:ascii="宋体" w:hAnsi="宋体" w:cs="宋体"/>
                <w:bCs/>
                <w:color w:val="auto"/>
                <w:szCs w:val="21"/>
                <w:highlight w:val="none"/>
              </w:rPr>
              <w:t>工程竣工结算报告金额</w:t>
            </w:r>
          </w:p>
        </w:tc>
        <w:tc>
          <w:tcPr>
            <w:tcW w:w="5245" w:type="dxa"/>
            <w:tcBorders>
              <w:top w:val="single" w:color="auto" w:sz="4" w:space="0"/>
              <w:left w:val="single" w:color="auto" w:sz="4" w:space="0"/>
              <w:bottom w:val="single" w:color="auto" w:sz="4" w:space="0"/>
              <w:right w:val="single" w:color="auto" w:sz="4" w:space="0"/>
            </w:tcBorders>
          </w:tcPr>
          <w:p w14:paraId="15793BDB">
            <w:pPr>
              <w:pStyle w:val="238"/>
              <w:spacing w:line="390" w:lineRule="exact"/>
              <w:ind w:right="-105" w:rightChars="-50"/>
              <w:jc w:val="center"/>
              <w:rPr>
                <w:rFonts w:hint="eastAsia" w:ascii="宋体" w:hAnsi="宋体" w:cs="宋体"/>
                <w:bCs/>
                <w:color w:val="auto"/>
                <w:szCs w:val="21"/>
                <w:highlight w:val="none"/>
              </w:rPr>
            </w:pPr>
            <w:r>
              <w:rPr>
                <w:rFonts w:hint="eastAsia" w:ascii="宋体" w:hAnsi="宋体" w:cs="宋体"/>
                <w:bCs/>
                <w:color w:val="auto"/>
                <w:szCs w:val="21"/>
                <w:highlight w:val="none"/>
              </w:rPr>
              <w:t>发包人审查时间</w:t>
            </w:r>
          </w:p>
        </w:tc>
      </w:tr>
      <w:tr w14:paraId="41E79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1" w:type="dxa"/>
            <w:tcBorders>
              <w:top w:val="single" w:color="auto" w:sz="4" w:space="0"/>
              <w:left w:val="single" w:color="auto" w:sz="4" w:space="0"/>
              <w:bottom w:val="single" w:color="auto" w:sz="4" w:space="0"/>
              <w:right w:val="single" w:color="auto" w:sz="4" w:space="0"/>
            </w:tcBorders>
          </w:tcPr>
          <w:p w14:paraId="1D7B75CC">
            <w:pPr>
              <w:pStyle w:val="238"/>
              <w:spacing w:line="390" w:lineRule="exact"/>
              <w:ind w:right="-105" w:rightChars="-50"/>
              <w:rPr>
                <w:rFonts w:hint="eastAsia" w:ascii="宋体" w:hAnsi="宋体" w:cs="宋体"/>
                <w:bCs/>
                <w:color w:val="auto"/>
                <w:szCs w:val="21"/>
                <w:highlight w:val="none"/>
              </w:rPr>
            </w:pPr>
            <w:r>
              <w:rPr>
                <w:rFonts w:hint="eastAsia" w:ascii="宋体" w:hAnsi="宋体" w:cs="宋体"/>
                <w:bCs/>
                <w:color w:val="auto"/>
                <w:szCs w:val="21"/>
                <w:highlight w:val="none"/>
              </w:rPr>
              <w:t>1</w:t>
            </w:r>
          </w:p>
        </w:tc>
        <w:tc>
          <w:tcPr>
            <w:tcW w:w="2835" w:type="dxa"/>
            <w:tcBorders>
              <w:top w:val="single" w:color="auto" w:sz="4" w:space="0"/>
              <w:left w:val="single" w:color="auto" w:sz="4" w:space="0"/>
              <w:bottom w:val="single" w:color="auto" w:sz="4" w:space="0"/>
              <w:right w:val="single" w:color="auto" w:sz="4" w:space="0"/>
            </w:tcBorders>
          </w:tcPr>
          <w:p w14:paraId="2462E0BD">
            <w:pPr>
              <w:pStyle w:val="238"/>
              <w:spacing w:line="390" w:lineRule="exact"/>
              <w:ind w:right="-105" w:rightChars="-50"/>
              <w:jc w:val="center"/>
              <w:rPr>
                <w:rFonts w:hint="eastAsia" w:ascii="宋体" w:hAnsi="宋体" w:cs="宋体"/>
                <w:bCs/>
                <w:color w:val="auto"/>
                <w:szCs w:val="21"/>
                <w:highlight w:val="none"/>
              </w:rPr>
            </w:pPr>
            <w:r>
              <w:rPr>
                <w:rFonts w:hint="eastAsia" w:ascii="宋体" w:hAnsi="宋体" w:cs="宋体"/>
                <w:bCs/>
                <w:color w:val="auto"/>
                <w:szCs w:val="21"/>
                <w:highlight w:val="none"/>
              </w:rPr>
              <w:t>500万元以下</w:t>
            </w:r>
          </w:p>
        </w:tc>
        <w:tc>
          <w:tcPr>
            <w:tcW w:w="5245" w:type="dxa"/>
            <w:tcBorders>
              <w:top w:val="single" w:color="auto" w:sz="4" w:space="0"/>
              <w:left w:val="single" w:color="auto" w:sz="4" w:space="0"/>
              <w:bottom w:val="single" w:color="auto" w:sz="4" w:space="0"/>
              <w:right w:val="single" w:color="auto" w:sz="4" w:space="0"/>
            </w:tcBorders>
          </w:tcPr>
          <w:p w14:paraId="00546D09">
            <w:pPr>
              <w:pStyle w:val="238"/>
              <w:spacing w:line="390" w:lineRule="exact"/>
              <w:ind w:right="-105" w:rightChars="-50"/>
              <w:jc w:val="center"/>
              <w:rPr>
                <w:rFonts w:hint="eastAsia" w:ascii="宋体" w:hAnsi="宋体" w:cs="宋体"/>
                <w:bCs/>
                <w:color w:val="auto"/>
                <w:szCs w:val="21"/>
                <w:highlight w:val="none"/>
              </w:rPr>
            </w:pPr>
            <w:r>
              <w:rPr>
                <w:rFonts w:hint="eastAsia" w:ascii="宋体" w:hAnsi="宋体" w:cs="宋体"/>
                <w:bCs/>
                <w:color w:val="auto"/>
                <w:szCs w:val="21"/>
                <w:highlight w:val="none"/>
              </w:rPr>
              <w:t>从接到竣工结算报告和完整的竣工结算资料之日起20天</w:t>
            </w:r>
          </w:p>
        </w:tc>
      </w:tr>
      <w:tr w14:paraId="2ED9A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1" w:type="dxa"/>
            <w:tcBorders>
              <w:top w:val="single" w:color="auto" w:sz="4" w:space="0"/>
              <w:left w:val="single" w:color="auto" w:sz="4" w:space="0"/>
              <w:bottom w:val="single" w:color="auto" w:sz="4" w:space="0"/>
              <w:right w:val="single" w:color="auto" w:sz="4" w:space="0"/>
            </w:tcBorders>
          </w:tcPr>
          <w:p w14:paraId="6BEBA34B">
            <w:pPr>
              <w:pStyle w:val="238"/>
              <w:spacing w:line="390" w:lineRule="exact"/>
              <w:ind w:right="-105" w:rightChars="-50"/>
              <w:rPr>
                <w:rFonts w:hint="eastAsia" w:ascii="宋体" w:hAnsi="宋体" w:cs="宋体"/>
                <w:bCs/>
                <w:color w:val="auto"/>
                <w:szCs w:val="21"/>
                <w:highlight w:val="none"/>
              </w:rPr>
            </w:pPr>
            <w:r>
              <w:rPr>
                <w:rFonts w:hint="eastAsia" w:ascii="宋体" w:hAnsi="宋体" w:cs="宋体"/>
                <w:bCs/>
                <w:color w:val="auto"/>
                <w:szCs w:val="21"/>
                <w:highlight w:val="none"/>
              </w:rPr>
              <w:t>2</w:t>
            </w:r>
          </w:p>
        </w:tc>
        <w:tc>
          <w:tcPr>
            <w:tcW w:w="2835" w:type="dxa"/>
            <w:tcBorders>
              <w:top w:val="single" w:color="auto" w:sz="4" w:space="0"/>
              <w:left w:val="single" w:color="auto" w:sz="4" w:space="0"/>
              <w:bottom w:val="single" w:color="auto" w:sz="4" w:space="0"/>
              <w:right w:val="single" w:color="auto" w:sz="4" w:space="0"/>
            </w:tcBorders>
          </w:tcPr>
          <w:p w14:paraId="49E47353">
            <w:pPr>
              <w:pStyle w:val="238"/>
              <w:spacing w:line="390" w:lineRule="exact"/>
              <w:ind w:right="-105" w:rightChars="-50"/>
              <w:jc w:val="center"/>
              <w:rPr>
                <w:rFonts w:hint="eastAsia" w:ascii="宋体" w:hAnsi="宋体" w:cs="宋体"/>
                <w:bCs/>
                <w:color w:val="auto"/>
                <w:szCs w:val="21"/>
                <w:highlight w:val="none"/>
              </w:rPr>
            </w:pPr>
            <w:r>
              <w:rPr>
                <w:rFonts w:hint="eastAsia" w:ascii="宋体" w:hAnsi="宋体" w:cs="宋体"/>
                <w:bCs/>
                <w:color w:val="auto"/>
                <w:szCs w:val="21"/>
                <w:highlight w:val="none"/>
              </w:rPr>
              <w:t>500万元-2000万元</w:t>
            </w:r>
          </w:p>
        </w:tc>
        <w:tc>
          <w:tcPr>
            <w:tcW w:w="5245" w:type="dxa"/>
            <w:tcBorders>
              <w:top w:val="single" w:color="auto" w:sz="4" w:space="0"/>
              <w:left w:val="single" w:color="auto" w:sz="4" w:space="0"/>
              <w:bottom w:val="single" w:color="auto" w:sz="4" w:space="0"/>
              <w:right w:val="single" w:color="auto" w:sz="4" w:space="0"/>
            </w:tcBorders>
          </w:tcPr>
          <w:p w14:paraId="5C291363">
            <w:pPr>
              <w:pStyle w:val="238"/>
              <w:spacing w:line="390" w:lineRule="exact"/>
              <w:ind w:right="-105" w:rightChars="-50"/>
              <w:jc w:val="center"/>
              <w:rPr>
                <w:rFonts w:hint="eastAsia" w:ascii="宋体" w:hAnsi="宋体" w:cs="宋体"/>
                <w:bCs/>
                <w:color w:val="auto"/>
                <w:szCs w:val="21"/>
                <w:highlight w:val="none"/>
              </w:rPr>
            </w:pPr>
            <w:r>
              <w:rPr>
                <w:rFonts w:hint="eastAsia" w:ascii="宋体" w:hAnsi="宋体" w:cs="宋体"/>
                <w:bCs/>
                <w:color w:val="auto"/>
                <w:szCs w:val="21"/>
                <w:highlight w:val="none"/>
              </w:rPr>
              <w:t>从接到竣工结算报告和完整的竣工结算资料之日起30天</w:t>
            </w:r>
          </w:p>
        </w:tc>
      </w:tr>
      <w:tr w14:paraId="6F479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1" w:type="dxa"/>
            <w:tcBorders>
              <w:top w:val="single" w:color="auto" w:sz="4" w:space="0"/>
              <w:left w:val="single" w:color="auto" w:sz="4" w:space="0"/>
              <w:bottom w:val="single" w:color="auto" w:sz="4" w:space="0"/>
              <w:right w:val="single" w:color="auto" w:sz="4" w:space="0"/>
            </w:tcBorders>
          </w:tcPr>
          <w:p w14:paraId="6FEDA6CD">
            <w:pPr>
              <w:pStyle w:val="238"/>
              <w:spacing w:line="390" w:lineRule="exact"/>
              <w:ind w:right="-105" w:rightChars="-50"/>
              <w:rPr>
                <w:rFonts w:hint="eastAsia" w:ascii="宋体" w:hAnsi="宋体" w:cs="宋体"/>
                <w:bCs/>
                <w:color w:val="auto"/>
                <w:szCs w:val="21"/>
                <w:highlight w:val="none"/>
              </w:rPr>
            </w:pPr>
            <w:r>
              <w:rPr>
                <w:rFonts w:hint="eastAsia" w:ascii="宋体" w:hAnsi="宋体" w:cs="宋体"/>
                <w:bCs/>
                <w:color w:val="auto"/>
                <w:szCs w:val="21"/>
                <w:highlight w:val="none"/>
              </w:rPr>
              <w:t>3</w:t>
            </w:r>
          </w:p>
        </w:tc>
        <w:tc>
          <w:tcPr>
            <w:tcW w:w="2835" w:type="dxa"/>
            <w:tcBorders>
              <w:top w:val="single" w:color="auto" w:sz="4" w:space="0"/>
              <w:left w:val="single" w:color="auto" w:sz="4" w:space="0"/>
              <w:bottom w:val="single" w:color="auto" w:sz="4" w:space="0"/>
              <w:right w:val="single" w:color="auto" w:sz="4" w:space="0"/>
            </w:tcBorders>
          </w:tcPr>
          <w:p w14:paraId="0B25070E">
            <w:pPr>
              <w:pStyle w:val="238"/>
              <w:spacing w:line="390" w:lineRule="exact"/>
              <w:ind w:right="-105" w:rightChars="-50"/>
              <w:jc w:val="center"/>
              <w:rPr>
                <w:rFonts w:hint="eastAsia" w:ascii="宋体" w:hAnsi="宋体" w:cs="宋体"/>
                <w:bCs/>
                <w:color w:val="auto"/>
                <w:szCs w:val="21"/>
                <w:highlight w:val="none"/>
              </w:rPr>
            </w:pPr>
            <w:r>
              <w:rPr>
                <w:rFonts w:hint="eastAsia" w:ascii="宋体" w:hAnsi="宋体" w:cs="宋体"/>
                <w:bCs/>
                <w:color w:val="auto"/>
                <w:szCs w:val="21"/>
                <w:highlight w:val="none"/>
              </w:rPr>
              <w:t>2000万元-5000万元</w:t>
            </w:r>
          </w:p>
        </w:tc>
        <w:tc>
          <w:tcPr>
            <w:tcW w:w="5245" w:type="dxa"/>
            <w:tcBorders>
              <w:top w:val="single" w:color="auto" w:sz="4" w:space="0"/>
              <w:left w:val="single" w:color="auto" w:sz="4" w:space="0"/>
              <w:bottom w:val="single" w:color="auto" w:sz="4" w:space="0"/>
              <w:right w:val="single" w:color="auto" w:sz="4" w:space="0"/>
            </w:tcBorders>
          </w:tcPr>
          <w:p w14:paraId="268C4BE0">
            <w:pPr>
              <w:pStyle w:val="238"/>
              <w:spacing w:line="390" w:lineRule="exact"/>
              <w:ind w:right="-105" w:rightChars="-50"/>
              <w:jc w:val="center"/>
              <w:rPr>
                <w:rFonts w:hint="eastAsia" w:ascii="宋体" w:hAnsi="宋体" w:cs="宋体"/>
                <w:bCs/>
                <w:color w:val="auto"/>
                <w:szCs w:val="21"/>
                <w:highlight w:val="none"/>
              </w:rPr>
            </w:pPr>
            <w:r>
              <w:rPr>
                <w:rFonts w:hint="eastAsia" w:ascii="宋体" w:hAnsi="宋体" w:cs="宋体"/>
                <w:bCs/>
                <w:color w:val="auto"/>
                <w:szCs w:val="21"/>
                <w:highlight w:val="none"/>
              </w:rPr>
              <w:t>从接到竣工结算报告和完整的竣工结算资料之日起45天</w:t>
            </w:r>
          </w:p>
        </w:tc>
      </w:tr>
      <w:tr w14:paraId="016C6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1" w:type="dxa"/>
            <w:tcBorders>
              <w:top w:val="single" w:color="auto" w:sz="4" w:space="0"/>
              <w:left w:val="single" w:color="auto" w:sz="4" w:space="0"/>
              <w:bottom w:val="single" w:color="auto" w:sz="4" w:space="0"/>
              <w:right w:val="single" w:color="auto" w:sz="4" w:space="0"/>
            </w:tcBorders>
          </w:tcPr>
          <w:p w14:paraId="283215FF">
            <w:pPr>
              <w:pStyle w:val="238"/>
              <w:spacing w:line="390" w:lineRule="exact"/>
              <w:ind w:right="-105" w:rightChars="-50"/>
              <w:rPr>
                <w:rFonts w:hint="eastAsia" w:ascii="宋体" w:hAnsi="宋体" w:cs="宋体"/>
                <w:bCs/>
                <w:color w:val="auto"/>
                <w:szCs w:val="21"/>
                <w:highlight w:val="none"/>
              </w:rPr>
            </w:pPr>
            <w:r>
              <w:rPr>
                <w:rFonts w:hint="eastAsia" w:ascii="宋体" w:hAnsi="宋体" w:cs="宋体"/>
                <w:bCs/>
                <w:color w:val="auto"/>
                <w:szCs w:val="21"/>
                <w:highlight w:val="none"/>
              </w:rPr>
              <w:t>4</w:t>
            </w:r>
          </w:p>
        </w:tc>
        <w:tc>
          <w:tcPr>
            <w:tcW w:w="2835" w:type="dxa"/>
            <w:tcBorders>
              <w:top w:val="single" w:color="auto" w:sz="4" w:space="0"/>
              <w:left w:val="single" w:color="auto" w:sz="4" w:space="0"/>
              <w:bottom w:val="single" w:color="auto" w:sz="4" w:space="0"/>
              <w:right w:val="single" w:color="auto" w:sz="4" w:space="0"/>
            </w:tcBorders>
          </w:tcPr>
          <w:p w14:paraId="248291DC">
            <w:pPr>
              <w:pStyle w:val="238"/>
              <w:spacing w:line="390" w:lineRule="exact"/>
              <w:ind w:right="-105" w:rightChars="-50"/>
              <w:jc w:val="center"/>
              <w:rPr>
                <w:rFonts w:hint="eastAsia" w:ascii="宋体" w:hAnsi="宋体" w:cs="宋体"/>
                <w:bCs/>
                <w:color w:val="auto"/>
                <w:szCs w:val="21"/>
                <w:highlight w:val="none"/>
              </w:rPr>
            </w:pPr>
            <w:r>
              <w:rPr>
                <w:rFonts w:hint="eastAsia" w:ascii="宋体" w:hAnsi="宋体" w:cs="宋体"/>
                <w:bCs/>
                <w:color w:val="auto"/>
                <w:szCs w:val="21"/>
                <w:highlight w:val="none"/>
              </w:rPr>
              <w:t>5000万元以上</w:t>
            </w:r>
          </w:p>
        </w:tc>
        <w:tc>
          <w:tcPr>
            <w:tcW w:w="5245" w:type="dxa"/>
            <w:tcBorders>
              <w:top w:val="single" w:color="auto" w:sz="4" w:space="0"/>
              <w:left w:val="single" w:color="auto" w:sz="4" w:space="0"/>
              <w:bottom w:val="single" w:color="auto" w:sz="4" w:space="0"/>
              <w:right w:val="single" w:color="auto" w:sz="4" w:space="0"/>
            </w:tcBorders>
          </w:tcPr>
          <w:p w14:paraId="40225D91">
            <w:pPr>
              <w:pStyle w:val="238"/>
              <w:spacing w:line="390" w:lineRule="exact"/>
              <w:ind w:right="-105" w:rightChars="-50"/>
              <w:jc w:val="center"/>
              <w:rPr>
                <w:rFonts w:hint="eastAsia" w:ascii="宋体" w:hAnsi="宋体" w:cs="宋体"/>
                <w:bCs/>
                <w:color w:val="auto"/>
                <w:szCs w:val="21"/>
                <w:highlight w:val="none"/>
              </w:rPr>
            </w:pPr>
            <w:r>
              <w:rPr>
                <w:rFonts w:hint="eastAsia" w:ascii="宋体" w:hAnsi="宋体" w:cs="宋体"/>
                <w:bCs/>
                <w:color w:val="auto"/>
                <w:szCs w:val="21"/>
                <w:highlight w:val="none"/>
              </w:rPr>
              <w:t>从接到竣工结算报告和完整的竣工结算资料之日起60天</w:t>
            </w:r>
          </w:p>
        </w:tc>
      </w:tr>
    </w:tbl>
    <w:p w14:paraId="3723CD6B">
      <w:pPr>
        <w:pStyle w:val="80"/>
        <w:rPr>
          <w:rFonts w:hint="eastAsia" w:cs="宋体"/>
          <w:bCs/>
          <w:color w:val="auto"/>
          <w:sz w:val="21"/>
          <w:highlight w:val="none"/>
        </w:rPr>
      </w:pPr>
      <w:r>
        <w:rPr>
          <w:rFonts w:hint="eastAsia" w:cs="宋体"/>
          <w:bCs/>
          <w:color w:val="auto"/>
          <w:sz w:val="21"/>
          <w:highlight w:val="none"/>
        </w:rPr>
        <w:t>因承包人提供的结算资料不完整而需要补充或承包人不按时对账耽误时间时，审查时间应相应顺延；</w:t>
      </w:r>
    </w:p>
    <w:p w14:paraId="738C4395">
      <w:pPr>
        <w:pStyle w:val="80"/>
        <w:rPr>
          <w:rFonts w:hint="eastAsia" w:cs="宋体"/>
          <w:color w:val="auto"/>
          <w:sz w:val="21"/>
          <w:highlight w:val="none"/>
        </w:rPr>
      </w:pPr>
      <w:r>
        <w:rPr>
          <w:rFonts w:hint="eastAsia" w:cs="宋体"/>
          <w:color w:val="auto"/>
          <w:sz w:val="21"/>
          <w:highlight w:val="none"/>
        </w:rPr>
        <w:t>发包人审批竣工付款申请单的期限：</w:t>
      </w:r>
      <w:r>
        <w:rPr>
          <w:rFonts w:hint="eastAsia" w:cs="宋体"/>
          <w:color w:val="auto"/>
          <w:sz w:val="21"/>
          <w:highlight w:val="none"/>
          <w:u w:val="single"/>
        </w:rPr>
        <w:t xml:space="preserve">      承包人提出书面申请14天内   </w:t>
      </w:r>
      <w:r>
        <w:rPr>
          <w:rFonts w:hint="eastAsia" w:cs="宋体"/>
          <w:color w:val="auto"/>
          <w:sz w:val="21"/>
          <w:highlight w:val="none"/>
        </w:rPr>
        <w:t>。</w:t>
      </w:r>
    </w:p>
    <w:p w14:paraId="67099BE5">
      <w:pPr>
        <w:pStyle w:val="80"/>
        <w:rPr>
          <w:rFonts w:hint="eastAsia" w:cs="宋体"/>
          <w:color w:val="auto"/>
          <w:sz w:val="21"/>
          <w:highlight w:val="none"/>
        </w:rPr>
      </w:pPr>
      <w:r>
        <w:rPr>
          <w:rFonts w:hint="eastAsia" w:cs="宋体"/>
          <w:color w:val="auto"/>
          <w:sz w:val="21"/>
          <w:highlight w:val="none"/>
        </w:rPr>
        <w:t>发包人完成竣工付款的期限：</w:t>
      </w:r>
      <w:r>
        <w:rPr>
          <w:rFonts w:hint="eastAsia" w:cs="宋体"/>
          <w:color w:val="auto"/>
          <w:sz w:val="21"/>
          <w:highlight w:val="none"/>
          <w:u w:val="single"/>
        </w:rPr>
        <w:t xml:space="preserve">          承包人提出书面申请14天内　    </w:t>
      </w:r>
      <w:r>
        <w:rPr>
          <w:rFonts w:hint="eastAsia" w:cs="宋体"/>
          <w:color w:val="auto"/>
          <w:sz w:val="21"/>
          <w:highlight w:val="none"/>
        </w:rPr>
        <w:t>。</w:t>
      </w:r>
    </w:p>
    <w:p w14:paraId="76AE8844">
      <w:pPr>
        <w:pStyle w:val="80"/>
        <w:rPr>
          <w:rFonts w:hint="eastAsia" w:cs="宋体"/>
          <w:color w:val="auto"/>
          <w:sz w:val="21"/>
          <w:highlight w:val="none"/>
        </w:rPr>
      </w:pPr>
      <w:r>
        <w:rPr>
          <w:rFonts w:hint="eastAsia" w:cs="宋体"/>
          <w:color w:val="auto"/>
          <w:sz w:val="21"/>
          <w:highlight w:val="none"/>
        </w:rPr>
        <w:t>关于竣工付款证书异议部分复核的方式和程序：。</w:t>
      </w:r>
    </w:p>
    <w:p w14:paraId="20AE7E02">
      <w:pPr>
        <w:pStyle w:val="322"/>
        <w:rPr>
          <w:rFonts w:hint="eastAsia" w:ascii="宋体" w:cs="宋体"/>
          <w:color w:val="auto"/>
          <w:highlight w:val="none"/>
        </w:rPr>
      </w:pPr>
      <w:bookmarkStart w:id="1402" w:name="_Toc417904346"/>
      <w:bookmarkStart w:id="1403" w:name="_Toc478389257"/>
      <w:r>
        <w:rPr>
          <w:rFonts w:hint="eastAsia" w:ascii="宋体" w:cs="宋体"/>
          <w:color w:val="auto"/>
          <w:highlight w:val="none"/>
        </w:rPr>
        <w:t>14.4 最终结清</w:t>
      </w:r>
      <w:bookmarkEnd w:id="1402"/>
      <w:bookmarkEnd w:id="1403"/>
    </w:p>
    <w:p w14:paraId="6124DC61">
      <w:pPr>
        <w:pStyle w:val="80"/>
        <w:rPr>
          <w:rFonts w:hint="eastAsia" w:cs="宋体"/>
          <w:color w:val="auto"/>
          <w:sz w:val="21"/>
          <w:highlight w:val="none"/>
        </w:rPr>
      </w:pPr>
      <w:r>
        <w:rPr>
          <w:rFonts w:hint="eastAsia" w:cs="宋体"/>
          <w:color w:val="auto"/>
          <w:sz w:val="21"/>
          <w:highlight w:val="none"/>
        </w:rPr>
        <w:t>14.4.1 最终结清申请单</w:t>
      </w:r>
    </w:p>
    <w:p w14:paraId="5E276448">
      <w:pPr>
        <w:pStyle w:val="80"/>
        <w:rPr>
          <w:rFonts w:hint="eastAsia" w:cs="宋体"/>
          <w:color w:val="auto"/>
          <w:sz w:val="21"/>
          <w:highlight w:val="none"/>
        </w:rPr>
      </w:pPr>
      <w:r>
        <w:rPr>
          <w:rFonts w:hint="eastAsia" w:cs="宋体"/>
          <w:color w:val="auto"/>
          <w:sz w:val="21"/>
          <w:highlight w:val="none"/>
        </w:rPr>
        <w:t>承包人提交最终结清申请单的份数：</w:t>
      </w:r>
      <w:r>
        <w:rPr>
          <w:rFonts w:hint="eastAsia" w:cs="宋体"/>
          <w:color w:val="auto"/>
          <w:sz w:val="21"/>
          <w:highlight w:val="none"/>
          <w:u w:val="single"/>
        </w:rPr>
        <w:t xml:space="preserve">  四份   </w:t>
      </w:r>
      <w:r>
        <w:rPr>
          <w:rFonts w:hint="eastAsia" w:cs="宋体"/>
          <w:color w:val="auto"/>
          <w:sz w:val="21"/>
          <w:highlight w:val="none"/>
        </w:rPr>
        <w:t>。</w:t>
      </w:r>
    </w:p>
    <w:p w14:paraId="283EFF57">
      <w:pPr>
        <w:pStyle w:val="80"/>
        <w:rPr>
          <w:rFonts w:hint="eastAsia" w:cs="宋体"/>
          <w:color w:val="auto"/>
          <w:sz w:val="21"/>
          <w:highlight w:val="none"/>
        </w:rPr>
      </w:pPr>
      <w:r>
        <w:rPr>
          <w:rFonts w:hint="eastAsia" w:cs="宋体"/>
          <w:color w:val="auto"/>
          <w:sz w:val="21"/>
          <w:highlight w:val="none"/>
        </w:rPr>
        <w:t>承包人提交最终结算申请单的期限：</w:t>
      </w:r>
      <w:r>
        <w:rPr>
          <w:rFonts w:hint="eastAsia" w:cs="宋体"/>
          <w:color w:val="auto"/>
          <w:sz w:val="21"/>
          <w:highlight w:val="none"/>
          <w:u w:val="single"/>
        </w:rPr>
        <w:t xml:space="preserve">   从接到竣工结算报告14天内    。 </w:t>
      </w:r>
    </w:p>
    <w:p w14:paraId="13D676A3">
      <w:pPr>
        <w:pStyle w:val="80"/>
        <w:rPr>
          <w:rFonts w:hint="eastAsia" w:cs="宋体"/>
          <w:color w:val="auto"/>
          <w:sz w:val="21"/>
          <w:highlight w:val="none"/>
        </w:rPr>
      </w:pPr>
      <w:r>
        <w:rPr>
          <w:rFonts w:hint="eastAsia" w:cs="宋体"/>
          <w:color w:val="auto"/>
          <w:sz w:val="21"/>
          <w:highlight w:val="none"/>
        </w:rPr>
        <w:t>14.4.2 最终结清证书和支付</w:t>
      </w:r>
    </w:p>
    <w:p w14:paraId="25921060">
      <w:pPr>
        <w:pStyle w:val="80"/>
        <w:rPr>
          <w:rFonts w:hint="eastAsia" w:cs="宋体"/>
          <w:color w:val="auto"/>
          <w:sz w:val="21"/>
          <w:highlight w:val="none"/>
        </w:rPr>
      </w:pPr>
      <w:r>
        <w:rPr>
          <w:rFonts w:hint="eastAsia" w:cs="宋体"/>
          <w:color w:val="auto"/>
          <w:sz w:val="21"/>
          <w:highlight w:val="none"/>
        </w:rPr>
        <w:t>（1）发包人完成最终结清申请单的审批并颁发最终结清证书的期限：</w:t>
      </w:r>
      <w:r>
        <w:rPr>
          <w:rFonts w:hint="eastAsia" w:cs="宋体"/>
          <w:color w:val="auto"/>
          <w:sz w:val="21"/>
          <w:highlight w:val="none"/>
          <w:u w:val="single"/>
        </w:rPr>
        <w:t xml:space="preserve">承包人提出书面申请14天内  </w:t>
      </w:r>
      <w:r>
        <w:rPr>
          <w:rFonts w:hint="eastAsia" w:cs="宋体"/>
          <w:color w:val="auto"/>
          <w:sz w:val="21"/>
          <w:highlight w:val="none"/>
        </w:rPr>
        <w:t>。</w:t>
      </w:r>
    </w:p>
    <w:p w14:paraId="6F8AFF73">
      <w:pPr>
        <w:pStyle w:val="80"/>
        <w:rPr>
          <w:rFonts w:hint="eastAsia" w:cs="宋体"/>
          <w:color w:val="auto"/>
          <w:sz w:val="21"/>
          <w:highlight w:val="none"/>
        </w:rPr>
      </w:pPr>
      <w:r>
        <w:rPr>
          <w:rFonts w:hint="eastAsia" w:cs="宋体"/>
          <w:color w:val="auto"/>
          <w:sz w:val="21"/>
          <w:highlight w:val="none"/>
        </w:rPr>
        <w:t>（2）发包人完成支付的期限：</w:t>
      </w:r>
      <w:r>
        <w:rPr>
          <w:rFonts w:hint="eastAsia" w:cs="宋体"/>
          <w:color w:val="auto"/>
          <w:sz w:val="21"/>
          <w:highlight w:val="none"/>
          <w:u w:val="single"/>
        </w:rPr>
        <w:t xml:space="preserve">  承包人提出书面申请14天内    </w:t>
      </w:r>
      <w:r>
        <w:rPr>
          <w:rFonts w:hint="eastAsia" w:cs="宋体"/>
          <w:color w:val="auto"/>
          <w:sz w:val="21"/>
          <w:highlight w:val="none"/>
        </w:rPr>
        <w:t>。</w:t>
      </w:r>
    </w:p>
    <w:bookmarkEnd w:id="1380"/>
    <w:bookmarkEnd w:id="1381"/>
    <w:bookmarkEnd w:id="1382"/>
    <w:bookmarkEnd w:id="1383"/>
    <w:bookmarkEnd w:id="1384"/>
    <w:bookmarkEnd w:id="1385"/>
    <w:bookmarkEnd w:id="1386"/>
    <w:bookmarkEnd w:id="1392"/>
    <w:p w14:paraId="4276D10B">
      <w:pPr>
        <w:pStyle w:val="322"/>
        <w:rPr>
          <w:rFonts w:hint="eastAsia" w:ascii="宋体" w:cs="宋体"/>
          <w:color w:val="auto"/>
          <w:highlight w:val="none"/>
        </w:rPr>
      </w:pPr>
      <w:bookmarkStart w:id="1404" w:name="_Toc417904347"/>
      <w:bookmarkStart w:id="1405" w:name="_Toc351203647"/>
      <w:bookmarkStart w:id="1406" w:name="_Toc478389258"/>
      <w:bookmarkStart w:id="1407" w:name="_Toc267251483"/>
      <w:bookmarkStart w:id="1408" w:name="_Toc267251484"/>
      <w:bookmarkStart w:id="1409" w:name="_Toc267251482"/>
      <w:bookmarkStart w:id="1410" w:name="_Toc267251485"/>
      <w:bookmarkStart w:id="1411" w:name="_Toc267251489"/>
      <w:bookmarkStart w:id="1412" w:name="_Toc267251490"/>
      <w:bookmarkStart w:id="1413" w:name="_Toc267251488"/>
      <w:bookmarkStart w:id="1414" w:name="_Toc267251486"/>
      <w:bookmarkStart w:id="1415" w:name="_Toc267251499"/>
      <w:bookmarkStart w:id="1416" w:name="_Toc267251495"/>
      <w:bookmarkStart w:id="1417" w:name="_Toc267251497"/>
      <w:bookmarkStart w:id="1418" w:name="_Toc267251492"/>
      <w:bookmarkStart w:id="1419" w:name="_Toc267251494"/>
      <w:bookmarkStart w:id="1420" w:name="_Toc267251493"/>
      <w:bookmarkStart w:id="1421" w:name="_Toc267251491"/>
      <w:bookmarkStart w:id="1422" w:name="_Toc267251503"/>
      <w:bookmarkStart w:id="1423" w:name="_Toc267251496"/>
      <w:bookmarkStart w:id="1424" w:name="_Toc267251502"/>
      <w:bookmarkStart w:id="1425" w:name="_Toc267251498"/>
      <w:bookmarkStart w:id="1426" w:name="_Toc267251501"/>
      <w:bookmarkStart w:id="1427" w:name="_Toc267251504"/>
      <w:bookmarkStart w:id="1428" w:name="_Toc267251506"/>
      <w:bookmarkStart w:id="1429" w:name="_Toc267251507"/>
      <w:bookmarkStart w:id="1430" w:name="_Toc267251508"/>
      <w:bookmarkStart w:id="1431" w:name="_Toc267251513"/>
      <w:bookmarkStart w:id="1432" w:name="_Toc267251514"/>
      <w:bookmarkStart w:id="1433" w:name="_Toc267251515"/>
      <w:bookmarkStart w:id="1434" w:name="_Toc267251511"/>
      <w:bookmarkStart w:id="1435" w:name="_Toc267251510"/>
      <w:bookmarkStart w:id="1436" w:name="_Toc267251509"/>
      <w:r>
        <w:rPr>
          <w:rFonts w:hint="eastAsia" w:ascii="宋体" w:cs="宋体"/>
          <w:color w:val="auto"/>
          <w:highlight w:val="none"/>
        </w:rPr>
        <w:t>15. 缺陷责任期与保修</w:t>
      </w:r>
      <w:bookmarkEnd w:id="1404"/>
      <w:bookmarkEnd w:id="1405"/>
      <w:bookmarkEnd w:id="1406"/>
    </w:p>
    <w:p w14:paraId="633E6CFC">
      <w:pPr>
        <w:pStyle w:val="322"/>
        <w:rPr>
          <w:rFonts w:hint="eastAsia" w:ascii="宋体" w:cs="宋体"/>
          <w:color w:val="auto"/>
          <w:highlight w:val="none"/>
        </w:rPr>
      </w:pPr>
      <w:bookmarkStart w:id="1437" w:name="_Toc417904348"/>
      <w:bookmarkStart w:id="1438" w:name="_Toc478389259"/>
      <w:r>
        <w:rPr>
          <w:rFonts w:hint="eastAsia" w:ascii="宋体" w:cs="宋体"/>
          <w:color w:val="auto"/>
          <w:highlight w:val="none"/>
        </w:rPr>
        <w:t>15.2缺陷责任期</w:t>
      </w:r>
      <w:bookmarkEnd w:id="1407"/>
      <w:bookmarkEnd w:id="1437"/>
      <w:bookmarkEnd w:id="1438"/>
    </w:p>
    <w:p w14:paraId="6CE7DF27">
      <w:pPr>
        <w:pStyle w:val="80"/>
        <w:rPr>
          <w:rFonts w:hint="eastAsia" w:cs="宋体"/>
          <w:color w:val="auto"/>
          <w:sz w:val="21"/>
          <w:highlight w:val="none"/>
        </w:rPr>
      </w:pPr>
      <w:r>
        <w:rPr>
          <w:rFonts w:hint="eastAsia" w:cs="宋体"/>
          <w:color w:val="auto"/>
          <w:sz w:val="21"/>
          <w:highlight w:val="none"/>
        </w:rPr>
        <w:t>缺陷责任期的具体期限：</w:t>
      </w:r>
      <w:r>
        <w:rPr>
          <w:rFonts w:hint="eastAsia" w:cs="宋体"/>
          <w:color w:val="auto"/>
          <w:sz w:val="21"/>
          <w:highlight w:val="none"/>
          <w:u w:val="single"/>
        </w:rPr>
        <w:t>2年</w:t>
      </w:r>
    </w:p>
    <w:p w14:paraId="1668D2AE">
      <w:pPr>
        <w:pStyle w:val="322"/>
        <w:rPr>
          <w:rFonts w:hint="eastAsia" w:ascii="宋体" w:cs="宋体"/>
          <w:color w:val="auto"/>
          <w:highlight w:val="none"/>
        </w:rPr>
      </w:pPr>
      <w:bookmarkStart w:id="1439" w:name="_Toc478389260"/>
      <w:bookmarkStart w:id="1440" w:name="_Toc417904349"/>
      <w:r>
        <w:rPr>
          <w:rFonts w:hint="eastAsia" w:ascii="宋体" w:cs="宋体"/>
          <w:color w:val="auto"/>
          <w:highlight w:val="none"/>
        </w:rPr>
        <w:t>15.3 质量保证金</w:t>
      </w:r>
      <w:bookmarkEnd w:id="1439"/>
      <w:bookmarkEnd w:id="1440"/>
    </w:p>
    <w:p w14:paraId="4E672C42">
      <w:pPr>
        <w:pStyle w:val="80"/>
        <w:rPr>
          <w:rFonts w:hint="eastAsia" w:cs="宋体"/>
          <w:color w:val="auto"/>
          <w:sz w:val="21"/>
          <w:highlight w:val="none"/>
        </w:rPr>
      </w:pPr>
      <w:r>
        <w:rPr>
          <w:rFonts w:hint="eastAsia" w:cs="宋体"/>
          <w:color w:val="auto"/>
          <w:sz w:val="21"/>
          <w:highlight w:val="none"/>
        </w:rPr>
        <w:t>关于是否扣留质量保证金的约定：</w:t>
      </w:r>
      <w:r>
        <w:rPr>
          <w:rFonts w:hint="eastAsia" w:cs="宋体"/>
          <w:color w:val="auto"/>
          <w:sz w:val="21"/>
          <w:highlight w:val="none"/>
          <w:u w:val="single"/>
        </w:rPr>
        <w:t xml:space="preserve">  是     </w:t>
      </w:r>
      <w:r>
        <w:rPr>
          <w:rFonts w:hint="eastAsia" w:cs="宋体"/>
          <w:color w:val="auto"/>
          <w:sz w:val="21"/>
          <w:highlight w:val="none"/>
        </w:rPr>
        <w:t>。</w:t>
      </w:r>
    </w:p>
    <w:p w14:paraId="6719D204">
      <w:pPr>
        <w:pStyle w:val="80"/>
        <w:rPr>
          <w:rFonts w:hint="eastAsia" w:cs="宋体"/>
          <w:color w:val="auto"/>
          <w:sz w:val="21"/>
          <w:highlight w:val="none"/>
        </w:rPr>
      </w:pPr>
      <w:r>
        <w:rPr>
          <w:rFonts w:hint="eastAsia" w:cs="宋体"/>
          <w:color w:val="auto"/>
          <w:sz w:val="21"/>
          <w:highlight w:val="none"/>
        </w:rPr>
        <w:t>15.3.1 承包人提供质量保证金的方式</w:t>
      </w:r>
    </w:p>
    <w:p w14:paraId="649ACED3">
      <w:pPr>
        <w:pStyle w:val="80"/>
        <w:rPr>
          <w:rFonts w:hint="eastAsia" w:cs="宋体"/>
          <w:color w:val="auto"/>
          <w:sz w:val="21"/>
          <w:highlight w:val="none"/>
        </w:rPr>
      </w:pPr>
      <w:r>
        <w:rPr>
          <w:rFonts w:hint="eastAsia" w:cs="宋体"/>
          <w:color w:val="auto"/>
          <w:sz w:val="21"/>
          <w:highlight w:val="none"/>
        </w:rPr>
        <w:t>质量保证金采用以下第</w:t>
      </w:r>
      <w:r>
        <w:rPr>
          <w:rFonts w:hint="eastAsia" w:cs="宋体"/>
          <w:color w:val="auto"/>
          <w:sz w:val="21"/>
          <w:highlight w:val="none"/>
          <w:u w:val="single"/>
          <w:lang w:val="en-US" w:eastAsia="zh-CN"/>
        </w:rPr>
        <w:t>2</w:t>
      </w:r>
      <w:r>
        <w:rPr>
          <w:rFonts w:hint="eastAsia" w:cs="宋体"/>
          <w:color w:val="auto"/>
          <w:sz w:val="21"/>
          <w:highlight w:val="none"/>
        </w:rPr>
        <w:t>种方式：</w:t>
      </w:r>
    </w:p>
    <w:p w14:paraId="21FD59A8">
      <w:pPr>
        <w:pStyle w:val="80"/>
        <w:spacing w:line="400" w:lineRule="exact"/>
        <w:rPr>
          <w:rFonts w:hint="eastAsia" w:cs="宋体"/>
          <w:color w:val="auto"/>
          <w:sz w:val="21"/>
          <w:highlight w:val="none"/>
        </w:rPr>
      </w:pPr>
      <w:r>
        <w:rPr>
          <w:rFonts w:hint="eastAsia" w:cs="宋体"/>
          <w:color w:val="auto"/>
          <w:sz w:val="21"/>
          <w:highlight w:val="none"/>
        </w:rPr>
        <w:t xml:space="preserve">（1）质量保证金保函； </w:t>
      </w:r>
    </w:p>
    <w:p w14:paraId="0F65562E">
      <w:pPr>
        <w:pStyle w:val="80"/>
        <w:spacing w:line="400" w:lineRule="exact"/>
        <w:rPr>
          <w:rFonts w:hint="eastAsia" w:cs="宋体"/>
          <w:color w:val="auto"/>
          <w:sz w:val="21"/>
          <w:highlight w:val="none"/>
        </w:rPr>
      </w:pPr>
      <w:r>
        <w:rPr>
          <w:rFonts w:hint="eastAsia" w:cs="宋体"/>
          <w:color w:val="auto"/>
          <w:sz w:val="21"/>
          <w:highlight w:val="none"/>
        </w:rPr>
        <w:t>（2）</w:t>
      </w:r>
      <w:r>
        <w:rPr>
          <w:rFonts w:hint="eastAsia" w:hAnsi="宋体" w:cs="宋体"/>
          <w:color w:val="auto"/>
          <w:highlight w:val="none"/>
        </w:rPr>
        <w:t>发包人按工程价款结算总额的</w:t>
      </w:r>
      <w:r>
        <w:rPr>
          <w:rFonts w:hint="eastAsia"/>
          <w:color w:val="auto"/>
          <w:highlight w:val="none"/>
          <w:u w:val="single"/>
          <w:lang w:val="en-US" w:eastAsia="zh-CN"/>
        </w:rPr>
        <w:t>3</w:t>
      </w:r>
      <w:r>
        <w:rPr>
          <w:color w:val="auto"/>
          <w:highlight w:val="none"/>
        </w:rPr>
        <w:t>%</w:t>
      </w:r>
      <w:r>
        <w:rPr>
          <w:rFonts w:hint="eastAsia" w:hAnsi="宋体" w:cs="宋体"/>
          <w:color w:val="auto"/>
          <w:highlight w:val="none"/>
        </w:rPr>
        <w:t>预留工程质量保证金，待缺陷责任期满后返还，是否付息及利息计算方式为：</w:t>
      </w:r>
      <w:r>
        <w:rPr>
          <w:rFonts w:hint="eastAsia" w:hAnsi="宋体" w:cs="宋体"/>
          <w:color w:val="auto"/>
          <w:highlight w:val="none"/>
          <w:u w:val="single"/>
        </w:rPr>
        <w:t xml:space="preserve">       </w:t>
      </w:r>
      <w:r>
        <w:rPr>
          <w:rFonts w:hint="eastAsia" w:cs="宋体"/>
          <w:color w:val="auto"/>
          <w:sz w:val="21"/>
          <w:highlight w:val="none"/>
        </w:rPr>
        <w:t>；</w:t>
      </w:r>
    </w:p>
    <w:p w14:paraId="3DA7D583">
      <w:pPr>
        <w:pStyle w:val="80"/>
        <w:spacing w:line="400" w:lineRule="exact"/>
        <w:rPr>
          <w:rFonts w:hint="eastAsia" w:cs="宋体"/>
          <w:color w:val="auto"/>
          <w:sz w:val="21"/>
          <w:highlight w:val="none"/>
        </w:rPr>
      </w:pPr>
      <w:r>
        <w:rPr>
          <w:rFonts w:hint="eastAsia" w:cs="宋体"/>
          <w:color w:val="auto"/>
          <w:sz w:val="21"/>
          <w:highlight w:val="none"/>
        </w:rPr>
        <w:t>（3）双方约定的其他方式。</w:t>
      </w:r>
    </w:p>
    <w:p w14:paraId="6AB6E245">
      <w:pPr>
        <w:pStyle w:val="80"/>
        <w:spacing w:line="400" w:lineRule="exact"/>
        <w:rPr>
          <w:rFonts w:hint="eastAsia" w:cs="宋体"/>
          <w:color w:val="auto"/>
          <w:sz w:val="21"/>
          <w:highlight w:val="none"/>
        </w:rPr>
      </w:pPr>
      <w:r>
        <w:rPr>
          <w:rFonts w:hint="eastAsia" w:cs="宋体"/>
          <w:color w:val="auto"/>
          <w:sz w:val="21"/>
          <w:highlight w:val="none"/>
        </w:rPr>
        <w:t xml:space="preserve">15.3.2 质量保证金的扣留 </w:t>
      </w:r>
    </w:p>
    <w:p w14:paraId="05136F8D">
      <w:pPr>
        <w:pStyle w:val="80"/>
        <w:spacing w:line="400" w:lineRule="exact"/>
        <w:rPr>
          <w:rFonts w:hint="eastAsia" w:cs="宋体"/>
          <w:color w:val="auto"/>
          <w:sz w:val="21"/>
          <w:highlight w:val="none"/>
        </w:rPr>
      </w:pPr>
      <w:r>
        <w:rPr>
          <w:rFonts w:hint="eastAsia" w:cs="宋体"/>
          <w:color w:val="auto"/>
          <w:sz w:val="21"/>
          <w:highlight w:val="none"/>
        </w:rPr>
        <w:t>质量保证金的扣留采取以下第</w:t>
      </w:r>
      <w:r>
        <w:rPr>
          <w:rFonts w:hint="eastAsia" w:cs="宋体"/>
          <w:color w:val="auto"/>
          <w:sz w:val="21"/>
          <w:highlight w:val="none"/>
          <w:u w:val="single"/>
        </w:rPr>
        <w:t xml:space="preserve"> 2</w:t>
      </w:r>
      <w:r>
        <w:rPr>
          <w:rFonts w:hint="eastAsia" w:cs="宋体"/>
          <w:color w:val="auto"/>
          <w:sz w:val="21"/>
          <w:highlight w:val="none"/>
        </w:rPr>
        <w:t>种方式：</w:t>
      </w:r>
    </w:p>
    <w:p w14:paraId="55AB18B6">
      <w:pPr>
        <w:pStyle w:val="80"/>
        <w:spacing w:line="400" w:lineRule="exact"/>
        <w:rPr>
          <w:rFonts w:hint="eastAsia" w:cs="宋体"/>
          <w:color w:val="auto"/>
          <w:sz w:val="21"/>
          <w:highlight w:val="none"/>
        </w:rPr>
      </w:pPr>
      <w:r>
        <w:rPr>
          <w:rFonts w:hint="eastAsia" w:cs="宋体"/>
          <w:color w:val="auto"/>
          <w:sz w:val="21"/>
          <w:highlight w:val="none"/>
        </w:rPr>
        <w:t>（1）在支付工程进度款时逐次扣留，在此情形下，质量保证金的计算基数不包括预付款的支付、扣回以及价格调整的金额；</w:t>
      </w:r>
    </w:p>
    <w:p w14:paraId="1FDFE991">
      <w:pPr>
        <w:pStyle w:val="80"/>
        <w:spacing w:line="400" w:lineRule="exact"/>
        <w:rPr>
          <w:rFonts w:hint="eastAsia" w:cs="宋体"/>
          <w:color w:val="auto"/>
          <w:sz w:val="21"/>
          <w:highlight w:val="none"/>
        </w:rPr>
      </w:pPr>
      <w:r>
        <w:rPr>
          <w:rFonts w:hint="eastAsia" w:cs="宋体"/>
          <w:color w:val="auto"/>
          <w:sz w:val="21"/>
          <w:highlight w:val="none"/>
        </w:rPr>
        <w:t>（2）工程竣工结算时一次性扣留质量保证金；</w:t>
      </w:r>
    </w:p>
    <w:p w14:paraId="6C102548">
      <w:pPr>
        <w:pStyle w:val="80"/>
        <w:spacing w:line="400" w:lineRule="exact"/>
        <w:rPr>
          <w:rFonts w:hint="eastAsia" w:cs="宋体"/>
          <w:color w:val="auto"/>
          <w:sz w:val="21"/>
          <w:highlight w:val="none"/>
        </w:rPr>
      </w:pPr>
      <w:r>
        <w:rPr>
          <w:rFonts w:hint="eastAsia" w:cs="宋体"/>
          <w:color w:val="auto"/>
          <w:sz w:val="21"/>
          <w:highlight w:val="none"/>
        </w:rPr>
        <w:t>（3）其他扣留方式：</w:t>
      </w:r>
      <w:r>
        <w:rPr>
          <w:rFonts w:hint="eastAsia" w:cs="宋体"/>
          <w:color w:val="auto"/>
          <w:sz w:val="21"/>
          <w:highlight w:val="none"/>
          <w:u w:val="single"/>
        </w:rPr>
        <w:t xml:space="preserve">   无         </w:t>
      </w:r>
      <w:r>
        <w:rPr>
          <w:rFonts w:hint="eastAsia" w:cs="宋体"/>
          <w:color w:val="auto"/>
          <w:sz w:val="21"/>
          <w:highlight w:val="none"/>
        </w:rPr>
        <w:t>。</w:t>
      </w:r>
    </w:p>
    <w:p w14:paraId="4273318B">
      <w:pPr>
        <w:pStyle w:val="80"/>
        <w:spacing w:line="400" w:lineRule="exact"/>
        <w:rPr>
          <w:rFonts w:hint="eastAsia" w:cs="宋体"/>
          <w:color w:val="auto"/>
          <w:sz w:val="21"/>
          <w:highlight w:val="none"/>
          <w:u w:val="single"/>
        </w:rPr>
      </w:pPr>
      <w:r>
        <w:rPr>
          <w:rFonts w:hint="eastAsia" w:cs="宋体"/>
          <w:color w:val="auto"/>
          <w:sz w:val="21"/>
          <w:highlight w:val="none"/>
        </w:rPr>
        <w:t>关于质量保证金的补充约定：</w:t>
      </w:r>
      <w:r>
        <w:rPr>
          <w:rFonts w:hint="eastAsia" w:cs="宋体"/>
          <w:color w:val="auto"/>
          <w:sz w:val="21"/>
          <w:highlight w:val="none"/>
          <w:u w:val="single"/>
        </w:rPr>
        <w:t>质量保证金分一次返还承包人</w:t>
      </w:r>
      <w:r>
        <w:rPr>
          <w:rFonts w:hint="eastAsia" w:cs="宋体"/>
          <w:color w:val="auto"/>
          <w:sz w:val="21"/>
          <w:highlight w:val="none"/>
          <w:u w:val="single"/>
          <w:lang w:eastAsia="zh-CN"/>
        </w:rPr>
        <w:t>：</w:t>
      </w:r>
      <w:r>
        <w:rPr>
          <w:rFonts w:hint="eastAsia" w:cs="宋体"/>
          <w:color w:val="auto"/>
          <w:sz w:val="21"/>
          <w:highlight w:val="none"/>
          <w:u w:val="single"/>
        </w:rPr>
        <w:t>发包人在缺限责任期满（2年）满两年后承包人提出申请14天内将质量保证金返回给承包人（无息）。质量保证金的返还，并不能免除承包人按照合同约定应承担的质量保修责任和应履行的质量保修义务。</w:t>
      </w:r>
    </w:p>
    <w:bookmarkEnd w:id="1408"/>
    <w:bookmarkEnd w:id="1409"/>
    <w:p w14:paraId="58407B09">
      <w:pPr>
        <w:pStyle w:val="322"/>
        <w:spacing w:line="400" w:lineRule="exact"/>
        <w:rPr>
          <w:rFonts w:hint="eastAsia" w:ascii="宋体" w:cs="宋体"/>
          <w:color w:val="auto"/>
          <w:highlight w:val="none"/>
        </w:rPr>
      </w:pPr>
      <w:bookmarkStart w:id="1441" w:name="_Toc478389261"/>
      <w:bookmarkStart w:id="1442" w:name="_Toc417904350"/>
      <w:r>
        <w:rPr>
          <w:rFonts w:hint="eastAsia" w:ascii="宋体" w:cs="宋体"/>
          <w:color w:val="auto"/>
          <w:highlight w:val="none"/>
        </w:rPr>
        <w:t>15.4保修</w:t>
      </w:r>
      <w:bookmarkEnd w:id="1441"/>
      <w:bookmarkEnd w:id="1442"/>
    </w:p>
    <w:bookmarkEnd w:id="1410"/>
    <w:p w14:paraId="3CBCE46F">
      <w:pPr>
        <w:pStyle w:val="80"/>
        <w:spacing w:line="400" w:lineRule="exact"/>
        <w:rPr>
          <w:rFonts w:hint="eastAsia" w:cs="宋体"/>
          <w:color w:val="auto"/>
          <w:sz w:val="21"/>
          <w:highlight w:val="none"/>
        </w:rPr>
      </w:pPr>
      <w:r>
        <w:rPr>
          <w:rFonts w:hint="eastAsia" w:cs="宋体"/>
          <w:color w:val="auto"/>
          <w:sz w:val="21"/>
          <w:highlight w:val="none"/>
        </w:rPr>
        <w:t>15.4.1 保修责任</w:t>
      </w:r>
    </w:p>
    <w:p w14:paraId="359439D6">
      <w:pPr>
        <w:pStyle w:val="80"/>
        <w:spacing w:line="400" w:lineRule="exact"/>
        <w:rPr>
          <w:rFonts w:hint="eastAsia" w:cs="宋体"/>
          <w:color w:val="auto"/>
          <w:sz w:val="21"/>
          <w:highlight w:val="none"/>
          <w:u w:val="single"/>
        </w:rPr>
      </w:pPr>
      <w:r>
        <w:rPr>
          <w:rFonts w:hint="eastAsia" w:cs="宋体"/>
          <w:color w:val="auto"/>
          <w:sz w:val="21"/>
          <w:highlight w:val="none"/>
        </w:rPr>
        <w:t>工程保修期为：</w:t>
      </w:r>
      <w:r>
        <w:rPr>
          <w:rFonts w:hint="eastAsia" w:cs="宋体"/>
          <w:color w:val="auto"/>
          <w:sz w:val="21"/>
          <w:highlight w:val="none"/>
          <w:u w:val="single"/>
        </w:rPr>
        <w:t>根据《建设工程质量管理条例》及有关规定，约定本工程的保修期详见《工程质量保修书》。</w:t>
      </w:r>
    </w:p>
    <w:p w14:paraId="127B9379">
      <w:pPr>
        <w:pStyle w:val="80"/>
        <w:spacing w:line="400" w:lineRule="exact"/>
        <w:rPr>
          <w:rFonts w:hint="eastAsia" w:cs="宋体"/>
          <w:color w:val="auto"/>
          <w:sz w:val="21"/>
          <w:highlight w:val="none"/>
        </w:rPr>
      </w:pPr>
      <w:r>
        <w:rPr>
          <w:rFonts w:hint="eastAsia" w:cs="宋体"/>
          <w:color w:val="auto"/>
          <w:sz w:val="21"/>
          <w:highlight w:val="none"/>
        </w:rPr>
        <w:t>15.4.3 修复通知</w:t>
      </w:r>
    </w:p>
    <w:p w14:paraId="29D53C6F">
      <w:pPr>
        <w:pStyle w:val="80"/>
        <w:spacing w:line="400" w:lineRule="exact"/>
        <w:rPr>
          <w:rFonts w:hint="eastAsia" w:cs="宋体"/>
          <w:color w:val="auto"/>
          <w:sz w:val="21"/>
          <w:highlight w:val="none"/>
        </w:rPr>
      </w:pPr>
      <w:r>
        <w:rPr>
          <w:rFonts w:hint="eastAsia" w:cs="宋体"/>
          <w:color w:val="auto"/>
          <w:sz w:val="21"/>
          <w:highlight w:val="none"/>
        </w:rPr>
        <w:t>承包人收到保修通知并到达工程现场的合理时间：</w:t>
      </w:r>
      <w:r>
        <w:rPr>
          <w:rFonts w:hint="eastAsia" w:cs="宋体"/>
          <w:color w:val="auto"/>
          <w:sz w:val="21"/>
          <w:highlight w:val="none"/>
          <w:u w:val="single"/>
        </w:rPr>
        <w:t>1、属于保修范围、内容的项目，承包人应当在接到保修通知之日起7天内派人保修。承包人不在约定期限内派人保修的，发包人可以委托他人修理。2、发生紧急抢修事故的，承包人在接到事故通知后，应当立即到达事故现场抢修。3、对于涉及结构安全的质量问题，应当按照《建设工程质量管理条例》的规定，立即向当地建设行政主管部门报告，采取安全防范措施；由原设计单位或者具有相应资质等级的设计单位提出保修方案，承包人实施保修。4、质量保修完成后，由发包人组织验收。5、保修费用由造成质量缺陷的责任方承担。</w:t>
      </w:r>
    </w:p>
    <w:bookmarkEnd w:id="1411"/>
    <w:bookmarkEnd w:id="1412"/>
    <w:bookmarkEnd w:id="1413"/>
    <w:bookmarkEnd w:id="1414"/>
    <w:p w14:paraId="747C3FFE">
      <w:pPr>
        <w:pStyle w:val="322"/>
        <w:spacing w:line="400" w:lineRule="exact"/>
        <w:rPr>
          <w:rFonts w:hint="eastAsia" w:ascii="宋体" w:cs="宋体"/>
          <w:color w:val="auto"/>
          <w:highlight w:val="none"/>
        </w:rPr>
      </w:pPr>
      <w:bookmarkStart w:id="1443" w:name="_Toc351203648"/>
      <w:bookmarkStart w:id="1444" w:name="_Toc478389262"/>
      <w:bookmarkStart w:id="1445" w:name="_Toc417904351"/>
      <w:bookmarkStart w:id="1446" w:name="_Toc280868717"/>
      <w:bookmarkStart w:id="1447" w:name="_Toc280868718"/>
      <w:r>
        <w:rPr>
          <w:rFonts w:hint="eastAsia" w:ascii="宋体" w:cs="宋体"/>
          <w:color w:val="auto"/>
          <w:highlight w:val="none"/>
        </w:rPr>
        <w:t>16. 违约</w:t>
      </w:r>
      <w:bookmarkEnd w:id="1443"/>
      <w:bookmarkEnd w:id="1444"/>
      <w:bookmarkEnd w:id="1445"/>
    </w:p>
    <w:p w14:paraId="5DAFF306">
      <w:pPr>
        <w:pStyle w:val="322"/>
        <w:spacing w:line="400" w:lineRule="exact"/>
        <w:rPr>
          <w:rFonts w:hint="eastAsia" w:ascii="宋体" w:cs="宋体"/>
          <w:color w:val="auto"/>
          <w:highlight w:val="none"/>
        </w:rPr>
      </w:pPr>
      <w:bookmarkStart w:id="1448" w:name="_Toc478389263"/>
      <w:bookmarkStart w:id="1449" w:name="_Toc417904352"/>
      <w:r>
        <w:rPr>
          <w:rFonts w:hint="eastAsia" w:ascii="宋体" w:cs="宋体"/>
          <w:color w:val="auto"/>
          <w:highlight w:val="none"/>
        </w:rPr>
        <w:t>16.1 发包人违约</w:t>
      </w:r>
      <w:bookmarkEnd w:id="1448"/>
      <w:bookmarkEnd w:id="1449"/>
    </w:p>
    <w:p w14:paraId="420B21D8">
      <w:pPr>
        <w:pStyle w:val="80"/>
        <w:spacing w:line="400" w:lineRule="exact"/>
        <w:rPr>
          <w:rFonts w:hint="eastAsia" w:cs="宋体"/>
          <w:color w:val="auto"/>
          <w:sz w:val="21"/>
          <w:highlight w:val="none"/>
        </w:rPr>
      </w:pPr>
      <w:r>
        <w:rPr>
          <w:rFonts w:hint="eastAsia" w:cs="宋体"/>
          <w:color w:val="auto"/>
          <w:sz w:val="21"/>
          <w:highlight w:val="none"/>
        </w:rPr>
        <w:t>16.1.1发包人违约的情形</w:t>
      </w:r>
    </w:p>
    <w:p w14:paraId="401E2E31">
      <w:pPr>
        <w:pStyle w:val="80"/>
        <w:spacing w:line="360" w:lineRule="exact"/>
        <w:rPr>
          <w:rFonts w:hint="eastAsia" w:cs="宋体"/>
          <w:color w:val="auto"/>
          <w:sz w:val="21"/>
          <w:highlight w:val="none"/>
        </w:rPr>
      </w:pPr>
      <w:r>
        <w:rPr>
          <w:rFonts w:hint="eastAsia" w:cs="宋体"/>
          <w:color w:val="auto"/>
          <w:sz w:val="21"/>
          <w:highlight w:val="none"/>
        </w:rPr>
        <w:t>发包人违约的其他情形：</w:t>
      </w:r>
      <w:r>
        <w:rPr>
          <w:rFonts w:hint="eastAsia" w:cs="宋体"/>
          <w:color w:val="auto"/>
          <w:sz w:val="21"/>
          <w:highlight w:val="none"/>
          <w:u w:val="single"/>
        </w:rPr>
        <w:t>无</w:t>
      </w:r>
      <w:r>
        <w:rPr>
          <w:rFonts w:hint="eastAsia" w:cs="宋体"/>
          <w:color w:val="auto"/>
          <w:sz w:val="21"/>
          <w:highlight w:val="none"/>
        </w:rPr>
        <w:t>。</w:t>
      </w:r>
    </w:p>
    <w:p w14:paraId="60DED5A8">
      <w:pPr>
        <w:pStyle w:val="80"/>
        <w:spacing w:line="360" w:lineRule="exact"/>
        <w:outlineLvl w:val="0"/>
        <w:rPr>
          <w:rFonts w:hint="eastAsia" w:cs="宋体"/>
          <w:color w:val="auto"/>
          <w:sz w:val="21"/>
          <w:highlight w:val="none"/>
        </w:rPr>
      </w:pPr>
      <w:bookmarkStart w:id="1450" w:name="_Toc478389264"/>
      <w:bookmarkStart w:id="1451" w:name="_Toc406522298"/>
      <w:bookmarkStart w:id="1452" w:name="_Toc417904353"/>
      <w:bookmarkStart w:id="1453" w:name="_Toc406419422"/>
      <w:r>
        <w:rPr>
          <w:rFonts w:hint="eastAsia" w:cs="宋体"/>
          <w:color w:val="auto"/>
          <w:sz w:val="21"/>
          <w:highlight w:val="none"/>
        </w:rPr>
        <w:t>16.1.2 发包人违约的责任</w:t>
      </w:r>
      <w:bookmarkEnd w:id="1450"/>
      <w:bookmarkEnd w:id="1451"/>
      <w:bookmarkEnd w:id="1452"/>
      <w:bookmarkEnd w:id="1453"/>
    </w:p>
    <w:p w14:paraId="5FB76F49">
      <w:pPr>
        <w:pStyle w:val="80"/>
        <w:spacing w:line="360" w:lineRule="exact"/>
        <w:rPr>
          <w:rFonts w:hint="eastAsia" w:cs="宋体"/>
          <w:color w:val="auto"/>
          <w:sz w:val="21"/>
          <w:highlight w:val="none"/>
        </w:rPr>
      </w:pPr>
      <w:r>
        <w:rPr>
          <w:rFonts w:hint="eastAsia" w:cs="宋体"/>
          <w:color w:val="auto"/>
          <w:sz w:val="21"/>
          <w:highlight w:val="none"/>
        </w:rPr>
        <w:t>发包人违约责任的承担方式和计算方法：</w:t>
      </w:r>
    </w:p>
    <w:p w14:paraId="1B353AE2">
      <w:pPr>
        <w:pStyle w:val="80"/>
        <w:spacing w:line="360" w:lineRule="exact"/>
        <w:rPr>
          <w:rFonts w:hint="eastAsia" w:cs="宋体"/>
          <w:color w:val="auto"/>
          <w:sz w:val="21"/>
          <w:highlight w:val="none"/>
          <w:u w:val="single"/>
        </w:rPr>
      </w:pPr>
      <w:r>
        <w:rPr>
          <w:rFonts w:hint="eastAsia" w:cs="宋体"/>
          <w:color w:val="auto"/>
          <w:sz w:val="21"/>
          <w:highlight w:val="none"/>
        </w:rPr>
        <w:t>（1）因发包人原因未能在计划开工日期前7天内下达开工通知的违约责任：</w:t>
      </w:r>
      <w:r>
        <w:rPr>
          <w:rFonts w:hint="eastAsia" w:cs="宋体"/>
          <w:color w:val="auto"/>
          <w:sz w:val="21"/>
          <w:highlight w:val="none"/>
          <w:u w:val="single"/>
        </w:rPr>
        <w:t>无</w:t>
      </w:r>
      <w:r>
        <w:rPr>
          <w:rFonts w:hint="eastAsia" w:cs="宋体"/>
          <w:color w:val="auto"/>
          <w:sz w:val="21"/>
          <w:highlight w:val="none"/>
        </w:rPr>
        <w:t>。</w:t>
      </w:r>
    </w:p>
    <w:p w14:paraId="6420B123">
      <w:pPr>
        <w:pStyle w:val="80"/>
        <w:spacing w:line="360" w:lineRule="exact"/>
        <w:rPr>
          <w:rFonts w:hint="eastAsia" w:cs="宋体"/>
          <w:color w:val="auto"/>
          <w:sz w:val="21"/>
          <w:highlight w:val="none"/>
        </w:rPr>
      </w:pPr>
      <w:r>
        <w:rPr>
          <w:rFonts w:hint="eastAsia" w:cs="宋体"/>
          <w:color w:val="auto"/>
          <w:sz w:val="21"/>
          <w:highlight w:val="none"/>
        </w:rPr>
        <w:t>（2）因发包人原因未能按合同约定支付合同价款的违约责任：</w:t>
      </w:r>
      <w:r>
        <w:rPr>
          <w:rFonts w:hint="eastAsia" w:cs="宋体"/>
          <w:color w:val="auto"/>
          <w:sz w:val="21"/>
          <w:highlight w:val="none"/>
          <w:u w:val="single"/>
        </w:rPr>
        <w:t>无</w:t>
      </w:r>
      <w:r>
        <w:rPr>
          <w:rFonts w:hint="eastAsia" w:cs="宋体"/>
          <w:color w:val="auto"/>
          <w:sz w:val="21"/>
          <w:highlight w:val="none"/>
        </w:rPr>
        <w:t>。</w:t>
      </w:r>
    </w:p>
    <w:p w14:paraId="55387F07">
      <w:pPr>
        <w:pStyle w:val="80"/>
        <w:spacing w:line="360" w:lineRule="exact"/>
        <w:rPr>
          <w:rFonts w:hint="eastAsia" w:cs="宋体"/>
          <w:color w:val="auto"/>
          <w:sz w:val="21"/>
          <w:highlight w:val="none"/>
        </w:rPr>
      </w:pPr>
      <w:r>
        <w:rPr>
          <w:rFonts w:hint="eastAsia" w:cs="宋体"/>
          <w:color w:val="auto"/>
          <w:sz w:val="21"/>
          <w:highlight w:val="none"/>
        </w:rPr>
        <w:t>（3）发包人违反第10.1款〔变更的范围〕第（2）项约定，自行实施被取消的工作或转由他人实施的违约责任：</w:t>
      </w:r>
      <w:r>
        <w:rPr>
          <w:rFonts w:hint="eastAsia" w:cs="宋体"/>
          <w:color w:val="auto"/>
          <w:sz w:val="21"/>
          <w:highlight w:val="none"/>
          <w:u w:val="single"/>
        </w:rPr>
        <w:t>无</w:t>
      </w:r>
      <w:r>
        <w:rPr>
          <w:rFonts w:hint="eastAsia" w:cs="宋体"/>
          <w:color w:val="auto"/>
          <w:sz w:val="21"/>
          <w:highlight w:val="none"/>
        </w:rPr>
        <w:t>。</w:t>
      </w:r>
    </w:p>
    <w:p w14:paraId="736E1E49">
      <w:pPr>
        <w:pStyle w:val="80"/>
        <w:spacing w:line="360" w:lineRule="exact"/>
        <w:rPr>
          <w:rFonts w:hint="eastAsia" w:cs="宋体"/>
          <w:color w:val="auto"/>
          <w:sz w:val="21"/>
          <w:highlight w:val="none"/>
        </w:rPr>
      </w:pPr>
      <w:r>
        <w:rPr>
          <w:rFonts w:hint="eastAsia" w:cs="宋体"/>
          <w:color w:val="auto"/>
          <w:sz w:val="21"/>
          <w:highlight w:val="none"/>
        </w:rPr>
        <w:t>（4）发包人提供的材料、工程设备的规格、数量或质量不符合合同约定，或因发包人原因导致交货日期延误或交货地点变更等情况的违约责任：</w:t>
      </w:r>
      <w:r>
        <w:rPr>
          <w:rFonts w:hint="eastAsia" w:cs="宋体"/>
          <w:color w:val="auto"/>
          <w:sz w:val="21"/>
          <w:highlight w:val="none"/>
          <w:u w:val="single"/>
        </w:rPr>
        <w:t>无</w:t>
      </w:r>
      <w:r>
        <w:rPr>
          <w:rFonts w:hint="eastAsia" w:cs="宋体"/>
          <w:color w:val="auto"/>
          <w:sz w:val="21"/>
          <w:highlight w:val="none"/>
        </w:rPr>
        <w:t>。</w:t>
      </w:r>
    </w:p>
    <w:p w14:paraId="628CC231">
      <w:pPr>
        <w:pStyle w:val="80"/>
        <w:spacing w:line="360" w:lineRule="exact"/>
        <w:rPr>
          <w:rFonts w:hint="eastAsia" w:cs="宋体"/>
          <w:color w:val="auto"/>
          <w:sz w:val="21"/>
          <w:highlight w:val="none"/>
        </w:rPr>
      </w:pPr>
      <w:r>
        <w:rPr>
          <w:rFonts w:hint="eastAsia" w:cs="宋体"/>
          <w:color w:val="auto"/>
          <w:sz w:val="21"/>
          <w:highlight w:val="none"/>
        </w:rPr>
        <w:t>（5）因发包人违反合同约定造成暂停施工的违约责任：</w:t>
      </w:r>
      <w:r>
        <w:rPr>
          <w:rFonts w:hint="eastAsia" w:cs="宋体"/>
          <w:color w:val="auto"/>
          <w:sz w:val="21"/>
          <w:highlight w:val="none"/>
          <w:u w:val="single"/>
        </w:rPr>
        <w:t>无</w:t>
      </w:r>
      <w:r>
        <w:rPr>
          <w:rFonts w:hint="eastAsia" w:cs="宋体"/>
          <w:color w:val="auto"/>
          <w:sz w:val="21"/>
          <w:highlight w:val="none"/>
        </w:rPr>
        <w:t>。</w:t>
      </w:r>
    </w:p>
    <w:p w14:paraId="4D02AC63">
      <w:pPr>
        <w:pStyle w:val="80"/>
        <w:spacing w:line="360" w:lineRule="exact"/>
        <w:rPr>
          <w:rFonts w:hint="eastAsia" w:cs="宋体"/>
          <w:color w:val="auto"/>
          <w:sz w:val="21"/>
          <w:highlight w:val="none"/>
        </w:rPr>
      </w:pPr>
      <w:r>
        <w:rPr>
          <w:rFonts w:hint="eastAsia" w:cs="宋体"/>
          <w:color w:val="auto"/>
          <w:sz w:val="21"/>
          <w:highlight w:val="none"/>
        </w:rPr>
        <w:t>（6）发包人无正当理由没有在约定期限内发出复工指示，导致承包人无法复工的违约责任：</w:t>
      </w:r>
      <w:r>
        <w:rPr>
          <w:rFonts w:hint="eastAsia" w:cs="宋体"/>
          <w:color w:val="auto"/>
          <w:sz w:val="21"/>
          <w:highlight w:val="none"/>
          <w:u w:val="single"/>
        </w:rPr>
        <w:t>无</w:t>
      </w:r>
      <w:r>
        <w:rPr>
          <w:rFonts w:hint="eastAsia" w:cs="宋体"/>
          <w:color w:val="auto"/>
          <w:sz w:val="21"/>
          <w:highlight w:val="none"/>
        </w:rPr>
        <w:t>。</w:t>
      </w:r>
    </w:p>
    <w:p w14:paraId="7A9C42F4">
      <w:pPr>
        <w:pStyle w:val="80"/>
        <w:spacing w:line="360" w:lineRule="exact"/>
        <w:rPr>
          <w:rFonts w:hint="eastAsia" w:cs="宋体"/>
          <w:color w:val="auto"/>
          <w:sz w:val="21"/>
          <w:highlight w:val="none"/>
        </w:rPr>
      </w:pPr>
      <w:r>
        <w:rPr>
          <w:rFonts w:hint="eastAsia" w:cs="宋体"/>
          <w:color w:val="auto"/>
          <w:sz w:val="21"/>
          <w:highlight w:val="none"/>
        </w:rPr>
        <w:t>（7）其他：</w:t>
      </w:r>
      <w:r>
        <w:rPr>
          <w:rFonts w:hint="eastAsia" w:cs="宋体"/>
          <w:color w:val="auto"/>
          <w:sz w:val="21"/>
          <w:highlight w:val="none"/>
          <w:u w:val="single"/>
        </w:rPr>
        <w:t>无</w:t>
      </w:r>
      <w:r>
        <w:rPr>
          <w:rFonts w:hint="eastAsia" w:cs="宋体"/>
          <w:color w:val="auto"/>
          <w:sz w:val="21"/>
          <w:highlight w:val="none"/>
        </w:rPr>
        <w:t>。</w:t>
      </w:r>
    </w:p>
    <w:p w14:paraId="57C1878C">
      <w:pPr>
        <w:pStyle w:val="80"/>
        <w:spacing w:line="360" w:lineRule="exact"/>
        <w:rPr>
          <w:rFonts w:hint="eastAsia" w:cs="宋体"/>
          <w:color w:val="auto"/>
          <w:sz w:val="21"/>
          <w:highlight w:val="none"/>
        </w:rPr>
      </w:pPr>
      <w:r>
        <w:rPr>
          <w:rFonts w:hint="eastAsia" w:cs="宋体"/>
          <w:color w:val="auto"/>
          <w:sz w:val="21"/>
          <w:highlight w:val="none"/>
        </w:rPr>
        <w:t>16.1.3 因发包人违约解除合同</w:t>
      </w:r>
    </w:p>
    <w:p w14:paraId="3679D7E8">
      <w:pPr>
        <w:pStyle w:val="80"/>
        <w:spacing w:line="360" w:lineRule="exact"/>
        <w:rPr>
          <w:rFonts w:hint="eastAsia" w:cs="宋体"/>
          <w:color w:val="auto"/>
          <w:sz w:val="21"/>
          <w:highlight w:val="none"/>
        </w:rPr>
      </w:pPr>
      <w:r>
        <w:rPr>
          <w:rFonts w:hint="eastAsia" w:cs="宋体"/>
          <w:color w:val="auto"/>
          <w:sz w:val="21"/>
          <w:highlight w:val="none"/>
        </w:rPr>
        <w:t>承包人按16.1.1项〔发包人违约的情形〕约定暂停施工满180天后发包人仍不纠正其违约行为并致使合同目的不能实现的，承包人有权解除合同。</w:t>
      </w:r>
    </w:p>
    <w:p w14:paraId="7B5CB525">
      <w:pPr>
        <w:pStyle w:val="322"/>
        <w:spacing w:line="400" w:lineRule="exact"/>
        <w:rPr>
          <w:rFonts w:hint="eastAsia" w:ascii="宋体" w:cs="宋体"/>
          <w:color w:val="auto"/>
          <w:highlight w:val="none"/>
        </w:rPr>
      </w:pPr>
      <w:bookmarkStart w:id="1454" w:name="_Toc417904354"/>
      <w:bookmarkStart w:id="1455" w:name="_Toc478389265"/>
      <w:r>
        <w:rPr>
          <w:rFonts w:hint="eastAsia" w:ascii="宋体" w:cs="宋体"/>
          <w:color w:val="auto"/>
          <w:highlight w:val="none"/>
        </w:rPr>
        <w:t>16.2 承包人违约</w:t>
      </w:r>
      <w:bookmarkEnd w:id="1454"/>
      <w:bookmarkEnd w:id="1455"/>
    </w:p>
    <w:p w14:paraId="2E9E52CA">
      <w:pPr>
        <w:pStyle w:val="80"/>
        <w:spacing w:line="400" w:lineRule="exact"/>
        <w:rPr>
          <w:rFonts w:hint="eastAsia" w:cs="宋体"/>
          <w:color w:val="auto"/>
          <w:sz w:val="21"/>
          <w:highlight w:val="none"/>
        </w:rPr>
      </w:pPr>
      <w:r>
        <w:rPr>
          <w:rFonts w:hint="eastAsia" w:cs="宋体"/>
          <w:color w:val="auto"/>
          <w:sz w:val="21"/>
          <w:highlight w:val="none"/>
        </w:rPr>
        <w:t>16.2.1 承包人违约的情形</w:t>
      </w:r>
    </w:p>
    <w:p w14:paraId="0ADADD16">
      <w:pPr>
        <w:spacing w:line="400" w:lineRule="exact"/>
        <w:ind w:firstLine="420" w:firstLineChars="200"/>
        <w:jc w:val="left"/>
        <w:rPr>
          <w:rFonts w:hint="eastAsia" w:ascii="宋体" w:hAnsi="宋体" w:cs="宋体"/>
          <w:color w:val="auto"/>
          <w:szCs w:val="21"/>
          <w:highlight w:val="none"/>
          <w:u w:val="single"/>
        </w:rPr>
      </w:pPr>
      <w:r>
        <w:rPr>
          <w:rFonts w:hint="eastAsia" w:cs="宋体"/>
          <w:color w:val="auto"/>
          <w:highlight w:val="none"/>
        </w:rPr>
        <w:t>承包人违约的其他情形：（1）</w:t>
      </w:r>
      <w:r>
        <w:rPr>
          <w:rFonts w:hint="eastAsia" w:cs="宋体"/>
          <w:color w:val="auto"/>
          <w:highlight w:val="none"/>
          <w:u w:val="single"/>
        </w:rPr>
        <w:t>若承包人因施工工期延长导致合同终止的，承包人未在合同终止之日起10个工作日内进行清场，并将工程施工现场恢复至原未施工的状态的；（2）</w:t>
      </w:r>
      <w:r>
        <w:rPr>
          <w:rFonts w:hint="eastAsia" w:ascii="宋体" w:hAnsi="宋体" w:cs="宋体"/>
          <w:color w:val="auto"/>
          <w:szCs w:val="21"/>
          <w:highlight w:val="none"/>
          <w:u w:val="single"/>
        </w:rPr>
        <w:t xml:space="preserve">承包人提供本项目“招标工程量清单”序号第1、2、5、8、11、12、13、14、15项设备中存在非原厂原装生产的设备的，为组装拼接设备的。 </w:t>
      </w:r>
    </w:p>
    <w:p w14:paraId="09605655">
      <w:pPr>
        <w:pStyle w:val="80"/>
        <w:spacing w:line="400" w:lineRule="exact"/>
        <w:rPr>
          <w:rFonts w:hint="eastAsia" w:cs="宋体"/>
          <w:color w:val="auto"/>
          <w:sz w:val="21"/>
          <w:highlight w:val="none"/>
        </w:rPr>
      </w:pPr>
      <w:r>
        <w:rPr>
          <w:rFonts w:hint="eastAsia" w:cs="宋体"/>
          <w:color w:val="auto"/>
          <w:sz w:val="21"/>
          <w:highlight w:val="none"/>
        </w:rPr>
        <w:t>16.2.2承包人违约的责任</w:t>
      </w:r>
    </w:p>
    <w:p w14:paraId="4FDCBD57">
      <w:pPr>
        <w:pStyle w:val="80"/>
        <w:spacing w:line="400" w:lineRule="exact"/>
        <w:rPr>
          <w:rFonts w:hint="eastAsia" w:cs="宋体"/>
          <w:color w:val="auto"/>
          <w:sz w:val="21"/>
          <w:highlight w:val="none"/>
        </w:rPr>
      </w:pPr>
      <w:r>
        <w:rPr>
          <w:rFonts w:hint="eastAsia" w:cs="宋体"/>
          <w:color w:val="auto"/>
          <w:sz w:val="21"/>
          <w:highlight w:val="none"/>
        </w:rPr>
        <w:t>承包人违约责任的承担方式和计算方法：</w:t>
      </w:r>
    </w:p>
    <w:p w14:paraId="625890DD">
      <w:pPr>
        <w:pStyle w:val="80"/>
        <w:spacing w:line="400" w:lineRule="exact"/>
        <w:rPr>
          <w:rFonts w:hint="eastAsia" w:cs="宋体"/>
          <w:color w:val="auto"/>
          <w:sz w:val="21"/>
          <w:highlight w:val="none"/>
          <w:u w:val="single"/>
        </w:rPr>
      </w:pPr>
      <w:r>
        <w:rPr>
          <w:rFonts w:hint="eastAsia" w:cs="宋体"/>
          <w:color w:val="auto"/>
          <w:sz w:val="21"/>
          <w:highlight w:val="none"/>
          <w:u w:val="single"/>
        </w:rPr>
        <w:t>（1）承包人未按本合同通用条款第16.2.1（2）、（3）条内容完成的，承包人无条件返工处理，修复至工程质量要求并承担相关费用，并在发包人规定的时间内完成返工，否则发包人有权扣罚该分项工程10%的工程款作为处罚。</w:t>
      </w:r>
    </w:p>
    <w:p w14:paraId="7ABA5B74">
      <w:pPr>
        <w:pStyle w:val="80"/>
        <w:spacing w:line="400" w:lineRule="exact"/>
        <w:rPr>
          <w:rFonts w:hint="eastAsia" w:cs="宋体"/>
          <w:color w:val="auto"/>
          <w:sz w:val="21"/>
          <w:highlight w:val="none"/>
          <w:u w:val="single"/>
        </w:rPr>
      </w:pPr>
      <w:r>
        <w:rPr>
          <w:rFonts w:hint="eastAsia" w:cs="宋体"/>
          <w:color w:val="auto"/>
          <w:sz w:val="21"/>
          <w:highlight w:val="none"/>
          <w:u w:val="single"/>
        </w:rPr>
        <w:t>（2）承包人有本合同通用条款第16.2.1（6）条情形的，或经监理人检验认为修复质量不合格而承包人拒绝再进行修补的，承包人须向发包人支付合同金额5%</w:t>
      </w:r>
    </w:p>
    <w:p w14:paraId="5A5363EE">
      <w:pPr>
        <w:pStyle w:val="80"/>
        <w:spacing w:line="400" w:lineRule="exact"/>
        <w:rPr>
          <w:rFonts w:hint="eastAsia" w:cs="宋体"/>
          <w:color w:val="auto"/>
          <w:sz w:val="21"/>
          <w:highlight w:val="none"/>
          <w:u w:val="single"/>
        </w:rPr>
      </w:pPr>
      <w:r>
        <w:rPr>
          <w:rFonts w:hint="eastAsia" w:cs="宋体"/>
          <w:color w:val="auto"/>
          <w:sz w:val="21"/>
          <w:highlight w:val="none"/>
          <w:u w:val="single"/>
        </w:rPr>
        <w:t>（3）承包人有本专用合同条款3.2、3.3条违约责任的，发包人有权扣除承包人的违约金。违约金金额均在承包人的履约保证金及计量支付款内扣除。监理人预先下发含有罚款意向的指令，如承包人不及时采取措施纠正，则在指令下达后十五天下发罚款通知书（不再陈述罚款理由）。承包人在合同期内，完成合同规定的全部工程，且质量合格，在本工程施工竣工验收后十五天内可申请返还全部或部分罚款，返还金额由监理人审核，发包人批准。罚款金额返还时不包括银行利息。承包人履约保证金被罚款后由发包人从最后一次计量支付时扣除相应金额补足履约保证金。</w:t>
      </w:r>
    </w:p>
    <w:p w14:paraId="4C2D85CA">
      <w:pPr>
        <w:pStyle w:val="80"/>
        <w:spacing w:line="400" w:lineRule="exact"/>
        <w:rPr>
          <w:rFonts w:hint="eastAsia" w:cs="宋体"/>
          <w:color w:val="auto"/>
          <w:sz w:val="21"/>
          <w:highlight w:val="none"/>
          <w:u w:val="single"/>
        </w:rPr>
      </w:pPr>
      <w:r>
        <w:rPr>
          <w:rFonts w:hint="eastAsia" w:cs="宋体"/>
          <w:color w:val="auto"/>
          <w:sz w:val="21"/>
          <w:highlight w:val="none"/>
          <w:u w:val="single"/>
        </w:rPr>
        <w:t>因承包人责任导致工程质量达不到约定的质量标准的，承包人应无条件返工，并承担此造成的发包人损失。</w:t>
      </w:r>
    </w:p>
    <w:p w14:paraId="0972788B">
      <w:pPr>
        <w:pStyle w:val="80"/>
        <w:spacing w:line="400" w:lineRule="exact"/>
        <w:rPr>
          <w:rFonts w:hint="eastAsia" w:cs="宋体"/>
          <w:color w:val="auto"/>
          <w:sz w:val="21"/>
          <w:highlight w:val="none"/>
          <w:u w:val="single"/>
        </w:rPr>
      </w:pPr>
      <w:r>
        <w:rPr>
          <w:rFonts w:hint="eastAsia" w:cs="宋体"/>
          <w:color w:val="auto"/>
          <w:sz w:val="21"/>
          <w:highlight w:val="none"/>
          <w:u w:val="single"/>
        </w:rPr>
        <w:t>（4）承包人出现第16.2.1 条“承包人违约的其他情形”的，发包人有权终止合同，承包人须退回发包人已支付的所有工程款项，并向发包人支付合同金额10%违约金。</w:t>
      </w:r>
    </w:p>
    <w:p w14:paraId="07871E07">
      <w:pPr>
        <w:pStyle w:val="80"/>
        <w:spacing w:line="400" w:lineRule="exact"/>
        <w:rPr>
          <w:rFonts w:hint="eastAsia" w:cs="宋体"/>
          <w:color w:val="auto"/>
          <w:sz w:val="21"/>
          <w:highlight w:val="none"/>
        </w:rPr>
      </w:pPr>
      <w:r>
        <w:rPr>
          <w:rFonts w:hint="eastAsia" w:cs="宋体"/>
          <w:color w:val="auto"/>
          <w:sz w:val="21"/>
          <w:highlight w:val="none"/>
        </w:rPr>
        <w:t>16.2.3 因承包人违约解除合同</w:t>
      </w:r>
    </w:p>
    <w:p w14:paraId="6597A87D">
      <w:pPr>
        <w:pStyle w:val="80"/>
        <w:spacing w:line="400" w:lineRule="exact"/>
        <w:rPr>
          <w:rFonts w:hint="eastAsia" w:cs="宋体"/>
          <w:color w:val="auto"/>
          <w:sz w:val="21"/>
          <w:highlight w:val="none"/>
        </w:rPr>
      </w:pPr>
      <w:r>
        <w:rPr>
          <w:rFonts w:hint="eastAsia" w:cs="宋体"/>
          <w:color w:val="auto"/>
          <w:sz w:val="21"/>
          <w:highlight w:val="none"/>
        </w:rPr>
        <w:t>关于承包人违约解除合同的特别约定：承包人有违反以下情况之一的，发包人有权解除合同，并没收其全部履约保证金。</w:t>
      </w:r>
    </w:p>
    <w:p w14:paraId="0627BB39">
      <w:pPr>
        <w:pStyle w:val="80"/>
        <w:spacing w:line="400" w:lineRule="exact"/>
        <w:rPr>
          <w:rFonts w:hint="eastAsia" w:cs="宋体"/>
          <w:color w:val="auto"/>
          <w:sz w:val="21"/>
          <w:highlight w:val="none"/>
        </w:rPr>
      </w:pPr>
      <w:r>
        <w:rPr>
          <w:rFonts w:hint="eastAsia" w:cs="宋体"/>
          <w:color w:val="auto"/>
          <w:sz w:val="21"/>
          <w:highlight w:val="none"/>
        </w:rPr>
        <w:t>（1）承包人无正当理由不按开工通知的要求及时进场组织施工和不按签订协议书时商定的进度计划有效地开展施工准备，造成工期延误的；</w:t>
      </w:r>
    </w:p>
    <w:p w14:paraId="3D463E31">
      <w:pPr>
        <w:pStyle w:val="80"/>
        <w:spacing w:line="400" w:lineRule="exact"/>
        <w:rPr>
          <w:rFonts w:hint="eastAsia" w:cs="宋体"/>
          <w:color w:val="auto"/>
          <w:sz w:val="21"/>
          <w:highlight w:val="none"/>
        </w:rPr>
      </w:pPr>
      <w:r>
        <w:rPr>
          <w:rFonts w:hint="eastAsia" w:cs="宋体"/>
          <w:color w:val="auto"/>
          <w:sz w:val="21"/>
          <w:highlight w:val="none"/>
        </w:rPr>
        <w:t>（2）承包人违反本合同通用条款第3.5条规定私自将合同或合同的任何部分或任何权利转让给其他人，或私自将工程或工程的一部分分包出去的；</w:t>
      </w:r>
    </w:p>
    <w:p w14:paraId="4ACCB864">
      <w:pPr>
        <w:pStyle w:val="80"/>
        <w:spacing w:line="400" w:lineRule="exact"/>
        <w:rPr>
          <w:rFonts w:hint="eastAsia" w:cs="宋体"/>
          <w:color w:val="auto"/>
          <w:sz w:val="21"/>
          <w:highlight w:val="none"/>
        </w:rPr>
      </w:pPr>
      <w:r>
        <w:rPr>
          <w:rFonts w:hint="eastAsia" w:cs="宋体"/>
          <w:color w:val="auto"/>
          <w:sz w:val="21"/>
          <w:highlight w:val="none"/>
        </w:rPr>
        <w:t>（3）未经监理人批准，承包人私自将已按投标文件承诺进入工地的工程设备、施工设备、临时工程或材料撤离工地的；</w:t>
      </w:r>
    </w:p>
    <w:p w14:paraId="2ACA9EF5">
      <w:pPr>
        <w:pStyle w:val="80"/>
        <w:spacing w:line="400" w:lineRule="exact"/>
        <w:rPr>
          <w:rFonts w:hint="eastAsia" w:cs="宋体"/>
          <w:color w:val="auto"/>
          <w:sz w:val="21"/>
          <w:highlight w:val="none"/>
        </w:rPr>
      </w:pPr>
      <w:r>
        <w:rPr>
          <w:rFonts w:hint="eastAsia" w:cs="宋体"/>
          <w:color w:val="auto"/>
          <w:sz w:val="21"/>
          <w:highlight w:val="none"/>
        </w:rPr>
        <w:t>（4）由于承包人原因拒绝按合同进度计划及时完成合同规定的工程，而又未采取有效措施赶上进度，造成工期延误的；</w:t>
      </w:r>
    </w:p>
    <w:p w14:paraId="3A40F38C">
      <w:pPr>
        <w:pStyle w:val="80"/>
        <w:spacing w:line="400" w:lineRule="exact"/>
        <w:rPr>
          <w:rFonts w:hint="eastAsia" w:cs="宋体"/>
          <w:color w:val="auto"/>
          <w:sz w:val="21"/>
          <w:highlight w:val="none"/>
        </w:rPr>
      </w:pPr>
      <w:r>
        <w:rPr>
          <w:rFonts w:hint="eastAsia" w:cs="宋体"/>
          <w:color w:val="auto"/>
          <w:sz w:val="21"/>
          <w:highlight w:val="none"/>
        </w:rPr>
        <w:t>（5）承包人否认合同有效或拒绝履行合同规定的承包人义务，或由于法律、财务等原因导致承包人无法继续履行或实质上已停止履行合同的义务的；</w:t>
      </w:r>
    </w:p>
    <w:p w14:paraId="68CC13D4">
      <w:pPr>
        <w:pStyle w:val="80"/>
        <w:spacing w:line="400" w:lineRule="exact"/>
        <w:rPr>
          <w:rFonts w:hint="eastAsia" w:cs="宋体"/>
          <w:color w:val="auto"/>
          <w:sz w:val="21"/>
          <w:highlight w:val="none"/>
        </w:rPr>
      </w:pPr>
      <w:r>
        <w:rPr>
          <w:rFonts w:hint="eastAsia" w:cs="宋体"/>
          <w:color w:val="auto"/>
          <w:sz w:val="21"/>
          <w:highlight w:val="none"/>
        </w:rPr>
        <w:t>（6）合同签订之日起十五日内，承包人无法按合同规定及投标文件的承诺进场经监理工程师认可的全部人员和机械的。</w:t>
      </w:r>
    </w:p>
    <w:p w14:paraId="7821A146">
      <w:pPr>
        <w:pStyle w:val="80"/>
        <w:spacing w:line="400" w:lineRule="exact"/>
        <w:rPr>
          <w:rFonts w:hint="eastAsia" w:cs="宋体"/>
          <w:color w:val="auto"/>
          <w:sz w:val="21"/>
          <w:highlight w:val="none"/>
        </w:rPr>
      </w:pPr>
      <w:r>
        <w:rPr>
          <w:rFonts w:hint="eastAsia" w:cs="宋体"/>
          <w:color w:val="auto"/>
          <w:sz w:val="21"/>
          <w:highlight w:val="none"/>
        </w:rPr>
        <w:t>发包人继续使用承包人在施工现场的材料、设备、临时工程、承包人文件和由承包人或以其名义编制的其他文件的费用承担方式：</w:t>
      </w:r>
      <w:r>
        <w:rPr>
          <w:rFonts w:hint="eastAsia" w:cs="宋体"/>
          <w:color w:val="auto"/>
          <w:sz w:val="21"/>
          <w:highlight w:val="none"/>
          <w:u w:val="single"/>
        </w:rPr>
        <w:t>协商决定</w:t>
      </w:r>
      <w:r>
        <w:rPr>
          <w:rFonts w:hint="eastAsia" w:cs="宋体"/>
          <w:color w:val="auto"/>
          <w:sz w:val="21"/>
          <w:highlight w:val="none"/>
        </w:rPr>
        <w:t>。　</w:t>
      </w:r>
    </w:p>
    <w:p w14:paraId="3D3504E6">
      <w:pPr>
        <w:pStyle w:val="322"/>
        <w:spacing w:line="400" w:lineRule="exact"/>
        <w:rPr>
          <w:rFonts w:hint="eastAsia" w:ascii="宋体" w:cs="宋体"/>
          <w:color w:val="auto"/>
          <w:highlight w:val="none"/>
        </w:rPr>
      </w:pPr>
      <w:bookmarkStart w:id="1456" w:name="_Toc351203649"/>
      <w:bookmarkStart w:id="1457" w:name="_Toc417904355"/>
      <w:bookmarkStart w:id="1458" w:name="_Toc478389266"/>
      <w:r>
        <w:rPr>
          <w:rFonts w:hint="eastAsia" w:ascii="宋体" w:cs="宋体"/>
          <w:color w:val="auto"/>
          <w:highlight w:val="none"/>
        </w:rPr>
        <w:t>17. 不可抗力</w:t>
      </w:r>
      <w:bookmarkEnd w:id="1446"/>
      <w:bookmarkEnd w:id="1456"/>
      <w:bookmarkEnd w:id="1457"/>
      <w:bookmarkEnd w:id="1458"/>
    </w:p>
    <w:p w14:paraId="3609B8CF">
      <w:pPr>
        <w:pStyle w:val="322"/>
        <w:spacing w:line="400" w:lineRule="exact"/>
        <w:rPr>
          <w:rFonts w:hint="eastAsia" w:ascii="宋体" w:cs="宋体"/>
          <w:color w:val="auto"/>
          <w:highlight w:val="none"/>
        </w:rPr>
      </w:pPr>
      <w:bookmarkStart w:id="1459" w:name="_Toc417904356"/>
      <w:bookmarkStart w:id="1460" w:name="_Toc478389267"/>
      <w:r>
        <w:rPr>
          <w:rFonts w:hint="eastAsia" w:ascii="宋体" w:cs="宋体"/>
          <w:color w:val="auto"/>
          <w:highlight w:val="none"/>
        </w:rPr>
        <w:t>17.1 不可抗力的确认</w:t>
      </w:r>
      <w:bookmarkEnd w:id="1459"/>
      <w:bookmarkEnd w:id="1460"/>
    </w:p>
    <w:p w14:paraId="2E039B17">
      <w:pPr>
        <w:pStyle w:val="80"/>
        <w:spacing w:line="400" w:lineRule="exact"/>
        <w:rPr>
          <w:rFonts w:hint="eastAsia" w:cs="宋体"/>
          <w:color w:val="auto"/>
          <w:sz w:val="21"/>
          <w:highlight w:val="none"/>
          <w:u w:val="single"/>
        </w:rPr>
      </w:pPr>
      <w:r>
        <w:rPr>
          <w:rFonts w:hint="eastAsia" w:cs="宋体"/>
          <w:color w:val="auto"/>
          <w:sz w:val="21"/>
          <w:highlight w:val="none"/>
        </w:rPr>
        <w:t xml:space="preserve">除通用合同条款约定的不可抗力事件之外，视为不可抗力的其他情形： </w:t>
      </w:r>
      <w:r>
        <w:rPr>
          <w:rFonts w:hint="eastAsia" w:cs="宋体"/>
          <w:color w:val="auto"/>
          <w:sz w:val="21"/>
          <w:highlight w:val="none"/>
          <w:u w:val="single"/>
        </w:rPr>
        <w:t>无</w:t>
      </w:r>
      <w:r>
        <w:rPr>
          <w:rFonts w:hint="eastAsia" w:cs="宋体"/>
          <w:color w:val="auto"/>
          <w:sz w:val="21"/>
          <w:highlight w:val="none"/>
        </w:rPr>
        <w:t>。</w:t>
      </w:r>
    </w:p>
    <w:p w14:paraId="5B619C8B">
      <w:pPr>
        <w:pStyle w:val="80"/>
        <w:spacing w:line="400" w:lineRule="exact"/>
        <w:rPr>
          <w:rFonts w:hint="eastAsia" w:cs="宋体"/>
          <w:color w:val="auto"/>
          <w:sz w:val="21"/>
          <w:highlight w:val="none"/>
        </w:rPr>
      </w:pPr>
      <w:r>
        <w:rPr>
          <w:rFonts w:hint="eastAsia" w:cs="宋体"/>
          <w:color w:val="auto"/>
          <w:sz w:val="21"/>
          <w:highlight w:val="none"/>
        </w:rPr>
        <w:t>17.4 因不可抗力解除合同</w:t>
      </w:r>
    </w:p>
    <w:p w14:paraId="4ABF5C82">
      <w:pPr>
        <w:pStyle w:val="80"/>
        <w:spacing w:line="400" w:lineRule="exact"/>
        <w:rPr>
          <w:rFonts w:hint="eastAsia" w:cs="宋体"/>
          <w:color w:val="auto"/>
          <w:sz w:val="21"/>
          <w:highlight w:val="none"/>
        </w:rPr>
      </w:pPr>
      <w:r>
        <w:rPr>
          <w:rFonts w:hint="eastAsia" w:cs="宋体"/>
          <w:color w:val="auto"/>
          <w:sz w:val="21"/>
          <w:highlight w:val="none"/>
        </w:rPr>
        <w:t>合同解除后，发包人应在商定或确定发包人应支付款项后</w:t>
      </w:r>
      <w:r>
        <w:rPr>
          <w:rFonts w:hint="eastAsia" w:cs="宋体"/>
          <w:color w:val="auto"/>
          <w:sz w:val="21"/>
          <w:highlight w:val="none"/>
          <w:u w:val="single"/>
        </w:rPr>
        <w:t xml:space="preserve">承包人提出书面申请14  </w:t>
      </w:r>
      <w:r>
        <w:rPr>
          <w:rFonts w:hint="eastAsia" w:cs="宋体"/>
          <w:color w:val="auto"/>
          <w:sz w:val="21"/>
          <w:highlight w:val="none"/>
        </w:rPr>
        <w:t>天内完成款项的支付。</w:t>
      </w:r>
    </w:p>
    <w:p w14:paraId="2A4CC32A">
      <w:pPr>
        <w:pStyle w:val="322"/>
        <w:spacing w:line="400" w:lineRule="exact"/>
        <w:rPr>
          <w:rFonts w:hint="eastAsia" w:ascii="宋体" w:cs="宋体"/>
          <w:color w:val="auto"/>
          <w:highlight w:val="none"/>
        </w:rPr>
      </w:pPr>
      <w:bookmarkStart w:id="1461" w:name="_Toc351203650"/>
      <w:bookmarkStart w:id="1462" w:name="_Toc417904357"/>
      <w:bookmarkStart w:id="1463" w:name="_Toc478389268"/>
      <w:r>
        <w:rPr>
          <w:rFonts w:hint="eastAsia" w:ascii="宋体" w:cs="宋体"/>
          <w:color w:val="auto"/>
          <w:highlight w:val="none"/>
        </w:rPr>
        <w:t>18. 保险</w:t>
      </w:r>
      <w:bookmarkEnd w:id="1461"/>
      <w:bookmarkEnd w:id="1462"/>
      <w:bookmarkEnd w:id="1463"/>
    </w:p>
    <w:bookmarkEnd w:id="1447"/>
    <w:p w14:paraId="5DE7F73A">
      <w:pPr>
        <w:pStyle w:val="322"/>
        <w:spacing w:line="400" w:lineRule="exact"/>
        <w:rPr>
          <w:rFonts w:hint="eastAsia" w:ascii="宋体" w:cs="宋体"/>
          <w:color w:val="auto"/>
          <w:highlight w:val="none"/>
        </w:rPr>
      </w:pPr>
      <w:bookmarkStart w:id="1464" w:name="_Toc478389269"/>
      <w:bookmarkStart w:id="1465" w:name="_Toc417904358"/>
      <w:r>
        <w:rPr>
          <w:rFonts w:hint="eastAsia" w:ascii="宋体" w:cs="宋体"/>
          <w:color w:val="auto"/>
          <w:highlight w:val="none"/>
        </w:rPr>
        <w:t>18.1 工程保险</w:t>
      </w:r>
      <w:bookmarkEnd w:id="1464"/>
      <w:bookmarkEnd w:id="1465"/>
    </w:p>
    <w:p w14:paraId="27044529">
      <w:pPr>
        <w:pStyle w:val="80"/>
        <w:spacing w:line="400" w:lineRule="exact"/>
        <w:rPr>
          <w:rFonts w:hint="eastAsia" w:cs="宋体"/>
          <w:color w:val="auto"/>
          <w:sz w:val="21"/>
          <w:highlight w:val="none"/>
        </w:rPr>
      </w:pPr>
      <w:bookmarkStart w:id="1466" w:name="_Toc478389270"/>
      <w:bookmarkStart w:id="1467" w:name="_Toc417904359"/>
      <w:r>
        <w:rPr>
          <w:rFonts w:hint="eastAsia" w:cs="宋体"/>
          <w:color w:val="auto"/>
          <w:sz w:val="21"/>
          <w:highlight w:val="none"/>
        </w:rPr>
        <w:t>关于工程保险的特别约定：</w:t>
      </w:r>
      <w:r>
        <w:rPr>
          <w:rFonts w:hint="eastAsia" w:cs="宋体"/>
          <w:color w:val="auto"/>
          <w:sz w:val="21"/>
          <w:highlight w:val="none"/>
          <w:u w:val="single"/>
        </w:rPr>
        <w:t xml:space="preserve">承包人应投保建筑工程一切险并承担与之相关的所有费用 </w:t>
      </w:r>
      <w:r>
        <w:rPr>
          <w:rFonts w:hint="eastAsia" w:cs="宋体"/>
          <w:color w:val="auto"/>
          <w:sz w:val="21"/>
          <w:highlight w:val="none"/>
        </w:rPr>
        <w:t>。</w:t>
      </w:r>
    </w:p>
    <w:p w14:paraId="69DE0E9B">
      <w:pPr>
        <w:pStyle w:val="322"/>
        <w:spacing w:line="400" w:lineRule="exact"/>
        <w:rPr>
          <w:rFonts w:hint="eastAsia" w:ascii="宋体" w:cs="宋体"/>
          <w:color w:val="auto"/>
          <w:highlight w:val="none"/>
        </w:rPr>
      </w:pPr>
      <w:r>
        <w:rPr>
          <w:rFonts w:hint="eastAsia" w:ascii="宋体" w:cs="宋体"/>
          <w:color w:val="auto"/>
          <w:highlight w:val="none"/>
        </w:rPr>
        <w:t>18.3 其他保险</w:t>
      </w:r>
    </w:p>
    <w:p w14:paraId="06E352EA">
      <w:pPr>
        <w:pStyle w:val="80"/>
        <w:spacing w:line="400" w:lineRule="exact"/>
        <w:rPr>
          <w:rFonts w:hint="eastAsia" w:cs="宋体"/>
          <w:color w:val="auto"/>
          <w:sz w:val="21"/>
          <w:highlight w:val="none"/>
        </w:rPr>
      </w:pPr>
      <w:r>
        <w:rPr>
          <w:rFonts w:hint="eastAsia" w:cs="宋体"/>
          <w:color w:val="auto"/>
          <w:sz w:val="21"/>
          <w:highlight w:val="none"/>
        </w:rPr>
        <w:t>关于其他保险的约定：</w:t>
      </w:r>
      <w:r>
        <w:rPr>
          <w:rFonts w:hint="eastAsia" w:cs="宋体"/>
          <w:color w:val="auto"/>
          <w:sz w:val="21"/>
          <w:highlight w:val="none"/>
          <w:u w:val="single"/>
        </w:rPr>
        <w:t xml:space="preserve">  承包人按桂林市相关文件规定缴纳建筑意外伤害保险费，安全生产责任保险费按分部分项工程费及措施项目费（含单价及总价措施项目费）为计算基数乘以 0.2%计入暂估价，工程结算时，由发包人及承包人双方根据工程实际情况确认的安全生产责任保险费计入工程造价 </w:t>
      </w:r>
      <w:r>
        <w:rPr>
          <w:rFonts w:hint="eastAsia" w:cs="宋体"/>
          <w:color w:val="auto"/>
          <w:sz w:val="21"/>
          <w:highlight w:val="none"/>
        </w:rPr>
        <w:t>。</w:t>
      </w:r>
    </w:p>
    <w:p w14:paraId="59F07F1F">
      <w:pPr>
        <w:pStyle w:val="80"/>
        <w:spacing w:line="400" w:lineRule="exact"/>
        <w:rPr>
          <w:rFonts w:hint="eastAsia" w:cs="宋体"/>
          <w:color w:val="auto"/>
          <w:sz w:val="21"/>
          <w:highlight w:val="none"/>
        </w:rPr>
      </w:pPr>
      <w:r>
        <w:rPr>
          <w:rFonts w:hint="eastAsia" w:cs="宋体"/>
          <w:color w:val="auto"/>
          <w:sz w:val="21"/>
          <w:highlight w:val="none"/>
        </w:rPr>
        <w:t>承包人是否应为其施工设备等办理财产保险：</w:t>
      </w:r>
      <w:r>
        <w:rPr>
          <w:rFonts w:hint="eastAsia" w:cs="宋体"/>
          <w:color w:val="auto"/>
          <w:sz w:val="21"/>
          <w:highlight w:val="none"/>
          <w:u w:val="single"/>
        </w:rPr>
        <w:t xml:space="preserve">   同通用条款   </w:t>
      </w:r>
      <w:r>
        <w:rPr>
          <w:rFonts w:hint="eastAsia" w:cs="宋体"/>
          <w:color w:val="auto"/>
          <w:sz w:val="21"/>
          <w:highlight w:val="none"/>
        </w:rPr>
        <w:t>。</w:t>
      </w:r>
    </w:p>
    <w:bookmarkEnd w:id="1466"/>
    <w:bookmarkEnd w:id="1467"/>
    <w:p w14:paraId="7A49B73A">
      <w:pPr>
        <w:pStyle w:val="322"/>
        <w:spacing w:line="400" w:lineRule="exact"/>
        <w:rPr>
          <w:rFonts w:hint="eastAsia" w:ascii="宋体" w:cs="宋体"/>
          <w:color w:val="auto"/>
          <w:highlight w:val="none"/>
        </w:rPr>
      </w:pPr>
      <w:bookmarkStart w:id="1468" w:name="_Toc478389271"/>
      <w:bookmarkStart w:id="1469" w:name="_Toc417904360"/>
      <w:r>
        <w:rPr>
          <w:rFonts w:hint="eastAsia" w:ascii="宋体" w:cs="宋体"/>
          <w:color w:val="auto"/>
          <w:highlight w:val="none"/>
        </w:rPr>
        <w:t>18.7 通知义务</w:t>
      </w:r>
      <w:bookmarkEnd w:id="1468"/>
      <w:bookmarkEnd w:id="1469"/>
    </w:p>
    <w:p w14:paraId="79072CA5">
      <w:pPr>
        <w:pStyle w:val="80"/>
        <w:spacing w:line="400" w:lineRule="exact"/>
        <w:rPr>
          <w:rFonts w:hint="eastAsia" w:cs="宋体"/>
          <w:color w:val="auto"/>
          <w:sz w:val="21"/>
          <w:highlight w:val="none"/>
        </w:rPr>
      </w:pPr>
      <w:r>
        <w:rPr>
          <w:rFonts w:hint="eastAsia" w:cs="宋体"/>
          <w:color w:val="auto"/>
          <w:sz w:val="21"/>
          <w:highlight w:val="none"/>
        </w:rPr>
        <w:t>关于变更保险合同时的通知义务的约定：</w:t>
      </w:r>
      <w:r>
        <w:rPr>
          <w:rFonts w:hint="eastAsia" w:cs="宋体"/>
          <w:color w:val="auto"/>
          <w:sz w:val="21"/>
          <w:highlight w:val="none"/>
          <w:u w:val="single"/>
        </w:rPr>
        <w:t xml:space="preserve">    同通用条款   </w:t>
      </w:r>
      <w:r>
        <w:rPr>
          <w:rFonts w:hint="eastAsia" w:cs="宋体"/>
          <w:color w:val="auto"/>
          <w:sz w:val="21"/>
          <w:highlight w:val="none"/>
        </w:rPr>
        <w:t>。</w:t>
      </w:r>
    </w:p>
    <w:bookmarkEnd w:id="1415"/>
    <w:bookmarkEnd w:id="1416"/>
    <w:bookmarkEnd w:id="1417"/>
    <w:bookmarkEnd w:id="1418"/>
    <w:bookmarkEnd w:id="1419"/>
    <w:bookmarkEnd w:id="1420"/>
    <w:bookmarkEnd w:id="1421"/>
    <w:bookmarkEnd w:id="1422"/>
    <w:bookmarkEnd w:id="1423"/>
    <w:bookmarkEnd w:id="1424"/>
    <w:bookmarkEnd w:id="1425"/>
    <w:bookmarkEnd w:id="1426"/>
    <w:p w14:paraId="2348AA75">
      <w:pPr>
        <w:pStyle w:val="322"/>
        <w:spacing w:line="400" w:lineRule="exact"/>
        <w:rPr>
          <w:rFonts w:hint="eastAsia" w:ascii="宋体" w:cs="宋体"/>
          <w:color w:val="auto"/>
          <w:highlight w:val="none"/>
        </w:rPr>
      </w:pPr>
      <w:bookmarkStart w:id="1470" w:name="_Toc478389272"/>
      <w:bookmarkStart w:id="1471" w:name="_Toc351203651"/>
      <w:bookmarkStart w:id="1472" w:name="_Toc417904361"/>
      <w:r>
        <w:rPr>
          <w:rFonts w:hint="eastAsia" w:ascii="宋体" w:cs="宋体"/>
          <w:color w:val="auto"/>
          <w:highlight w:val="none"/>
        </w:rPr>
        <w:t>20. 争议解决</w:t>
      </w:r>
      <w:bookmarkEnd w:id="1470"/>
      <w:bookmarkEnd w:id="1471"/>
      <w:bookmarkEnd w:id="1472"/>
    </w:p>
    <w:bookmarkEnd w:id="1427"/>
    <w:bookmarkEnd w:id="1428"/>
    <w:p w14:paraId="35C00F5D">
      <w:pPr>
        <w:pStyle w:val="322"/>
        <w:spacing w:line="400" w:lineRule="exact"/>
        <w:rPr>
          <w:rFonts w:hint="eastAsia" w:ascii="宋体" w:cs="宋体"/>
          <w:color w:val="auto"/>
          <w:highlight w:val="none"/>
        </w:rPr>
      </w:pPr>
      <w:bookmarkStart w:id="1473" w:name="_Toc478389273"/>
      <w:bookmarkStart w:id="1474" w:name="_Toc417904362"/>
      <w:r>
        <w:rPr>
          <w:rFonts w:hint="eastAsia" w:ascii="宋体" w:cs="宋体"/>
          <w:color w:val="auto"/>
          <w:highlight w:val="none"/>
        </w:rPr>
        <w:t>20.3 争</w:t>
      </w:r>
      <w:bookmarkEnd w:id="1429"/>
      <w:r>
        <w:rPr>
          <w:rFonts w:hint="eastAsia" w:ascii="宋体" w:cs="宋体"/>
          <w:color w:val="auto"/>
          <w:highlight w:val="none"/>
        </w:rPr>
        <w:t>议评审</w:t>
      </w:r>
      <w:bookmarkEnd w:id="1473"/>
      <w:bookmarkEnd w:id="1474"/>
    </w:p>
    <w:p w14:paraId="241A39DB">
      <w:pPr>
        <w:pStyle w:val="80"/>
        <w:spacing w:line="400" w:lineRule="exact"/>
        <w:rPr>
          <w:rFonts w:hint="eastAsia" w:cs="宋体"/>
          <w:color w:val="auto"/>
          <w:sz w:val="21"/>
          <w:highlight w:val="none"/>
        </w:rPr>
      </w:pPr>
      <w:r>
        <w:rPr>
          <w:rFonts w:hint="eastAsia" w:cs="宋体"/>
          <w:color w:val="auto"/>
          <w:sz w:val="21"/>
          <w:highlight w:val="none"/>
        </w:rPr>
        <w:t>合同当事人是否同意将工程争议提交争议评审小组决定：</w:t>
      </w:r>
      <w:r>
        <w:rPr>
          <w:rFonts w:hint="eastAsia" w:cs="宋体"/>
          <w:color w:val="auto"/>
          <w:sz w:val="21"/>
          <w:highlight w:val="none"/>
          <w:u w:val="single"/>
        </w:rPr>
        <w:t xml:space="preserve">  　否   </w:t>
      </w:r>
      <w:r>
        <w:rPr>
          <w:rFonts w:hint="eastAsia" w:cs="宋体"/>
          <w:color w:val="auto"/>
          <w:sz w:val="21"/>
          <w:highlight w:val="none"/>
        </w:rPr>
        <w:t xml:space="preserve">。  </w:t>
      </w:r>
    </w:p>
    <w:p w14:paraId="1D2A3C96">
      <w:pPr>
        <w:pStyle w:val="80"/>
        <w:spacing w:line="400" w:lineRule="exact"/>
        <w:rPr>
          <w:rFonts w:hint="eastAsia" w:cs="宋体"/>
          <w:color w:val="auto"/>
          <w:sz w:val="21"/>
          <w:highlight w:val="none"/>
        </w:rPr>
      </w:pPr>
      <w:r>
        <w:rPr>
          <w:rFonts w:hint="eastAsia" w:cs="宋体"/>
          <w:color w:val="auto"/>
          <w:sz w:val="21"/>
          <w:highlight w:val="none"/>
        </w:rPr>
        <w:t>20.3.1 争议评审小组的确定</w:t>
      </w:r>
    </w:p>
    <w:p w14:paraId="7862F88B">
      <w:pPr>
        <w:pStyle w:val="80"/>
        <w:spacing w:line="400" w:lineRule="exact"/>
        <w:rPr>
          <w:rFonts w:hint="eastAsia" w:cs="宋体"/>
          <w:color w:val="auto"/>
          <w:sz w:val="21"/>
          <w:highlight w:val="none"/>
          <w:u w:val="single"/>
        </w:rPr>
      </w:pPr>
      <w:r>
        <w:rPr>
          <w:rFonts w:hint="eastAsia" w:cs="宋体"/>
          <w:color w:val="auto"/>
          <w:sz w:val="21"/>
          <w:highlight w:val="none"/>
        </w:rPr>
        <w:t>争议评审小组成员的确定：</w:t>
      </w:r>
      <w:r>
        <w:rPr>
          <w:rFonts w:hint="eastAsia" w:cs="宋体"/>
          <w:color w:val="auto"/>
          <w:sz w:val="21"/>
          <w:highlight w:val="none"/>
          <w:u w:val="single"/>
        </w:rPr>
        <w:t xml:space="preserve">    无     </w:t>
      </w:r>
      <w:r>
        <w:rPr>
          <w:rFonts w:hint="eastAsia" w:cs="宋体"/>
          <w:color w:val="auto"/>
          <w:sz w:val="21"/>
          <w:highlight w:val="none"/>
        </w:rPr>
        <w:t>。</w:t>
      </w:r>
    </w:p>
    <w:p w14:paraId="07E5D33A">
      <w:pPr>
        <w:pStyle w:val="80"/>
        <w:spacing w:line="400" w:lineRule="exact"/>
        <w:rPr>
          <w:rFonts w:hint="eastAsia" w:cs="宋体"/>
          <w:color w:val="auto"/>
          <w:sz w:val="21"/>
          <w:highlight w:val="none"/>
        </w:rPr>
      </w:pPr>
      <w:r>
        <w:rPr>
          <w:rFonts w:hint="eastAsia" w:cs="宋体"/>
          <w:color w:val="auto"/>
          <w:sz w:val="21"/>
          <w:highlight w:val="none"/>
        </w:rPr>
        <w:t>选定争议评审员的期限：</w:t>
      </w:r>
      <w:r>
        <w:rPr>
          <w:rFonts w:hint="eastAsia" w:cs="宋体"/>
          <w:color w:val="auto"/>
          <w:sz w:val="21"/>
          <w:highlight w:val="none"/>
          <w:u w:val="single"/>
        </w:rPr>
        <w:t xml:space="preserve">    无     </w:t>
      </w:r>
      <w:r>
        <w:rPr>
          <w:rFonts w:hint="eastAsia" w:cs="宋体"/>
          <w:color w:val="auto"/>
          <w:sz w:val="21"/>
          <w:highlight w:val="none"/>
        </w:rPr>
        <w:t>。</w:t>
      </w:r>
    </w:p>
    <w:p w14:paraId="16E50CBF">
      <w:pPr>
        <w:pStyle w:val="80"/>
        <w:spacing w:line="400" w:lineRule="exact"/>
        <w:rPr>
          <w:rFonts w:hint="eastAsia" w:cs="宋体"/>
          <w:color w:val="auto"/>
          <w:sz w:val="21"/>
          <w:highlight w:val="none"/>
        </w:rPr>
      </w:pPr>
      <w:r>
        <w:rPr>
          <w:rFonts w:hint="eastAsia" w:cs="宋体"/>
          <w:color w:val="auto"/>
          <w:sz w:val="21"/>
          <w:highlight w:val="none"/>
        </w:rPr>
        <w:t>争议评审小组成员的报酬承担方式：</w:t>
      </w:r>
      <w:r>
        <w:rPr>
          <w:rFonts w:hint="eastAsia" w:cs="宋体"/>
          <w:color w:val="auto"/>
          <w:sz w:val="21"/>
          <w:highlight w:val="none"/>
          <w:u w:val="single"/>
        </w:rPr>
        <w:t xml:space="preserve">  无   </w:t>
      </w:r>
      <w:r>
        <w:rPr>
          <w:rFonts w:hint="eastAsia" w:cs="宋体"/>
          <w:color w:val="auto"/>
          <w:sz w:val="21"/>
          <w:highlight w:val="none"/>
        </w:rPr>
        <w:t>。</w:t>
      </w:r>
    </w:p>
    <w:p w14:paraId="6C26C976">
      <w:pPr>
        <w:pStyle w:val="80"/>
        <w:spacing w:line="400" w:lineRule="exact"/>
        <w:rPr>
          <w:rFonts w:hint="eastAsia" w:cs="宋体"/>
          <w:color w:val="auto"/>
          <w:sz w:val="21"/>
          <w:highlight w:val="none"/>
        </w:rPr>
      </w:pPr>
      <w:r>
        <w:rPr>
          <w:rFonts w:hint="eastAsia" w:cs="宋体"/>
          <w:color w:val="auto"/>
          <w:sz w:val="21"/>
          <w:highlight w:val="none"/>
        </w:rPr>
        <w:t>其他事项的约定：</w:t>
      </w:r>
      <w:r>
        <w:rPr>
          <w:rFonts w:hint="eastAsia" w:cs="宋体"/>
          <w:color w:val="auto"/>
          <w:sz w:val="21"/>
          <w:highlight w:val="none"/>
          <w:u w:val="single"/>
        </w:rPr>
        <w:t xml:space="preserve">   无            </w:t>
      </w:r>
      <w:r>
        <w:rPr>
          <w:rFonts w:hint="eastAsia" w:cs="宋体"/>
          <w:color w:val="auto"/>
          <w:sz w:val="21"/>
          <w:highlight w:val="none"/>
        </w:rPr>
        <w:t>。</w:t>
      </w:r>
    </w:p>
    <w:p w14:paraId="270B980C">
      <w:pPr>
        <w:pStyle w:val="80"/>
        <w:spacing w:line="400" w:lineRule="exact"/>
        <w:rPr>
          <w:rFonts w:hint="eastAsia" w:cs="宋体"/>
          <w:color w:val="auto"/>
          <w:sz w:val="21"/>
          <w:highlight w:val="none"/>
        </w:rPr>
      </w:pPr>
      <w:r>
        <w:rPr>
          <w:rFonts w:hint="eastAsia" w:cs="宋体"/>
          <w:color w:val="auto"/>
          <w:sz w:val="21"/>
          <w:highlight w:val="none"/>
        </w:rPr>
        <w:t>20.3.2 争议评审小组的决定</w:t>
      </w:r>
    </w:p>
    <w:p w14:paraId="02D4D8A8">
      <w:pPr>
        <w:pStyle w:val="80"/>
        <w:spacing w:line="400" w:lineRule="exact"/>
        <w:rPr>
          <w:rFonts w:hint="eastAsia" w:cs="宋体"/>
          <w:color w:val="auto"/>
          <w:sz w:val="21"/>
          <w:highlight w:val="none"/>
        </w:rPr>
      </w:pPr>
      <w:r>
        <w:rPr>
          <w:rFonts w:hint="eastAsia" w:cs="宋体"/>
          <w:color w:val="auto"/>
          <w:sz w:val="21"/>
          <w:highlight w:val="none"/>
        </w:rPr>
        <w:t>合同当事人关于本项的约定：</w:t>
      </w:r>
      <w:r>
        <w:rPr>
          <w:rFonts w:hint="eastAsia" w:cs="宋体"/>
          <w:color w:val="auto"/>
          <w:sz w:val="21"/>
          <w:highlight w:val="none"/>
          <w:u w:val="single"/>
        </w:rPr>
        <w:t xml:space="preserve">   无       </w:t>
      </w:r>
      <w:r>
        <w:rPr>
          <w:rFonts w:hint="eastAsia" w:cs="宋体"/>
          <w:color w:val="auto"/>
          <w:sz w:val="21"/>
          <w:highlight w:val="none"/>
        </w:rPr>
        <w:t>。</w:t>
      </w:r>
    </w:p>
    <w:p w14:paraId="3A8865C5">
      <w:pPr>
        <w:pStyle w:val="322"/>
        <w:spacing w:line="400" w:lineRule="exact"/>
        <w:rPr>
          <w:rFonts w:hint="eastAsia" w:ascii="宋体" w:cs="宋体"/>
          <w:color w:val="auto"/>
          <w:highlight w:val="none"/>
        </w:rPr>
      </w:pPr>
      <w:bookmarkStart w:id="1475" w:name="_Toc417904363"/>
      <w:bookmarkStart w:id="1476" w:name="_Toc478389274"/>
      <w:r>
        <w:rPr>
          <w:rFonts w:hint="eastAsia" w:ascii="宋体" w:cs="宋体"/>
          <w:color w:val="auto"/>
          <w:highlight w:val="none"/>
        </w:rPr>
        <w:t>20.4仲裁或诉讼</w:t>
      </w:r>
      <w:bookmarkEnd w:id="1430"/>
      <w:bookmarkEnd w:id="1475"/>
      <w:bookmarkEnd w:id="1476"/>
    </w:p>
    <w:bookmarkEnd w:id="1431"/>
    <w:bookmarkEnd w:id="1432"/>
    <w:bookmarkEnd w:id="1433"/>
    <w:bookmarkEnd w:id="1434"/>
    <w:bookmarkEnd w:id="1435"/>
    <w:bookmarkEnd w:id="1436"/>
    <w:p w14:paraId="1DB50E03">
      <w:pPr>
        <w:pStyle w:val="277"/>
        <w:spacing w:line="3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因合同及合同有关事项发生的争议，按下列第</w:t>
      </w:r>
      <w:r>
        <w:rPr>
          <w:rFonts w:hint="eastAsia" w:ascii="宋体" w:hAnsi="宋体" w:cs="宋体"/>
          <w:color w:val="auto"/>
          <w:szCs w:val="21"/>
          <w:highlight w:val="none"/>
          <w:u w:val="single"/>
        </w:rPr>
        <w:t xml:space="preserve">  （2）    </w:t>
      </w:r>
      <w:r>
        <w:rPr>
          <w:rFonts w:hint="eastAsia" w:ascii="宋体" w:hAnsi="宋体" w:cs="宋体"/>
          <w:color w:val="auto"/>
          <w:szCs w:val="21"/>
          <w:highlight w:val="none"/>
        </w:rPr>
        <w:t>种方式解决：</w:t>
      </w:r>
    </w:p>
    <w:p w14:paraId="45E75298">
      <w:pPr>
        <w:pStyle w:val="277"/>
        <w:spacing w:line="38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（1）提请</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仲裁委员会按照该会仲裁规则进行仲裁，仲裁裁决是终局的，对合同双方均有约束力。</w:t>
      </w:r>
    </w:p>
    <w:p w14:paraId="56587253">
      <w:pPr>
        <w:pStyle w:val="277"/>
        <w:spacing w:line="38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（2）向</w:t>
      </w:r>
      <w:r>
        <w:rPr>
          <w:rFonts w:hint="eastAsia" w:ascii="宋体" w:hAnsi="宋体" w:cs="宋体"/>
          <w:color w:val="auto"/>
          <w:szCs w:val="21"/>
          <w:highlight w:val="none"/>
          <w:u w:val="single"/>
        </w:rPr>
        <w:t xml:space="preserve">    甲方所在地具有管辖权的     </w:t>
      </w:r>
      <w:r>
        <w:rPr>
          <w:rFonts w:hint="eastAsia" w:ascii="宋体" w:hAnsi="宋体" w:cs="宋体"/>
          <w:color w:val="auto"/>
          <w:szCs w:val="21"/>
          <w:highlight w:val="none"/>
        </w:rPr>
        <w:t>人民法院起诉。</w:t>
      </w:r>
    </w:p>
    <w:p w14:paraId="1A26C394">
      <w:pPr>
        <w:pStyle w:val="80"/>
        <w:snapToGrid w:val="0"/>
        <w:spacing w:line="320" w:lineRule="exact"/>
        <w:rPr>
          <w:rFonts w:hint="eastAsia" w:cs="宋体"/>
          <w:color w:val="auto"/>
          <w:sz w:val="21"/>
          <w:highlight w:val="none"/>
        </w:rPr>
      </w:pPr>
    </w:p>
    <w:p w14:paraId="09987D60">
      <w:pPr>
        <w:widowControl/>
        <w:jc w:val="left"/>
        <w:rPr>
          <w:rFonts w:hint="eastAsia" w:ascii="宋体" w:hAnsi="宋体" w:cs="宋体"/>
          <w:color w:val="auto"/>
          <w:szCs w:val="21"/>
          <w:highlight w:val="none"/>
        </w:rPr>
        <w:sectPr>
          <w:pgSz w:w="11907" w:h="16840"/>
          <w:pgMar w:top="1440" w:right="1440" w:bottom="1440" w:left="1797" w:header="851" w:footer="851" w:gutter="0"/>
          <w:cols w:space="720" w:num="1"/>
        </w:sectPr>
      </w:pPr>
    </w:p>
    <w:p w14:paraId="4AD26E90">
      <w:pPr>
        <w:spacing w:line="300" w:lineRule="exact"/>
        <w:jc w:val="left"/>
        <w:rPr>
          <w:rFonts w:hint="eastAsia" w:ascii="宋体" w:hAnsi="宋体" w:cs="宋体"/>
          <w:b/>
          <w:color w:val="auto"/>
          <w:szCs w:val="21"/>
          <w:highlight w:val="none"/>
        </w:rPr>
      </w:pPr>
      <w:r>
        <w:rPr>
          <w:rFonts w:hint="eastAsia" w:ascii="宋体" w:hAnsi="宋体" w:cs="宋体"/>
          <w:b/>
          <w:color w:val="auto"/>
          <w:szCs w:val="21"/>
          <w:highlight w:val="none"/>
        </w:rPr>
        <w:t>附件</w:t>
      </w:r>
    </w:p>
    <w:p w14:paraId="05E859BE">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协议书附件：</w:t>
      </w:r>
    </w:p>
    <w:p w14:paraId="3DC76FD1">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附件1：承包人承揽工程项目一览表</w:t>
      </w:r>
    </w:p>
    <w:p w14:paraId="27197BB2">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专用合同条款附件：</w:t>
      </w:r>
    </w:p>
    <w:p w14:paraId="17AB1C2E">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附件2：发包人供应材料设备一览表</w:t>
      </w:r>
    </w:p>
    <w:p w14:paraId="1A64D340">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附件3：工程质量保修书</w:t>
      </w:r>
    </w:p>
    <w:p w14:paraId="2908FD1E">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附件4：主要建设工程文件目录</w:t>
      </w:r>
    </w:p>
    <w:p w14:paraId="58E32A95">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附件5：承包人用于本工程施工的机械设备表</w:t>
      </w:r>
    </w:p>
    <w:p w14:paraId="1DE5894C">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附件6：承包人主要施工管理人员表</w:t>
      </w:r>
    </w:p>
    <w:p w14:paraId="09D0E30F">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附件7：分包人主要施工管理人员表</w:t>
      </w:r>
    </w:p>
    <w:p w14:paraId="2DA35DA3">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附件8：履约担保格式</w:t>
      </w:r>
    </w:p>
    <w:p w14:paraId="6F4C0FFA">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附件9：预付款担保格式</w:t>
      </w:r>
    </w:p>
    <w:p w14:paraId="540DDAE3">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 xml:space="preserve">附件10：暂估价一览表 </w:t>
      </w:r>
    </w:p>
    <w:p w14:paraId="62249F07">
      <w:pPr>
        <w:widowControl/>
        <w:spacing w:line="360" w:lineRule="auto"/>
        <w:jc w:val="left"/>
        <w:rPr>
          <w:rFonts w:hint="eastAsia" w:ascii="宋体" w:hAnsi="宋体" w:cs="宋体"/>
          <w:color w:val="auto"/>
          <w:szCs w:val="21"/>
          <w:highlight w:val="none"/>
        </w:rPr>
        <w:sectPr>
          <w:pgSz w:w="11906" w:h="16838"/>
          <w:pgMar w:top="1134" w:right="1416" w:bottom="1418" w:left="1276" w:header="851" w:footer="992" w:gutter="0"/>
          <w:cols w:space="720" w:num="1"/>
          <w:docGrid w:type="lines" w:linePitch="312" w:charSpace="0"/>
        </w:sectPr>
      </w:pPr>
    </w:p>
    <w:p w14:paraId="4F750B8A">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附件1：</w:t>
      </w:r>
    </w:p>
    <w:p w14:paraId="58489EA6">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承包人承揽工程项目一览表</w:t>
      </w:r>
    </w:p>
    <w:tbl>
      <w:tblPr>
        <w:tblStyle w:val="47"/>
        <w:tblW w:w="0" w:type="auto"/>
        <w:tblInd w:w="-3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419"/>
        <w:gridCol w:w="1700"/>
        <w:gridCol w:w="1416"/>
        <w:gridCol w:w="2409"/>
        <w:gridCol w:w="850"/>
        <w:gridCol w:w="1559"/>
        <w:gridCol w:w="2125"/>
        <w:gridCol w:w="1416"/>
        <w:gridCol w:w="851"/>
        <w:gridCol w:w="850"/>
      </w:tblGrid>
      <w:tr w14:paraId="64898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419" w:type="dxa"/>
            <w:vAlign w:val="center"/>
          </w:tcPr>
          <w:p w14:paraId="74FB2742">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单位工程名称</w:t>
            </w:r>
          </w:p>
        </w:tc>
        <w:tc>
          <w:tcPr>
            <w:tcW w:w="1700" w:type="dxa"/>
            <w:vAlign w:val="center"/>
          </w:tcPr>
          <w:p w14:paraId="621E10D3">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建设规模</w:t>
            </w:r>
          </w:p>
        </w:tc>
        <w:tc>
          <w:tcPr>
            <w:tcW w:w="1416" w:type="dxa"/>
            <w:vAlign w:val="center"/>
          </w:tcPr>
          <w:p w14:paraId="3678669D">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建筑面积（平方米）</w:t>
            </w:r>
          </w:p>
        </w:tc>
        <w:tc>
          <w:tcPr>
            <w:tcW w:w="2409" w:type="dxa"/>
            <w:vAlign w:val="center"/>
          </w:tcPr>
          <w:p w14:paraId="44056775">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结构形式</w:t>
            </w:r>
          </w:p>
        </w:tc>
        <w:tc>
          <w:tcPr>
            <w:tcW w:w="850" w:type="dxa"/>
            <w:vAlign w:val="center"/>
          </w:tcPr>
          <w:p w14:paraId="1E5EC5DA">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层数</w:t>
            </w:r>
          </w:p>
        </w:tc>
        <w:tc>
          <w:tcPr>
            <w:tcW w:w="1559" w:type="dxa"/>
            <w:vAlign w:val="center"/>
          </w:tcPr>
          <w:p w14:paraId="34D90793">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生产能力</w:t>
            </w:r>
          </w:p>
        </w:tc>
        <w:tc>
          <w:tcPr>
            <w:tcW w:w="2125" w:type="dxa"/>
            <w:vAlign w:val="center"/>
          </w:tcPr>
          <w:p w14:paraId="050461E8">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设备安装内容</w:t>
            </w:r>
          </w:p>
        </w:tc>
        <w:tc>
          <w:tcPr>
            <w:tcW w:w="1416" w:type="dxa"/>
            <w:vAlign w:val="center"/>
          </w:tcPr>
          <w:p w14:paraId="142CAA0C">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合同价格（元）</w:t>
            </w:r>
          </w:p>
        </w:tc>
        <w:tc>
          <w:tcPr>
            <w:tcW w:w="851" w:type="dxa"/>
            <w:vAlign w:val="center"/>
          </w:tcPr>
          <w:p w14:paraId="10843AA5">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开工日期</w:t>
            </w:r>
          </w:p>
        </w:tc>
        <w:tc>
          <w:tcPr>
            <w:tcW w:w="850" w:type="dxa"/>
            <w:vAlign w:val="center"/>
          </w:tcPr>
          <w:p w14:paraId="3BCA8CD4">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竣工日期</w:t>
            </w:r>
          </w:p>
        </w:tc>
      </w:tr>
      <w:tr w14:paraId="2F599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1419" w:type="dxa"/>
            <w:vAlign w:val="center"/>
          </w:tcPr>
          <w:p w14:paraId="0AF5A151">
            <w:pPr>
              <w:spacing w:line="440" w:lineRule="exact"/>
              <w:rPr>
                <w:rFonts w:hint="eastAsia" w:ascii="宋体" w:hAnsi="宋体" w:cs="宋体"/>
                <w:color w:val="auto"/>
                <w:szCs w:val="21"/>
                <w:highlight w:val="none"/>
              </w:rPr>
            </w:pPr>
          </w:p>
        </w:tc>
        <w:tc>
          <w:tcPr>
            <w:tcW w:w="1700" w:type="dxa"/>
            <w:vAlign w:val="center"/>
          </w:tcPr>
          <w:p w14:paraId="0C3A64FD">
            <w:pPr>
              <w:spacing w:line="440" w:lineRule="exact"/>
              <w:rPr>
                <w:rFonts w:hint="eastAsia" w:ascii="宋体" w:hAnsi="宋体" w:cs="宋体"/>
                <w:color w:val="auto"/>
                <w:szCs w:val="21"/>
                <w:highlight w:val="none"/>
              </w:rPr>
            </w:pPr>
          </w:p>
        </w:tc>
        <w:tc>
          <w:tcPr>
            <w:tcW w:w="1416" w:type="dxa"/>
            <w:vAlign w:val="center"/>
          </w:tcPr>
          <w:p w14:paraId="3740F91B">
            <w:pPr>
              <w:spacing w:line="440" w:lineRule="exact"/>
              <w:rPr>
                <w:rFonts w:hint="eastAsia" w:ascii="宋体" w:hAnsi="宋体" w:cs="宋体"/>
                <w:color w:val="auto"/>
                <w:szCs w:val="21"/>
                <w:highlight w:val="none"/>
              </w:rPr>
            </w:pPr>
          </w:p>
        </w:tc>
        <w:tc>
          <w:tcPr>
            <w:tcW w:w="2409" w:type="dxa"/>
            <w:vAlign w:val="center"/>
          </w:tcPr>
          <w:p w14:paraId="52A14751">
            <w:pPr>
              <w:spacing w:line="440" w:lineRule="exact"/>
              <w:rPr>
                <w:rFonts w:hint="eastAsia" w:ascii="宋体" w:hAnsi="宋体" w:cs="宋体"/>
                <w:color w:val="auto"/>
                <w:szCs w:val="21"/>
                <w:highlight w:val="none"/>
              </w:rPr>
            </w:pPr>
          </w:p>
        </w:tc>
        <w:tc>
          <w:tcPr>
            <w:tcW w:w="850" w:type="dxa"/>
            <w:vAlign w:val="center"/>
          </w:tcPr>
          <w:p w14:paraId="1039C559">
            <w:pPr>
              <w:spacing w:line="440" w:lineRule="exact"/>
              <w:rPr>
                <w:rFonts w:hint="eastAsia" w:ascii="宋体" w:hAnsi="宋体" w:cs="宋体"/>
                <w:color w:val="auto"/>
                <w:szCs w:val="21"/>
                <w:highlight w:val="none"/>
              </w:rPr>
            </w:pPr>
          </w:p>
        </w:tc>
        <w:tc>
          <w:tcPr>
            <w:tcW w:w="1559" w:type="dxa"/>
            <w:vAlign w:val="center"/>
          </w:tcPr>
          <w:p w14:paraId="13548F6C">
            <w:pPr>
              <w:spacing w:line="440" w:lineRule="exact"/>
              <w:rPr>
                <w:rFonts w:hint="eastAsia" w:ascii="宋体" w:hAnsi="宋体" w:cs="宋体"/>
                <w:color w:val="auto"/>
                <w:szCs w:val="21"/>
                <w:highlight w:val="none"/>
              </w:rPr>
            </w:pPr>
          </w:p>
        </w:tc>
        <w:tc>
          <w:tcPr>
            <w:tcW w:w="2125" w:type="dxa"/>
            <w:vAlign w:val="center"/>
          </w:tcPr>
          <w:p w14:paraId="2E0EDC88">
            <w:pPr>
              <w:spacing w:line="440" w:lineRule="exact"/>
              <w:rPr>
                <w:rFonts w:hint="eastAsia" w:ascii="宋体" w:hAnsi="宋体" w:cs="宋体"/>
                <w:color w:val="auto"/>
                <w:szCs w:val="21"/>
                <w:highlight w:val="none"/>
              </w:rPr>
            </w:pPr>
          </w:p>
        </w:tc>
        <w:tc>
          <w:tcPr>
            <w:tcW w:w="1416" w:type="dxa"/>
            <w:vAlign w:val="center"/>
          </w:tcPr>
          <w:p w14:paraId="0B2F0D06">
            <w:pPr>
              <w:spacing w:line="440" w:lineRule="exact"/>
              <w:rPr>
                <w:rFonts w:hint="eastAsia" w:ascii="宋体" w:hAnsi="宋体" w:cs="宋体"/>
                <w:color w:val="auto"/>
                <w:szCs w:val="21"/>
                <w:highlight w:val="none"/>
              </w:rPr>
            </w:pPr>
          </w:p>
        </w:tc>
        <w:tc>
          <w:tcPr>
            <w:tcW w:w="851" w:type="dxa"/>
            <w:vAlign w:val="center"/>
          </w:tcPr>
          <w:p w14:paraId="27135AD3">
            <w:pPr>
              <w:spacing w:line="440" w:lineRule="exact"/>
              <w:rPr>
                <w:rFonts w:hint="eastAsia" w:ascii="宋体" w:hAnsi="宋体" w:cs="宋体"/>
                <w:color w:val="auto"/>
                <w:szCs w:val="21"/>
                <w:highlight w:val="none"/>
              </w:rPr>
            </w:pPr>
          </w:p>
        </w:tc>
        <w:tc>
          <w:tcPr>
            <w:tcW w:w="850" w:type="dxa"/>
            <w:vAlign w:val="center"/>
          </w:tcPr>
          <w:p w14:paraId="2C901A9C">
            <w:pPr>
              <w:spacing w:line="440" w:lineRule="exact"/>
              <w:rPr>
                <w:rFonts w:hint="eastAsia" w:ascii="宋体" w:hAnsi="宋体" w:cs="宋体"/>
                <w:color w:val="auto"/>
                <w:szCs w:val="21"/>
                <w:highlight w:val="none"/>
              </w:rPr>
            </w:pPr>
          </w:p>
        </w:tc>
      </w:tr>
      <w:tr w14:paraId="0ABAA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1419" w:type="dxa"/>
            <w:vAlign w:val="center"/>
          </w:tcPr>
          <w:p w14:paraId="1A173EFC">
            <w:pPr>
              <w:spacing w:line="440" w:lineRule="exact"/>
              <w:rPr>
                <w:rFonts w:hint="eastAsia" w:ascii="宋体" w:hAnsi="宋体" w:cs="宋体"/>
                <w:color w:val="auto"/>
                <w:szCs w:val="21"/>
                <w:highlight w:val="none"/>
              </w:rPr>
            </w:pPr>
          </w:p>
        </w:tc>
        <w:tc>
          <w:tcPr>
            <w:tcW w:w="1700" w:type="dxa"/>
            <w:vAlign w:val="center"/>
          </w:tcPr>
          <w:p w14:paraId="08D81514">
            <w:pPr>
              <w:spacing w:line="440" w:lineRule="exact"/>
              <w:rPr>
                <w:rFonts w:hint="eastAsia" w:ascii="宋体" w:hAnsi="宋体" w:cs="宋体"/>
                <w:color w:val="auto"/>
                <w:szCs w:val="21"/>
                <w:highlight w:val="none"/>
              </w:rPr>
            </w:pPr>
          </w:p>
        </w:tc>
        <w:tc>
          <w:tcPr>
            <w:tcW w:w="1416" w:type="dxa"/>
            <w:vAlign w:val="center"/>
          </w:tcPr>
          <w:p w14:paraId="64AD5756">
            <w:pPr>
              <w:spacing w:line="440" w:lineRule="exact"/>
              <w:rPr>
                <w:rFonts w:hint="eastAsia" w:ascii="宋体" w:hAnsi="宋体" w:cs="宋体"/>
                <w:color w:val="auto"/>
                <w:szCs w:val="21"/>
                <w:highlight w:val="none"/>
              </w:rPr>
            </w:pPr>
          </w:p>
        </w:tc>
        <w:tc>
          <w:tcPr>
            <w:tcW w:w="2409" w:type="dxa"/>
            <w:vAlign w:val="center"/>
          </w:tcPr>
          <w:p w14:paraId="68FC6B7C">
            <w:pPr>
              <w:spacing w:line="440" w:lineRule="exact"/>
              <w:rPr>
                <w:rFonts w:hint="eastAsia" w:ascii="宋体" w:hAnsi="宋体" w:cs="宋体"/>
                <w:color w:val="auto"/>
                <w:szCs w:val="21"/>
                <w:highlight w:val="none"/>
              </w:rPr>
            </w:pPr>
          </w:p>
        </w:tc>
        <w:tc>
          <w:tcPr>
            <w:tcW w:w="850" w:type="dxa"/>
            <w:vAlign w:val="center"/>
          </w:tcPr>
          <w:p w14:paraId="36B46DCE">
            <w:pPr>
              <w:spacing w:line="440" w:lineRule="exact"/>
              <w:rPr>
                <w:rFonts w:hint="eastAsia" w:ascii="宋体" w:hAnsi="宋体" w:cs="宋体"/>
                <w:color w:val="auto"/>
                <w:szCs w:val="21"/>
                <w:highlight w:val="none"/>
              </w:rPr>
            </w:pPr>
          </w:p>
        </w:tc>
        <w:tc>
          <w:tcPr>
            <w:tcW w:w="1559" w:type="dxa"/>
            <w:vAlign w:val="center"/>
          </w:tcPr>
          <w:p w14:paraId="42E5580B">
            <w:pPr>
              <w:spacing w:line="440" w:lineRule="exact"/>
              <w:rPr>
                <w:rFonts w:hint="eastAsia" w:ascii="宋体" w:hAnsi="宋体" w:cs="宋体"/>
                <w:color w:val="auto"/>
                <w:szCs w:val="21"/>
                <w:highlight w:val="none"/>
              </w:rPr>
            </w:pPr>
          </w:p>
        </w:tc>
        <w:tc>
          <w:tcPr>
            <w:tcW w:w="2125" w:type="dxa"/>
            <w:vAlign w:val="center"/>
          </w:tcPr>
          <w:p w14:paraId="736F8086">
            <w:pPr>
              <w:spacing w:line="440" w:lineRule="exact"/>
              <w:rPr>
                <w:rFonts w:hint="eastAsia" w:ascii="宋体" w:hAnsi="宋体" w:cs="宋体"/>
                <w:color w:val="auto"/>
                <w:szCs w:val="21"/>
                <w:highlight w:val="none"/>
              </w:rPr>
            </w:pPr>
          </w:p>
        </w:tc>
        <w:tc>
          <w:tcPr>
            <w:tcW w:w="1416" w:type="dxa"/>
            <w:vAlign w:val="center"/>
          </w:tcPr>
          <w:p w14:paraId="17A28F6A">
            <w:pPr>
              <w:spacing w:line="440" w:lineRule="exact"/>
              <w:rPr>
                <w:rFonts w:hint="eastAsia" w:ascii="宋体" w:hAnsi="宋体" w:cs="宋体"/>
                <w:color w:val="auto"/>
                <w:szCs w:val="21"/>
                <w:highlight w:val="none"/>
              </w:rPr>
            </w:pPr>
          </w:p>
        </w:tc>
        <w:tc>
          <w:tcPr>
            <w:tcW w:w="851" w:type="dxa"/>
            <w:vAlign w:val="center"/>
          </w:tcPr>
          <w:p w14:paraId="52649D5D">
            <w:pPr>
              <w:spacing w:line="440" w:lineRule="exact"/>
              <w:rPr>
                <w:rFonts w:hint="eastAsia" w:ascii="宋体" w:hAnsi="宋体" w:cs="宋体"/>
                <w:color w:val="auto"/>
                <w:szCs w:val="21"/>
                <w:highlight w:val="none"/>
              </w:rPr>
            </w:pPr>
          </w:p>
        </w:tc>
        <w:tc>
          <w:tcPr>
            <w:tcW w:w="850" w:type="dxa"/>
            <w:vAlign w:val="center"/>
          </w:tcPr>
          <w:p w14:paraId="78F5DA0A">
            <w:pPr>
              <w:spacing w:line="440" w:lineRule="exact"/>
              <w:rPr>
                <w:rFonts w:hint="eastAsia" w:ascii="宋体" w:hAnsi="宋体" w:cs="宋体"/>
                <w:color w:val="auto"/>
                <w:szCs w:val="21"/>
                <w:highlight w:val="none"/>
              </w:rPr>
            </w:pPr>
          </w:p>
        </w:tc>
      </w:tr>
      <w:tr w14:paraId="7693E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1419" w:type="dxa"/>
            <w:vAlign w:val="center"/>
          </w:tcPr>
          <w:p w14:paraId="35F1FFC0">
            <w:pPr>
              <w:spacing w:line="440" w:lineRule="exact"/>
              <w:rPr>
                <w:rFonts w:hint="eastAsia" w:ascii="宋体" w:hAnsi="宋体" w:cs="宋体"/>
                <w:color w:val="auto"/>
                <w:szCs w:val="21"/>
                <w:highlight w:val="none"/>
              </w:rPr>
            </w:pPr>
          </w:p>
        </w:tc>
        <w:tc>
          <w:tcPr>
            <w:tcW w:w="1700" w:type="dxa"/>
            <w:vAlign w:val="center"/>
          </w:tcPr>
          <w:p w14:paraId="1FED3CAC">
            <w:pPr>
              <w:spacing w:line="440" w:lineRule="exact"/>
              <w:rPr>
                <w:rFonts w:hint="eastAsia" w:ascii="宋体" w:hAnsi="宋体" w:cs="宋体"/>
                <w:color w:val="auto"/>
                <w:szCs w:val="21"/>
                <w:highlight w:val="none"/>
              </w:rPr>
            </w:pPr>
          </w:p>
        </w:tc>
        <w:tc>
          <w:tcPr>
            <w:tcW w:w="1416" w:type="dxa"/>
            <w:vAlign w:val="center"/>
          </w:tcPr>
          <w:p w14:paraId="6B3D56BE">
            <w:pPr>
              <w:spacing w:line="440" w:lineRule="exact"/>
              <w:rPr>
                <w:rFonts w:hint="eastAsia" w:ascii="宋体" w:hAnsi="宋体" w:cs="宋体"/>
                <w:color w:val="auto"/>
                <w:szCs w:val="21"/>
                <w:highlight w:val="none"/>
              </w:rPr>
            </w:pPr>
          </w:p>
        </w:tc>
        <w:tc>
          <w:tcPr>
            <w:tcW w:w="2409" w:type="dxa"/>
            <w:vAlign w:val="center"/>
          </w:tcPr>
          <w:p w14:paraId="2B35A312">
            <w:pPr>
              <w:spacing w:line="440" w:lineRule="exact"/>
              <w:rPr>
                <w:rFonts w:hint="eastAsia" w:ascii="宋体" w:hAnsi="宋体" w:cs="宋体"/>
                <w:color w:val="auto"/>
                <w:szCs w:val="21"/>
                <w:highlight w:val="none"/>
              </w:rPr>
            </w:pPr>
          </w:p>
        </w:tc>
        <w:tc>
          <w:tcPr>
            <w:tcW w:w="850" w:type="dxa"/>
            <w:vAlign w:val="center"/>
          </w:tcPr>
          <w:p w14:paraId="43BDC0AE">
            <w:pPr>
              <w:spacing w:line="440" w:lineRule="exact"/>
              <w:rPr>
                <w:rFonts w:hint="eastAsia" w:ascii="宋体" w:hAnsi="宋体" w:cs="宋体"/>
                <w:color w:val="auto"/>
                <w:szCs w:val="21"/>
                <w:highlight w:val="none"/>
              </w:rPr>
            </w:pPr>
          </w:p>
        </w:tc>
        <w:tc>
          <w:tcPr>
            <w:tcW w:w="1559" w:type="dxa"/>
            <w:vAlign w:val="center"/>
          </w:tcPr>
          <w:p w14:paraId="6195B690">
            <w:pPr>
              <w:spacing w:line="440" w:lineRule="exact"/>
              <w:rPr>
                <w:rFonts w:hint="eastAsia" w:ascii="宋体" w:hAnsi="宋体" w:cs="宋体"/>
                <w:color w:val="auto"/>
                <w:szCs w:val="21"/>
                <w:highlight w:val="none"/>
              </w:rPr>
            </w:pPr>
          </w:p>
        </w:tc>
        <w:tc>
          <w:tcPr>
            <w:tcW w:w="2125" w:type="dxa"/>
            <w:vAlign w:val="center"/>
          </w:tcPr>
          <w:p w14:paraId="4789ACF8">
            <w:pPr>
              <w:spacing w:line="440" w:lineRule="exact"/>
              <w:rPr>
                <w:rFonts w:hint="eastAsia" w:ascii="宋体" w:hAnsi="宋体" w:cs="宋体"/>
                <w:color w:val="auto"/>
                <w:szCs w:val="21"/>
                <w:highlight w:val="none"/>
              </w:rPr>
            </w:pPr>
          </w:p>
        </w:tc>
        <w:tc>
          <w:tcPr>
            <w:tcW w:w="1416" w:type="dxa"/>
            <w:vAlign w:val="center"/>
          </w:tcPr>
          <w:p w14:paraId="07BD8D33">
            <w:pPr>
              <w:spacing w:line="440" w:lineRule="exact"/>
              <w:rPr>
                <w:rFonts w:hint="eastAsia" w:ascii="宋体" w:hAnsi="宋体" w:cs="宋体"/>
                <w:color w:val="auto"/>
                <w:szCs w:val="21"/>
                <w:highlight w:val="none"/>
              </w:rPr>
            </w:pPr>
          </w:p>
        </w:tc>
        <w:tc>
          <w:tcPr>
            <w:tcW w:w="851" w:type="dxa"/>
            <w:vAlign w:val="center"/>
          </w:tcPr>
          <w:p w14:paraId="0DDE8E9C">
            <w:pPr>
              <w:spacing w:line="440" w:lineRule="exact"/>
              <w:rPr>
                <w:rFonts w:hint="eastAsia" w:ascii="宋体" w:hAnsi="宋体" w:cs="宋体"/>
                <w:color w:val="auto"/>
                <w:szCs w:val="21"/>
                <w:highlight w:val="none"/>
              </w:rPr>
            </w:pPr>
          </w:p>
        </w:tc>
        <w:tc>
          <w:tcPr>
            <w:tcW w:w="850" w:type="dxa"/>
            <w:vAlign w:val="center"/>
          </w:tcPr>
          <w:p w14:paraId="2E11A92D">
            <w:pPr>
              <w:spacing w:line="440" w:lineRule="exact"/>
              <w:rPr>
                <w:rFonts w:hint="eastAsia" w:ascii="宋体" w:hAnsi="宋体" w:cs="宋体"/>
                <w:color w:val="auto"/>
                <w:szCs w:val="21"/>
                <w:highlight w:val="none"/>
              </w:rPr>
            </w:pPr>
          </w:p>
        </w:tc>
      </w:tr>
      <w:tr w14:paraId="6DAE3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1419" w:type="dxa"/>
            <w:vAlign w:val="center"/>
          </w:tcPr>
          <w:p w14:paraId="2317D222">
            <w:pPr>
              <w:spacing w:line="440" w:lineRule="exact"/>
              <w:rPr>
                <w:rFonts w:hint="eastAsia" w:ascii="宋体" w:hAnsi="宋体" w:cs="宋体"/>
                <w:color w:val="auto"/>
                <w:szCs w:val="21"/>
                <w:highlight w:val="none"/>
              </w:rPr>
            </w:pPr>
          </w:p>
        </w:tc>
        <w:tc>
          <w:tcPr>
            <w:tcW w:w="1700" w:type="dxa"/>
            <w:vAlign w:val="center"/>
          </w:tcPr>
          <w:p w14:paraId="63E52BB4">
            <w:pPr>
              <w:spacing w:line="440" w:lineRule="exact"/>
              <w:rPr>
                <w:rFonts w:hint="eastAsia" w:ascii="宋体" w:hAnsi="宋体" w:cs="宋体"/>
                <w:color w:val="auto"/>
                <w:szCs w:val="21"/>
                <w:highlight w:val="none"/>
              </w:rPr>
            </w:pPr>
          </w:p>
        </w:tc>
        <w:tc>
          <w:tcPr>
            <w:tcW w:w="1416" w:type="dxa"/>
            <w:vAlign w:val="center"/>
          </w:tcPr>
          <w:p w14:paraId="69CA91EC">
            <w:pPr>
              <w:spacing w:line="440" w:lineRule="exact"/>
              <w:rPr>
                <w:rFonts w:hint="eastAsia" w:ascii="宋体" w:hAnsi="宋体" w:cs="宋体"/>
                <w:color w:val="auto"/>
                <w:szCs w:val="21"/>
                <w:highlight w:val="none"/>
              </w:rPr>
            </w:pPr>
          </w:p>
        </w:tc>
        <w:tc>
          <w:tcPr>
            <w:tcW w:w="2409" w:type="dxa"/>
            <w:vAlign w:val="center"/>
          </w:tcPr>
          <w:p w14:paraId="1B4CFC67">
            <w:pPr>
              <w:spacing w:line="440" w:lineRule="exact"/>
              <w:rPr>
                <w:rFonts w:hint="eastAsia" w:ascii="宋体" w:hAnsi="宋体" w:cs="宋体"/>
                <w:color w:val="auto"/>
                <w:szCs w:val="21"/>
                <w:highlight w:val="none"/>
              </w:rPr>
            </w:pPr>
          </w:p>
        </w:tc>
        <w:tc>
          <w:tcPr>
            <w:tcW w:w="850" w:type="dxa"/>
            <w:vAlign w:val="center"/>
          </w:tcPr>
          <w:p w14:paraId="737BC3F2">
            <w:pPr>
              <w:spacing w:line="440" w:lineRule="exact"/>
              <w:rPr>
                <w:rFonts w:hint="eastAsia" w:ascii="宋体" w:hAnsi="宋体" w:cs="宋体"/>
                <w:color w:val="auto"/>
                <w:szCs w:val="21"/>
                <w:highlight w:val="none"/>
              </w:rPr>
            </w:pPr>
          </w:p>
        </w:tc>
        <w:tc>
          <w:tcPr>
            <w:tcW w:w="1559" w:type="dxa"/>
            <w:vAlign w:val="center"/>
          </w:tcPr>
          <w:p w14:paraId="6E191485">
            <w:pPr>
              <w:spacing w:line="440" w:lineRule="exact"/>
              <w:rPr>
                <w:rFonts w:hint="eastAsia" w:ascii="宋体" w:hAnsi="宋体" w:cs="宋体"/>
                <w:color w:val="auto"/>
                <w:szCs w:val="21"/>
                <w:highlight w:val="none"/>
              </w:rPr>
            </w:pPr>
          </w:p>
        </w:tc>
        <w:tc>
          <w:tcPr>
            <w:tcW w:w="2125" w:type="dxa"/>
            <w:vAlign w:val="center"/>
          </w:tcPr>
          <w:p w14:paraId="53352B06">
            <w:pPr>
              <w:spacing w:line="440" w:lineRule="exact"/>
              <w:rPr>
                <w:rFonts w:hint="eastAsia" w:ascii="宋体" w:hAnsi="宋体" w:cs="宋体"/>
                <w:color w:val="auto"/>
                <w:szCs w:val="21"/>
                <w:highlight w:val="none"/>
              </w:rPr>
            </w:pPr>
          </w:p>
        </w:tc>
        <w:tc>
          <w:tcPr>
            <w:tcW w:w="1416" w:type="dxa"/>
            <w:vAlign w:val="center"/>
          </w:tcPr>
          <w:p w14:paraId="39C076FF">
            <w:pPr>
              <w:spacing w:line="440" w:lineRule="exact"/>
              <w:rPr>
                <w:rFonts w:hint="eastAsia" w:ascii="宋体" w:hAnsi="宋体" w:cs="宋体"/>
                <w:color w:val="auto"/>
                <w:szCs w:val="21"/>
                <w:highlight w:val="none"/>
              </w:rPr>
            </w:pPr>
          </w:p>
        </w:tc>
        <w:tc>
          <w:tcPr>
            <w:tcW w:w="851" w:type="dxa"/>
            <w:vAlign w:val="center"/>
          </w:tcPr>
          <w:p w14:paraId="27A1EB1B">
            <w:pPr>
              <w:spacing w:line="440" w:lineRule="exact"/>
              <w:rPr>
                <w:rFonts w:hint="eastAsia" w:ascii="宋体" w:hAnsi="宋体" w:cs="宋体"/>
                <w:color w:val="auto"/>
                <w:szCs w:val="21"/>
                <w:highlight w:val="none"/>
              </w:rPr>
            </w:pPr>
          </w:p>
        </w:tc>
        <w:tc>
          <w:tcPr>
            <w:tcW w:w="850" w:type="dxa"/>
            <w:vAlign w:val="center"/>
          </w:tcPr>
          <w:p w14:paraId="09C535D1">
            <w:pPr>
              <w:spacing w:line="440" w:lineRule="exact"/>
              <w:rPr>
                <w:rFonts w:hint="eastAsia" w:ascii="宋体" w:hAnsi="宋体" w:cs="宋体"/>
                <w:color w:val="auto"/>
                <w:szCs w:val="21"/>
                <w:highlight w:val="none"/>
              </w:rPr>
            </w:pPr>
          </w:p>
        </w:tc>
      </w:tr>
      <w:tr w14:paraId="079B1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1419" w:type="dxa"/>
            <w:vAlign w:val="center"/>
          </w:tcPr>
          <w:p w14:paraId="50CA1ADC">
            <w:pPr>
              <w:spacing w:line="440" w:lineRule="exact"/>
              <w:rPr>
                <w:rFonts w:hint="eastAsia" w:ascii="宋体" w:hAnsi="宋体" w:cs="宋体"/>
                <w:color w:val="auto"/>
                <w:szCs w:val="21"/>
                <w:highlight w:val="none"/>
              </w:rPr>
            </w:pPr>
          </w:p>
        </w:tc>
        <w:tc>
          <w:tcPr>
            <w:tcW w:w="1700" w:type="dxa"/>
            <w:vAlign w:val="center"/>
          </w:tcPr>
          <w:p w14:paraId="74753AC4">
            <w:pPr>
              <w:spacing w:line="440" w:lineRule="exact"/>
              <w:rPr>
                <w:rFonts w:hint="eastAsia" w:ascii="宋体" w:hAnsi="宋体" w:cs="宋体"/>
                <w:color w:val="auto"/>
                <w:szCs w:val="21"/>
                <w:highlight w:val="none"/>
              </w:rPr>
            </w:pPr>
          </w:p>
        </w:tc>
        <w:tc>
          <w:tcPr>
            <w:tcW w:w="1416" w:type="dxa"/>
            <w:vAlign w:val="center"/>
          </w:tcPr>
          <w:p w14:paraId="505C7108">
            <w:pPr>
              <w:spacing w:line="440" w:lineRule="exact"/>
              <w:rPr>
                <w:rFonts w:hint="eastAsia" w:ascii="宋体" w:hAnsi="宋体" w:cs="宋体"/>
                <w:color w:val="auto"/>
                <w:szCs w:val="21"/>
                <w:highlight w:val="none"/>
              </w:rPr>
            </w:pPr>
          </w:p>
        </w:tc>
        <w:tc>
          <w:tcPr>
            <w:tcW w:w="2409" w:type="dxa"/>
            <w:vAlign w:val="center"/>
          </w:tcPr>
          <w:p w14:paraId="05691541">
            <w:pPr>
              <w:spacing w:line="440" w:lineRule="exact"/>
              <w:rPr>
                <w:rFonts w:hint="eastAsia" w:ascii="宋体" w:hAnsi="宋体" w:cs="宋体"/>
                <w:color w:val="auto"/>
                <w:szCs w:val="21"/>
                <w:highlight w:val="none"/>
              </w:rPr>
            </w:pPr>
          </w:p>
        </w:tc>
        <w:tc>
          <w:tcPr>
            <w:tcW w:w="850" w:type="dxa"/>
            <w:vAlign w:val="center"/>
          </w:tcPr>
          <w:p w14:paraId="2B610DD2">
            <w:pPr>
              <w:spacing w:line="440" w:lineRule="exact"/>
              <w:rPr>
                <w:rFonts w:hint="eastAsia" w:ascii="宋体" w:hAnsi="宋体" w:cs="宋体"/>
                <w:color w:val="auto"/>
                <w:szCs w:val="21"/>
                <w:highlight w:val="none"/>
              </w:rPr>
            </w:pPr>
          </w:p>
        </w:tc>
        <w:tc>
          <w:tcPr>
            <w:tcW w:w="1559" w:type="dxa"/>
            <w:vAlign w:val="center"/>
          </w:tcPr>
          <w:p w14:paraId="455BF566">
            <w:pPr>
              <w:spacing w:line="440" w:lineRule="exact"/>
              <w:rPr>
                <w:rFonts w:hint="eastAsia" w:ascii="宋体" w:hAnsi="宋体" w:cs="宋体"/>
                <w:color w:val="auto"/>
                <w:szCs w:val="21"/>
                <w:highlight w:val="none"/>
              </w:rPr>
            </w:pPr>
          </w:p>
        </w:tc>
        <w:tc>
          <w:tcPr>
            <w:tcW w:w="2125" w:type="dxa"/>
            <w:vAlign w:val="center"/>
          </w:tcPr>
          <w:p w14:paraId="73E22829">
            <w:pPr>
              <w:spacing w:line="440" w:lineRule="exact"/>
              <w:rPr>
                <w:rFonts w:hint="eastAsia" w:ascii="宋体" w:hAnsi="宋体" w:cs="宋体"/>
                <w:color w:val="auto"/>
                <w:szCs w:val="21"/>
                <w:highlight w:val="none"/>
              </w:rPr>
            </w:pPr>
          </w:p>
        </w:tc>
        <w:tc>
          <w:tcPr>
            <w:tcW w:w="1416" w:type="dxa"/>
            <w:vAlign w:val="center"/>
          </w:tcPr>
          <w:p w14:paraId="462BB27E">
            <w:pPr>
              <w:spacing w:line="440" w:lineRule="exact"/>
              <w:rPr>
                <w:rFonts w:hint="eastAsia" w:ascii="宋体" w:hAnsi="宋体" w:cs="宋体"/>
                <w:color w:val="auto"/>
                <w:szCs w:val="21"/>
                <w:highlight w:val="none"/>
              </w:rPr>
            </w:pPr>
          </w:p>
        </w:tc>
        <w:tc>
          <w:tcPr>
            <w:tcW w:w="851" w:type="dxa"/>
            <w:vAlign w:val="center"/>
          </w:tcPr>
          <w:p w14:paraId="156B6085">
            <w:pPr>
              <w:spacing w:line="440" w:lineRule="exact"/>
              <w:rPr>
                <w:rFonts w:hint="eastAsia" w:ascii="宋体" w:hAnsi="宋体" w:cs="宋体"/>
                <w:color w:val="auto"/>
                <w:szCs w:val="21"/>
                <w:highlight w:val="none"/>
              </w:rPr>
            </w:pPr>
          </w:p>
        </w:tc>
        <w:tc>
          <w:tcPr>
            <w:tcW w:w="850" w:type="dxa"/>
            <w:vAlign w:val="center"/>
          </w:tcPr>
          <w:p w14:paraId="53629280">
            <w:pPr>
              <w:spacing w:line="440" w:lineRule="exact"/>
              <w:rPr>
                <w:rFonts w:hint="eastAsia" w:ascii="宋体" w:hAnsi="宋体" w:cs="宋体"/>
                <w:color w:val="auto"/>
                <w:szCs w:val="21"/>
                <w:highlight w:val="none"/>
              </w:rPr>
            </w:pPr>
          </w:p>
        </w:tc>
      </w:tr>
      <w:tr w14:paraId="3E6CA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1419" w:type="dxa"/>
            <w:vAlign w:val="center"/>
          </w:tcPr>
          <w:p w14:paraId="64CA91E0">
            <w:pPr>
              <w:spacing w:line="440" w:lineRule="exact"/>
              <w:rPr>
                <w:rFonts w:hint="eastAsia" w:ascii="宋体" w:hAnsi="宋体" w:cs="宋体"/>
                <w:color w:val="auto"/>
                <w:szCs w:val="21"/>
                <w:highlight w:val="none"/>
              </w:rPr>
            </w:pPr>
          </w:p>
        </w:tc>
        <w:tc>
          <w:tcPr>
            <w:tcW w:w="1700" w:type="dxa"/>
            <w:vAlign w:val="center"/>
          </w:tcPr>
          <w:p w14:paraId="4A4B39C8">
            <w:pPr>
              <w:spacing w:line="440" w:lineRule="exact"/>
              <w:rPr>
                <w:rFonts w:hint="eastAsia" w:ascii="宋体" w:hAnsi="宋体" w:cs="宋体"/>
                <w:color w:val="auto"/>
                <w:szCs w:val="21"/>
                <w:highlight w:val="none"/>
              </w:rPr>
            </w:pPr>
          </w:p>
        </w:tc>
        <w:tc>
          <w:tcPr>
            <w:tcW w:w="1416" w:type="dxa"/>
            <w:vAlign w:val="center"/>
          </w:tcPr>
          <w:p w14:paraId="42F48DB7">
            <w:pPr>
              <w:spacing w:line="440" w:lineRule="exact"/>
              <w:rPr>
                <w:rFonts w:hint="eastAsia" w:ascii="宋体" w:hAnsi="宋体" w:cs="宋体"/>
                <w:color w:val="auto"/>
                <w:szCs w:val="21"/>
                <w:highlight w:val="none"/>
              </w:rPr>
            </w:pPr>
          </w:p>
        </w:tc>
        <w:tc>
          <w:tcPr>
            <w:tcW w:w="2409" w:type="dxa"/>
            <w:vAlign w:val="center"/>
          </w:tcPr>
          <w:p w14:paraId="3AED7A13">
            <w:pPr>
              <w:spacing w:line="440" w:lineRule="exact"/>
              <w:rPr>
                <w:rFonts w:hint="eastAsia" w:ascii="宋体" w:hAnsi="宋体" w:cs="宋体"/>
                <w:color w:val="auto"/>
                <w:szCs w:val="21"/>
                <w:highlight w:val="none"/>
              </w:rPr>
            </w:pPr>
          </w:p>
        </w:tc>
        <w:tc>
          <w:tcPr>
            <w:tcW w:w="850" w:type="dxa"/>
            <w:vAlign w:val="center"/>
          </w:tcPr>
          <w:p w14:paraId="43710784">
            <w:pPr>
              <w:spacing w:line="440" w:lineRule="exact"/>
              <w:rPr>
                <w:rFonts w:hint="eastAsia" w:ascii="宋体" w:hAnsi="宋体" w:cs="宋体"/>
                <w:color w:val="auto"/>
                <w:szCs w:val="21"/>
                <w:highlight w:val="none"/>
              </w:rPr>
            </w:pPr>
          </w:p>
        </w:tc>
        <w:tc>
          <w:tcPr>
            <w:tcW w:w="1559" w:type="dxa"/>
            <w:vAlign w:val="center"/>
          </w:tcPr>
          <w:p w14:paraId="623A19E9">
            <w:pPr>
              <w:spacing w:line="440" w:lineRule="exact"/>
              <w:rPr>
                <w:rFonts w:hint="eastAsia" w:ascii="宋体" w:hAnsi="宋体" w:cs="宋体"/>
                <w:color w:val="auto"/>
                <w:szCs w:val="21"/>
                <w:highlight w:val="none"/>
              </w:rPr>
            </w:pPr>
          </w:p>
        </w:tc>
        <w:tc>
          <w:tcPr>
            <w:tcW w:w="2125" w:type="dxa"/>
            <w:vAlign w:val="center"/>
          </w:tcPr>
          <w:p w14:paraId="6A00DA01">
            <w:pPr>
              <w:spacing w:line="440" w:lineRule="exact"/>
              <w:rPr>
                <w:rFonts w:hint="eastAsia" w:ascii="宋体" w:hAnsi="宋体" w:cs="宋体"/>
                <w:color w:val="auto"/>
                <w:szCs w:val="21"/>
                <w:highlight w:val="none"/>
              </w:rPr>
            </w:pPr>
          </w:p>
        </w:tc>
        <w:tc>
          <w:tcPr>
            <w:tcW w:w="1416" w:type="dxa"/>
            <w:vAlign w:val="center"/>
          </w:tcPr>
          <w:p w14:paraId="3DB85AD0">
            <w:pPr>
              <w:spacing w:line="440" w:lineRule="exact"/>
              <w:rPr>
                <w:rFonts w:hint="eastAsia" w:ascii="宋体" w:hAnsi="宋体" w:cs="宋体"/>
                <w:color w:val="auto"/>
                <w:szCs w:val="21"/>
                <w:highlight w:val="none"/>
              </w:rPr>
            </w:pPr>
          </w:p>
        </w:tc>
        <w:tc>
          <w:tcPr>
            <w:tcW w:w="851" w:type="dxa"/>
            <w:vAlign w:val="center"/>
          </w:tcPr>
          <w:p w14:paraId="6480C077">
            <w:pPr>
              <w:spacing w:line="440" w:lineRule="exact"/>
              <w:rPr>
                <w:rFonts w:hint="eastAsia" w:ascii="宋体" w:hAnsi="宋体" w:cs="宋体"/>
                <w:color w:val="auto"/>
                <w:szCs w:val="21"/>
                <w:highlight w:val="none"/>
              </w:rPr>
            </w:pPr>
          </w:p>
        </w:tc>
        <w:tc>
          <w:tcPr>
            <w:tcW w:w="850" w:type="dxa"/>
            <w:vAlign w:val="center"/>
          </w:tcPr>
          <w:p w14:paraId="3A648C71">
            <w:pPr>
              <w:spacing w:line="440" w:lineRule="exact"/>
              <w:rPr>
                <w:rFonts w:hint="eastAsia" w:ascii="宋体" w:hAnsi="宋体" w:cs="宋体"/>
                <w:color w:val="auto"/>
                <w:szCs w:val="21"/>
                <w:highlight w:val="none"/>
              </w:rPr>
            </w:pPr>
          </w:p>
        </w:tc>
      </w:tr>
      <w:tr w14:paraId="0008F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1419" w:type="dxa"/>
            <w:vAlign w:val="center"/>
          </w:tcPr>
          <w:p w14:paraId="68F03125">
            <w:pPr>
              <w:spacing w:line="440" w:lineRule="exact"/>
              <w:rPr>
                <w:rFonts w:hint="eastAsia" w:ascii="宋体" w:hAnsi="宋体" w:cs="宋体"/>
                <w:color w:val="auto"/>
                <w:szCs w:val="21"/>
                <w:highlight w:val="none"/>
              </w:rPr>
            </w:pPr>
          </w:p>
        </w:tc>
        <w:tc>
          <w:tcPr>
            <w:tcW w:w="1700" w:type="dxa"/>
            <w:vAlign w:val="center"/>
          </w:tcPr>
          <w:p w14:paraId="619A466F">
            <w:pPr>
              <w:spacing w:line="440" w:lineRule="exact"/>
              <w:rPr>
                <w:rFonts w:hint="eastAsia" w:ascii="宋体" w:hAnsi="宋体" w:cs="宋体"/>
                <w:color w:val="auto"/>
                <w:szCs w:val="21"/>
                <w:highlight w:val="none"/>
              </w:rPr>
            </w:pPr>
          </w:p>
        </w:tc>
        <w:tc>
          <w:tcPr>
            <w:tcW w:w="1416" w:type="dxa"/>
            <w:vAlign w:val="center"/>
          </w:tcPr>
          <w:p w14:paraId="768D0309">
            <w:pPr>
              <w:spacing w:line="440" w:lineRule="exact"/>
              <w:rPr>
                <w:rFonts w:hint="eastAsia" w:ascii="宋体" w:hAnsi="宋体" w:cs="宋体"/>
                <w:color w:val="auto"/>
                <w:szCs w:val="21"/>
                <w:highlight w:val="none"/>
              </w:rPr>
            </w:pPr>
          </w:p>
        </w:tc>
        <w:tc>
          <w:tcPr>
            <w:tcW w:w="2409" w:type="dxa"/>
            <w:vAlign w:val="center"/>
          </w:tcPr>
          <w:p w14:paraId="1ABA73FF">
            <w:pPr>
              <w:spacing w:line="440" w:lineRule="exact"/>
              <w:rPr>
                <w:rFonts w:hint="eastAsia" w:ascii="宋体" w:hAnsi="宋体" w:cs="宋体"/>
                <w:color w:val="auto"/>
                <w:szCs w:val="21"/>
                <w:highlight w:val="none"/>
              </w:rPr>
            </w:pPr>
          </w:p>
        </w:tc>
        <w:tc>
          <w:tcPr>
            <w:tcW w:w="850" w:type="dxa"/>
            <w:vAlign w:val="center"/>
          </w:tcPr>
          <w:p w14:paraId="7E00BDB2">
            <w:pPr>
              <w:spacing w:line="440" w:lineRule="exact"/>
              <w:rPr>
                <w:rFonts w:hint="eastAsia" w:ascii="宋体" w:hAnsi="宋体" w:cs="宋体"/>
                <w:color w:val="auto"/>
                <w:szCs w:val="21"/>
                <w:highlight w:val="none"/>
              </w:rPr>
            </w:pPr>
          </w:p>
        </w:tc>
        <w:tc>
          <w:tcPr>
            <w:tcW w:w="1559" w:type="dxa"/>
            <w:vAlign w:val="center"/>
          </w:tcPr>
          <w:p w14:paraId="7D7A617A">
            <w:pPr>
              <w:spacing w:line="440" w:lineRule="exact"/>
              <w:rPr>
                <w:rFonts w:hint="eastAsia" w:ascii="宋体" w:hAnsi="宋体" w:cs="宋体"/>
                <w:color w:val="auto"/>
                <w:szCs w:val="21"/>
                <w:highlight w:val="none"/>
              </w:rPr>
            </w:pPr>
          </w:p>
        </w:tc>
        <w:tc>
          <w:tcPr>
            <w:tcW w:w="2125" w:type="dxa"/>
            <w:vAlign w:val="center"/>
          </w:tcPr>
          <w:p w14:paraId="5AFA836C">
            <w:pPr>
              <w:spacing w:line="440" w:lineRule="exact"/>
              <w:rPr>
                <w:rFonts w:hint="eastAsia" w:ascii="宋体" w:hAnsi="宋体" w:cs="宋体"/>
                <w:color w:val="auto"/>
                <w:szCs w:val="21"/>
                <w:highlight w:val="none"/>
              </w:rPr>
            </w:pPr>
          </w:p>
        </w:tc>
        <w:tc>
          <w:tcPr>
            <w:tcW w:w="1416" w:type="dxa"/>
            <w:vAlign w:val="center"/>
          </w:tcPr>
          <w:p w14:paraId="5790BB0C">
            <w:pPr>
              <w:spacing w:line="440" w:lineRule="exact"/>
              <w:rPr>
                <w:rFonts w:hint="eastAsia" w:ascii="宋体" w:hAnsi="宋体" w:cs="宋体"/>
                <w:color w:val="auto"/>
                <w:szCs w:val="21"/>
                <w:highlight w:val="none"/>
              </w:rPr>
            </w:pPr>
          </w:p>
        </w:tc>
        <w:tc>
          <w:tcPr>
            <w:tcW w:w="851" w:type="dxa"/>
            <w:vAlign w:val="center"/>
          </w:tcPr>
          <w:p w14:paraId="66649C04">
            <w:pPr>
              <w:spacing w:line="440" w:lineRule="exact"/>
              <w:rPr>
                <w:rFonts w:hint="eastAsia" w:ascii="宋体" w:hAnsi="宋体" w:cs="宋体"/>
                <w:color w:val="auto"/>
                <w:szCs w:val="21"/>
                <w:highlight w:val="none"/>
              </w:rPr>
            </w:pPr>
          </w:p>
        </w:tc>
        <w:tc>
          <w:tcPr>
            <w:tcW w:w="850" w:type="dxa"/>
            <w:vAlign w:val="center"/>
          </w:tcPr>
          <w:p w14:paraId="3CC22B6E">
            <w:pPr>
              <w:spacing w:line="440" w:lineRule="exact"/>
              <w:rPr>
                <w:rFonts w:hint="eastAsia" w:ascii="宋体" w:hAnsi="宋体" w:cs="宋体"/>
                <w:color w:val="auto"/>
                <w:szCs w:val="21"/>
                <w:highlight w:val="none"/>
              </w:rPr>
            </w:pPr>
          </w:p>
        </w:tc>
      </w:tr>
      <w:tr w14:paraId="1A8C5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1419" w:type="dxa"/>
            <w:vAlign w:val="center"/>
          </w:tcPr>
          <w:p w14:paraId="73DD800C">
            <w:pPr>
              <w:spacing w:line="440" w:lineRule="exact"/>
              <w:rPr>
                <w:rFonts w:hint="eastAsia" w:ascii="宋体" w:hAnsi="宋体" w:cs="宋体"/>
                <w:color w:val="auto"/>
                <w:szCs w:val="21"/>
                <w:highlight w:val="none"/>
              </w:rPr>
            </w:pPr>
          </w:p>
        </w:tc>
        <w:tc>
          <w:tcPr>
            <w:tcW w:w="1700" w:type="dxa"/>
            <w:vAlign w:val="center"/>
          </w:tcPr>
          <w:p w14:paraId="138630EB">
            <w:pPr>
              <w:spacing w:line="440" w:lineRule="exact"/>
              <w:rPr>
                <w:rFonts w:hint="eastAsia" w:ascii="宋体" w:hAnsi="宋体" w:cs="宋体"/>
                <w:color w:val="auto"/>
                <w:szCs w:val="21"/>
                <w:highlight w:val="none"/>
              </w:rPr>
            </w:pPr>
          </w:p>
        </w:tc>
        <w:tc>
          <w:tcPr>
            <w:tcW w:w="1416" w:type="dxa"/>
            <w:vAlign w:val="center"/>
          </w:tcPr>
          <w:p w14:paraId="1E0F5F7F">
            <w:pPr>
              <w:spacing w:line="440" w:lineRule="exact"/>
              <w:rPr>
                <w:rFonts w:hint="eastAsia" w:ascii="宋体" w:hAnsi="宋体" w:cs="宋体"/>
                <w:color w:val="auto"/>
                <w:szCs w:val="21"/>
                <w:highlight w:val="none"/>
              </w:rPr>
            </w:pPr>
          </w:p>
        </w:tc>
        <w:tc>
          <w:tcPr>
            <w:tcW w:w="2409" w:type="dxa"/>
            <w:vAlign w:val="center"/>
          </w:tcPr>
          <w:p w14:paraId="4ECF407C">
            <w:pPr>
              <w:spacing w:line="440" w:lineRule="exact"/>
              <w:rPr>
                <w:rFonts w:hint="eastAsia" w:ascii="宋体" w:hAnsi="宋体" w:cs="宋体"/>
                <w:color w:val="auto"/>
                <w:szCs w:val="21"/>
                <w:highlight w:val="none"/>
              </w:rPr>
            </w:pPr>
          </w:p>
        </w:tc>
        <w:tc>
          <w:tcPr>
            <w:tcW w:w="850" w:type="dxa"/>
            <w:vAlign w:val="center"/>
          </w:tcPr>
          <w:p w14:paraId="7FE9BB78">
            <w:pPr>
              <w:spacing w:line="440" w:lineRule="exact"/>
              <w:rPr>
                <w:rFonts w:hint="eastAsia" w:ascii="宋体" w:hAnsi="宋体" w:cs="宋体"/>
                <w:color w:val="auto"/>
                <w:szCs w:val="21"/>
                <w:highlight w:val="none"/>
              </w:rPr>
            </w:pPr>
          </w:p>
        </w:tc>
        <w:tc>
          <w:tcPr>
            <w:tcW w:w="1559" w:type="dxa"/>
            <w:vAlign w:val="center"/>
          </w:tcPr>
          <w:p w14:paraId="44C9F669">
            <w:pPr>
              <w:spacing w:line="440" w:lineRule="exact"/>
              <w:rPr>
                <w:rFonts w:hint="eastAsia" w:ascii="宋体" w:hAnsi="宋体" w:cs="宋体"/>
                <w:color w:val="auto"/>
                <w:szCs w:val="21"/>
                <w:highlight w:val="none"/>
              </w:rPr>
            </w:pPr>
          </w:p>
        </w:tc>
        <w:tc>
          <w:tcPr>
            <w:tcW w:w="2125" w:type="dxa"/>
            <w:vAlign w:val="center"/>
          </w:tcPr>
          <w:p w14:paraId="12FEF1E3">
            <w:pPr>
              <w:spacing w:line="440" w:lineRule="exact"/>
              <w:rPr>
                <w:rFonts w:hint="eastAsia" w:ascii="宋体" w:hAnsi="宋体" w:cs="宋体"/>
                <w:color w:val="auto"/>
                <w:szCs w:val="21"/>
                <w:highlight w:val="none"/>
              </w:rPr>
            </w:pPr>
          </w:p>
        </w:tc>
        <w:tc>
          <w:tcPr>
            <w:tcW w:w="1416" w:type="dxa"/>
            <w:vAlign w:val="center"/>
          </w:tcPr>
          <w:p w14:paraId="59925FD7">
            <w:pPr>
              <w:spacing w:line="440" w:lineRule="exact"/>
              <w:rPr>
                <w:rFonts w:hint="eastAsia" w:ascii="宋体" w:hAnsi="宋体" w:cs="宋体"/>
                <w:color w:val="auto"/>
                <w:szCs w:val="21"/>
                <w:highlight w:val="none"/>
              </w:rPr>
            </w:pPr>
          </w:p>
        </w:tc>
        <w:tc>
          <w:tcPr>
            <w:tcW w:w="851" w:type="dxa"/>
            <w:vAlign w:val="center"/>
          </w:tcPr>
          <w:p w14:paraId="5F7394CB">
            <w:pPr>
              <w:spacing w:line="440" w:lineRule="exact"/>
              <w:rPr>
                <w:rFonts w:hint="eastAsia" w:ascii="宋体" w:hAnsi="宋体" w:cs="宋体"/>
                <w:color w:val="auto"/>
                <w:szCs w:val="21"/>
                <w:highlight w:val="none"/>
              </w:rPr>
            </w:pPr>
          </w:p>
        </w:tc>
        <w:tc>
          <w:tcPr>
            <w:tcW w:w="850" w:type="dxa"/>
            <w:vAlign w:val="center"/>
          </w:tcPr>
          <w:p w14:paraId="702019D8">
            <w:pPr>
              <w:spacing w:line="440" w:lineRule="exact"/>
              <w:rPr>
                <w:rFonts w:hint="eastAsia" w:ascii="宋体" w:hAnsi="宋体" w:cs="宋体"/>
                <w:color w:val="auto"/>
                <w:szCs w:val="21"/>
                <w:highlight w:val="none"/>
              </w:rPr>
            </w:pPr>
          </w:p>
        </w:tc>
      </w:tr>
      <w:tr w14:paraId="16CE4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1419" w:type="dxa"/>
            <w:vAlign w:val="center"/>
          </w:tcPr>
          <w:p w14:paraId="14A99400">
            <w:pPr>
              <w:spacing w:line="440" w:lineRule="exact"/>
              <w:rPr>
                <w:rFonts w:hint="eastAsia" w:ascii="宋体" w:hAnsi="宋体" w:cs="宋体"/>
                <w:color w:val="auto"/>
                <w:szCs w:val="21"/>
                <w:highlight w:val="none"/>
              </w:rPr>
            </w:pPr>
          </w:p>
        </w:tc>
        <w:tc>
          <w:tcPr>
            <w:tcW w:w="1700" w:type="dxa"/>
            <w:vAlign w:val="center"/>
          </w:tcPr>
          <w:p w14:paraId="489F7767">
            <w:pPr>
              <w:spacing w:line="440" w:lineRule="exact"/>
              <w:rPr>
                <w:rFonts w:hint="eastAsia" w:ascii="宋体" w:hAnsi="宋体" w:cs="宋体"/>
                <w:color w:val="auto"/>
                <w:szCs w:val="21"/>
                <w:highlight w:val="none"/>
              </w:rPr>
            </w:pPr>
          </w:p>
        </w:tc>
        <w:tc>
          <w:tcPr>
            <w:tcW w:w="1416" w:type="dxa"/>
            <w:vAlign w:val="center"/>
          </w:tcPr>
          <w:p w14:paraId="28B47520">
            <w:pPr>
              <w:spacing w:line="440" w:lineRule="exact"/>
              <w:rPr>
                <w:rFonts w:hint="eastAsia" w:ascii="宋体" w:hAnsi="宋体" w:cs="宋体"/>
                <w:color w:val="auto"/>
                <w:szCs w:val="21"/>
                <w:highlight w:val="none"/>
              </w:rPr>
            </w:pPr>
          </w:p>
        </w:tc>
        <w:tc>
          <w:tcPr>
            <w:tcW w:w="2409" w:type="dxa"/>
            <w:vAlign w:val="center"/>
          </w:tcPr>
          <w:p w14:paraId="2DFE03C6">
            <w:pPr>
              <w:spacing w:line="440" w:lineRule="exact"/>
              <w:rPr>
                <w:rFonts w:hint="eastAsia" w:ascii="宋体" w:hAnsi="宋体" w:cs="宋体"/>
                <w:color w:val="auto"/>
                <w:szCs w:val="21"/>
                <w:highlight w:val="none"/>
              </w:rPr>
            </w:pPr>
          </w:p>
        </w:tc>
        <w:tc>
          <w:tcPr>
            <w:tcW w:w="850" w:type="dxa"/>
            <w:vAlign w:val="center"/>
          </w:tcPr>
          <w:p w14:paraId="04E390C9">
            <w:pPr>
              <w:spacing w:line="440" w:lineRule="exact"/>
              <w:rPr>
                <w:rFonts w:hint="eastAsia" w:ascii="宋体" w:hAnsi="宋体" w:cs="宋体"/>
                <w:color w:val="auto"/>
                <w:szCs w:val="21"/>
                <w:highlight w:val="none"/>
              </w:rPr>
            </w:pPr>
          </w:p>
        </w:tc>
        <w:tc>
          <w:tcPr>
            <w:tcW w:w="1559" w:type="dxa"/>
            <w:vAlign w:val="center"/>
          </w:tcPr>
          <w:p w14:paraId="293617EF">
            <w:pPr>
              <w:spacing w:line="440" w:lineRule="exact"/>
              <w:rPr>
                <w:rFonts w:hint="eastAsia" w:ascii="宋体" w:hAnsi="宋体" w:cs="宋体"/>
                <w:color w:val="auto"/>
                <w:szCs w:val="21"/>
                <w:highlight w:val="none"/>
              </w:rPr>
            </w:pPr>
          </w:p>
        </w:tc>
        <w:tc>
          <w:tcPr>
            <w:tcW w:w="2125" w:type="dxa"/>
            <w:vAlign w:val="center"/>
          </w:tcPr>
          <w:p w14:paraId="1B40E60C">
            <w:pPr>
              <w:spacing w:line="440" w:lineRule="exact"/>
              <w:rPr>
                <w:rFonts w:hint="eastAsia" w:ascii="宋体" w:hAnsi="宋体" w:cs="宋体"/>
                <w:color w:val="auto"/>
                <w:szCs w:val="21"/>
                <w:highlight w:val="none"/>
              </w:rPr>
            </w:pPr>
          </w:p>
        </w:tc>
        <w:tc>
          <w:tcPr>
            <w:tcW w:w="1416" w:type="dxa"/>
            <w:vAlign w:val="center"/>
          </w:tcPr>
          <w:p w14:paraId="23C61302">
            <w:pPr>
              <w:spacing w:line="440" w:lineRule="exact"/>
              <w:rPr>
                <w:rFonts w:hint="eastAsia" w:ascii="宋体" w:hAnsi="宋体" w:cs="宋体"/>
                <w:color w:val="auto"/>
                <w:szCs w:val="21"/>
                <w:highlight w:val="none"/>
              </w:rPr>
            </w:pPr>
          </w:p>
        </w:tc>
        <w:tc>
          <w:tcPr>
            <w:tcW w:w="851" w:type="dxa"/>
            <w:vAlign w:val="center"/>
          </w:tcPr>
          <w:p w14:paraId="00D3F37F">
            <w:pPr>
              <w:spacing w:line="440" w:lineRule="exact"/>
              <w:rPr>
                <w:rFonts w:hint="eastAsia" w:ascii="宋体" w:hAnsi="宋体" w:cs="宋体"/>
                <w:color w:val="auto"/>
                <w:szCs w:val="21"/>
                <w:highlight w:val="none"/>
              </w:rPr>
            </w:pPr>
          </w:p>
        </w:tc>
        <w:tc>
          <w:tcPr>
            <w:tcW w:w="850" w:type="dxa"/>
            <w:vAlign w:val="center"/>
          </w:tcPr>
          <w:p w14:paraId="5E30F25A">
            <w:pPr>
              <w:spacing w:line="440" w:lineRule="exact"/>
              <w:rPr>
                <w:rFonts w:hint="eastAsia" w:ascii="宋体" w:hAnsi="宋体" w:cs="宋体"/>
                <w:color w:val="auto"/>
                <w:szCs w:val="21"/>
                <w:highlight w:val="none"/>
              </w:rPr>
            </w:pPr>
          </w:p>
        </w:tc>
      </w:tr>
      <w:tr w14:paraId="056FC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1419" w:type="dxa"/>
            <w:vAlign w:val="center"/>
          </w:tcPr>
          <w:p w14:paraId="03B0CC56">
            <w:pPr>
              <w:spacing w:line="440" w:lineRule="exact"/>
              <w:rPr>
                <w:rFonts w:hint="eastAsia" w:ascii="宋体" w:hAnsi="宋体" w:cs="宋体"/>
                <w:color w:val="auto"/>
                <w:szCs w:val="21"/>
                <w:highlight w:val="none"/>
              </w:rPr>
            </w:pPr>
          </w:p>
        </w:tc>
        <w:tc>
          <w:tcPr>
            <w:tcW w:w="1700" w:type="dxa"/>
            <w:vAlign w:val="center"/>
          </w:tcPr>
          <w:p w14:paraId="309BC0E1">
            <w:pPr>
              <w:spacing w:line="440" w:lineRule="exact"/>
              <w:rPr>
                <w:rFonts w:hint="eastAsia" w:ascii="宋体" w:hAnsi="宋体" w:cs="宋体"/>
                <w:color w:val="auto"/>
                <w:szCs w:val="21"/>
                <w:highlight w:val="none"/>
              </w:rPr>
            </w:pPr>
          </w:p>
        </w:tc>
        <w:tc>
          <w:tcPr>
            <w:tcW w:w="1416" w:type="dxa"/>
            <w:vAlign w:val="center"/>
          </w:tcPr>
          <w:p w14:paraId="62435612">
            <w:pPr>
              <w:spacing w:line="440" w:lineRule="exact"/>
              <w:rPr>
                <w:rFonts w:hint="eastAsia" w:ascii="宋体" w:hAnsi="宋体" w:cs="宋体"/>
                <w:color w:val="auto"/>
                <w:szCs w:val="21"/>
                <w:highlight w:val="none"/>
              </w:rPr>
            </w:pPr>
          </w:p>
        </w:tc>
        <w:tc>
          <w:tcPr>
            <w:tcW w:w="2409" w:type="dxa"/>
            <w:vAlign w:val="center"/>
          </w:tcPr>
          <w:p w14:paraId="4C49E4AD">
            <w:pPr>
              <w:spacing w:line="440" w:lineRule="exact"/>
              <w:rPr>
                <w:rFonts w:hint="eastAsia" w:ascii="宋体" w:hAnsi="宋体" w:cs="宋体"/>
                <w:color w:val="auto"/>
                <w:szCs w:val="21"/>
                <w:highlight w:val="none"/>
              </w:rPr>
            </w:pPr>
          </w:p>
        </w:tc>
        <w:tc>
          <w:tcPr>
            <w:tcW w:w="850" w:type="dxa"/>
            <w:vAlign w:val="center"/>
          </w:tcPr>
          <w:p w14:paraId="49D6AF84">
            <w:pPr>
              <w:spacing w:line="440" w:lineRule="exact"/>
              <w:rPr>
                <w:rFonts w:hint="eastAsia" w:ascii="宋体" w:hAnsi="宋体" w:cs="宋体"/>
                <w:color w:val="auto"/>
                <w:szCs w:val="21"/>
                <w:highlight w:val="none"/>
              </w:rPr>
            </w:pPr>
          </w:p>
        </w:tc>
        <w:tc>
          <w:tcPr>
            <w:tcW w:w="1559" w:type="dxa"/>
            <w:vAlign w:val="center"/>
          </w:tcPr>
          <w:p w14:paraId="4C183FA8">
            <w:pPr>
              <w:spacing w:line="440" w:lineRule="exact"/>
              <w:rPr>
                <w:rFonts w:hint="eastAsia" w:ascii="宋体" w:hAnsi="宋体" w:cs="宋体"/>
                <w:color w:val="auto"/>
                <w:szCs w:val="21"/>
                <w:highlight w:val="none"/>
              </w:rPr>
            </w:pPr>
          </w:p>
        </w:tc>
        <w:tc>
          <w:tcPr>
            <w:tcW w:w="2125" w:type="dxa"/>
            <w:vAlign w:val="center"/>
          </w:tcPr>
          <w:p w14:paraId="594EEEAA">
            <w:pPr>
              <w:spacing w:line="440" w:lineRule="exact"/>
              <w:rPr>
                <w:rFonts w:hint="eastAsia" w:ascii="宋体" w:hAnsi="宋体" w:cs="宋体"/>
                <w:color w:val="auto"/>
                <w:szCs w:val="21"/>
                <w:highlight w:val="none"/>
              </w:rPr>
            </w:pPr>
          </w:p>
        </w:tc>
        <w:tc>
          <w:tcPr>
            <w:tcW w:w="1416" w:type="dxa"/>
            <w:vAlign w:val="center"/>
          </w:tcPr>
          <w:p w14:paraId="4426D968">
            <w:pPr>
              <w:spacing w:line="440" w:lineRule="exact"/>
              <w:rPr>
                <w:rFonts w:hint="eastAsia" w:ascii="宋体" w:hAnsi="宋体" w:cs="宋体"/>
                <w:color w:val="auto"/>
                <w:szCs w:val="21"/>
                <w:highlight w:val="none"/>
              </w:rPr>
            </w:pPr>
          </w:p>
        </w:tc>
        <w:tc>
          <w:tcPr>
            <w:tcW w:w="851" w:type="dxa"/>
            <w:vAlign w:val="center"/>
          </w:tcPr>
          <w:p w14:paraId="216F48F8">
            <w:pPr>
              <w:spacing w:line="440" w:lineRule="exact"/>
              <w:rPr>
                <w:rFonts w:hint="eastAsia" w:ascii="宋体" w:hAnsi="宋体" w:cs="宋体"/>
                <w:color w:val="auto"/>
                <w:szCs w:val="21"/>
                <w:highlight w:val="none"/>
              </w:rPr>
            </w:pPr>
          </w:p>
        </w:tc>
        <w:tc>
          <w:tcPr>
            <w:tcW w:w="850" w:type="dxa"/>
            <w:vAlign w:val="center"/>
          </w:tcPr>
          <w:p w14:paraId="454F11EF">
            <w:pPr>
              <w:spacing w:line="440" w:lineRule="exact"/>
              <w:rPr>
                <w:rFonts w:hint="eastAsia" w:ascii="宋体" w:hAnsi="宋体" w:cs="宋体"/>
                <w:color w:val="auto"/>
                <w:szCs w:val="21"/>
                <w:highlight w:val="none"/>
              </w:rPr>
            </w:pPr>
          </w:p>
        </w:tc>
      </w:tr>
    </w:tbl>
    <w:p w14:paraId="122A8E64">
      <w:pPr>
        <w:widowControl/>
        <w:jc w:val="left"/>
        <w:rPr>
          <w:rFonts w:hint="eastAsia" w:ascii="宋体" w:hAnsi="宋体" w:cs="宋体"/>
          <w:b/>
          <w:color w:val="auto"/>
          <w:szCs w:val="21"/>
          <w:highlight w:val="none"/>
        </w:rPr>
        <w:sectPr>
          <w:pgSz w:w="16838" w:h="11906" w:orient="landscape"/>
          <w:pgMar w:top="1554" w:right="1418" w:bottom="1531" w:left="1418" w:header="851" w:footer="992" w:gutter="0"/>
          <w:cols w:space="720" w:num="1"/>
          <w:docGrid w:type="linesAndChars" w:linePitch="312" w:charSpace="0"/>
        </w:sectPr>
      </w:pPr>
    </w:p>
    <w:p w14:paraId="7C9818E8">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附</w:t>
      </w:r>
      <w:bookmarkStart w:id="1477" w:name="_Toc267261692"/>
      <w:bookmarkStart w:id="1478" w:name="_Toc296944564"/>
      <w:bookmarkStart w:id="1479" w:name="_Toc296347224"/>
      <w:bookmarkStart w:id="1480" w:name="_Toc296346726"/>
      <w:bookmarkStart w:id="1481" w:name="_Toc296891053"/>
      <w:bookmarkStart w:id="1482" w:name="_Toc296503225"/>
      <w:bookmarkStart w:id="1483" w:name="_Toc296891265"/>
      <w:r>
        <w:rPr>
          <w:rFonts w:hint="eastAsia" w:ascii="宋体" w:hAnsi="宋体" w:cs="宋体"/>
          <w:color w:val="auto"/>
          <w:szCs w:val="21"/>
          <w:highlight w:val="none"/>
        </w:rPr>
        <w:t>件2：</w:t>
      </w:r>
    </w:p>
    <w:bookmarkEnd w:id="1477"/>
    <w:bookmarkEnd w:id="1478"/>
    <w:bookmarkEnd w:id="1479"/>
    <w:bookmarkEnd w:id="1480"/>
    <w:bookmarkEnd w:id="1481"/>
    <w:bookmarkEnd w:id="1482"/>
    <w:bookmarkEnd w:id="1483"/>
    <w:p w14:paraId="720068C6">
      <w:pPr>
        <w:spacing w:before="156" w:beforeLines="50" w:after="156" w:afterLines="50"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发包人供应材料设备一览表</w:t>
      </w:r>
    </w:p>
    <w:tbl>
      <w:tblPr>
        <w:tblStyle w:val="4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775"/>
        <w:gridCol w:w="1047"/>
        <w:gridCol w:w="1274"/>
        <w:gridCol w:w="993"/>
        <w:gridCol w:w="850"/>
        <w:gridCol w:w="851"/>
        <w:gridCol w:w="992"/>
        <w:gridCol w:w="1134"/>
        <w:gridCol w:w="1134"/>
        <w:gridCol w:w="850"/>
      </w:tblGrid>
      <w:tr w14:paraId="288425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412" w:hRule="atLeast"/>
          <w:jc w:val="center"/>
        </w:trPr>
        <w:tc>
          <w:tcPr>
            <w:tcW w:w="775" w:type="dxa"/>
            <w:tcBorders>
              <w:top w:val="single" w:color="auto" w:sz="12" w:space="0"/>
              <w:left w:val="single" w:color="auto" w:sz="12" w:space="0"/>
              <w:bottom w:val="double" w:color="auto" w:sz="6" w:space="0"/>
              <w:right w:val="single" w:color="auto" w:sz="6" w:space="0"/>
            </w:tcBorders>
            <w:vAlign w:val="center"/>
          </w:tcPr>
          <w:p w14:paraId="14C074BC">
            <w:pPr>
              <w:jc w:val="center"/>
              <w:rPr>
                <w:color w:val="auto"/>
                <w:highlight w:val="none"/>
              </w:rPr>
            </w:pPr>
            <w:r>
              <w:rPr>
                <w:rFonts w:hint="eastAsia"/>
                <w:color w:val="auto"/>
                <w:highlight w:val="none"/>
              </w:rPr>
              <w:t>序号</w:t>
            </w:r>
          </w:p>
        </w:tc>
        <w:tc>
          <w:tcPr>
            <w:tcW w:w="1047" w:type="dxa"/>
            <w:tcBorders>
              <w:top w:val="single" w:color="auto" w:sz="12" w:space="0"/>
              <w:left w:val="single" w:color="auto" w:sz="6" w:space="0"/>
              <w:bottom w:val="double" w:color="auto" w:sz="6" w:space="0"/>
              <w:right w:val="single" w:color="auto" w:sz="6" w:space="0"/>
            </w:tcBorders>
            <w:vAlign w:val="center"/>
          </w:tcPr>
          <w:p w14:paraId="364B0D11">
            <w:pPr>
              <w:jc w:val="center"/>
              <w:rPr>
                <w:color w:val="auto"/>
                <w:highlight w:val="none"/>
              </w:rPr>
            </w:pPr>
            <w:r>
              <w:rPr>
                <w:rFonts w:hint="eastAsia"/>
                <w:color w:val="auto"/>
                <w:highlight w:val="none"/>
              </w:rPr>
              <w:t>材料、</w:t>
            </w:r>
          </w:p>
          <w:p w14:paraId="78410490">
            <w:pPr>
              <w:jc w:val="center"/>
              <w:rPr>
                <w:color w:val="auto"/>
                <w:highlight w:val="none"/>
              </w:rPr>
            </w:pPr>
            <w:r>
              <w:rPr>
                <w:rFonts w:hint="eastAsia"/>
                <w:color w:val="auto"/>
                <w:highlight w:val="none"/>
              </w:rPr>
              <w:t>设备品种</w:t>
            </w:r>
          </w:p>
        </w:tc>
        <w:tc>
          <w:tcPr>
            <w:tcW w:w="1274" w:type="dxa"/>
            <w:tcBorders>
              <w:top w:val="single" w:color="auto" w:sz="12" w:space="0"/>
              <w:left w:val="single" w:color="auto" w:sz="6" w:space="0"/>
              <w:bottom w:val="double" w:color="auto" w:sz="6" w:space="0"/>
              <w:right w:val="single" w:color="auto" w:sz="6" w:space="0"/>
            </w:tcBorders>
            <w:vAlign w:val="center"/>
          </w:tcPr>
          <w:p w14:paraId="7158FBC6">
            <w:pPr>
              <w:jc w:val="center"/>
              <w:rPr>
                <w:color w:val="auto"/>
                <w:highlight w:val="none"/>
              </w:rPr>
            </w:pPr>
            <w:r>
              <w:rPr>
                <w:rFonts w:hint="eastAsia"/>
                <w:color w:val="auto"/>
                <w:highlight w:val="none"/>
              </w:rPr>
              <w:t>规格型号</w:t>
            </w:r>
          </w:p>
        </w:tc>
        <w:tc>
          <w:tcPr>
            <w:tcW w:w="993" w:type="dxa"/>
            <w:tcBorders>
              <w:top w:val="single" w:color="auto" w:sz="12" w:space="0"/>
              <w:left w:val="single" w:color="auto" w:sz="6" w:space="0"/>
              <w:bottom w:val="double" w:color="auto" w:sz="6" w:space="0"/>
              <w:right w:val="single" w:color="auto" w:sz="6" w:space="0"/>
            </w:tcBorders>
            <w:vAlign w:val="center"/>
          </w:tcPr>
          <w:p w14:paraId="7DBFD7AF">
            <w:pPr>
              <w:jc w:val="center"/>
              <w:rPr>
                <w:color w:val="auto"/>
                <w:highlight w:val="none"/>
              </w:rPr>
            </w:pPr>
            <w:r>
              <w:rPr>
                <w:rFonts w:hint="eastAsia"/>
                <w:color w:val="auto"/>
                <w:highlight w:val="none"/>
              </w:rPr>
              <w:t>单位</w:t>
            </w:r>
          </w:p>
        </w:tc>
        <w:tc>
          <w:tcPr>
            <w:tcW w:w="850" w:type="dxa"/>
            <w:tcBorders>
              <w:top w:val="single" w:color="auto" w:sz="12" w:space="0"/>
              <w:left w:val="single" w:color="auto" w:sz="6" w:space="0"/>
              <w:bottom w:val="double" w:color="auto" w:sz="6" w:space="0"/>
              <w:right w:val="single" w:color="auto" w:sz="6" w:space="0"/>
            </w:tcBorders>
            <w:vAlign w:val="center"/>
          </w:tcPr>
          <w:p w14:paraId="43C23F0C">
            <w:pPr>
              <w:jc w:val="center"/>
              <w:rPr>
                <w:color w:val="auto"/>
                <w:highlight w:val="none"/>
              </w:rPr>
            </w:pPr>
            <w:r>
              <w:rPr>
                <w:rFonts w:hint="eastAsia"/>
                <w:color w:val="auto"/>
                <w:highlight w:val="none"/>
              </w:rPr>
              <w:t>数量</w:t>
            </w:r>
          </w:p>
        </w:tc>
        <w:tc>
          <w:tcPr>
            <w:tcW w:w="851" w:type="dxa"/>
            <w:tcBorders>
              <w:top w:val="single" w:color="auto" w:sz="12" w:space="0"/>
              <w:left w:val="single" w:color="auto" w:sz="6" w:space="0"/>
              <w:bottom w:val="double" w:color="auto" w:sz="6" w:space="0"/>
              <w:right w:val="single" w:color="auto" w:sz="6" w:space="0"/>
            </w:tcBorders>
            <w:vAlign w:val="center"/>
          </w:tcPr>
          <w:p w14:paraId="0DF98D8C">
            <w:pPr>
              <w:jc w:val="center"/>
              <w:rPr>
                <w:color w:val="auto"/>
                <w:highlight w:val="none"/>
              </w:rPr>
            </w:pPr>
            <w:r>
              <w:rPr>
                <w:rFonts w:hint="eastAsia"/>
                <w:color w:val="auto"/>
                <w:highlight w:val="none"/>
              </w:rPr>
              <w:t>单价（元）</w:t>
            </w:r>
          </w:p>
        </w:tc>
        <w:tc>
          <w:tcPr>
            <w:tcW w:w="992" w:type="dxa"/>
            <w:tcBorders>
              <w:top w:val="single" w:color="auto" w:sz="12" w:space="0"/>
              <w:left w:val="single" w:color="auto" w:sz="6" w:space="0"/>
              <w:bottom w:val="double" w:color="auto" w:sz="6" w:space="0"/>
              <w:right w:val="single" w:color="auto" w:sz="6" w:space="0"/>
            </w:tcBorders>
            <w:vAlign w:val="center"/>
          </w:tcPr>
          <w:p w14:paraId="39B7F3B3">
            <w:pPr>
              <w:jc w:val="center"/>
              <w:rPr>
                <w:color w:val="auto"/>
                <w:highlight w:val="none"/>
              </w:rPr>
            </w:pPr>
            <w:r>
              <w:rPr>
                <w:rFonts w:hint="eastAsia"/>
                <w:color w:val="auto"/>
                <w:highlight w:val="none"/>
              </w:rPr>
              <w:t>质量</w:t>
            </w:r>
          </w:p>
          <w:p w14:paraId="610CEA93">
            <w:pPr>
              <w:jc w:val="center"/>
              <w:rPr>
                <w:color w:val="auto"/>
                <w:highlight w:val="none"/>
              </w:rPr>
            </w:pPr>
            <w:r>
              <w:rPr>
                <w:rFonts w:hint="eastAsia"/>
                <w:color w:val="auto"/>
                <w:highlight w:val="none"/>
              </w:rPr>
              <w:t>等级</w:t>
            </w:r>
          </w:p>
        </w:tc>
        <w:tc>
          <w:tcPr>
            <w:tcW w:w="1134" w:type="dxa"/>
            <w:tcBorders>
              <w:top w:val="single" w:color="auto" w:sz="12" w:space="0"/>
              <w:left w:val="single" w:color="auto" w:sz="6" w:space="0"/>
              <w:bottom w:val="double" w:color="auto" w:sz="6" w:space="0"/>
              <w:right w:val="single" w:color="auto" w:sz="6" w:space="0"/>
            </w:tcBorders>
            <w:vAlign w:val="center"/>
          </w:tcPr>
          <w:p w14:paraId="478FED5B">
            <w:pPr>
              <w:jc w:val="center"/>
              <w:rPr>
                <w:color w:val="auto"/>
                <w:highlight w:val="none"/>
              </w:rPr>
            </w:pPr>
            <w:r>
              <w:rPr>
                <w:rFonts w:hint="eastAsia"/>
                <w:color w:val="auto"/>
                <w:highlight w:val="none"/>
              </w:rPr>
              <w:t>供应</w:t>
            </w:r>
          </w:p>
          <w:p w14:paraId="7791A1BC">
            <w:pPr>
              <w:jc w:val="center"/>
              <w:rPr>
                <w:color w:val="auto"/>
                <w:highlight w:val="none"/>
              </w:rPr>
            </w:pPr>
            <w:r>
              <w:rPr>
                <w:rFonts w:hint="eastAsia"/>
                <w:color w:val="auto"/>
                <w:highlight w:val="none"/>
              </w:rPr>
              <w:t>时间</w:t>
            </w:r>
          </w:p>
        </w:tc>
        <w:tc>
          <w:tcPr>
            <w:tcW w:w="1134" w:type="dxa"/>
            <w:tcBorders>
              <w:top w:val="single" w:color="auto" w:sz="12" w:space="0"/>
              <w:left w:val="single" w:color="auto" w:sz="6" w:space="0"/>
              <w:bottom w:val="double" w:color="auto" w:sz="6" w:space="0"/>
              <w:right w:val="single" w:color="auto" w:sz="6" w:space="0"/>
            </w:tcBorders>
            <w:vAlign w:val="center"/>
          </w:tcPr>
          <w:p w14:paraId="28F695CB">
            <w:pPr>
              <w:jc w:val="center"/>
              <w:rPr>
                <w:color w:val="auto"/>
                <w:highlight w:val="none"/>
              </w:rPr>
            </w:pPr>
            <w:r>
              <w:rPr>
                <w:rFonts w:hint="eastAsia"/>
                <w:color w:val="auto"/>
                <w:highlight w:val="none"/>
              </w:rPr>
              <w:t>送达</w:t>
            </w:r>
          </w:p>
          <w:p w14:paraId="16DD6730">
            <w:pPr>
              <w:jc w:val="center"/>
              <w:rPr>
                <w:color w:val="auto"/>
                <w:highlight w:val="none"/>
              </w:rPr>
            </w:pPr>
            <w:r>
              <w:rPr>
                <w:rFonts w:hint="eastAsia"/>
                <w:color w:val="auto"/>
                <w:highlight w:val="none"/>
              </w:rPr>
              <w:t>地点</w:t>
            </w:r>
          </w:p>
        </w:tc>
        <w:tc>
          <w:tcPr>
            <w:tcW w:w="850" w:type="dxa"/>
            <w:tcBorders>
              <w:top w:val="single" w:color="auto" w:sz="12" w:space="0"/>
              <w:left w:val="single" w:color="auto" w:sz="6" w:space="0"/>
              <w:bottom w:val="double" w:color="auto" w:sz="6" w:space="0"/>
              <w:right w:val="single" w:color="auto" w:sz="12" w:space="0"/>
            </w:tcBorders>
            <w:vAlign w:val="center"/>
          </w:tcPr>
          <w:p w14:paraId="46CC5921">
            <w:pPr>
              <w:jc w:val="center"/>
              <w:rPr>
                <w:color w:val="auto"/>
                <w:highlight w:val="none"/>
              </w:rPr>
            </w:pPr>
            <w:r>
              <w:rPr>
                <w:rFonts w:hint="eastAsia"/>
                <w:color w:val="auto"/>
                <w:highlight w:val="none"/>
              </w:rPr>
              <w:t>备注</w:t>
            </w:r>
          </w:p>
        </w:tc>
      </w:tr>
      <w:tr w14:paraId="04466D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75" w:type="dxa"/>
            <w:tcBorders>
              <w:top w:val="double" w:color="auto" w:sz="6" w:space="0"/>
              <w:left w:val="single" w:color="auto" w:sz="12" w:space="0"/>
              <w:bottom w:val="single" w:color="auto" w:sz="6" w:space="0"/>
              <w:right w:val="single" w:color="auto" w:sz="6" w:space="0"/>
            </w:tcBorders>
            <w:vAlign w:val="center"/>
          </w:tcPr>
          <w:p w14:paraId="70A9EE26">
            <w:pPr>
              <w:pStyle w:val="18"/>
              <w:keepNext/>
              <w:spacing w:line="440" w:lineRule="exact"/>
              <w:ind w:left="420" w:right="63"/>
              <w:rPr>
                <w:rFonts w:hint="eastAsia" w:ascii="宋体" w:hAnsi="宋体"/>
                <w:color w:val="auto"/>
                <w:highlight w:val="none"/>
              </w:rPr>
            </w:pPr>
          </w:p>
        </w:tc>
        <w:tc>
          <w:tcPr>
            <w:tcW w:w="1047" w:type="dxa"/>
            <w:tcBorders>
              <w:top w:val="double" w:color="auto" w:sz="6" w:space="0"/>
              <w:left w:val="single" w:color="auto" w:sz="6" w:space="0"/>
              <w:bottom w:val="single" w:color="auto" w:sz="6" w:space="0"/>
              <w:right w:val="single" w:color="auto" w:sz="6" w:space="0"/>
            </w:tcBorders>
            <w:vAlign w:val="center"/>
          </w:tcPr>
          <w:p w14:paraId="4222241C">
            <w:pPr>
              <w:pStyle w:val="18"/>
              <w:keepNext/>
              <w:spacing w:line="440" w:lineRule="exact"/>
              <w:ind w:left="420" w:right="63"/>
              <w:rPr>
                <w:rFonts w:hint="eastAsia" w:ascii="宋体" w:hAnsi="宋体"/>
                <w:color w:val="auto"/>
                <w:highlight w:val="none"/>
              </w:rPr>
            </w:pPr>
          </w:p>
        </w:tc>
        <w:tc>
          <w:tcPr>
            <w:tcW w:w="1274" w:type="dxa"/>
            <w:tcBorders>
              <w:top w:val="double" w:color="auto" w:sz="6" w:space="0"/>
              <w:left w:val="single" w:color="auto" w:sz="6" w:space="0"/>
              <w:bottom w:val="single" w:color="auto" w:sz="6" w:space="0"/>
              <w:right w:val="single" w:color="auto" w:sz="6" w:space="0"/>
            </w:tcBorders>
            <w:vAlign w:val="center"/>
          </w:tcPr>
          <w:p w14:paraId="32D02D33">
            <w:pPr>
              <w:pStyle w:val="18"/>
              <w:keepNext/>
              <w:spacing w:line="440" w:lineRule="exact"/>
              <w:ind w:left="420" w:right="63"/>
              <w:rPr>
                <w:rFonts w:hint="eastAsia" w:ascii="宋体" w:hAnsi="宋体"/>
                <w:color w:val="auto"/>
                <w:highlight w:val="none"/>
              </w:rPr>
            </w:pPr>
          </w:p>
        </w:tc>
        <w:tc>
          <w:tcPr>
            <w:tcW w:w="993" w:type="dxa"/>
            <w:tcBorders>
              <w:top w:val="double" w:color="auto" w:sz="6" w:space="0"/>
              <w:left w:val="single" w:color="auto" w:sz="6" w:space="0"/>
              <w:bottom w:val="single" w:color="auto" w:sz="6" w:space="0"/>
              <w:right w:val="single" w:color="auto" w:sz="6" w:space="0"/>
            </w:tcBorders>
            <w:vAlign w:val="center"/>
          </w:tcPr>
          <w:p w14:paraId="7762CDFF">
            <w:pPr>
              <w:pStyle w:val="18"/>
              <w:keepNext/>
              <w:spacing w:line="440" w:lineRule="exact"/>
              <w:ind w:left="420" w:right="63"/>
              <w:rPr>
                <w:rFonts w:hint="eastAsia" w:ascii="宋体" w:hAnsi="宋体"/>
                <w:color w:val="auto"/>
                <w:highlight w:val="none"/>
              </w:rPr>
            </w:pPr>
          </w:p>
        </w:tc>
        <w:tc>
          <w:tcPr>
            <w:tcW w:w="850" w:type="dxa"/>
            <w:tcBorders>
              <w:top w:val="double" w:color="auto" w:sz="6" w:space="0"/>
              <w:left w:val="single" w:color="auto" w:sz="6" w:space="0"/>
              <w:bottom w:val="single" w:color="auto" w:sz="6" w:space="0"/>
              <w:right w:val="single" w:color="auto" w:sz="6" w:space="0"/>
            </w:tcBorders>
            <w:vAlign w:val="center"/>
          </w:tcPr>
          <w:p w14:paraId="2485B2FD">
            <w:pPr>
              <w:pStyle w:val="18"/>
              <w:keepNext/>
              <w:spacing w:line="440" w:lineRule="exact"/>
              <w:ind w:left="420" w:right="63"/>
              <w:rPr>
                <w:rFonts w:hint="eastAsia" w:ascii="宋体" w:hAnsi="宋体"/>
                <w:color w:val="auto"/>
                <w:highlight w:val="none"/>
              </w:rPr>
            </w:pPr>
          </w:p>
        </w:tc>
        <w:tc>
          <w:tcPr>
            <w:tcW w:w="851" w:type="dxa"/>
            <w:tcBorders>
              <w:top w:val="double" w:color="auto" w:sz="6" w:space="0"/>
              <w:left w:val="single" w:color="auto" w:sz="6" w:space="0"/>
              <w:bottom w:val="single" w:color="auto" w:sz="6" w:space="0"/>
              <w:right w:val="single" w:color="auto" w:sz="6" w:space="0"/>
            </w:tcBorders>
            <w:vAlign w:val="center"/>
          </w:tcPr>
          <w:p w14:paraId="3830576C">
            <w:pPr>
              <w:pStyle w:val="18"/>
              <w:keepNext/>
              <w:spacing w:line="440" w:lineRule="exact"/>
              <w:ind w:left="420" w:right="63"/>
              <w:rPr>
                <w:rFonts w:hint="eastAsia" w:ascii="宋体" w:hAnsi="宋体"/>
                <w:color w:val="auto"/>
                <w:highlight w:val="none"/>
              </w:rPr>
            </w:pPr>
          </w:p>
        </w:tc>
        <w:tc>
          <w:tcPr>
            <w:tcW w:w="992" w:type="dxa"/>
            <w:tcBorders>
              <w:top w:val="double" w:color="auto" w:sz="6" w:space="0"/>
              <w:left w:val="single" w:color="auto" w:sz="6" w:space="0"/>
              <w:bottom w:val="single" w:color="auto" w:sz="6" w:space="0"/>
              <w:right w:val="single" w:color="auto" w:sz="6" w:space="0"/>
            </w:tcBorders>
            <w:vAlign w:val="center"/>
          </w:tcPr>
          <w:p w14:paraId="319696F6">
            <w:pPr>
              <w:pStyle w:val="18"/>
              <w:keepNext/>
              <w:spacing w:line="440" w:lineRule="exact"/>
              <w:ind w:left="420" w:right="63"/>
              <w:rPr>
                <w:rFonts w:hint="eastAsia" w:ascii="宋体" w:hAnsi="宋体"/>
                <w:color w:val="auto"/>
                <w:highlight w:val="none"/>
              </w:rPr>
            </w:pPr>
          </w:p>
        </w:tc>
        <w:tc>
          <w:tcPr>
            <w:tcW w:w="1134" w:type="dxa"/>
            <w:tcBorders>
              <w:top w:val="double" w:color="auto" w:sz="6" w:space="0"/>
              <w:left w:val="single" w:color="auto" w:sz="6" w:space="0"/>
              <w:bottom w:val="single" w:color="auto" w:sz="6" w:space="0"/>
              <w:right w:val="single" w:color="auto" w:sz="6" w:space="0"/>
            </w:tcBorders>
            <w:vAlign w:val="center"/>
          </w:tcPr>
          <w:p w14:paraId="792A3534">
            <w:pPr>
              <w:pStyle w:val="18"/>
              <w:keepNext/>
              <w:spacing w:line="440" w:lineRule="exact"/>
              <w:ind w:left="420" w:right="63"/>
              <w:rPr>
                <w:rFonts w:hint="eastAsia" w:ascii="宋体" w:hAnsi="宋体"/>
                <w:color w:val="auto"/>
                <w:highlight w:val="none"/>
              </w:rPr>
            </w:pPr>
          </w:p>
        </w:tc>
        <w:tc>
          <w:tcPr>
            <w:tcW w:w="1134" w:type="dxa"/>
            <w:tcBorders>
              <w:top w:val="double" w:color="auto" w:sz="6" w:space="0"/>
              <w:left w:val="single" w:color="auto" w:sz="6" w:space="0"/>
              <w:bottom w:val="single" w:color="auto" w:sz="6" w:space="0"/>
              <w:right w:val="single" w:color="auto" w:sz="6" w:space="0"/>
            </w:tcBorders>
            <w:vAlign w:val="center"/>
          </w:tcPr>
          <w:p w14:paraId="634803ED">
            <w:pPr>
              <w:pStyle w:val="18"/>
              <w:keepNext/>
              <w:spacing w:line="440" w:lineRule="exact"/>
              <w:ind w:left="420" w:right="63"/>
              <w:rPr>
                <w:rFonts w:hint="eastAsia" w:ascii="宋体" w:hAnsi="宋体"/>
                <w:color w:val="auto"/>
                <w:highlight w:val="none"/>
              </w:rPr>
            </w:pPr>
          </w:p>
        </w:tc>
        <w:tc>
          <w:tcPr>
            <w:tcW w:w="850" w:type="dxa"/>
            <w:tcBorders>
              <w:top w:val="double" w:color="auto" w:sz="6" w:space="0"/>
              <w:left w:val="single" w:color="auto" w:sz="6" w:space="0"/>
              <w:bottom w:val="single" w:color="auto" w:sz="6" w:space="0"/>
              <w:right w:val="single" w:color="auto" w:sz="12" w:space="0"/>
            </w:tcBorders>
            <w:vAlign w:val="center"/>
          </w:tcPr>
          <w:p w14:paraId="5CCB74A3">
            <w:pPr>
              <w:pStyle w:val="18"/>
              <w:keepNext/>
              <w:spacing w:line="440" w:lineRule="exact"/>
              <w:ind w:left="420" w:right="63"/>
              <w:rPr>
                <w:rFonts w:hint="eastAsia" w:ascii="宋体" w:hAnsi="宋体"/>
                <w:color w:val="auto"/>
                <w:highlight w:val="none"/>
              </w:rPr>
            </w:pPr>
          </w:p>
        </w:tc>
      </w:tr>
      <w:tr w14:paraId="7BE052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75" w:type="dxa"/>
            <w:tcBorders>
              <w:top w:val="nil"/>
              <w:left w:val="single" w:color="auto" w:sz="12" w:space="0"/>
              <w:bottom w:val="single" w:color="auto" w:sz="6" w:space="0"/>
              <w:right w:val="single" w:color="auto" w:sz="6" w:space="0"/>
            </w:tcBorders>
            <w:vAlign w:val="center"/>
          </w:tcPr>
          <w:p w14:paraId="1CDEE5C0">
            <w:pPr>
              <w:pStyle w:val="18"/>
              <w:keepNext/>
              <w:spacing w:line="440" w:lineRule="exact"/>
              <w:ind w:left="420" w:right="63"/>
              <w:rPr>
                <w:rFonts w:hint="eastAsia" w:ascii="宋体" w:hAnsi="宋体"/>
                <w:color w:val="auto"/>
                <w:highlight w:val="none"/>
              </w:rPr>
            </w:pPr>
          </w:p>
        </w:tc>
        <w:tc>
          <w:tcPr>
            <w:tcW w:w="1047" w:type="dxa"/>
            <w:tcBorders>
              <w:top w:val="nil"/>
              <w:left w:val="single" w:color="auto" w:sz="6" w:space="0"/>
              <w:bottom w:val="single" w:color="auto" w:sz="6" w:space="0"/>
              <w:right w:val="single" w:color="auto" w:sz="6" w:space="0"/>
            </w:tcBorders>
            <w:vAlign w:val="center"/>
          </w:tcPr>
          <w:p w14:paraId="2E20C37A">
            <w:pPr>
              <w:pStyle w:val="18"/>
              <w:keepNext/>
              <w:spacing w:line="440" w:lineRule="exact"/>
              <w:ind w:left="420" w:right="63"/>
              <w:rPr>
                <w:rFonts w:hint="eastAsia" w:ascii="宋体" w:hAnsi="宋体"/>
                <w:color w:val="auto"/>
                <w:highlight w:val="none"/>
              </w:rPr>
            </w:pPr>
          </w:p>
        </w:tc>
        <w:tc>
          <w:tcPr>
            <w:tcW w:w="1274" w:type="dxa"/>
            <w:tcBorders>
              <w:top w:val="nil"/>
              <w:left w:val="single" w:color="auto" w:sz="6" w:space="0"/>
              <w:bottom w:val="single" w:color="auto" w:sz="6" w:space="0"/>
              <w:right w:val="single" w:color="auto" w:sz="6" w:space="0"/>
            </w:tcBorders>
            <w:vAlign w:val="center"/>
          </w:tcPr>
          <w:p w14:paraId="39F7F929">
            <w:pPr>
              <w:pStyle w:val="18"/>
              <w:keepNext/>
              <w:spacing w:line="440" w:lineRule="exact"/>
              <w:ind w:left="420" w:right="63"/>
              <w:rPr>
                <w:rFonts w:hint="eastAsia" w:ascii="宋体" w:hAnsi="宋体"/>
                <w:color w:val="auto"/>
                <w:highlight w:val="none"/>
              </w:rPr>
            </w:pPr>
          </w:p>
        </w:tc>
        <w:tc>
          <w:tcPr>
            <w:tcW w:w="993" w:type="dxa"/>
            <w:tcBorders>
              <w:top w:val="nil"/>
              <w:left w:val="single" w:color="auto" w:sz="6" w:space="0"/>
              <w:bottom w:val="single" w:color="auto" w:sz="6" w:space="0"/>
              <w:right w:val="single" w:color="auto" w:sz="6" w:space="0"/>
            </w:tcBorders>
            <w:vAlign w:val="center"/>
          </w:tcPr>
          <w:p w14:paraId="791E6B90">
            <w:pPr>
              <w:pStyle w:val="18"/>
              <w:keepNext/>
              <w:spacing w:line="440" w:lineRule="exact"/>
              <w:ind w:left="420" w:right="63"/>
              <w:rPr>
                <w:rFonts w:hint="eastAsia" w:ascii="宋体" w:hAnsi="宋体"/>
                <w:color w:val="auto"/>
                <w:highlight w:val="none"/>
              </w:rPr>
            </w:pPr>
          </w:p>
        </w:tc>
        <w:tc>
          <w:tcPr>
            <w:tcW w:w="850" w:type="dxa"/>
            <w:tcBorders>
              <w:top w:val="nil"/>
              <w:left w:val="single" w:color="auto" w:sz="6" w:space="0"/>
              <w:bottom w:val="single" w:color="auto" w:sz="6" w:space="0"/>
              <w:right w:val="single" w:color="auto" w:sz="6" w:space="0"/>
            </w:tcBorders>
            <w:vAlign w:val="center"/>
          </w:tcPr>
          <w:p w14:paraId="1F117311">
            <w:pPr>
              <w:pStyle w:val="18"/>
              <w:keepNext/>
              <w:spacing w:line="440" w:lineRule="exact"/>
              <w:ind w:left="420" w:right="63"/>
              <w:rPr>
                <w:rFonts w:hint="eastAsia" w:ascii="宋体" w:hAnsi="宋体"/>
                <w:color w:val="auto"/>
                <w:highlight w:val="none"/>
              </w:rPr>
            </w:pPr>
          </w:p>
        </w:tc>
        <w:tc>
          <w:tcPr>
            <w:tcW w:w="851" w:type="dxa"/>
            <w:tcBorders>
              <w:top w:val="nil"/>
              <w:left w:val="single" w:color="auto" w:sz="6" w:space="0"/>
              <w:bottom w:val="single" w:color="auto" w:sz="6" w:space="0"/>
              <w:right w:val="single" w:color="auto" w:sz="6" w:space="0"/>
            </w:tcBorders>
            <w:vAlign w:val="center"/>
          </w:tcPr>
          <w:p w14:paraId="7B782179">
            <w:pPr>
              <w:pStyle w:val="18"/>
              <w:keepNext/>
              <w:spacing w:line="440" w:lineRule="exact"/>
              <w:ind w:left="420" w:right="63"/>
              <w:rPr>
                <w:rFonts w:hint="eastAsia" w:ascii="宋体" w:hAnsi="宋体"/>
                <w:color w:val="auto"/>
                <w:highlight w:val="none"/>
              </w:rPr>
            </w:pPr>
          </w:p>
        </w:tc>
        <w:tc>
          <w:tcPr>
            <w:tcW w:w="992" w:type="dxa"/>
            <w:tcBorders>
              <w:top w:val="nil"/>
              <w:left w:val="single" w:color="auto" w:sz="6" w:space="0"/>
              <w:bottom w:val="single" w:color="auto" w:sz="6" w:space="0"/>
              <w:right w:val="single" w:color="auto" w:sz="6" w:space="0"/>
            </w:tcBorders>
            <w:vAlign w:val="center"/>
          </w:tcPr>
          <w:p w14:paraId="4AA9180A">
            <w:pPr>
              <w:pStyle w:val="18"/>
              <w:keepNext/>
              <w:spacing w:line="440" w:lineRule="exact"/>
              <w:ind w:left="420" w:right="63"/>
              <w:rPr>
                <w:rFonts w:hint="eastAsia" w:ascii="宋体" w:hAnsi="宋体"/>
                <w:color w:val="auto"/>
                <w:highlight w:val="none"/>
              </w:rPr>
            </w:pPr>
          </w:p>
        </w:tc>
        <w:tc>
          <w:tcPr>
            <w:tcW w:w="1134" w:type="dxa"/>
            <w:tcBorders>
              <w:top w:val="nil"/>
              <w:left w:val="single" w:color="auto" w:sz="6" w:space="0"/>
              <w:bottom w:val="single" w:color="auto" w:sz="6" w:space="0"/>
              <w:right w:val="single" w:color="auto" w:sz="6" w:space="0"/>
            </w:tcBorders>
            <w:vAlign w:val="center"/>
          </w:tcPr>
          <w:p w14:paraId="540C25DA">
            <w:pPr>
              <w:pStyle w:val="18"/>
              <w:keepNext/>
              <w:spacing w:line="440" w:lineRule="exact"/>
              <w:ind w:left="420" w:right="63"/>
              <w:rPr>
                <w:rFonts w:hint="eastAsia" w:ascii="宋体" w:hAnsi="宋体"/>
                <w:color w:val="auto"/>
                <w:highlight w:val="none"/>
              </w:rPr>
            </w:pPr>
          </w:p>
        </w:tc>
        <w:tc>
          <w:tcPr>
            <w:tcW w:w="1134" w:type="dxa"/>
            <w:tcBorders>
              <w:top w:val="nil"/>
              <w:left w:val="single" w:color="auto" w:sz="6" w:space="0"/>
              <w:bottom w:val="single" w:color="auto" w:sz="6" w:space="0"/>
              <w:right w:val="single" w:color="auto" w:sz="6" w:space="0"/>
            </w:tcBorders>
            <w:vAlign w:val="center"/>
          </w:tcPr>
          <w:p w14:paraId="7114FD73">
            <w:pPr>
              <w:pStyle w:val="18"/>
              <w:keepNext/>
              <w:spacing w:line="440" w:lineRule="exact"/>
              <w:ind w:left="420" w:right="63"/>
              <w:rPr>
                <w:rFonts w:hint="eastAsia" w:ascii="宋体" w:hAnsi="宋体"/>
                <w:color w:val="auto"/>
                <w:highlight w:val="none"/>
              </w:rPr>
            </w:pPr>
          </w:p>
        </w:tc>
        <w:tc>
          <w:tcPr>
            <w:tcW w:w="850" w:type="dxa"/>
            <w:tcBorders>
              <w:top w:val="nil"/>
              <w:left w:val="single" w:color="auto" w:sz="6" w:space="0"/>
              <w:bottom w:val="single" w:color="auto" w:sz="6" w:space="0"/>
              <w:right w:val="single" w:color="auto" w:sz="12" w:space="0"/>
            </w:tcBorders>
            <w:vAlign w:val="center"/>
          </w:tcPr>
          <w:p w14:paraId="4D4C1C23">
            <w:pPr>
              <w:pStyle w:val="18"/>
              <w:keepNext/>
              <w:spacing w:line="440" w:lineRule="exact"/>
              <w:ind w:left="420" w:right="63"/>
              <w:rPr>
                <w:rFonts w:hint="eastAsia" w:ascii="宋体" w:hAnsi="宋体"/>
                <w:color w:val="auto"/>
                <w:highlight w:val="none"/>
              </w:rPr>
            </w:pPr>
          </w:p>
        </w:tc>
      </w:tr>
      <w:tr w14:paraId="5D2AAF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75" w:type="dxa"/>
            <w:tcBorders>
              <w:top w:val="single" w:color="auto" w:sz="6" w:space="0"/>
              <w:left w:val="single" w:color="auto" w:sz="12" w:space="0"/>
              <w:bottom w:val="single" w:color="auto" w:sz="6" w:space="0"/>
              <w:right w:val="single" w:color="auto" w:sz="6" w:space="0"/>
            </w:tcBorders>
            <w:vAlign w:val="center"/>
          </w:tcPr>
          <w:p w14:paraId="67BDF5B8">
            <w:pPr>
              <w:pStyle w:val="18"/>
              <w:keepNext/>
              <w:spacing w:line="440" w:lineRule="exact"/>
              <w:ind w:left="420" w:right="63"/>
              <w:rPr>
                <w:rFonts w:hint="eastAsia" w:ascii="宋体" w:hAnsi="宋体"/>
                <w:color w:val="auto"/>
                <w:highlight w:val="none"/>
              </w:rPr>
            </w:pPr>
          </w:p>
        </w:tc>
        <w:tc>
          <w:tcPr>
            <w:tcW w:w="1047" w:type="dxa"/>
            <w:tcBorders>
              <w:top w:val="single" w:color="auto" w:sz="6" w:space="0"/>
              <w:left w:val="single" w:color="auto" w:sz="6" w:space="0"/>
              <w:bottom w:val="single" w:color="auto" w:sz="6" w:space="0"/>
              <w:right w:val="single" w:color="auto" w:sz="6" w:space="0"/>
            </w:tcBorders>
            <w:vAlign w:val="center"/>
          </w:tcPr>
          <w:p w14:paraId="7D887E77">
            <w:pPr>
              <w:pStyle w:val="18"/>
              <w:keepNext/>
              <w:spacing w:line="440" w:lineRule="exact"/>
              <w:ind w:left="420" w:right="63"/>
              <w:rPr>
                <w:rFonts w:hint="eastAsia" w:ascii="宋体" w:hAnsi="宋体"/>
                <w:color w:val="auto"/>
                <w:highlight w:val="none"/>
              </w:rPr>
            </w:pPr>
          </w:p>
        </w:tc>
        <w:tc>
          <w:tcPr>
            <w:tcW w:w="1274" w:type="dxa"/>
            <w:tcBorders>
              <w:top w:val="single" w:color="auto" w:sz="6" w:space="0"/>
              <w:left w:val="single" w:color="auto" w:sz="6" w:space="0"/>
              <w:bottom w:val="single" w:color="auto" w:sz="6" w:space="0"/>
              <w:right w:val="single" w:color="auto" w:sz="6" w:space="0"/>
            </w:tcBorders>
            <w:vAlign w:val="center"/>
          </w:tcPr>
          <w:p w14:paraId="78688746">
            <w:pPr>
              <w:pStyle w:val="18"/>
              <w:keepNext/>
              <w:spacing w:line="440" w:lineRule="exact"/>
              <w:ind w:left="420" w:right="63"/>
              <w:rPr>
                <w:rFonts w:hint="eastAsia" w:ascii="宋体" w:hAnsi="宋体"/>
                <w:color w:val="auto"/>
                <w:highlight w:val="none"/>
              </w:rPr>
            </w:pPr>
          </w:p>
        </w:tc>
        <w:tc>
          <w:tcPr>
            <w:tcW w:w="993" w:type="dxa"/>
            <w:tcBorders>
              <w:top w:val="single" w:color="auto" w:sz="6" w:space="0"/>
              <w:left w:val="single" w:color="auto" w:sz="6" w:space="0"/>
              <w:bottom w:val="single" w:color="auto" w:sz="6" w:space="0"/>
              <w:right w:val="single" w:color="auto" w:sz="6" w:space="0"/>
            </w:tcBorders>
            <w:vAlign w:val="center"/>
          </w:tcPr>
          <w:p w14:paraId="5D1A85EF">
            <w:pPr>
              <w:pStyle w:val="18"/>
              <w:keepNext/>
              <w:spacing w:line="440" w:lineRule="exact"/>
              <w:ind w:left="420" w:right="63"/>
              <w:rPr>
                <w:rFonts w:hint="eastAsia" w:ascii="宋体" w:hAnsi="宋体"/>
                <w:color w:val="auto"/>
                <w:highlight w:val="none"/>
              </w:rPr>
            </w:pPr>
          </w:p>
        </w:tc>
        <w:tc>
          <w:tcPr>
            <w:tcW w:w="850" w:type="dxa"/>
            <w:tcBorders>
              <w:top w:val="single" w:color="auto" w:sz="6" w:space="0"/>
              <w:left w:val="single" w:color="auto" w:sz="6" w:space="0"/>
              <w:bottom w:val="single" w:color="auto" w:sz="6" w:space="0"/>
              <w:right w:val="single" w:color="auto" w:sz="6" w:space="0"/>
            </w:tcBorders>
            <w:vAlign w:val="center"/>
          </w:tcPr>
          <w:p w14:paraId="5D910541">
            <w:pPr>
              <w:pStyle w:val="18"/>
              <w:keepNext/>
              <w:spacing w:line="440" w:lineRule="exact"/>
              <w:ind w:left="420" w:right="63"/>
              <w:rPr>
                <w:rFonts w:hint="eastAsia" w:ascii="宋体" w:hAnsi="宋体"/>
                <w:color w:val="auto"/>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1F8369E1">
            <w:pPr>
              <w:pStyle w:val="18"/>
              <w:keepNext/>
              <w:spacing w:line="440" w:lineRule="exact"/>
              <w:ind w:left="420" w:right="63"/>
              <w:rPr>
                <w:rFonts w:hint="eastAsia" w:ascii="宋体" w:hAnsi="宋体"/>
                <w:color w:val="auto"/>
                <w:highlight w:val="none"/>
              </w:rPr>
            </w:pPr>
          </w:p>
        </w:tc>
        <w:tc>
          <w:tcPr>
            <w:tcW w:w="992" w:type="dxa"/>
            <w:tcBorders>
              <w:top w:val="single" w:color="auto" w:sz="6" w:space="0"/>
              <w:left w:val="single" w:color="auto" w:sz="6" w:space="0"/>
              <w:bottom w:val="single" w:color="auto" w:sz="6" w:space="0"/>
              <w:right w:val="single" w:color="auto" w:sz="6" w:space="0"/>
            </w:tcBorders>
            <w:vAlign w:val="center"/>
          </w:tcPr>
          <w:p w14:paraId="0F81995C">
            <w:pPr>
              <w:pStyle w:val="18"/>
              <w:keepNext/>
              <w:spacing w:line="440" w:lineRule="exact"/>
              <w:ind w:left="420" w:right="63"/>
              <w:rPr>
                <w:rFonts w:hint="eastAsia" w:ascii="宋体" w:hAnsi="宋体"/>
                <w:color w:val="auto"/>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79E50FDF">
            <w:pPr>
              <w:pStyle w:val="18"/>
              <w:keepNext/>
              <w:spacing w:line="440" w:lineRule="exact"/>
              <w:ind w:left="420" w:right="63"/>
              <w:rPr>
                <w:rFonts w:hint="eastAsia" w:ascii="宋体" w:hAnsi="宋体"/>
                <w:color w:val="auto"/>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639ED9B7">
            <w:pPr>
              <w:pStyle w:val="18"/>
              <w:keepNext/>
              <w:spacing w:line="440" w:lineRule="exact"/>
              <w:ind w:left="420" w:right="63"/>
              <w:rPr>
                <w:rFonts w:hint="eastAsia" w:ascii="宋体" w:hAnsi="宋体"/>
                <w:color w:val="auto"/>
                <w:highlight w:val="none"/>
              </w:rPr>
            </w:pPr>
          </w:p>
        </w:tc>
        <w:tc>
          <w:tcPr>
            <w:tcW w:w="850" w:type="dxa"/>
            <w:tcBorders>
              <w:top w:val="single" w:color="auto" w:sz="6" w:space="0"/>
              <w:left w:val="single" w:color="auto" w:sz="6" w:space="0"/>
              <w:bottom w:val="single" w:color="auto" w:sz="6" w:space="0"/>
              <w:right w:val="single" w:color="auto" w:sz="12" w:space="0"/>
            </w:tcBorders>
            <w:vAlign w:val="center"/>
          </w:tcPr>
          <w:p w14:paraId="60133D7C">
            <w:pPr>
              <w:pStyle w:val="18"/>
              <w:keepNext/>
              <w:spacing w:line="440" w:lineRule="exact"/>
              <w:ind w:left="420" w:right="63"/>
              <w:rPr>
                <w:rFonts w:hint="eastAsia" w:ascii="宋体" w:hAnsi="宋体"/>
                <w:color w:val="auto"/>
                <w:highlight w:val="none"/>
              </w:rPr>
            </w:pPr>
          </w:p>
        </w:tc>
      </w:tr>
      <w:tr w14:paraId="48E23F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75" w:type="dxa"/>
            <w:tcBorders>
              <w:top w:val="single" w:color="auto" w:sz="6" w:space="0"/>
              <w:left w:val="single" w:color="auto" w:sz="12" w:space="0"/>
              <w:bottom w:val="single" w:color="auto" w:sz="6" w:space="0"/>
              <w:right w:val="single" w:color="auto" w:sz="6" w:space="0"/>
            </w:tcBorders>
            <w:vAlign w:val="center"/>
          </w:tcPr>
          <w:p w14:paraId="499B2866">
            <w:pPr>
              <w:pStyle w:val="18"/>
              <w:keepNext/>
              <w:spacing w:line="440" w:lineRule="exact"/>
              <w:ind w:left="420" w:right="63"/>
              <w:rPr>
                <w:rFonts w:hint="eastAsia" w:ascii="宋体" w:hAnsi="宋体"/>
                <w:color w:val="auto"/>
                <w:highlight w:val="none"/>
              </w:rPr>
            </w:pPr>
          </w:p>
        </w:tc>
        <w:tc>
          <w:tcPr>
            <w:tcW w:w="1047" w:type="dxa"/>
            <w:tcBorders>
              <w:top w:val="single" w:color="auto" w:sz="6" w:space="0"/>
              <w:left w:val="single" w:color="auto" w:sz="6" w:space="0"/>
              <w:bottom w:val="single" w:color="auto" w:sz="6" w:space="0"/>
              <w:right w:val="single" w:color="auto" w:sz="6" w:space="0"/>
            </w:tcBorders>
            <w:vAlign w:val="center"/>
          </w:tcPr>
          <w:p w14:paraId="6069B0A9">
            <w:pPr>
              <w:pStyle w:val="18"/>
              <w:keepNext/>
              <w:spacing w:line="440" w:lineRule="exact"/>
              <w:ind w:left="420" w:right="63"/>
              <w:rPr>
                <w:rFonts w:hint="eastAsia" w:ascii="宋体" w:hAnsi="宋体"/>
                <w:color w:val="auto"/>
                <w:highlight w:val="none"/>
              </w:rPr>
            </w:pPr>
          </w:p>
        </w:tc>
        <w:tc>
          <w:tcPr>
            <w:tcW w:w="1274" w:type="dxa"/>
            <w:tcBorders>
              <w:top w:val="single" w:color="auto" w:sz="6" w:space="0"/>
              <w:left w:val="single" w:color="auto" w:sz="6" w:space="0"/>
              <w:bottom w:val="single" w:color="auto" w:sz="6" w:space="0"/>
              <w:right w:val="single" w:color="auto" w:sz="6" w:space="0"/>
            </w:tcBorders>
            <w:vAlign w:val="center"/>
          </w:tcPr>
          <w:p w14:paraId="51AB3AE8">
            <w:pPr>
              <w:pStyle w:val="18"/>
              <w:keepNext/>
              <w:spacing w:line="440" w:lineRule="exact"/>
              <w:ind w:left="420" w:right="63"/>
              <w:rPr>
                <w:rFonts w:hint="eastAsia" w:ascii="宋体" w:hAnsi="宋体"/>
                <w:color w:val="auto"/>
                <w:highlight w:val="none"/>
              </w:rPr>
            </w:pPr>
          </w:p>
        </w:tc>
        <w:tc>
          <w:tcPr>
            <w:tcW w:w="993" w:type="dxa"/>
            <w:tcBorders>
              <w:top w:val="single" w:color="auto" w:sz="6" w:space="0"/>
              <w:left w:val="single" w:color="auto" w:sz="6" w:space="0"/>
              <w:bottom w:val="single" w:color="auto" w:sz="6" w:space="0"/>
              <w:right w:val="single" w:color="auto" w:sz="6" w:space="0"/>
            </w:tcBorders>
            <w:vAlign w:val="center"/>
          </w:tcPr>
          <w:p w14:paraId="30FFA542">
            <w:pPr>
              <w:pStyle w:val="18"/>
              <w:keepNext/>
              <w:spacing w:line="440" w:lineRule="exact"/>
              <w:ind w:left="420" w:right="63"/>
              <w:rPr>
                <w:rFonts w:hint="eastAsia" w:ascii="宋体" w:hAnsi="宋体"/>
                <w:color w:val="auto"/>
                <w:highlight w:val="none"/>
              </w:rPr>
            </w:pPr>
          </w:p>
        </w:tc>
        <w:tc>
          <w:tcPr>
            <w:tcW w:w="850" w:type="dxa"/>
            <w:tcBorders>
              <w:top w:val="single" w:color="auto" w:sz="6" w:space="0"/>
              <w:left w:val="single" w:color="auto" w:sz="6" w:space="0"/>
              <w:bottom w:val="single" w:color="auto" w:sz="6" w:space="0"/>
              <w:right w:val="single" w:color="auto" w:sz="6" w:space="0"/>
            </w:tcBorders>
            <w:vAlign w:val="center"/>
          </w:tcPr>
          <w:p w14:paraId="5A7399AF">
            <w:pPr>
              <w:pStyle w:val="18"/>
              <w:keepNext/>
              <w:spacing w:line="440" w:lineRule="exact"/>
              <w:ind w:left="420" w:right="63"/>
              <w:rPr>
                <w:rFonts w:hint="eastAsia" w:ascii="宋体" w:hAnsi="宋体"/>
                <w:color w:val="auto"/>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1FDBBE12">
            <w:pPr>
              <w:pStyle w:val="18"/>
              <w:keepNext/>
              <w:spacing w:line="440" w:lineRule="exact"/>
              <w:ind w:left="420" w:right="63"/>
              <w:rPr>
                <w:rFonts w:hint="eastAsia" w:ascii="宋体" w:hAnsi="宋体"/>
                <w:color w:val="auto"/>
                <w:highlight w:val="none"/>
              </w:rPr>
            </w:pPr>
          </w:p>
        </w:tc>
        <w:tc>
          <w:tcPr>
            <w:tcW w:w="992" w:type="dxa"/>
            <w:tcBorders>
              <w:top w:val="single" w:color="auto" w:sz="6" w:space="0"/>
              <w:left w:val="single" w:color="auto" w:sz="6" w:space="0"/>
              <w:bottom w:val="single" w:color="auto" w:sz="6" w:space="0"/>
              <w:right w:val="single" w:color="auto" w:sz="6" w:space="0"/>
            </w:tcBorders>
            <w:vAlign w:val="center"/>
          </w:tcPr>
          <w:p w14:paraId="4C1776CE">
            <w:pPr>
              <w:pStyle w:val="18"/>
              <w:keepNext/>
              <w:spacing w:line="440" w:lineRule="exact"/>
              <w:ind w:left="420" w:right="63"/>
              <w:rPr>
                <w:rFonts w:hint="eastAsia" w:ascii="宋体" w:hAnsi="宋体"/>
                <w:color w:val="auto"/>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3B359481">
            <w:pPr>
              <w:pStyle w:val="18"/>
              <w:keepNext/>
              <w:spacing w:line="440" w:lineRule="exact"/>
              <w:ind w:left="420" w:right="63"/>
              <w:rPr>
                <w:rFonts w:hint="eastAsia" w:ascii="宋体" w:hAnsi="宋体"/>
                <w:color w:val="auto"/>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118EE046">
            <w:pPr>
              <w:pStyle w:val="18"/>
              <w:keepNext/>
              <w:spacing w:line="440" w:lineRule="exact"/>
              <w:ind w:left="420" w:right="63"/>
              <w:rPr>
                <w:rFonts w:hint="eastAsia" w:ascii="宋体" w:hAnsi="宋体"/>
                <w:color w:val="auto"/>
                <w:highlight w:val="none"/>
              </w:rPr>
            </w:pPr>
          </w:p>
        </w:tc>
        <w:tc>
          <w:tcPr>
            <w:tcW w:w="850" w:type="dxa"/>
            <w:tcBorders>
              <w:top w:val="single" w:color="auto" w:sz="6" w:space="0"/>
              <w:left w:val="single" w:color="auto" w:sz="6" w:space="0"/>
              <w:bottom w:val="single" w:color="auto" w:sz="6" w:space="0"/>
              <w:right w:val="single" w:color="auto" w:sz="12" w:space="0"/>
            </w:tcBorders>
            <w:vAlign w:val="center"/>
          </w:tcPr>
          <w:p w14:paraId="313E94E1">
            <w:pPr>
              <w:pStyle w:val="18"/>
              <w:keepNext/>
              <w:spacing w:line="440" w:lineRule="exact"/>
              <w:ind w:left="420" w:right="63"/>
              <w:rPr>
                <w:rFonts w:hint="eastAsia" w:ascii="宋体" w:hAnsi="宋体"/>
                <w:color w:val="auto"/>
                <w:highlight w:val="none"/>
              </w:rPr>
            </w:pPr>
          </w:p>
        </w:tc>
      </w:tr>
      <w:tr w14:paraId="5B1479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75" w:type="dxa"/>
            <w:tcBorders>
              <w:top w:val="single" w:color="auto" w:sz="6" w:space="0"/>
              <w:left w:val="single" w:color="auto" w:sz="12" w:space="0"/>
              <w:bottom w:val="single" w:color="auto" w:sz="6" w:space="0"/>
              <w:right w:val="single" w:color="auto" w:sz="6" w:space="0"/>
            </w:tcBorders>
            <w:vAlign w:val="center"/>
          </w:tcPr>
          <w:p w14:paraId="2A9B873D">
            <w:pPr>
              <w:pStyle w:val="18"/>
              <w:keepNext/>
              <w:spacing w:line="440" w:lineRule="exact"/>
              <w:ind w:left="420" w:right="63"/>
              <w:rPr>
                <w:rFonts w:hint="eastAsia" w:ascii="宋体" w:hAnsi="宋体"/>
                <w:color w:val="auto"/>
                <w:highlight w:val="none"/>
              </w:rPr>
            </w:pPr>
          </w:p>
        </w:tc>
        <w:tc>
          <w:tcPr>
            <w:tcW w:w="1047" w:type="dxa"/>
            <w:tcBorders>
              <w:top w:val="single" w:color="auto" w:sz="6" w:space="0"/>
              <w:left w:val="single" w:color="auto" w:sz="6" w:space="0"/>
              <w:bottom w:val="single" w:color="auto" w:sz="6" w:space="0"/>
              <w:right w:val="single" w:color="auto" w:sz="6" w:space="0"/>
            </w:tcBorders>
            <w:vAlign w:val="center"/>
          </w:tcPr>
          <w:p w14:paraId="2B9FEAE1">
            <w:pPr>
              <w:pStyle w:val="18"/>
              <w:keepNext/>
              <w:spacing w:line="440" w:lineRule="exact"/>
              <w:ind w:left="420" w:right="63"/>
              <w:rPr>
                <w:rFonts w:hint="eastAsia" w:ascii="宋体" w:hAnsi="宋体"/>
                <w:color w:val="auto"/>
                <w:highlight w:val="none"/>
              </w:rPr>
            </w:pPr>
          </w:p>
        </w:tc>
        <w:tc>
          <w:tcPr>
            <w:tcW w:w="1274" w:type="dxa"/>
            <w:tcBorders>
              <w:top w:val="single" w:color="auto" w:sz="6" w:space="0"/>
              <w:left w:val="single" w:color="auto" w:sz="6" w:space="0"/>
              <w:bottom w:val="single" w:color="auto" w:sz="6" w:space="0"/>
              <w:right w:val="single" w:color="auto" w:sz="6" w:space="0"/>
            </w:tcBorders>
            <w:vAlign w:val="center"/>
          </w:tcPr>
          <w:p w14:paraId="31028AA9">
            <w:pPr>
              <w:pStyle w:val="18"/>
              <w:keepNext/>
              <w:spacing w:line="440" w:lineRule="exact"/>
              <w:ind w:left="420" w:right="63"/>
              <w:rPr>
                <w:rFonts w:hint="eastAsia" w:ascii="宋体" w:hAnsi="宋体"/>
                <w:color w:val="auto"/>
                <w:highlight w:val="none"/>
              </w:rPr>
            </w:pPr>
          </w:p>
        </w:tc>
        <w:tc>
          <w:tcPr>
            <w:tcW w:w="993" w:type="dxa"/>
            <w:tcBorders>
              <w:top w:val="single" w:color="auto" w:sz="6" w:space="0"/>
              <w:left w:val="single" w:color="auto" w:sz="6" w:space="0"/>
              <w:bottom w:val="single" w:color="auto" w:sz="6" w:space="0"/>
              <w:right w:val="single" w:color="auto" w:sz="6" w:space="0"/>
            </w:tcBorders>
            <w:vAlign w:val="center"/>
          </w:tcPr>
          <w:p w14:paraId="498E55D4">
            <w:pPr>
              <w:pStyle w:val="18"/>
              <w:keepNext/>
              <w:spacing w:line="440" w:lineRule="exact"/>
              <w:ind w:left="420" w:right="63"/>
              <w:rPr>
                <w:rFonts w:hint="eastAsia" w:ascii="宋体" w:hAnsi="宋体"/>
                <w:color w:val="auto"/>
                <w:highlight w:val="none"/>
              </w:rPr>
            </w:pPr>
          </w:p>
        </w:tc>
        <w:tc>
          <w:tcPr>
            <w:tcW w:w="850" w:type="dxa"/>
            <w:tcBorders>
              <w:top w:val="single" w:color="auto" w:sz="6" w:space="0"/>
              <w:left w:val="single" w:color="auto" w:sz="6" w:space="0"/>
              <w:bottom w:val="single" w:color="auto" w:sz="6" w:space="0"/>
              <w:right w:val="single" w:color="auto" w:sz="6" w:space="0"/>
            </w:tcBorders>
            <w:vAlign w:val="center"/>
          </w:tcPr>
          <w:p w14:paraId="747F7716">
            <w:pPr>
              <w:pStyle w:val="18"/>
              <w:keepNext/>
              <w:spacing w:line="440" w:lineRule="exact"/>
              <w:ind w:left="420" w:right="63"/>
              <w:rPr>
                <w:rFonts w:hint="eastAsia" w:ascii="宋体" w:hAnsi="宋体"/>
                <w:color w:val="auto"/>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5908755C">
            <w:pPr>
              <w:pStyle w:val="18"/>
              <w:keepNext/>
              <w:spacing w:line="440" w:lineRule="exact"/>
              <w:ind w:left="420" w:right="63"/>
              <w:rPr>
                <w:rFonts w:hint="eastAsia" w:ascii="宋体" w:hAnsi="宋体"/>
                <w:color w:val="auto"/>
                <w:highlight w:val="none"/>
              </w:rPr>
            </w:pPr>
          </w:p>
        </w:tc>
        <w:tc>
          <w:tcPr>
            <w:tcW w:w="992" w:type="dxa"/>
            <w:tcBorders>
              <w:top w:val="single" w:color="auto" w:sz="6" w:space="0"/>
              <w:left w:val="single" w:color="auto" w:sz="6" w:space="0"/>
              <w:bottom w:val="single" w:color="auto" w:sz="6" w:space="0"/>
              <w:right w:val="single" w:color="auto" w:sz="6" w:space="0"/>
            </w:tcBorders>
            <w:vAlign w:val="center"/>
          </w:tcPr>
          <w:p w14:paraId="348B39B1">
            <w:pPr>
              <w:pStyle w:val="18"/>
              <w:keepNext/>
              <w:spacing w:line="440" w:lineRule="exact"/>
              <w:ind w:left="420" w:right="63"/>
              <w:rPr>
                <w:rFonts w:hint="eastAsia" w:ascii="宋体" w:hAnsi="宋体"/>
                <w:color w:val="auto"/>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5C310B06">
            <w:pPr>
              <w:pStyle w:val="18"/>
              <w:keepNext/>
              <w:spacing w:line="440" w:lineRule="exact"/>
              <w:ind w:left="420" w:right="63"/>
              <w:rPr>
                <w:rFonts w:hint="eastAsia" w:ascii="宋体" w:hAnsi="宋体"/>
                <w:color w:val="auto"/>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6080C935">
            <w:pPr>
              <w:pStyle w:val="18"/>
              <w:keepNext/>
              <w:spacing w:line="440" w:lineRule="exact"/>
              <w:ind w:left="420" w:right="63"/>
              <w:rPr>
                <w:rFonts w:hint="eastAsia" w:ascii="宋体" w:hAnsi="宋体"/>
                <w:color w:val="auto"/>
                <w:highlight w:val="none"/>
              </w:rPr>
            </w:pPr>
          </w:p>
        </w:tc>
        <w:tc>
          <w:tcPr>
            <w:tcW w:w="850" w:type="dxa"/>
            <w:tcBorders>
              <w:top w:val="single" w:color="auto" w:sz="6" w:space="0"/>
              <w:left w:val="single" w:color="auto" w:sz="6" w:space="0"/>
              <w:bottom w:val="single" w:color="auto" w:sz="6" w:space="0"/>
              <w:right w:val="single" w:color="auto" w:sz="12" w:space="0"/>
            </w:tcBorders>
            <w:vAlign w:val="center"/>
          </w:tcPr>
          <w:p w14:paraId="47B3E2E6">
            <w:pPr>
              <w:pStyle w:val="18"/>
              <w:keepNext/>
              <w:spacing w:line="440" w:lineRule="exact"/>
              <w:ind w:left="420" w:right="63"/>
              <w:rPr>
                <w:rFonts w:hint="eastAsia" w:ascii="宋体" w:hAnsi="宋体"/>
                <w:color w:val="auto"/>
                <w:highlight w:val="none"/>
              </w:rPr>
            </w:pPr>
          </w:p>
        </w:tc>
      </w:tr>
      <w:tr w14:paraId="30D2A7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75" w:type="dxa"/>
            <w:tcBorders>
              <w:top w:val="single" w:color="auto" w:sz="6" w:space="0"/>
              <w:left w:val="single" w:color="auto" w:sz="12" w:space="0"/>
              <w:bottom w:val="single" w:color="auto" w:sz="6" w:space="0"/>
              <w:right w:val="single" w:color="auto" w:sz="6" w:space="0"/>
            </w:tcBorders>
            <w:vAlign w:val="center"/>
          </w:tcPr>
          <w:p w14:paraId="3B967A46">
            <w:pPr>
              <w:pStyle w:val="18"/>
              <w:keepNext/>
              <w:spacing w:line="440" w:lineRule="exact"/>
              <w:ind w:left="420" w:right="63"/>
              <w:rPr>
                <w:rFonts w:hint="eastAsia" w:ascii="宋体" w:hAnsi="宋体"/>
                <w:color w:val="auto"/>
                <w:highlight w:val="none"/>
              </w:rPr>
            </w:pPr>
          </w:p>
        </w:tc>
        <w:tc>
          <w:tcPr>
            <w:tcW w:w="1047" w:type="dxa"/>
            <w:tcBorders>
              <w:top w:val="single" w:color="auto" w:sz="6" w:space="0"/>
              <w:left w:val="single" w:color="auto" w:sz="6" w:space="0"/>
              <w:bottom w:val="single" w:color="auto" w:sz="6" w:space="0"/>
              <w:right w:val="single" w:color="auto" w:sz="6" w:space="0"/>
            </w:tcBorders>
            <w:vAlign w:val="center"/>
          </w:tcPr>
          <w:p w14:paraId="16DDAEF7">
            <w:pPr>
              <w:pStyle w:val="18"/>
              <w:keepNext/>
              <w:spacing w:line="440" w:lineRule="exact"/>
              <w:ind w:left="420" w:right="63"/>
              <w:rPr>
                <w:rFonts w:hint="eastAsia" w:ascii="宋体" w:hAnsi="宋体"/>
                <w:color w:val="auto"/>
                <w:highlight w:val="none"/>
              </w:rPr>
            </w:pPr>
          </w:p>
        </w:tc>
        <w:tc>
          <w:tcPr>
            <w:tcW w:w="1274" w:type="dxa"/>
            <w:tcBorders>
              <w:top w:val="single" w:color="auto" w:sz="6" w:space="0"/>
              <w:left w:val="single" w:color="auto" w:sz="6" w:space="0"/>
              <w:bottom w:val="single" w:color="auto" w:sz="6" w:space="0"/>
              <w:right w:val="single" w:color="auto" w:sz="6" w:space="0"/>
            </w:tcBorders>
            <w:vAlign w:val="center"/>
          </w:tcPr>
          <w:p w14:paraId="518E03E9">
            <w:pPr>
              <w:pStyle w:val="18"/>
              <w:keepNext/>
              <w:spacing w:line="440" w:lineRule="exact"/>
              <w:ind w:left="420" w:right="63"/>
              <w:rPr>
                <w:rFonts w:hint="eastAsia" w:ascii="宋体" w:hAnsi="宋体"/>
                <w:color w:val="auto"/>
                <w:highlight w:val="none"/>
              </w:rPr>
            </w:pPr>
          </w:p>
        </w:tc>
        <w:tc>
          <w:tcPr>
            <w:tcW w:w="993" w:type="dxa"/>
            <w:tcBorders>
              <w:top w:val="single" w:color="auto" w:sz="6" w:space="0"/>
              <w:left w:val="single" w:color="auto" w:sz="6" w:space="0"/>
              <w:bottom w:val="single" w:color="auto" w:sz="6" w:space="0"/>
              <w:right w:val="single" w:color="auto" w:sz="6" w:space="0"/>
            </w:tcBorders>
            <w:vAlign w:val="center"/>
          </w:tcPr>
          <w:p w14:paraId="5038D4BD">
            <w:pPr>
              <w:pStyle w:val="18"/>
              <w:keepNext/>
              <w:spacing w:line="440" w:lineRule="exact"/>
              <w:ind w:left="420" w:right="63"/>
              <w:rPr>
                <w:rFonts w:hint="eastAsia" w:ascii="宋体" w:hAnsi="宋体"/>
                <w:color w:val="auto"/>
                <w:highlight w:val="none"/>
              </w:rPr>
            </w:pPr>
          </w:p>
        </w:tc>
        <w:tc>
          <w:tcPr>
            <w:tcW w:w="850" w:type="dxa"/>
            <w:tcBorders>
              <w:top w:val="single" w:color="auto" w:sz="6" w:space="0"/>
              <w:left w:val="single" w:color="auto" w:sz="6" w:space="0"/>
              <w:bottom w:val="single" w:color="auto" w:sz="6" w:space="0"/>
              <w:right w:val="single" w:color="auto" w:sz="6" w:space="0"/>
            </w:tcBorders>
            <w:vAlign w:val="center"/>
          </w:tcPr>
          <w:p w14:paraId="2F46415C">
            <w:pPr>
              <w:pStyle w:val="18"/>
              <w:keepNext/>
              <w:spacing w:line="440" w:lineRule="exact"/>
              <w:ind w:left="420" w:right="63"/>
              <w:rPr>
                <w:rFonts w:hint="eastAsia" w:ascii="宋体" w:hAnsi="宋体"/>
                <w:color w:val="auto"/>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35463313">
            <w:pPr>
              <w:pStyle w:val="18"/>
              <w:keepNext/>
              <w:spacing w:line="440" w:lineRule="exact"/>
              <w:ind w:left="420" w:right="63"/>
              <w:rPr>
                <w:rFonts w:hint="eastAsia" w:ascii="宋体" w:hAnsi="宋体"/>
                <w:color w:val="auto"/>
                <w:highlight w:val="none"/>
              </w:rPr>
            </w:pPr>
          </w:p>
        </w:tc>
        <w:tc>
          <w:tcPr>
            <w:tcW w:w="992" w:type="dxa"/>
            <w:tcBorders>
              <w:top w:val="single" w:color="auto" w:sz="6" w:space="0"/>
              <w:left w:val="single" w:color="auto" w:sz="6" w:space="0"/>
              <w:bottom w:val="single" w:color="auto" w:sz="6" w:space="0"/>
              <w:right w:val="single" w:color="auto" w:sz="6" w:space="0"/>
            </w:tcBorders>
            <w:vAlign w:val="center"/>
          </w:tcPr>
          <w:p w14:paraId="612232C5">
            <w:pPr>
              <w:pStyle w:val="18"/>
              <w:keepNext/>
              <w:spacing w:line="440" w:lineRule="exact"/>
              <w:ind w:left="420" w:right="63"/>
              <w:rPr>
                <w:rFonts w:hint="eastAsia" w:ascii="宋体" w:hAnsi="宋体"/>
                <w:color w:val="auto"/>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7802ABB8">
            <w:pPr>
              <w:pStyle w:val="18"/>
              <w:keepNext/>
              <w:spacing w:line="440" w:lineRule="exact"/>
              <w:ind w:left="420" w:right="63"/>
              <w:rPr>
                <w:rFonts w:hint="eastAsia" w:ascii="宋体" w:hAnsi="宋体"/>
                <w:color w:val="auto"/>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1982B139">
            <w:pPr>
              <w:pStyle w:val="18"/>
              <w:keepNext/>
              <w:spacing w:line="440" w:lineRule="exact"/>
              <w:ind w:left="420" w:right="63"/>
              <w:rPr>
                <w:rFonts w:hint="eastAsia" w:ascii="宋体" w:hAnsi="宋体"/>
                <w:color w:val="auto"/>
                <w:highlight w:val="none"/>
              </w:rPr>
            </w:pPr>
          </w:p>
        </w:tc>
        <w:tc>
          <w:tcPr>
            <w:tcW w:w="850" w:type="dxa"/>
            <w:tcBorders>
              <w:top w:val="single" w:color="auto" w:sz="6" w:space="0"/>
              <w:left w:val="single" w:color="auto" w:sz="6" w:space="0"/>
              <w:bottom w:val="single" w:color="auto" w:sz="6" w:space="0"/>
              <w:right w:val="single" w:color="auto" w:sz="12" w:space="0"/>
            </w:tcBorders>
            <w:vAlign w:val="center"/>
          </w:tcPr>
          <w:p w14:paraId="45D5A974">
            <w:pPr>
              <w:pStyle w:val="18"/>
              <w:keepNext/>
              <w:spacing w:line="440" w:lineRule="exact"/>
              <w:ind w:left="420" w:right="63"/>
              <w:rPr>
                <w:rFonts w:hint="eastAsia" w:ascii="宋体" w:hAnsi="宋体"/>
                <w:color w:val="auto"/>
                <w:highlight w:val="none"/>
              </w:rPr>
            </w:pPr>
          </w:p>
        </w:tc>
      </w:tr>
      <w:tr w14:paraId="05A44B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75" w:type="dxa"/>
            <w:tcBorders>
              <w:top w:val="single" w:color="auto" w:sz="6" w:space="0"/>
              <w:left w:val="single" w:color="auto" w:sz="12" w:space="0"/>
              <w:bottom w:val="single" w:color="auto" w:sz="6" w:space="0"/>
              <w:right w:val="single" w:color="auto" w:sz="6" w:space="0"/>
            </w:tcBorders>
            <w:vAlign w:val="center"/>
          </w:tcPr>
          <w:p w14:paraId="1C70A39B">
            <w:pPr>
              <w:pStyle w:val="18"/>
              <w:keepNext/>
              <w:spacing w:line="440" w:lineRule="exact"/>
              <w:ind w:left="420" w:right="63"/>
              <w:rPr>
                <w:rFonts w:hint="eastAsia" w:ascii="宋体" w:hAnsi="宋体"/>
                <w:color w:val="auto"/>
                <w:highlight w:val="none"/>
              </w:rPr>
            </w:pPr>
          </w:p>
        </w:tc>
        <w:tc>
          <w:tcPr>
            <w:tcW w:w="1047" w:type="dxa"/>
            <w:tcBorders>
              <w:top w:val="single" w:color="auto" w:sz="6" w:space="0"/>
              <w:left w:val="single" w:color="auto" w:sz="6" w:space="0"/>
              <w:bottom w:val="single" w:color="auto" w:sz="6" w:space="0"/>
              <w:right w:val="single" w:color="auto" w:sz="6" w:space="0"/>
            </w:tcBorders>
            <w:vAlign w:val="center"/>
          </w:tcPr>
          <w:p w14:paraId="28413D70">
            <w:pPr>
              <w:pStyle w:val="18"/>
              <w:keepNext/>
              <w:spacing w:line="440" w:lineRule="exact"/>
              <w:ind w:left="420" w:right="63"/>
              <w:rPr>
                <w:rFonts w:hint="eastAsia" w:ascii="宋体" w:hAnsi="宋体"/>
                <w:color w:val="auto"/>
                <w:highlight w:val="none"/>
              </w:rPr>
            </w:pPr>
          </w:p>
        </w:tc>
        <w:tc>
          <w:tcPr>
            <w:tcW w:w="1274" w:type="dxa"/>
            <w:tcBorders>
              <w:top w:val="single" w:color="auto" w:sz="6" w:space="0"/>
              <w:left w:val="single" w:color="auto" w:sz="6" w:space="0"/>
              <w:bottom w:val="single" w:color="auto" w:sz="6" w:space="0"/>
              <w:right w:val="single" w:color="auto" w:sz="6" w:space="0"/>
            </w:tcBorders>
            <w:vAlign w:val="center"/>
          </w:tcPr>
          <w:p w14:paraId="69DEBA24">
            <w:pPr>
              <w:pStyle w:val="18"/>
              <w:keepNext/>
              <w:spacing w:line="440" w:lineRule="exact"/>
              <w:ind w:left="420" w:right="63"/>
              <w:rPr>
                <w:rFonts w:hint="eastAsia" w:ascii="宋体" w:hAnsi="宋体"/>
                <w:color w:val="auto"/>
                <w:highlight w:val="none"/>
              </w:rPr>
            </w:pPr>
          </w:p>
        </w:tc>
        <w:tc>
          <w:tcPr>
            <w:tcW w:w="993" w:type="dxa"/>
            <w:tcBorders>
              <w:top w:val="single" w:color="auto" w:sz="6" w:space="0"/>
              <w:left w:val="single" w:color="auto" w:sz="6" w:space="0"/>
              <w:bottom w:val="single" w:color="auto" w:sz="6" w:space="0"/>
              <w:right w:val="single" w:color="auto" w:sz="6" w:space="0"/>
            </w:tcBorders>
            <w:vAlign w:val="center"/>
          </w:tcPr>
          <w:p w14:paraId="2097E9B8">
            <w:pPr>
              <w:pStyle w:val="18"/>
              <w:keepNext/>
              <w:spacing w:line="440" w:lineRule="exact"/>
              <w:ind w:left="420" w:right="63"/>
              <w:rPr>
                <w:rFonts w:hint="eastAsia" w:ascii="宋体" w:hAnsi="宋体"/>
                <w:color w:val="auto"/>
                <w:highlight w:val="none"/>
              </w:rPr>
            </w:pPr>
          </w:p>
        </w:tc>
        <w:tc>
          <w:tcPr>
            <w:tcW w:w="850" w:type="dxa"/>
            <w:tcBorders>
              <w:top w:val="single" w:color="auto" w:sz="6" w:space="0"/>
              <w:left w:val="single" w:color="auto" w:sz="6" w:space="0"/>
              <w:bottom w:val="single" w:color="auto" w:sz="6" w:space="0"/>
              <w:right w:val="single" w:color="auto" w:sz="6" w:space="0"/>
            </w:tcBorders>
            <w:vAlign w:val="center"/>
          </w:tcPr>
          <w:p w14:paraId="7EEE0E3C">
            <w:pPr>
              <w:pStyle w:val="18"/>
              <w:keepNext/>
              <w:spacing w:line="440" w:lineRule="exact"/>
              <w:ind w:left="420" w:right="63"/>
              <w:rPr>
                <w:rFonts w:hint="eastAsia" w:ascii="宋体" w:hAnsi="宋体"/>
                <w:color w:val="auto"/>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0DA4FE33">
            <w:pPr>
              <w:pStyle w:val="18"/>
              <w:keepNext/>
              <w:spacing w:line="440" w:lineRule="exact"/>
              <w:ind w:left="420" w:right="63"/>
              <w:rPr>
                <w:rFonts w:hint="eastAsia" w:ascii="宋体" w:hAnsi="宋体"/>
                <w:color w:val="auto"/>
                <w:highlight w:val="none"/>
              </w:rPr>
            </w:pPr>
          </w:p>
        </w:tc>
        <w:tc>
          <w:tcPr>
            <w:tcW w:w="992" w:type="dxa"/>
            <w:tcBorders>
              <w:top w:val="single" w:color="auto" w:sz="6" w:space="0"/>
              <w:left w:val="single" w:color="auto" w:sz="6" w:space="0"/>
              <w:bottom w:val="single" w:color="auto" w:sz="6" w:space="0"/>
              <w:right w:val="single" w:color="auto" w:sz="6" w:space="0"/>
            </w:tcBorders>
            <w:vAlign w:val="center"/>
          </w:tcPr>
          <w:p w14:paraId="0DB89B4F">
            <w:pPr>
              <w:pStyle w:val="18"/>
              <w:keepNext/>
              <w:spacing w:line="440" w:lineRule="exact"/>
              <w:ind w:left="420" w:right="63"/>
              <w:rPr>
                <w:rFonts w:hint="eastAsia" w:ascii="宋体" w:hAnsi="宋体"/>
                <w:color w:val="auto"/>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7E2AE2B0">
            <w:pPr>
              <w:pStyle w:val="18"/>
              <w:keepNext/>
              <w:spacing w:line="440" w:lineRule="exact"/>
              <w:ind w:left="420" w:right="63"/>
              <w:rPr>
                <w:rFonts w:hint="eastAsia" w:ascii="宋体" w:hAnsi="宋体"/>
                <w:color w:val="auto"/>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4E477498">
            <w:pPr>
              <w:pStyle w:val="18"/>
              <w:keepNext/>
              <w:spacing w:line="440" w:lineRule="exact"/>
              <w:ind w:left="420" w:right="63"/>
              <w:rPr>
                <w:rFonts w:hint="eastAsia" w:ascii="宋体" w:hAnsi="宋体"/>
                <w:color w:val="auto"/>
                <w:highlight w:val="none"/>
              </w:rPr>
            </w:pPr>
          </w:p>
        </w:tc>
        <w:tc>
          <w:tcPr>
            <w:tcW w:w="850" w:type="dxa"/>
            <w:tcBorders>
              <w:top w:val="single" w:color="auto" w:sz="6" w:space="0"/>
              <w:left w:val="single" w:color="auto" w:sz="6" w:space="0"/>
              <w:bottom w:val="single" w:color="auto" w:sz="6" w:space="0"/>
              <w:right w:val="single" w:color="auto" w:sz="12" w:space="0"/>
            </w:tcBorders>
            <w:vAlign w:val="center"/>
          </w:tcPr>
          <w:p w14:paraId="2650D266">
            <w:pPr>
              <w:pStyle w:val="18"/>
              <w:keepNext/>
              <w:spacing w:line="440" w:lineRule="exact"/>
              <w:ind w:left="420" w:right="63"/>
              <w:rPr>
                <w:rFonts w:hint="eastAsia" w:ascii="宋体" w:hAnsi="宋体"/>
                <w:color w:val="auto"/>
                <w:highlight w:val="none"/>
              </w:rPr>
            </w:pPr>
          </w:p>
        </w:tc>
      </w:tr>
      <w:tr w14:paraId="0236BF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75" w:type="dxa"/>
            <w:tcBorders>
              <w:top w:val="single" w:color="auto" w:sz="6" w:space="0"/>
              <w:left w:val="single" w:color="auto" w:sz="12" w:space="0"/>
              <w:bottom w:val="single" w:color="auto" w:sz="6" w:space="0"/>
              <w:right w:val="single" w:color="auto" w:sz="6" w:space="0"/>
            </w:tcBorders>
            <w:vAlign w:val="center"/>
          </w:tcPr>
          <w:p w14:paraId="0AE1F931">
            <w:pPr>
              <w:pStyle w:val="18"/>
              <w:keepNext/>
              <w:spacing w:line="440" w:lineRule="exact"/>
              <w:ind w:left="420" w:right="63"/>
              <w:rPr>
                <w:rFonts w:hint="eastAsia" w:ascii="宋体" w:hAnsi="宋体"/>
                <w:color w:val="auto"/>
                <w:highlight w:val="none"/>
              </w:rPr>
            </w:pPr>
          </w:p>
        </w:tc>
        <w:tc>
          <w:tcPr>
            <w:tcW w:w="1047" w:type="dxa"/>
            <w:tcBorders>
              <w:top w:val="single" w:color="auto" w:sz="6" w:space="0"/>
              <w:left w:val="single" w:color="auto" w:sz="6" w:space="0"/>
              <w:bottom w:val="single" w:color="auto" w:sz="6" w:space="0"/>
              <w:right w:val="single" w:color="auto" w:sz="6" w:space="0"/>
            </w:tcBorders>
            <w:vAlign w:val="center"/>
          </w:tcPr>
          <w:p w14:paraId="1A2190FD">
            <w:pPr>
              <w:pStyle w:val="18"/>
              <w:keepNext/>
              <w:spacing w:line="440" w:lineRule="exact"/>
              <w:ind w:left="420" w:right="63"/>
              <w:rPr>
                <w:rFonts w:hint="eastAsia" w:ascii="宋体" w:hAnsi="宋体"/>
                <w:color w:val="auto"/>
                <w:highlight w:val="none"/>
              </w:rPr>
            </w:pPr>
          </w:p>
        </w:tc>
        <w:tc>
          <w:tcPr>
            <w:tcW w:w="1274" w:type="dxa"/>
            <w:tcBorders>
              <w:top w:val="single" w:color="auto" w:sz="6" w:space="0"/>
              <w:left w:val="single" w:color="auto" w:sz="6" w:space="0"/>
              <w:bottom w:val="single" w:color="auto" w:sz="6" w:space="0"/>
              <w:right w:val="single" w:color="auto" w:sz="6" w:space="0"/>
            </w:tcBorders>
            <w:vAlign w:val="center"/>
          </w:tcPr>
          <w:p w14:paraId="14C3F8A1">
            <w:pPr>
              <w:pStyle w:val="18"/>
              <w:keepNext/>
              <w:spacing w:line="440" w:lineRule="exact"/>
              <w:ind w:left="420" w:right="63"/>
              <w:rPr>
                <w:rFonts w:hint="eastAsia" w:ascii="宋体" w:hAnsi="宋体"/>
                <w:color w:val="auto"/>
                <w:highlight w:val="none"/>
              </w:rPr>
            </w:pPr>
          </w:p>
        </w:tc>
        <w:tc>
          <w:tcPr>
            <w:tcW w:w="993" w:type="dxa"/>
            <w:tcBorders>
              <w:top w:val="single" w:color="auto" w:sz="6" w:space="0"/>
              <w:left w:val="single" w:color="auto" w:sz="6" w:space="0"/>
              <w:bottom w:val="single" w:color="auto" w:sz="6" w:space="0"/>
              <w:right w:val="single" w:color="auto" w:sz="6" w:space="0"/>
            </w:tcBorders>
            <w:vAlign w:val="center"/>
          </w:tcPr>
          <w:p w14:paraId="3D25ED3D">
            <w:pPr>
              <w:pStyle w:val="18"/>
              <w:keepNext/>
              <w:spacing w:line="440" w:lineRule="exact"/>
              <w:ind w:left="420" w:right="63"/>
              <w:rPr>
                <w:rFonts w:hint="eastAsia" w:ascii="宋体" w:hAnsi="宋体"/>
                <w:color w:val="auto"/>
                <w:highlight w:val="none"/>
              </w:rPr>
            </w:pPr>
          </w:p>
        </w:tc>
        <w:tc>
          <w:tcPr>
            <w:tcW w:w="850" w:type="dxa"/>
            <w:tcBorders>
              <w:top w:val="single" w:color="auto" w:sz="6" w:space="0"/>
              <w:left w:val="single" w:color="auto" w:sz="6" w:space="0"/>
              <w:bottom w:val="single" w:color="auto" w:sz="6" w:space="0"/>
              <w:right w:val="single" w:color="auto" w:sz="6" w:space="0"/>
            </w:tcBorders>
            <w:vAlign w:val="center"/>
          </w:tcPr>
          <w:p w14:paraId="730B1233">
            <w:pPr>
              <w:pStyle w:val="18"/>
              <w:keepNext/>
              <w:spacing w:line="440" w:lineRule="exact"/>
              <w:ind w:left="420" w:right="63"/>
              <w:rPr>
                <w:rFonts w:hint="eastAsia" w:ascii="宋体" w:hAnsi="宋体"/>
                <w:color w:val="auto"/>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0AC634F4">
            <w:pPr>
              <w:pStyle w:val="18"/>
              <w:keepNext/>
              <w:spacing w:line="440" w:lineRule="exact"/>
              <w:ind w:left="420" w:right="63"/>
              <w:rPr>
                <w:rFonts w:hint="eastAsia" w:ascii="宋体" w:hAnsi="宋体"/>
                <w:color w:val="auto"/>
                <w:highlight w:val="none"/>
              </w:rPr>
            </w:pPr>
          </w:p>
        </w:tc>
        <w:tc>
          <w:tcPr>
            <w:tcW w:w="992" w:type="dxa"/>
            <w:tcBorders>
              <w:top w:val="single" w:color="auto" w:sz="6" w:space="0"/>
              <w:left w:val="single" w:color="auto" w:sz="6" w:space="0"/>
              <w:bottom w:val="single" w:color="auto" w:sz="6" w:space="0"/>
              <w:right w:val="single" w:color="auto" w:sz="6" w:space="0"/>
            </w:tcBorders>
            <w:vAlign w:val="center"/>
          </w:tcPr>
          <w:p w14:paraId="70EA2305">
            <w:pPr>
              <w:pStyle w:val="18"/>
              <w:keepNext/>
              <w:spacing w:line="440" w:lineRule="exact"/>
              <w:ind w:left="420" w:right="63"/>
              <w:rPr>
                <w:rFonts w:hint="eastAsia" w:ascii="宋体" w:hAnsi="宋体"/>
                <w:color w:val="auto"/>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614E615D">
            <w:pPr>
              <w:pStyle w:val="18"/>
              <w:keepNext/>
              <w:spacing w:line="440" w:lineRule="exact"/>
              <w:ind w:left="420" w:right="63"/>
              <w:rPr>
                <w:rFonts w:hint="eastAsia" w:ascii="宋体" w:hAnsi="宋体"/>
                <w:color w:val="auto"/>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16FA1204">
            <w:pPr>
              <w:pStyle w:val="18"/>
              <w:keepNext/>
              <w:spacing w:line="440" w:lineRule="exact"/>
              <w:ind w:left="420" w:right="63"/>
              <w:rPr>
                <w:rFonts w:hint="eastAsia" w:ascii="宋体" w:hAnsi="宋体"/>
                <w:color w:val="auto"/>
                <w:highlight w:val="none"/>
              </w:rPr>
            </w:pPr>
          </w:p>
        </w:tc>
        <w:tc>
          <w:tcPr>
            <w:tcW w:w="850" w:type="dxa"/>
            <w:tcBorders>
              <w:top w:val="single" w:color="auto" w:sz="6" w:space="0"/>
              <w:left w:val="single" w:color="auto" w:sz="6" w:space="0"/>
              <w:bottom w:val="single" w:color="auto" w:sz="6" w:space="0"/>
              <w:right w:val="single" w:color="auto" w:sz="12" w:space="0"/>
            </w:tcBorders>
            <w:vAlign w:val="center"/>
          </w:tcPr>
          <w:p w14:paraId="1291E624">
            <w:pPr>
              <w:pStyle w:val="18"/>
              <w:keepNext/>
              <w:spacing w:line="440" w:lineRule="exact"/>
              <w:ind w:left="420" w:right="63"/>
              <w:rPr>
                <w:rFonts w:hint="eastAsia" w:ascii="宋体" w:hAnsi="宋体"/>
                <w:color w:val="auto"/>
                <w:highlight w:val="none"/>
              </w:rPr>
            </w:pPr>
          </w:p>
        </w:tc>
      </w:tr>
      <w:tr w14:paraId="3FE879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75" w:type="dxa"/>
            <w:tcBorders>
              <w:top w:val="single" w:color="auto" w:sz="6" w:space="0"/>
              <w:left w:val="single" w:color="auto" w:sz="12" w:space="0"/>
              <w:bottom w:val="single" w:color="auto" w:sz="6" w:space="0"/>
              <w:right w:val="single" w:color="auto" w:sz="6" w:space="0"/>
            </w:tcBorders>
            <w:vAlign w:val="center"/>
          </w:tcPr>
          <w:p w14:paraId="096BFB8D">
            <w:pPr>
              <w:jc w:val="center"/>
              <w:rPr>
                <w:rFonts w:hint="eastAsia" w:ascii="宋体" w:hAnsi="宋体" w:cs="宋体"/>
                <w:color w:val="auto"/>
                <w:szCs w:val="21"/>
                <w:highlight w:val="none"/>
              </w:rPr>
            </w:pPr>
          </w:p>
        </w:tc>
        <w:tc>
          <w:tcPr>
            <w:tcW w:w="1047" w:type="dxa"/>
            <w:tcBorders>
              <w:top w:val="single" w:color="auto" w:sz="6" w:space="0"/>
              <w:left w:val="single" w:color="auto" w:sz="6" w:space="0"/>
              <w:bottom w:val="single" w:color="auto" w:sz="6" w:space="0"/>
              <w:right w:val="single" w:color="auto" w:sz="6" w:space="0"/>
            </w:tcBorders>
            <w:vAlign w:val="center"/>
          </w:tcPr>
          <w:p w14:paraId="0E9DF76A">
            <w:pPr>
              <w:jc w:val="center"/>
              <w:rPr>
                <w:rFonts w:hint="eastAsia" w:ascii="宋体" w:hAnsi="宋体" w:cs="宋体"/>
                <w:color w:val="auto"/>
                <w:szCs w:val="21"/>
                <w:highlight w:val="none"/>
              </w:rPr>
            </w:pPr>
          </w:p>
        </w:tc>
        <w:tc>
          <w:tcPr>
            <w:tcW w:w="1274" w:type="dxa"/>
            <w:tcBorders>
              <w:top w:val="single" w:color="auto" w:sz="6" w:space="0"/>
              <w:left w:val="single" w:color="auto" w:sz="6" w:space="0"/>
              <w:bottom w:val="single" w:color="auto" w:sz="6" w:space="0"/>
              <w:right w:val="single" w:color="auto" w:sz="6" w:space="0"/>
            </w:tcBorders>
            <w:vAlign w:val="center"/>
          </w:tcPr>
          <w:p w14:paraId="5D2967E7">
            <w:pPr>
              <w:jc w:val="center"/>
              <w:rPr>
                <w:rFonts w:hint="eastAsia" w:ascii="宋体" w:hAnsi="宋体" w:cs="宋体"/>
                <w:color w:val="auto"/>
                <w:szCs w:val="21"/>
                <w:highlight w:val="none"/>
              </w:rPr>
            </w:pPr>
          </w:p>
        </w:tc>
        <w:tc>
          <w:tcPr>
            <w:tcW w:w="993" w:type="dxa"/>
            <w:tcBorders>
              <w:top w:val="single" w:color="auto" w:sz="6" w:space="0"/>
              <w:left w:val="single" w:color="auto" w:sz="6" w:space="0"/>
              <w:bottom w:val="single" w:color="auto" w:sz="6" w:space="0"/>
              <w:right w:val="single" w:color="auto" w:sz="6" w:space="0"/>
            </w:tcBorders>
            <w:vAlign w:val="center"/>
          </w:tcPr>
          <w:p w14:paraId="1883E1AC">
            <w:pPr>
              <w:jc w:val="center"/>
              <w:rPr>
                <w:rFonts w:hint="eastAsia" w:ascii="宋体" w:hAnsi="宋体" w:cs="宋体"/>
                <w:color w:val="auto"/>
                <w:szCs w:val="21"/>
                <w:highlight w:val="none"/>
              </w:rPr>
            </w:pPr>
          </w:p>
        </w:tc>
        <w:tc>
          <w:tcPr>
            <w:tcW w:w="850" w:type="dxa"/>
            <w:tcBorders>
              <w:top w:val="single" w:color="auto" w:sz="6" w:space="0"/>
              <w:left w:val="single" w:color="auto" w:sz="6" w:space="0"/>
              <w:bottom w:val="single" w:color="auto" w:sz="6" w:space="0"/>
              <w:right w:val="single" w:color="auto" w:sz="6" w:space="0"/>
            </w:tcBorders>
            <w:vAlign w:val="center"/>
          </w:tcPr>
          <w:p w14:paraId="16755010">
            <w:pPr>
              <w:jc w:val="center"/>
              <w:rPr>
                <w:rFonts w:hint="eastAsia" w:ascii="宋体" w:hAnsi="宋体" w:cs="宋体"/>
                <w:color w:val="auto"/>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2D8D41B7">
            <w:pPr>
              <w:jc w:val="center"/>
              <w:rPr>
                <w:rFonts w:hint="eastAsia" w:ascii="宋体" w:hAnsi="宋体" w:cs="宋体"/>
                <w:color w:val="auto"/>
                <w:szCs w:val="21"/>
                <w:highlight w:val="none"/>
              </w:rPr>
            </w:pPr>
          </w:p>
        </w:tc>
        <w:tc>
          <w:tcPr>
            <w:tcW w:w="992" w:type="dxa"/>
            <w:tcBorders>
              <w:top w:val="single" w:color="auto" w:sz="6" w:space="0"/>
              <w:left w:val="single" w:color="auto" w:sz="6" w:space="0"/>
              <w:bottom w:val="single" w:color="auto" w:sz="6" w:space="0"/>
              <w:right w:val="single" w:color="auto" w:sz="6" w:space="0"/>
            </w:tcBorders>
            <w:vAlign w:val="center"/>
          </w:tcPr>
          <w:p w14:paraId="1F1EE366">
            <w:pPr>
              <w:jc w:val="center"/>
              <w:rPr>
                <w:rFonts w:hint="eastAsia" w:ascii="宋体" w:hAnsi="宋体" w:cs="宋体"/>
                <w:color w:val="auto"/>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7F067254">
            <w:pPr>
              <w:jc w:val="center"/>
              <w:rPr>
                <w:rFonts w:hint="eastAsia" w:ascii="宋体" w:hAnsi="宋体" w:cs="宋体"/>
                <w:color w:val="auto"/>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355CFC26">
            <w:pPr>
              <w:jc w:val="center"/>
              <w:rPr>
                <w:rFonts w:hint="eastAsia" w:ascii="宋体" w:hAnsi="宋体" w:cs="宋体"/>
                <w:color w:val="auto"/>
                <w:szCs w:val="21"/>
                <w:highlight w:val="none"/>
              </w:rPr>
            </w:pPr>
          </w:p>
        </w:tc>
        <w:tc>
          <w:tcPr>
            <w:tcW w:w="850" w:type="dxa"/>
            <w:tcBorders>
              <w:top w:val="single" w:color="auto" w:sz="6" w:space="0"/>
              <w:left w:val="single" w:color="auto" w:sz="6" w:space="0"/>
              <w:bottom w:val="single" w:color="auto" w:sz="6" w:space="0"/>
              <w:right w:val="single" w:color="auto" w:sz="12" w:space="0"/>
            </w:tcBorders>
            <w:vAlign w:val="center"/>
          </w:tcPr>
          <w:p w14:paraId="4B420C8E">
            <w:pPr>
              <w:jc w:val="center"/>
              <w:rPr>
                <w:rFonts w:hint="eastAsia" w:ascii="宋体" w:hAnsi="宋体" w:cs="宋体"/>
                <w:color w:val="auto"/>
                <w:szCs w:val="21"/>
                <w:highlight w:val="none"/>
              </w:rPr>
            </w:pPr>
          </w:p>
        </w:tc>
      </w:tr>
      <w:tr w14:paraId="52F14A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75" w:type="dxa"/>
            <w:tcBorders>
              <w:top w:val="single" w:color="auto" w:sz="6" w:space="0"/>
              <w:left w:val="single" w:color="auto" w:sz="12" w:space="0"/>
              <w:bottom w:val="single" w:color="auto" w:sz="6" w:space="0"/>
              <w:right w:val="single" w:color="auto" w:sz="6" w:space="0"/>
            </w:tcBorders>
            <w:vAlign w:val="center"/>
          </w:tcPr>
          <w:p w14:paraId="5493B69B">
            <w:pPr>
              <w:pStyle w:val="18"/>
              <w:keepNext/>
              <w:spacing w:line="440" w:lineRule="exact"/>
              <w:ind w:left="420" w:right="63"/>
              <w:rPr>
                <w:rFonts w:hint="eastAsia" w:ascii="宋体" w:hAnsi="宋体"/>
                <w:color w:val="auto"/>
                <w:highlight w:val="none"/>
              </w:rPr>
            </w:pPr>
          </w:p>
        </w:tc>
        <w:tc>
          <w:tcPr>
            <w:tcW w:w="1047" w:type="dxa"/>
            <w:tcBorders>
              <w:top w:val="single" w:color="auto" w:sz="6" w:space="0"/>
              <w:left w:val="single" w:color="auto" w:sz="6" w:space="0"/>
              <w:bottom w:val="single" w:color="auto" w:sz="6" w:space="0"/>
              <w:right w:val="single" w:color="auto" w:sz="6" w:space="0"/>
            </w:tcBorders>
            <w:vAlign w:val="center"/>
          </w:tcPr>
          <w:p w14:paraId="41D13BD0">
            <w:pPr>
              <w:pStyle w:val="18"/>
              <w:keepNext/>
              <w:spacing w:line="440" w:lineRule="exact"/>
              <w:ind w:left="420" w:right="63"/>
              <w:rPr>
                <w:rFonts w:hint="eastAsia" w:ascii="宋体" w:hAnsi="宋体"/>
                <w:color w:val="auto"/>
                <w:highlight w:val="none"/>
              </w:rPr>
            </w:pPr>
          </w:p>
        </w:tc>
        <w:tc>
          <w:tcPr>
            <w:tcW w:w="1274" w:type="dxa"/>
            <w:tcBorders>
              <w:top w:val="single" w:color="auto" w:sz="6" w:space="0"/>
              <w:left w:val="single" w:color="auto" w:sz="6" w:space="0"/>
              <w:bottom w:val="single" w:color="auto" w:sz="6" w:space="0"/>
              <w:right w:val="single" w:color="auto" w:sz="6" w:space="0"/>
            </w:tcBorders>
            <w:vAlign w:val="center"/>
          </w:tcPr>
          <w:p w14:paraId="12F07CCC">
            <w:pPr>
              <w:pStyle w:val="18"/>
              <w:keepNext/>
              <w:spacing w:line="440" w:lineRule="exact"/>
              <w:ind w:left="420" w:right="63"/>
              <w:rPr>
                <w:rFonts w:hint="eastAsia" w:ascii="宋体" w:hAnsi="宋体"/>
                <w:color w:val="auto"/>
                <w:highlight w:val="none"/>
              </w:rPr>
            </w:pPr>
          </w:p>
        </w:tc>
        <w:tc>
          <w:tcPr>
            <w:tcW w:w="993" w:type="dxa"/>
            <w:tcBorders>
              <w:top w:val="single" w:color="auto" w:sz="6" w:space="0"/>
              <w:left w:val="single" w:color="auto" w:sz="6" w:space="0"/>
              <w:bottom w:val="single" w:color="auto" w:sz="6" w:space="0"/>
              <w:right w:val="single" w:color="auto" w:sz="6" w:space="0"/>
            </w:tcBorders>
            <w:vAlign w:val="center"/>
          </w:tcPr>
          <w:p w14:paraId="2EF0569B">
            <w:pPr>
              <w:pStyle w:val="18"/>
              <w:keepNext/>
              <w:spacing w:line="440" w:lineRule="exact"/>
              <w:ind w:left="420" w:right="63"/>
              <w:rPr>
                <w:rFonts w:hint="eastAsia" w:ascii="宋体" w:hAnsi="宋体"/>
                <w:color w:val="auto"/>
                <w:highlight w:val="none"/>
              </w:rPr>
            </w:pPr>
          </w:p>
        </w:tc>
        <w:tc>
          <w:tcPr>
            <w:tcW w:w="850" w:type="dxa"/>
            <w:tcBorders>
              <w:top w:val="single" w:color="auto" w:sz="6" w:space="0"/>
              <w:left w:val="single" w:color="auto" w:sz="6" w:space="0"/>
              <w:bottom w:val="single" w:color="auto" w:sz="6" w:space="0"/>
              <w:right w:val="single" w:color="auto" w:sz="6" w:space="0"/>
            </w:tcBorders>
            <w:vAlign w:val="center"/>
          </w:tcPr>
          <w:p w14:paraId="55375080">
            <w:pPr>
              <w:pStyle w:val="18"/>
              <w:keepNext/>
              <w:spacing w:line="440" w:lineRule="exact"/>
              <w:ind w:left="420" w:right="63"/>
              <w:rPr>
                <w:rFonts w:hint="eastAsia" w:ascii="宋体" w:hAnsi="宋体"/>
                <w:color w:val="auto"/>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46181052">
            <w:pPr>
              <w:pStyle w:val="18"/>
              <w:keepNext/>
              <w:spacing w:line="440" w:lineRule="exact"/>
              <w:ind w:left="420" w:right="63"/>
              <w:rPr>
                <w:rFonts w:hint="eastAsia" w:ascii="宋体" w:hAnsi="宋体"/>
                <w:color w:val="auto"/>
                <w:highlight w:val="none"/>
              </w:rPr>
            </w:pPr>
          </w:p>
        </w:tc>
        <w:tc>
          <w:tcPr>
            <w:tcW w:w="992" w:type="dxa"/>
            <w:tcBorders>
              <w:top w:val="single" w:color="auto" w:sz="6" w:space="0"/>
              <w:left w:val="single" w:color="auto" w:sz="6" w:space="0"/>
              <w:bottom w:val="single" w:color="auto" w:sz="6" w:space="0"/>
              <w:right w:val="single" w:color="auto" w:sz="6" w:space="0"/>
            </w:tcBorders>
            <w:vAlign w:val="center"/>
          </w:tcPr>
          <w:p w14:paraId="2437011E">
            <w:pPr>
              <w:pStyle w:val="18"/>
              <w:keepNext/>
              <w:spacing w:line="440" w:lineRule="exact"/>
              <w:ind w:left="420" w:right="63"/>
              <w:rPr>
                <w:rFonts w:hint="eastAsia" w:ascii="宋体" w:hAnsi="宋体"/>
                <w:color w:val="auto"/>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6D32A1E1">
            <w:pPr>
              <w:pStyle w:val="18"/>
              <w:keepNext/>
              <w:spacing w:line="440" w:lineRule="exact"/>
              <w:ind w:left="420" w:right="63"/>
              <w:rPr>
                <w:rFonts w:hint="eastAsia" w:ascii="宋体" w:hAnsi="宋体"/>
                <w:color w:val="auto"/>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4A79279A">
            <w:pPr>
              <w:pStyle w:val="18"/>
              <w:keepNext/>
              <w:spacing w:line="440" w:lineRule="exact"/>
              <w:ind w:left="420" w:right="63"/>
              <w:rPr>
                <w:rFonts w:hint="eastAsia" w:ascii="宋体" w:hAnsi="宋体"/>
                <w:color w:val="auto"/>
                <w:highlight w:val="none"/>
              </w:rPr>
            </w:pPr>
          </w:p>
        </w:tc>
        <w:tc>
          <w:tcPr>
            <w:tcW w:w="850" w:type="dxa"/>
            <w:tcBorders>
              <w:top w:val="single" w:color="auto" w:sz="6" w:space="0"/>
              <w:left w:val="single" w:color="auto" w:sz="6" w:space="0"/>
              <w:bottom w:val="single" w:color="auto" w:sz="6" w:space="0"/>
              <w:right w:val="single" w:color="auto" w:sz="12" w:space="0"/>
            </w:tcBorders>
            <w:vAlign w:val="center"/>
          </w:tcPr>
          <w:p w14:paraId="24F12A52">
            <w:pPr>
              <w:pStyle w:val="18"/>
              <w:keepNext/>
              <w:spacing w:line="440" w:lineRule="exact"/>
              <w:ind w:left="420" w:right="63"/>
              <w:rPr>
                <w:rFonts w:hint="eastAsia" w:ascii="宋体" w:hAnsi="宋体"/>
                <w:color w:val="auto"/>
                <w:highlight w:val="none"/>
              </w:rPr>
            </w:pPr>
          </w:p>
        </w:tc>
      </w:tr>
      <w:tr w14:paraId="75A0A8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75" w:type="dxa"/>
            <w:tcBorders>
              <w:top w:val="single" w:color="auto" w:sz="6" w:space="0"/>
              <w:left w:val="single" w:color="auto" w:sz="12" w:space="0"/>
              <w:bottom w:val="single" w:color="auto" w:sz="6" w:space="0"/>
              <w:right w:val="single" w:color="auto" w:sz="6" w:space="0"/>
            </w:tcBorders>
            <w:vAlign w:val="center"/>
          </w:tcPr>
          <w:p w14:paraId="0DC1321C">
            <w:pPr>
              <w:jc w:val="center"/>
              <w:rPr>
                <w:rFonts w:hint="eastAsia" w:ascii="宋体" w:hAnsi="宋体" w:cs="宋体"/>
                <w:color w:val="auto"/>
                <w:szCs w:val="21"/>
                <w:highlight w:val="none"/>
              </w:rPr>
            </w:pPr>
          </w:p>
        </w:tc>
        <w:tc>
          <w:tcPr>
            <w:tcW w:w="1047" w:type="dxa"/>
            <w:tcBorders>
              <w:top w:val="single" w:color="auto" w:sz="6" w:space="0"/>
              <w:left w:val="single" w:color="auto" w:sz="6" w:space="0"/>
              <w:bottom w:val="single" w:color="auto" w:sz="6" w:space="0"/>
              <w:right w:val="single" w:color="auto" w:sz="6" w:space="0"/>
            </w:tcBorders>
            <w:vAlign w:val="center"/>
          </w:tcPr>
          <w:p w14:paraId="47AC0EF9">
            <w:pPr>
              <w:jc w:val="center"/>
              <w:rPr>
                <w:rFonts w:hint="eastAsia" w:ascii="宋体" w:hAnsi="宋体" w:cs="宋体"/>
                <w:color w:val="auto"/>
                <w:szCs w:val="21"/>
                <w:highlight w:val="none"/>
              </w:rPr>
            </w:pPr>
          </w:p>
        </w:tc>
        <w:tc>
          <w:tcPr>
            <w:tcW w:w="1274" w:type="dxa"/>
            <w:tcBorders>
              <w:top w:val="single" w:color="auto" w:sz="6" w:space="0"/>
              <w:left w:val="single" w:color="auto" w:sz="6" w:space="0"/>
              <w:bottom w:val="single" w:color="auto" w:sz="6" w:space="0"/>
              <w:right w:val="single" w:color="auto" w:sz="6" w:space="0"/>
            </w:tcBorders>
            <w:vAlign w:val="center"/>
          </w:tcPr>
          <w:p w14:paraId="2EC74624">
            <w:pPr>
              <w:jc w:val="center"/>
              <w:rPr>
                <w:rFonts w:hint="eastAsia" w:ascii="宋体" w:hAnsi="宋体" w:cs="宋体"/>
                <w:color w:val="auto"/>
                <w:szCs w:val="21"/>
                <w:highlight w:val="none"/>
              </w:rPr>
            </w:pPr>
          </w:p>
        </w:tc>
        <w:tc>
          <w:tcPr>
            <w:tcW w:w="993" w:type="dxa"/>
            <w:tcBorders>
              <w:top w:val="single" w:color="auto" w:sz="6" w:space="0"/>
              <w:left w:val="single" w:color="auto" w:sz="6" w:space="0"/>
              <w:bottom w:val="single" w:color="auto" w:sz="6" w:space="0"/>
              <w:right w:val="single" w:color="auto" w:sz="6" w:space="0"/>
            </w:tcBorders>
            <w:vAlign w:val="center"/>
          </w:tcPr>
          <w:p w14:paraId="2DDAAB32">
            <w:pPr>
              <w:jc w:val="center"/>
              <w:rPr>
                <w:rFonts w:hint="eastAsia" w:ascii="宋体" w:hAnsi="宋体" w:cs="宋体"/>
                <w:color w:val="auto"/>
                <w:szCs w:val="21"/>
                <w:highlight w:val="none"/>
              </w:rPr>
            </w:pPr>
          </w:p>
        </w:tc>
        <w:tc>
          <w:tcPr>
            <w:tcW w:w="850" w:type="dxa"/>
            <w:tcBorders>
              <w:top w:val="single" w:color="auto" w:sz="6" w:space="0"/>
              <w:left w:val="single" w:color="auto" w:sz="6" w:space="0"/>
              <w:bottom w:val="single" w:color="auto" w:sz="6" w:space="0"/>
              <w:right w:val="single" w:color="auto" w:sz="6" w:space="0"/>
            </w:tcBorders>
            <w:vAlign w:val="center"/>
          </w:tcPr>
          <w:p w14:paraId="38E66805">
            <w:pPr>
              <w:jc w:val="center"/>
              <w:rPr>
                <w:rFonts w:hint="eastAsia" w:ascii="宋体" w:hAnsi="宋体" w:cs="宋体"/>
                <w:color w:val="auto"/>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7A314CE6">
            <w:pPr>
              <w:jc w:val="center"/>
              <w:rPr>
                <w:rFonts w:hint="eastAsia" w:ascii="宋体" w:hAnsi="宋体" w:cs="宋体"/>
                <w:color w:val="auto"/>
                <w:szCs w:val="21"/>
                <w:highlight w:val="none"/>
              </w:rPr>
            </w:pPr>
          </w:p>
        </w:tc>
        <w:tc>
          <w:tcPr>
            <w:tcW w:w="992" w:type="dxa"/>
            <w:tcBorders>
              <w:top w:val="single" w:color="auto" w:sz="6" w:space="0"/>
              <w:left w:val="single" w:color="auto" w:sz="6" w:space="0"/>
              <w:bottom w:val="single" w:color="auto" w:sz="6" w:space="0"/>
              <w:right w:val="single" w:color="auto" w:sz="6" w:space="0"/>
            </w:tcBorders>
            <w:vAlign w:val="center"/>
          </w:tcPr>
          <w:p w14:paraId="505FFF87">
            <w:pPr>
              <w:jc w:val="center"/>
              <w:rPr>
                <w:rFonts w:hint="eastAsia" w:ascii="宋体" w:hAnsi="宋体" w:cs="宋体"/>
                <w:color w:val="auto"/>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0DDAAE25">
            <w:pPr>
              <w:jc w:val="center"/>
              <w:rPr>
                <w:rFonts w:hint="eastAsia" w:ascii="宋体" w:hAnsi="宋体" w:cs="宋体"/>
                <w:color w:val="auto"/>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19577B97">
            <w:pPr>
              <w:jc w:val="center"/>
              <w:rPr>
                <w:rFonts w:hint="eastAsia" w:ascii="宋体" w:hAnsi="宋体" w:cs="宋体"/>
                <w:color w:val="auto"/>
                <w:szCs w:val="21"/>
                <w:highlight w:val="none"/>
              </w:rPr>
            </w:pPr>
          </w:p>
        </w:tc>
        <w:tc>
          <w:tcPr>
            <w:tcW w:w="850" w:type="dxa"/>
            <w:tcBorders>
              <w:top w:val="single" w:color="auto" w:sz="6" w:space="0"/>
              <w:left w:val="single" w:color="auto" w:sz="6" w:space="0"/>
              <w:bottom w:val="single" w:color="auto" w:sz="6" w:space="0"/>
              <w:right w:val="single" w:color="auto" w:sz="12" w:space="0"/>
            </w:tcBorders>
            <w:vAlign w:val="center"/>
          </w:tcPr>
          <w:p w14:paraId="4C2D0188">
            <w:pPr>
              <w:jc w:val="center"/>
              <w:rPr>
                <w:rFonts w:hint="eastAsia" w:ascii="宋体" w:hAnsi="宋体" w:cs="宋体"/>
                <w:color w:val="auto"/>
                <w:szCs w:val="21"/>
                <w:highlight w:val="none"/>
              </w:rPr>
            </w:pPr>
          </w:p>
        </w:tc>
      </w:tr>
      <w:tr w14:paraId="7D7B34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75" w:type="dxa"/>
            <w:tcBorders>
              <w:top w:val="single" w:color="auto" w:sz="6" w:space="0"/>
              <w:left w:val="single" w:color="auto" w:sz="12" w:space="0"/>
              <w:bottom w:val="single" w:color="auto" w:sz="6" w:space="0"/>
              <w:right w:val="single" w:color="auto" w:sz="6" w:space="0"/>
            </w:tcBorders>
            <w:vAlign w:val="center"/>
          </w:tcPr>
          <w:p w14:paraId="2F72FE3D">
            <w:pPr>
              <w:jc w:val="center"/>
              <w:rPr>
                <w:rFonts w:hint="eastAsia" w:ascii="宋体" w:hAnsi="宋体" w:cs="宋体"/>
                <w:color w:val="auto"/>
                <w:szCs w:val="21"/>
                <w:highlight w:val="none"/>
              </w:rPr>
            </w:pPr>
          </w:p>
        </w:tc>
        <w:tc>
          <w:tcPr>
            <w:tcW w:w="1047" w:type="dxa"/>
            <w:tcBorders>
              <w:top w:val="single" w:color="auto" w:sz="6" w:space="0"/>
              <w:left w:val="single" w:color="auto" w:sz="6" w:space="0"/>
              <w:bottom w:val="single" w:color="auto" w:sz="6" w:space="0"/>
              <w:right w:val="single" w:color="auto" w:sz="6" w:space="0"/>
            </w:tcBorders>
            <w:vAlign w:val="center"/>
          </w:tcPr>
          <w:p w14:paraId="69902F77">
            <w:pPr>
              <w:jc w:val="center"/>
              <w:rPr>
                <w:rFonts w:hint="eastAsia" w:ascii="宋体" w:hAnsi="宋体" w:cs="宋体"/>
                <w:color w:val="auto"/>
                <w:szCs w:val="21"/>
                <w:highlight w:val="none"/>
              </w:rPr>
            </w:pPr>
          </w:p>
        </w:tc>
        <w:tc>
          <w:tcPr>
            <w:tcW w:w="1274" w:type="dxa"/>
            <w:tcBorders>
              <w:top w:val="single" w:color="auto" w:sz="6" w:space="0"/>
              <w:left w:val="single" w:color="auto" w:sz="6" w:space="0"/>
              <w:bottom w:val="single" w:color="auto" w:sz="6" w:space="0"/>
              <w:right w:val="single" w:color="auto" w:sz="6" w:space="0"/>
            </w:tcBorders>
            <w:vAlign w:val="center"/>
          </w:tcPr>
          <w:p w14:paraId="5B79E91B">
            <w:pPr>
              <w:jc w:val="center"/>
              <w:rPr>
                <w:rFonts w:hint="eastAsia" w:ascii="宋体" w:hAnsi="宋体" w:cs="宋体"/>
                <w:color w:val="auto"/>
                <w:szCs w:val="21"/>
                <w:highlight w:val="none"/>
              </w:rPr>
            </w:pPr>
          </w:p>
        </w:tc>
        <w:tc>
          <w:tcPr>
            <w:tcW w:w="993" w:type="dxa"/>
            <w:tcBorders>
              <w:top w:val="single" w:color="auto" w:sz="6" w:space="0"/>
              <w:left w:val="single" w:color="auto" w:sz="6" w:space="0"/>
              <w:bottom w:val="single" w:color="auto" w:sz="6" w:space="0"/>
              <w:right w:val="single" w:color="auto" w:sz="6" w:space="0"/>
            </w:tcBorders>
            <w:vAlign w:val="center"/>
          </w:tcPr>
          <w:p w14:paraId="6EF09AD4">
            <w:pPr>
              <w:jc w:val="center"/>
              <w:rPr>
                <w:rFonts w:hint="eastAsia" w:ascii="宋体" w:hAnsi="宋体" w:cs="宋体"/>
                <w:color w:val="auto"/>
                <w:szCs w:val="21"/>
                <w:highlight w:val="none"/>
              </w:rPr>
            </w:pPr>
          </w:p>
        </w:tc>
        <w:tc>
          <w:tcPr>
            <w:tcW w:w="850" w:type="dxa"/>
            <w:tcBorders>
              <w:top w:val="single" w:color="auto" w:sz="6" w:space="0"/>
              <w:left w:val="single" w:color="auto" w:sz="6" w:space="0"/>
              <w:bottom w:val="single" w:color="auto" w:sz="6" w:space="0"/>
              <w:right w:val="single" w:color="auto" w:sz="6" w:space="0"/>
            </w:tcBorders>
            <w:vAlign w:val="center"/>
          </w:tcPr>
          <w:p w14:paraId="1F70B80B">
            <w:pPr>
              <w:jc w:val="center"/>
              <w:rPr>
                <w:rFonts w:hint="eastAsia" w:ascii="宋体" w:hAnsi="宋体" w:cs="宋体"/>
                <w:color w:val="auto"/>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42514FBE">
            <w:pPr>
              <w:jc w:val="center"/>
              <w:rPr>
                <w:rFonts w:hint="eastAsia" w:ascii="宋体" w:hAnsi="宋体" w:cs="宋体"/>
                <w:color w:val="auto"/>
                <w:szCs w:val="21"/>
                <w:highlight w:val="none"/>
              </w:rPr>
            </w:pPr>
          </w:p>
        </w:tc>
        <w:tc>
          <w:tcPr>
            <w:tcW w:w="992" w:type="dxa"/>
            <w:tcBorders>
              <w:top w:val="single" w:color="auto" w:sz="6" w:space="0"/>
              <w:left w:val="single" w:color="auto" w:sz="6" w:space="0"/>
              <w:bottom w:val="single" w:color="auto" w:sz="6" w:space="0"/>
              <w:right w:val="single" w:color="auto" w:sz="6" w:space="0"/>
            </w:tcBorders>
            <w:vAlign w:val="center"/>
          </w:tcPr>
          <w:p w14:paraId="446D0C62">
            <w:pPr>
              <w:jc w:val="center"/>
              <w:rPr>
                <w:rFonts w:hint="eastAsia" w:ascii="宋体" w:hAnsi="宋体" w:cs="宋体"/>
                <w:color w:val="auto"/>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2680D5B5">
            <w:pPr>
              <w:jc w:val="center"/>
              <w:rPr>
                <w:rFonts w:hint="eastAsia" w:ascii="宋体" w:hAnsi="宋体" w:cs="宋体"/>
                <w:color w:val="auto"/>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37934CE2">
            <w:pPr>
              <w:jc w:val="center"/>
              <w:rPr>
                <w:rFonts w:hint="eastAsia" w:ascii="宋体" w:hAnsi="宋体" w:cs="宋体"/>
                <w:color w:val="auto"/>
                <w:szCs w:val="21"/>
                <w:highlight w:val="none"/>
              </w:rPr>
            </w:pPr>
          </w:p>
        </w:tc>
        <w:tc>
          <w:tcPr>
            <w:tcW w:w="850" w:type="dxa"/>
            <w:tcBorders>
              <w:top w:val="single" w:color="auto" w:sz="6" w:space="0"/>
              <w:left w:val="single" w:color="auto" w:sz="6" w:space="0"/>
              <w:bottom w:val="single" w:color="auto" w:sz="6" w:space="0"/>
              <w:right w:val="single" w:color="auto" w:sz="12" w:space="0"/>
            </w:tcBorders>
            <w:vAlign w:val="center"/>
          </w:tcPr>
          <w:p w14:paraId="28F9428F">
            <w:pPr>
              <w:jc w:val="center"/>
              <w:rPr>
                <w:rFonts w:hint="eastAsia" w:ascii="宋体" w:hAnsi="宋体" w:cs="宋体"/>
                <w:color w:val="auto"/>
                <w:szCs w:val="21"/>
                <w:highlight w:val="none"/>
              </w:rPr>
            </w:pPr>
          </w:p>
        </w:tc>
      </w:tr>
      <w:tr w14:paraId="70A057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75" w:type="dxa"/>
            <w:tcBorders>
              <w:top w:val="single" w:color="auto" w:sz="6" w:space="0"/>
              <w:left w:val="single" w:color="auto" w:sz="12" w:space="0"/>
              <w:bottom w:val="single" w:color="auto" w:sz="6" w:space="0"/>
              <w:right w:val="single" w:color="auto" w:sz="6" w:space="0"/>
            </w:tcBorders>
            <w:vAlign w:val="center"/>
          </w:tcPr>
          <w:p w14:paraId="7A8F6B76">
            <w:pPr>
              <w:jc w:val="center"/>
              <w:rPr>
                <w:rFonts w:hint="eastAsia" w:ascii="宋体" w:hAnsi="宋体" w:cs="宋体"/>
                <w:color w:val="auto"/>
                <w:szCs w:val="21"/>
                <w:highlight w:val="none"/>
              </w:rPr>
            </w:pPr>
          </w:p>
        </w:tc>
        <w:tc>
          <w:tcPr>
            <w:tcW w:w="1047" w:type="dxa"/>
            <w:tcBorders>
              <w:top w:val="single" w:color="auto" w:sz="6" w:space="0"/>
              <w:left w:val="single" w:color="auto" w:sz="6" w:space="0"/>
              <w:bottom w:val="single" w:color="auto" w:sz="6" w:space="0"/>
              <w:right w:val="single" w:color="auto" w:sz="6" w:space="0"/>
            </w:tcBorders>
            <w:vAlign w:val="center"/>
          </w:tcPr>
          <w:p w14:paraId="6B1A7857">
            <w:pPr>
              <w:jc w:val="center"/>
              <w:rPr>
                <w:rFonts w:hint="eastAsia" w:ascii="宋体" w:hAnsi="宋体" w:cs="宋体"/>
                <w:color w:val="auto"/>
                <w:szCs w:val="21"/>
                <w:highlight w:val="none"/>
              </w:rPr>
            </w:pPr>
          </w:p>
        </w:tc>
        <w:tc>
          <w:tcPr>
            <w:tcW w:w="1274" w:type="dxa"/>
            <w:tcBorders>
              <w:top w:val="single" w:color="auto" w:sz="6" w:space="0"/>
              <w:left w:val="single" w:color="auto" w:sz="6" w:space="0"/>
              <w:bottom w:val="single" w:color="auto" w:sz="6" w:space="0"/>
              <w:right w:val="single" w:color="auto" w:sz="6" w:space="0"/>
            </w:tcBorders>
            <w:vAlign w:val="center"/>
          </w:tcPr>
          <w:p w14:paraId="71877FCA">
            <w:pPr>
              <w:jc w:val="center"/>
              <w:rPr>
                <w:rFonts w:hint="eastAsia" w:ascii="宋体" w:hAnsi="宋体" w:cs="宋体"/>
                <w:color w:val="auto"/>
                <w:szCs w:val="21"/>
                <w:highlight w:val="none"/>
              </w:rPr>
            </w:pPr>
          </w:p>
        </w:tc>
        <w:tc>
          <w:tcPr>
            <w:tcW w:w="993" w:type="dxa"/>
            <w:tcBorders>
              <w:top w:val="single" w:color="auto" w:sz="6" w:space="0"/>
              <w:left w:val="single" w:color="auto" w:sz="6" w:space="0"/>
              <w:bottom w:val="single" w:color="auto" w:sz="6" w:space="0"/>
              <w:right w:val="single" w:color="auto" w:sz="6" w:space="0"/>
            </w:tcBorders>
            <w:vAlign w:val="center"/>
          </w:tcPr>
          <w:p w14:paraId="763E4EA8">
            <w:pPr>
              <w:jc w:val="center"/>
              <w:rPr>
                <w:rFonts w:hint="eastAsia" w:ascii="宋体" w:hAnsi="宋体" w:cs="宋体"/>
                <w:color w:val="auto"/>
                <w:szCs w:val="21"/>
                <w:highlight w:val="none"/>
              </w:rPr>
            </w:pPr>
          </w:p>
        </w:tc>
        <w:tc>
          <w:tcPr>
            <w:tcW w:w="850" w:type="dxa"/>
            <w:tcBorders>
              <w:top w:val="single" w:color="auto" w:sz="6" w:space="0"/>
              <w:left w:val="single" w:color="auto" w:sz="6" w:space="0"/>
              <w:bottom w:val="single" w:color="auto" w:sz="6" w:space="0"/>
              <w:right w:val="single" w:color="auto" w:sz="6" w:space="0"/>
            </w:tcBorders>
            <w:vAlign w:val="center"/>
          </w:tcPr>
          <w:p w14:paraId="4F5C80FC">
            <w:pPr>
              <w:jc w:val="center"/>
              <w:rPr>
                <w:rFonts w:hint="eastAsia" w:ascii="宋体" w:hAnsi="宋体" w:cs="宋体"/>
                <w:color w:val="auto"/>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2ACD2A6D">
            <w:pPr>
              <w:jc w:val="center"/>
              <w:rPr>
                <w:rFonts w:hint="eastAsia" w:ascii="宋体" w:hAnsi="宋体" w:cs="宋体"/>
                <w:color w:val="auto"/>
                <w:szCs w:val="21"/>
                <w:highlight w:val="none"/>
              </w:rPr>
            </w:pPr>
          </w:p>
        </w:tc>
        <w:tc>
          <w:tcPr>
            <w:tcW w:w="992" w:type="dxa"/>
            <w:tcBorders>
              <w:top w:val="single" w:color="auto" w:sz="6" w:space="0"/>
              <w:left w:val="single" w:color="auto" w:sz="6" w:space="0"/>
              <w:bottom w:val="single" w:color="auto" w:sz="6" w:space="0"/>
              <w:right w:val="single" w:color="auto" w:sz="6" w:space="0"/>
            </w:tcBorders>
            <w:vAlign w:val="center"/>
          </w:tcPr>
          <w:p w14:paraId="1BE15A23">
            <w:pPr>
              <w:jc w:val="center"/>
              <w:rPr>
                <w:rFonts w:hint="eastAsia" w:ascii="宋体" w:hAnsi="宋体" w:cs="宋体"/>
                <w:color w:val="auto"/>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2F4BAF95">
            <w:pPr>
              <w:jc w:val="center"/>
              <w:rPr>
                <w:rFonts w:hint="eastAsia" w:ascii="宋体" w:hAnsi="宋体" w:cs="宋体"/>
                <w:color w:val="auto"/>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059BA9D2">
            <w:pPr>
              <w:jc w:val="center"/>
              <w:rPr>
                <w:rFonts w:hint="eastAsia" w:ascii="宋体" w:hAnsi="宋体" w:cs="宋体"/>
                <w:color w:val="auto"/>
                <w:szCs w:val="21"/>
                <w:highlight w:val="none"/>
              </w:rPr>
            </w:pPr>
          </w:p>
        </w:tc>
        <w:tc>
          <w:tcPr>
            <w:tcW w:w="850" w:type="dxa"/>
            <w:tcBorders>
              <w:top w:val="single" w:color="auto" w:sz="6" w:space="0"/>
              <w:left w:val="single" w:color="auto" w:sz="6" w:space="0"/>
              <w:bottom w:val="single" w:color="auto" w:sz="6" w:space="0"/>
              <w:right w:val="single" w:color="auto" w:sz="12" w:space="0"/>
            </w:tcBorders>
            <w:vAlign w:val="center"/>
          </w:tcPr>
          <w:p w14:paraId="3FCE83BA">
            <w:pPr>
              <w:jc w:val="center"/>
              <w:rPr>
                <w:rFonts w:hint="eastAsia" w:ascii="宋体" w:hAnsi="宋体" w:cs="宋体"/>
                <w:color w:val="auto"/>
                <w:szCs w:val="21"/>
                <w:highlight w:val="none"/>
              </w:rPr>
            </w:pPr>
          </w:p>
        </w:tc>
      </w:tr>
      <w:tr w14:paraId="4D941B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75" w:type="dxa"/>
            <w:tcBorders>
              <w:top w:val="single" w:color="auto" w:sz="6" w:space="0"/>
              <w:left w:val="single" w:color="auto" w:sz="12" w:space="0"/>
              <w:bottom w:val="single" w:color="auto" w:sz="6" w:space="0"/>
              <w:right w:val="single" w:color="auto" w:sz="6" w:space="0"/>
            </w:tcBorders>
            <w:vAlign w:val="center"/>
          </w:tcPr>
          <w:p w14:paraId="5244F1CA">
            <w:pPr>
              <w:jc w:val="center"/>
              <w:rPr>
                <w:rFonts w:hint="eastAsia" w:ascii="宋体" w:hAnsi="宋体" w:cs="宋体"/>
                <w:color w:val="auto"/>
                <w:szCs w:val="21"/>
                <w:highlight w:val="none"/>
              </w:rPr>
            </w:pPr>
          </w:p>
        </w:tc>
        <w:tc>
          <w:tcPr>
            <w:tcW w:w="1047" w:type="dxa"/>
            <w:tcBorders>
              <w:top w:val="single" w:color="auto" w:sz="6" w:space="0"/>
              <w:left w:val="single" w:color="auto" w:sz="6" w:space="0"/>
              <w:bottom w:val="single" w:color="auto" w:sz="6" w:space="0"/>
              <w:right w:val="single" w:color="auto" w:sz="6" w:space="0"/>
            </w:tcBorders>
            <w:vAlign w:val="center"/>
          </w:tcPr>
          <w:p w14:paraId="39FCAC39">
            <w:pPr>
              <w:jc w:val="center"/>
              <w:rPr>
                <w:rFonts w:hint="eastAsia" w:ascii="宋体" w:hAnsi="宋体" w:cs="宋体"/>
                <w:color w:val="auto"/>
                <w:szCs w:val="21"/>
                <w:highlight w:val="none"/>
              </w:rPr>
            </w:pPr>
          </w:p>
        </w:tc>
        <w:tc>
          <w:tcPr>
            <w:tcW w:w="1274" w:type="dxa"/>
            <w:tcBorders>
              <w:top w:val="single" w:color="auto" w:sz="6" w:space="0"/>
              <w:left w:val="single" w:color="auto" w:sz="6" w:space="0"/>
              <w:bottom w:val="single" w:color="auto" w:sz="6" w:space="0"/>
              <w:right w:val="single" w:color="auto" w:sz="6" w:space="0"/>
            </w:tcBorders>
            <w:vAlign w:val="center"/>
          </w:tcPr>
          <w:p w14:paraId="2D67D861">
            <w:pPr>
              <w:jc w:val="center"/>
              <w:rPr>
                <w:rFonts w:hint="eastAsia" w:ascii="宋体" w:hAnsi="宋体" w:cs="宋体"/>
                <w:color w:val="auto"/>
                <w:szCs w:val="21"/>
                <w:highlight w:val="none"/>
              </w:rPr>
            </w:pPr>
          </w:p>
        </w:tc>
        <w:tc>
          <w:tcPr>
            <w:tcW w:w="993" w:type="dxa"/>
            <w:tcBorders>
              <w:top w:val="single" w:color="auto" w:sz="6" w:space="0"/>
              <w:left w:val="single" w:color="auto" w:sz="6" w:space="0"/>
              <w:bottom w:val="single" w:color="auto" w:sz="6" w:space="0"/>
              <w:right w:val="single" w:color="auto" w:sz="6" w:space="0"/>
            </w:tcBorders>
            <w:vAlign w:val="center"/>
          </w:tcPr>
          <w:p w14:paraId="03E4DAA2">
            <w:pPr>
              <w:jc w:val="center"/>
              <w:rPr>
                <w:rFonts w:hint="eastAsia" w:ascii="宋体" w:hAnsi="宋体" w:cs="宋体"/>
                <w:color w:val="auto"/>
                <w:szCs w:val="21"/>
                <w:highlight w:val="none"/>
              </w:rPr>
            </w:pPr>
          </w:p>
        </w:tc>
        <w:tc>
          <w:tcPr>
            <w:tcW w:w="850" w:type="dxa"/>
            <w:tcBorders>
              <w:top w:val="single" w:color="auto" w:sz="6" w:space="0"/>
              <w:left w:val="single" w:color="auto" w:sz="6" w:space="0"/>
              <w:bottom w:val="single" w:color="auto" w:sz="6" w:space="0"/>
              <w:right w:val="single" w:color="auto" w:sz="6" w:space="0"/>
            </w:tcBorders>
            <w:vAlign w:val="center"/>
          </w:tcPr>
          <w:p w14:paraId="7DA420B6">
            <w:pPr>
              <w:jc w:val="center"/>
              <w:rPr>
                <w:rFonts w:hint="eastAsia" w:ascii="宋体" w:hAnsi="宋体" w:cs="宋体"/>
                <w:color w:val="auto"/>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1C87D83C">
            <w:pPr>
              <w:jc w:val="center"/>
              <w:rPr>
                <w:rFonts w:hint="eastAsia" w:ascii="宋体" w:hAnsi="宋体" w:cs="宋体"/>
                <w:color w:val="auto"/>
                <w:szCs w:val="21"/>
                <w:highlight w:val="none"/>
              </w:rPr>
            </w:pPr>
          </w:p>
        </w:tc>
        <w:tc>
          <w:tcPr>
            <w:tcW w:w="992" w:type="dxa"/>
            <w:tcBorders>
              <w:top w:val="single" w:color="auto" w:sz="6" w:space="0"/>
              <w:left w:val="single" w:color="auto" w:sz="6" w:space="0"/>
              <w:bottom w:val="single" w:color="auto" w:sz="6" w:space="0"/>
              <w:right w:val="single" w:color="auto" w:sz="6" w:space="0"/>
            </w:tcBorders>
            <w:vAlign w:val="center"/>
          </w:tcPr>
          <w:p w14:paraId="227F41DA">
            <w:pPr>
              <w:jc w:val="center"/>
              <w:rPr>
                <w:rFonts w:hint="eastAsia" w:ascii="宋体" w:hAnsi="宋体" w:cs="宋体"/>
                <w:color w:val="auto"/>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070E09B0">
            <w:pPr>
              <w:jc w:val="center"/>
              <w:rPr>
                <w:rFonts w:hint="eastAsia" w:ascii="宋体" w:hAnsi="宋体" w:cs="宋体"/>
                <w:color w:val="auto"/>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40964EF9">
            <w:pPr>
              <w:jc w:val="center"/>
              <w:rPr>
                <w:rFonts w:hint="eastAsia" w:ascii="宋体" w:hAnsi="宋体" w:cs="宋体"/>
                <w:color w:val="auto"/>
                <w:szCs w:val="21"/>
                <w:highlight w:val="none"/>
              </w:rPr>
            </w:pPr>
          </w:p>
        </w:tc>
        <w:tc>
          <w:tcPr>
            <w:tcW w:w="850" w:type="dxa"/>
            <w:tcBorders>
              <w:top w:val="single" w:color="auto" w:sz="6" w:space="0"/>
              <w:left w:val="single" w:color="auto" w:sz="6" w:space="0"/>
              <w:bottom w:val="single" w:color="auto" w:sz="6" w:space="0"/>
              <w:right w:val="single" w:color="auto" w:sz="12" w:space="0"/>
            </w:tcBorders>
            <w:vAlign w:val="center"/>
          </w:tcPr>
          <w:p w14:paraId="61607C79">
            <w:pPr>
              <w:jc w:val="center"/>
              <w:rPr>
                <w:rFonts w:hint="eastAsia" w:ascii="宋体" w:hAnsi="宋体" w:cs="宋体"/>
                <w:color w:val="auto"/>
                <w:szCs w:val="21"/>
                <w:highlight w:val="none"/>
              </w:rPr>
            </w:pPr>
          </w:p>
        </w:tc>
      </w:tr>
      <w:tr w14:paraId="162066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75" w:type="dxa"/>
            <w:tcBorders>
              <w:top w:val="single" w:color="auto" w:sz="6" w:space="0"/>
              <w:left w:val="single" w:color="auto" w:sz="12" w:space="0"/>
              <w:bottom w:val="single" w:color="auto" w:sz="6" w:space="0"/>
              <w:right w:val="single" w:color="auto" w:sz="6" w:space="0"/>
            </w:tcBorders>
            <w:vAlign w:val="center"/>
          </w:tcPr>
          <w:p w14:paraId="45FE4C1F">
            <w:pPr>
              <w:jc w:val="center"/>
              <w:rPr>
                <w:rFonts w:hint="eastAsia" w:ascii="宋体" w:hAnsi="宋体" w:cs="宋体"/>
                <w:color w:val="auto"/>
                <w:szCs w:val="21"/>
                <w:highlight w:val="none"/>
              </w:rPr>
            </w:pPr>
          </w:p>
        </w:tc>
        <w:tc>
          <w:tcPr>
            <w:tcW w:w="1047" w:type="dxa"/>
            <w:tcBorders>
              <w:top w:val="single" w:color="auto" w:sz="6" w:space="0"/>
              <w:left w:val="single" w:color="auto" w:sz="6" w:space="0"/>
              <w:bottom w:val="single" w:color="auto" w:sz="6" w:space="0"/>
              <w:right w:val="single" w:color="auto" w:sz="6" w:space="0"/>
            </w:tcBorders>
            <w:vAlign w:val="center"/>
          </w:tcPr>
          <w:p w14:paraId="47BB22BE">
            <w:pPr>
              <w:jc w:val="center"/>
              <w:rPr>
                <w:rFonts w:hint="eastAsia" w:ascii="宋体" w:hAnsi="宋体" w:cs="宋体"/>
                <w:color w:val="auto"/>
                <w:szCs w:val="21"/>
                <w:highlight w:val="none"/>
              </w:rPr>
            </w:pPr>
          </w:p>
        </w:tc>
        <w:tc>
          <w:tcPr>
            <w:tcW w:w="1274" w:type="dxa"/>
            <w:tcBorders>
              <w:top w:val="single" w:color="auto" w:sz="6" w:space="0"/>
              <w:left w:val="single" w:color="auto" w:sz="6" w:space="0"/>
              <w:bottom w:val="single" w:color="auto" w:sz="6" w:space="0"/>
              <w:right w:val="single" w:color="auto" w:sz="6" w:space="0"/>
            </w:tcBorders>
            <w:vAlign w:val="center"/>
          </w:tcPr>
          <w:p w14:paraId="7130B8EC">
            <w:pPr>
              <w:jc w:val="center"/>
              <w:rPr>
                <w:rFonts w:hint="eastAsia" w:ascii="宋体" w:hAnsi="宋体" w:cs="宋体"/>
                <w:color w:val="auto"/>
                <w:szCs w:val="21"/>
                <w:highlight w:val="none"/>
              </w:rPr>
            </w:pPr>
          </w:p>
        </w:tc>
        <w:tc>
          <w:tcPr>
            <w:tcW w:w="993" w:type="dxa"/>
            <w:tcBorders>
              <w:top w:val="single" w:color="auto" w:sz="6" w:space="0"/>
              <w:left w:val="single" w:color="auto" w:sz="6" w:space="0"/>
              <w:bottom w:val="single" w:color="auto" w:sz="6" w:space="0"/>
              <w:right w:val="single" w:color="auto" w:sz="6" w:space="0"/>
            </w:tcBorders>
            <w:vAlign w:val="center"/>
          </w:tcPr>
          <w:p w14:paraId="75333722">
            <w:pPr>
              <w:jc w:val="center"/>
              <w:rPr>
                <w:rFonts w:hint="eastAsia" w:ascii="宋体" w:hAnsi="宋体" w:cs="宋体"/>
                <w:color w:val="auto"/>
                <w:szCs w:val="21"/>
                <w:highlight w:val="none"/>
              </w:rPr>
            </w:pPr>
          </w:p>
        </w:tc>
        <w:tc>
          <w:tcPr>
            <w:tcW w:w="850" w:type="dxa"/>
            <w:tcBorders>
              <w:top w:val="single" w:color="auto" w:sz="6" w:space="0"/>
              <w:left w:val="single" w:color="auto" w:sz="6" w:space="0"/>
              <w:bottom w:val="single" w:color="auto" w:sz="6" w:space="0"/>
              <w:right w:val="single" w:color="auto" w:sz="6" w:space="0"/>
            </w:tcBorders>
            <w:vAlign w:val="center"/>
          </w:tcPr>
          <w:p w14:paraId="48D707DD">
            <w:pPr>
              <w:jc w:val="center"/>
              <w:rPr>
                <w:rFonts w:hint="eastAsia" w:ascii="宋体" w:hAnsi="宋体" w:cs="宋体"/>
                <w:color w:val="auto"/>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7C559481">
            <w:pPr>
              <w:jc w:val="center"/>
              <w:rPr>
                <w:rFonts w:hint="eastAsia" w:ascii="宋体" w:hAnsi="宋体" w:cs="宋体"/>
                <w:color w:val="auto"/>
                <w:szCs w:val="21"/>
                <w:highlight w:val="none"/>
              </w:rPr>
            </w:pPr>
          </w:p>
        </w:tc>
        <w:tc>
          <w:tcPr>
            <w:tcW w:w="992" w:type="dxa"/>
            <w:tcBorders>
              <w:top w:val="single" w:color="auto" w:sz="6" w:space="0"/>
              <w:left w:val="single" w:color="auto" w:sz="6" w:space="0"/>
              <w:bottom w:val="single" w:color="auto" w:sz="6" w:space="0"/>
              <w:right w:val="single" w:color="auto" w:sz="6" w:space="0"/>
            </w:tcBorders>
            <w:vAlign w:val="center"/>
          </w:tcPr>
          <w:p w14:paraId="7A2F164A">
            <w:pPr>
              <w:jc w:val="center"/>
              <w:rPr>
                <w:rFonts w:hint="eastAsia" w:ascii="宋体" w:hAnsi="宋体" w:cs="宋体"/>
                <w:color w:val="auto"/>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7B7717C7">
            <w:pPr>
              <w:jc w:val="center"/>
              <w:rPr>
                <w:rFonts w:hint="eastAsia" w:ascii="宋体" w:hAnsi="宋体" w:cs="宋体"/>
                <w:color w:val="auto"/>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22D83A16">
            <w:pPr>
              <w:jc w:val="center"/>
              <w:rPr>
                <w:rFonts w:hint="eastAsia" w:ascii="宋体" w:hAnsi="宋体" w:cs="宋体"/>
                <w:color w:val="auto"/>
                <w:szCs w:val="21"/>
                <w:highlight w:val="none"/>
              </w:rPr>
            </w:pPr>
          </w:p>
        </w:tc>
        <w:tc>
          <w:tcPr>
            <w:tcW w:w="850" w:type="dxa"/>
            <w:tcBorders>
              <w:top w:val="single" w:color="auto" w:sz="6" w:space="0"/>
              <w:left w:val="single" w:color="auto" w:sz="6" w:space="0"/>
              <w:bottom w:val="single" w:color="auto" w:sz="6" w:space="0"/>
              <w:right w:val="single" w:color="auto" w:sz="12" w:space="0"/>
            </w:tcBorders>
            <w:vAlign w:val="center"/>
          </w:tcPr>
          <w:p w14:paraId="5C391D28">
            <w:pPr>
              <w:jc w:val="center"/>
              <w:rPr>
                <w:rFonts w:hint="eastAsia" w:ascii="宋体" w:hAnsi="宋体" w:cs="宋体"/>
                <w:color w:val="auto"/>
                <w:szCs w:val="21"/>
                <w:highlight w:val="none"/>
              </w:rPr>
            </w:pPr>
          </w:p>
        </w:tc>
      </w:tr>
      <w:tr w14:paraId="7BE1C6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75" w:type="dxa"/>
            <w:tcBorders>
              <w:top w:val="single" w:color="auto" w:sz="6" w:space="0"/>
              <w:left w:val="single" w:color="auto" w:sz="12" w:space="0"/>
              <w:bottom w:val="single" w:color="auto" w:sz="6" w:space="0"/>
              <w:right w:val="single" w:color="auto" w:sz="6" w:space="0"/>
            </w:tcBorders>
            <w:vAlign w:val="center"/>
          </w:tcPr>
          <w:p w14:paraId="73F96308">
            <w:pPr>
              <w:jc w:val="center"/>
              <w:rPr>
                <w:rFonts w:hint="eastAsia" w:ascii="宋体" w:hAnsi="宋体" w:cs="宋体"/>
                <w:color w:val="auto"/>
                <w:szCs w:val="21"/>
                <w:highlight w:val="none"/>
              </w:rPr>
            </w:pPr>
          </w:p>
        </w:tc>
        <w:tc>
          <w:tcPr>
            <w:tcW w:w="1047" w:type="dxa"/>
            <w:tcBorders>
              <w:top w:val="single" w:color="auto" w:sz="6" w:space="0"/>
              <w:left w:val="single" w:color="auto" w:sz="6" w:space="0"/>
              <w:bottom w:val="single" w:color="auto" w:sz="6" w:space="0"/>
              <w:right w:val="single" w:color="auto" w:sz="6" w:space="0"/>
            </w:tcBorders>
            <w:vAlign w:val="center"/>
          </w:tcPr>
          <w:p w14:paraId="41593293">
            <w:pPr>
              <w:jc w:val="center"/>
              <w:rPr>
                <w:rFonts w:hint="eastAsia" w:ascii="宋体" w:hAnsi="宋体" w:cs="宋体"/>
                <w:color w:val="auto"/>
                <w:szCs w:val="21"/>
                <w:highlight w:val="none"/>
              </w:rPr>
            </w:pPr>
          </w:p>
        </w:tc>
        <w:tc>
          <w:tcPr>
            <w:tcW w:w="1274" w:type="dxa"/>
            <w:tcBorders>
              <w:top w:val="single" w:color="auto" w:sz="6" w:space="0"/>
              <w:left w:val="single" w:color="auto" w:sz="6" w:space="0"/>
              <w:bottom w:val="single" w:color="auto" w:sz="6" w:space="0"/>
              <w:right w:val="single" w:color="auto" w:sz="6" w:space="0"/>
            </w:tcBorders>
            <w:vAlign w:val="center"/>
          </w:tcPr>
          <w:p w14:paraId="15F6173C">
            <w:pPr>
              <w:jc w:val="center"/>
              <w:rPr>
                <w:rFonts w:hint="eastAsia" w:ascii="宋体" w:hAnsi="宋体" w:cs="宋体"/>
                <w:color w:val="auto"/>
                <w:szCs w:val="21"/>
                <w:highlight w:val="none"/>
              </w:rPr>
            </w:pPr>
          </w:p>
        </w:tc>
        <w:tc>
          <w:tcPr>
            <w:tcW w:w="993" w:type="dxa"/>
            <w:tcBorders>
              <w:top w:val="single" w:color="auto" w:sz="6" w:space="0"/>
              <w:left w:val="single" w:color="auto" w:sz="6" w:space="0"/>
              <w:bottom w:val="single" w:color="auto" w:sz="6" w:space="0"/>
              <w:right w:val="single" w:color="auto" w:sz="6" w:space="0"/>
            </w:tcBorders>
            <w:vAlign w:val="center"/>
          </w:tcPr>
          <w:p w14:paraId="1CE60681">
            <w:pPr>
              <w:jc w:val="center"/>
              <w:rPr>
                <w:rFonts w:hint="eastAsia" w:ascii="宋体" w:hAnsi="宋体" w:cs="宋体"/>
                <w:color w:val="auto"/>
                <w:szCs w:val="21"/>
                <w:highlight w:val="none"/>
              </w:rPr>
            </w:pPr>
          </w:p>
        </w:tc>
        <w:tc>
          <w:tcPr>
            <w:tcW w:w="850" w:type="dxa"/>
            <w:tcBorders>
              <w:top w:val="single" w:color="auto" w:sz="6" w:space="0"/>
              <w:left w:val="single" w:color="auto" w:sz="6" w:space="0"/>
              <w:bottom w:val="single" w:color="auto" w:sz="6" w:space="0"/>
              <w:right w:val="single" w:color="auto" w:sz="6" w:space="0"/>
            </w:tcBorders>
            <w:vAlign w:val="center"/>
          </w:tcPr>
          <w:p w14:paraId="3F94550F">
            <w:pPr>
              <w:jc w:val="center"/>
              <w:rPr>
                <w:rFonts w:hint="eastAsia" w:ascii="宋体" w:hAnsi="宋体" w:cs="宋体"/>
                <w:color w:val="auto"/>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38900441">
            <w:pPr>
              <w:jc w:val="center"/>
              <w:rPr>
                <w:rFonts w:hint="eastAsia" w:ascii="宋体" w:hAnsi="宋体" w:cs="宋体"/>
                <w:color w:val="auto"/>
                <w:szCs w:val="21"/>
                <w:highlight w:val="none"/>
              </w:rPr>
            </w:pPr>
          </w:p>
        </w:tc>
        <w:tc>
          <w:tcPr>
            <w:tcW w:w="992" w:type="dxa"/>
            <w:tcBorders>
              <w:top w:val="single" w:color="auto" w:sz="6" w:space="0"/>
              <w:left w:val="single" w:color="auto" w:sz="6" w:space="0"/>
              <w:bottom w:val="single" w:color="auto" w:sz="6" w:space="0"/>
              <w:right w:val="single" w:color="auto" w:sz="6" w:space="0"/>
            </w:tcBorders>
            <w:vAlign w:val="center"/>
          </w:tcPr>
          <w:p w14:paraId="0800095C">
            <w:pPr>
              <w:jc w:val="center"/>
              <w:rPr>
                <w:rFonts w:hint="eastAsia" w:ascii="宋体" w:hAnsi="宋体" w:cs="宋体"/>
                <w:color w:val="auto"/>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0473B670">
            <w:pPr>
              <w:jc w:val="center"/>
              <w:rPr>
                <w:rFonts w:hint="eastAsia" w:ascii="宋体" w:hAnsi="宋体" w:cs="宋体"/>
                <w:color w:val="auto"/>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662A9A03">
            <w:pPr>
              <w:jc w:val="center"/>
              <w:rPr>
                <w:rFonts w:hint="eastAsia" w:ascii="宋体" w:hAnsi="宋体" w:cs="宋体"/>
                <w:color w:val="auto"/>
                <w:szCs w:val="21"/>
                <w:highlight w:val="none"/>
              </w:rPr>
            </w:pPr>
          </w:p>
        </w:tc>
        <w:tc>
          <w:tcPr>
            <w:tcW w:w="850" w:type="dxa"/>
            <w:tcBorders>
              <w:top w:val="single" w:color="auto" w:sz="6" w:space="0"/>
              <w:left w:val="single" w:color="auto" w:sz="6" w:space="0"/>
              <w:bottom w:val="single" w:color="auto" w:sz="6" w:space="0"/>
              <w:right w:val="single" w:color="auto" w:sz="12" w:space="0"/>
            </w:tcBorders>
            <w:vAlign w:val="center"/>
          </w:tcPr>
          <w:p w14:paraId="0B634F31">
            <w:pPr>
              <w:jc w:val="center"/>
              <w:rPr>
                <w:rFonts w:hint="eastAsia" w:ascii="宋体" w:hAnsi="宋体" w:cs="宋体"/>
                <w:color w:val="auto"/>
                <w:szCs w:val="21"/>
                <w:highlight w:val="none"/>
              </w:rPr>
            </w:pPr>
          </w:p>
        </w:tc>
      </w:tr>
      <w:tr w14:paraId="256ECA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75" w:type="dxa"/>
            <w:tcBorders>
              <w:top w:val="single" w:color="auto" w:sz="6" w:space="0"/>
              <w:left w:val="single" w:color="auto" w:sz="12" w:space="0"/>
              <w:bottom w:val="single" w:color="auto" w:sz="6" w:space="0"/>
              <w:right w:val="single" w:color="auto" w:sz="6" w:space="0"/>
            </w:tcBorders>
            <w:vAlign w:val="center"/>
          </w:tcPr>
          <w:p w14:paraId="1F786E04">
            <w:pPr>
              <w:jc w:val="center"/>
              <w:rPr>
                <w:rFonts w:hint="eastAsia" w:ascii="宋体" w:hAnsi="宋体" w:cs="宋体"/>
                <w:color w:val="auto"/>
                <w:szCs w:val="21"/>
                <w:highlight w:val="none"/>
              </w:rPr>
            </w:pPr>
          </w:p>
        </w:tc>
        <w:tc>
          <w:tcPr>
            <w:tcW w:w="1047" w:type="dxa"/>
            <w:tcBorders>
              <w:top w:val="single" w:color="auto" w:sz="6" w:space="0"/>
              <w:left w:val="single" w:color="auto" w:sz="6" w:space="0"/>
              <w:bottom w:val="single" w:color="auto" w:sz="6" w:space="0"/>
              <w:right w:val="single" w:color="auto" w:sz="6" w:space="0"/>
            </w:tcBorders>
            <w:vAlign w:val="center"/>
          </w:tcPr>
          <w:p w14:paraId="6A216266">
            <w:pPr>
              <w:jc w:val="center"/>
              <w:rPr>
                <w:rFonts w:hint="eastAsia" w:ascii="宋体" w:hAnsi="宋体" w:cs="宋体"/>
                <w:color w:val="auto"/>
                <w:szCs w:val="21"/>
                <w:highlight w:val="none"/>
              </w:rPr>
            </w:pPr>
          </w:p>
        </w:tc>
        <w:tc>
          <w:tcPr>
            <w:tcW w:w="1274" w:type="dxa"/>
            <w:tcBorders>
              <w:top w:val="single" w:color="auto" w:sz="6" w:space="0"/>
              <w:left w:val="single" w:color="auto" w:sz="6" w:space="0"/>
              <w:bottom w:val="single" w:color="auto" w:sz="6" w:space="0"/>
              <w:right w:val="single" w:color="auto" w:sz="6" w:space="0"/>
            </w:tcBorders>
            <w:vAlign w:val="center"/>
          </w:tcPr>
          <w:p w14:paraId="1DC8BFD1">
            <w:pPr>
              <w:jc w:val="center"/>
              <w:rPr>
                <w:rFonts w:hint="eastAsia" w:ascii="宋体" w:hAnsi="宋体" w:cs="宋体"/>
                <w:color w:val="auto"/>
                <w:szCs w:val="21"/>
                <w:highlight w:val="none"/>
              </w:rPr>
            </w:pPr>
          </w:p>
        </w:tc>
        <w:tc>
          <w:tcPr>
            <w:tcW w:w="993" w:type="dxa"/>
            <w:tcBorders>
              <w:top w:val="single" w:color="auto" w:sz="6" w:space="0"/>
              <w:left w:val="single" w:color="auto" w:sz="6" w:space="0"/>
              <w:bottom w:val="single" w:color="auto" w:sz="6" w:space="0"/>
              <w:right w:val="single" w:color="auto" w:sz="6" w:space="0"/>
            </w:tcBorders>
            <w:vAlign w:val="center"/>
          </w:tcPr>
          <w:p w14:paraId="397389D2">
            <w:pPr>
              <w:jc w:val="center"/>
              <w:rPr>
                <w:rFonts w:hint="eastAsia" w:ascii="宋体" w:hAnsi="宋体" w:cs="宋体"/>
                <w:color w:val="auto"/>
                <w:szCs w:val="21"/>
                <w:highlight w:val="none"/>
              </w:rPr>
            </w:pPr>
          </w:p>
        </w:tc>
        <w:tc>
          <w:tcPr>
            <w:tcW w:w="850" w:type="dxa"/>
            <w:tcBorders>
              <w:top w:val="single" w:color="auto" w:sz="6" w:space="0"/>
              <w:left w:val="single" w:color="auto" w:sz="6" w:space="0"/>
              <w:bottom w:val="single" w:color="auto" w:sz="6" w:space="0"/>
              <w:right w:val="single" w:color="auto" w:sz="6" w:space="0"/>
            </w:tcBorders>
            <w:vAlign w:val="center"/>
          </w:tcPr>
          <w:p w14:paraId="207B0F6A">
            <w:pPr>
              <w:jc w:val="center"/>
              <w:rPr>
                <w:rFonts w:hint="eastAsia" w:ascii="宋体" w:hAnsi="宋体" w:cs="宋体"/>
                <w:color w:val="auto"/>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2C0B0BFB">
            <w:pPr>
              <w:jc w:val="center"/>
              <w:rPr>
                <w:rFonts w:hint="eastAsia" w:ascii="宋体" w:hAnsi="宋体" w:cs="宋体"/>
                <w:color w:val="auto"/>
                <w:szCs w:val="21"/>
                <w:highlight w:val="none"/>
              </w:rPr>
            </w:pPr>
          </w:p>
        </w:tc>
        <w:tc>
          <w:tcPr>
            <w:tcW w:w="992" w:type="dxa"/>
            <w:tcBorders>
              <w:top w:val="single" w:color="auto" w:sz="6" w:space="0"/>
              <w:left w:val="single" w:color="auto" w:sz="6" w:space="0"/>
              <w:bottom w:val="single" w:color="auto" w:sz="6" w:space="0"/>
              <w:right w:val="single" w:color="auto" w:sz="6" w:space="0"/>
            </w:tcBorders>
            <w:vAlign w:val="center"/>
          </w:tcPr>
          <w:p w14:paraId="3ED7780C">
            <w:pPr>
              <w:jc w:val="center"/>
              <w:rPr>
                <w:rFonts w:hint="eastAsia" w:ascii="宋体" w:hAnsi="宋体" w:cs="宋体"/>
                <w:color w:val="auto"/>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6B25325B">
            <w:pPr>
              <w:jc w:val="center"/>
              <w:rPr>
                <w:rFonts w:hint="eastAsia" w:ascii="宋体" w:hAnsi="宋体" w:cs="宋体"/>
                <w:color w:val="auto"/>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0D09D0A3">
            <w:pPr>
              <w:jc w:val="center"/>
              <w:rPr>
                <w:rFonts w:hint="eastAsia" w:ascii="宋体" w:hAnsi="宋体" w:cs="宋体"/>
                <w:color w:val="auto"/>
                <w:szCs w:val="21"/>
                <w:highlight w:val="none"/>
              </w:rPr>
            </w:pPr>
          </w:p>
        </w:tc>
        <w:tc>
          <w:tcPr>
            <w:tcW w:w="850" w:type="dxa"/>
            <w:tcBorders>
              <w:top w:val="single" w:color="auto" w:sz="6" w:space="0"/>
              <w:left w:val="single" w:color="auto" w:sz="6" w:space="0"/>
              <w:bottom w:val="single" w:color="auto" w:sz="6" w:space="0"/>
              <w:right w:val="single" w:color="auto" w:sz="12" w:space="0"/>
            </w:tcBorders>
            <w:vAlign w:val="center"/>
          </w:tcPr>
          <w:p w14:paraId="4C95AF31">
            <w:pPr>
              <w:jc w:val="center"/>
              <w:rPr>
                <w:rFonts w:hint="eastAsia" w:ascii="宋体" w:hAnsi="宋体" w:cs="宋体"/>
                <w:color w:val="auto"/>
                <w:szCs w:val="21"/>
                <w:highlight w:val="none"/>
              </w:rPr>
            </w:pPr>
          </w:p>
        </w:tc>
      </w:tr>
      <w:tr w14:paraId="2E3D5D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75" w:type="dxa"/>
            <w:tcBorders>
              <w:top w:val="single" w:color="auto" w:sz="6" w:space="0"/>
              <w:left w:val="single" w:color="auto" w:sz="12" w:space="0"/>
              <w:bottom w:val="single" w:color="auto" w:sz="12" w:space="0"/>
              <w:right w:val="single" w:color="auto" w:sz="6" w:space="0"/>
            </w:tcBorders>
            <w:vAlign w:val="center"/>
          </w:tcPr>
          <w:p w14:paraId="265DAF09">
            <w:pPr>
              <w:jc w:val="center"/>
              <w:rPr>
                <w:rFonts w:hint="eastAsia" w:ascii="宋体" w:hAnsi="宋体" w:cs="宋体"/>
                <w:color w:val="auto"/>
                <w:szCs w:val="21"/>
                <w:highlight w:val="none"/>
              </w:rPr>
            </w:pPr>
          </w:p>
        </w:tc>
        <w:tc>
          <w:tcPr>
            <w:tcW w:w="1047" w:type="dxa"/>
            <w:tcBorders>
              <w:top w:val="single" w:color="auto" w:sz="6" w:space="0"/>
              <w:left w:val="single" w:color="auto" w:sz="6" w:space="0"/>
              <w:bottom w:val="single" w:color="auto" w:sz="12" w:space="0"/>
              <w:right w:val="single" w:color="auto" w:sz="6" w:space="0"/>
            </w:tcBorders>
            <w:vAlign w:val="center"/>
          </w:tcPr>
          <w:p w14:paraId="7310B300">
            <w:pPr>
              <w:jc w:val="center"/>
              <w:rPr>
                <w:rFonts w:hint="eastAsia" w:ascii="宋体" w:hAnsi="宋体" w:cs="宋体"/>
                <w:color w:val="auto"/>
                <w:szCs w:val="21"/>
                <w:highlight w:val="none"/>
              </w:rPr>
            </w:pPr>
          </w:p>
        </w:tc>
        <w:tc>
          <w:tcPr>
            <w:tcW w:w="1274" w:type="dxa"/>
            <w:tcBorders>
              <w:top w:val="single" w:color="auto" w:sz="6" w:space="0"/>
              <w:left w:val="single" w:color="auto" w:sz="6" w:space="0"/>
              <w:bottom w:val="single" w:color="auto" w:sz="12" w:space="0"/>
              <w:right w:val="single" w:color="auto" w:sz="6" w:space="0"/>
            </w:tcBorders>
            <w:vAlign w:val="center"/>
          </w:tcPr>
          <w:p w14:paraId="62AFF2D2">
            <w:pPr>
              <w:jc w:val="center"/>
              <w:rPr>
                <w:rFonts w:hint="eastAsia" w:ascii="宋体" w:hAnsi="宋体" w:cs="宋体"/>
                <w:color w:val="auto"/>
                <w:szCs w:val="21"/>
                <w:highlight w:val="none"/>
              </w:rPr>
            </w:pPr>
          </w:p>
        </w:tc>
        <w:tc>
          <w:tcPr>
            <w:tcW w:w="993" w:type="dxa"/>
            <w:tcBorders>
              <w:top w:val="single" w:color="auto" w:sz="6" w:space="0"/>
              <w:left w:val="single" w:color="auto" w:sz="6" w:space="0"/>
              <w:bottom w:val="single" w:color="auto" w:sz="12" w:space="0"/>
              <w:right w:val="single" w:color="auto" w:sz="6" w:space="0"/>
            </w:tcBorders>
            <w:vAlign w:val="center"/>
          </w:tcPr>
          <w:p w14:paraId="13034AD1">
            <w:pPr>
              <w:jc w:val="center"/>
              <w:rPr>
                <w:rFonts w:hint="eastAsia" w:ascii="宋体" w:hAnsi="宋体" w:cs="宋体"/>
                <w:color w:val="auto"/>
                <w:szCs w:val="21"/>
                <w:highlight w:val="none"/>
              </w:rPr>
            </w:pPr>
          </w:p>
        </w:tc>
        <w:tc>
          <w:tcPr>
            <w:tcW w:w="850" w:type="dxa"/>
            <w:tcBorders>
              <w:top w:val="single" w:color="auto" w:sz="6" w:space="0"/>
              <w:left w:val="single" w:color="auto" w:sz="6" w:space="0"/>
              <w:bottom w:val="single" w:color="auto" w:sz="12" w:space="0"/>
              <w:right w:val="single" w:color="auto" w:sz="6" w:space="0"/>
            </w:tcBorders>
            <w:vAlign w:val="center"/>
          </w:tcPr>
          <w:p w14:paraId="0059F651">
            <w:pPr>
              <w:jc w:val="center"/>
              <w:rPr>
                <w:rFonts w:hint="eastAsia" w:ascii="宋体" w:hAnsi="宋体" w:cs="宋体"/>
                <w:color w:val="auto"/>
                <w:szCs w:val="21"/>
                <w:highlight w:val="none"/>
              </w:rPr>
            </w:pPr>
          </w:p>
        </w:tc>
        <w:tc>
          <w:tcPr>
            <w:tcW w:w="851" w:type="dxa"/>
            <w:tcBorders>
              <w:top w:val="single" w:color="auto" w:sz="6" w:space="0"/>
              <w:left w:val="single" w:color="auto" w:sz="6" w:space="0"/>
              <w:bottom w:val="single" w:color="auto" w:sz="12" w:space="0"/>
              <w:right w:val="single" w:color="auto" w:sz="6" w:space="0"/>
            </w:tcBorders>
            <w:vAlign w:val="center"/>
          </w:tcPr>
          <w:p w14:paraId="164B325B">
            <w:pPr>
              <w:jc w:val="center"/>
              <w:rPr>
                <w:rFonts w:hint="eastAsia" w:ascii="宋体" w:hAnsi="宋体" w:cs="宋体"/>
                <w:color w:val="auto"/>
                <w:szCs w:val="21"/>
                <w:highlight w:val="none"/>
              </w:rPr>
            </w:pPr>
          </w:p>
        </w:tc>
        <w:tc>
          <w:tcPr>
            <w:tcW w:w="992" w:type="dxa"/>
            <w:tcBorders>
              <w:top w:val="single" w:color="auto" w:sz="6" w:space="0"/>
              <w:left w:val="single" w:color="auto" w:sz="6" w:space="0"/>
              <w:bottom w:val="single" w:color="auto" w:sz="12" w:space="0"/>
              <w:right w:val="single" w:color="auto" w:sz="6" w:space="0"/>
            </w:tcBorders>
            <w:vAlign w:val="center"/>
          </w:tcPr>
          <w:p w14:paraId="5DD797FD">
            <w:pPr>
              <w:jc w:val="center"/>
              <w:rPr>
                <w:rFonts w:hint="eastAsia" w:ascii="宋体" w:hAnsi="宋体" w:cs="宋体"/>
                <w:color w:val="auto"/>
                <w:szCs w:val="21"/>
                <w:highlight w:val="none"/>
              </w:rPr>
            </w:pPr>
          </w:p>
        </w:tc>
        <w:tc>
          <w:tcPr>
            <w:tcW w:w="1134" w:type="dxa"/>
            <w:tcBorders>
              <w:top w:val="single" w:color="auto" w:sz="6" w:space="0"/>
              <w:left w:val="single" w:color="auto" w:sz="6" w:space="0"/>
              <w:bottom w:val="single" w:color="auto" w:sz="12" w:space="0"/>
              <w:right w:val="single" w:color="auto" w:sz="6" w:space="0"/>
            </w:tcBorders>
            <w:vAlign w:val="center"/>
          </w:tcPr>
          <w:p w14:paraId="32EE9F55">
            <w:pPr>
              <w:jc w:val="center"/>
              <w:rPr>
                <w:rFonts w:hint="eastAsia" w:ascii="宋体" w:hAnsi="宋体" w:cs="宋体"/>
                <w:color w:val="auto"/>
                <w:szCs w:val="21"/>
                <w:highlight w:val="none"/>
              </w:rPr>
            </w:pPr>
          </w:p>
        </w:tc>
        <w:tc>
          <w:tcPr>
            <w:tcW w:w="1134" w:type="dxa"/>
            <w:tcBorders>
              <w:top w:val="single" w:color="auto" w:sz="6" w:space="0"/>
              <w:left w:val="single" w:color="auto" w:sz="6" w:space="0"/>
              <w:bottom w:val="single" w:color="auto" w:sz="12" w:space="0"/>
              <w:right w:val="single" w:color="auto" w:sz="6" w:space="0"/>
            </w:tcBorders>
            <w:vAlign w:val="center"/>
          </w:tcPr>
          <w:p w14:paraId="07634471">
            <w:pPr>
              <w:jc w:val="center"/>
              <w:rPr>
                <w:rFonts w:hint="eastAsia" w:ascii="宋体" w:hAnsi="宋体" w:cs="宋体"/>
                <w:color w:val="auto"/>
                <w:szCs w:val="21"/>
                <w:highlight w:val="none"/>
              </w:rPr>
            </w:pPr>
          </w:p>
        </w:tc>
        <w:tc>
          <w:tcPr>
            <w:tcW w:w="850" w:type="dxa"/>
            <w:tcBorders>
              <w:top w:val="single" w:color="auto" w:sz="6" w:space="0"/>
              <w:left w:val="single" w:color="auto" w:sz="6" w:space="0"/>
              <w:bottom w:val="single" w:color="auto" w:sz="12" w:space="0"/>
              <w:right w:val="single" w:color="auto" w:sz="12" w:space="0"/>
            </w:tcBorders>
            <w:vAlign w:val="center"/>
          </w:tcPr>
          <w:p w14:paraId="06455E3F">
            <w:pPr>
              <w:jc w:val="center"/>
              <w:rPr>
                <w:rFonts w:hint="eastAsia" w:ascii="宋体" w:hAnsi="宋体" w:cs="宋体"/>
                <w:color w:val="auto"/>
                <w:szCs w:val="21"/>
                <w:highlight w:val="none"/>
              </w:rPr>
            </w:pPr>
          </w:p>
        </w:tc>
      </w:tr>
    </w:tbl>
    <w:p w14:paraId="0334C29D">
      <w:pPr>
        <w:spacing w:line="440" w:lineRule="exact"/>
        <w:rPr>
          <w:rFonts w:hint="eastAsia" w:ascii="宋体" w:hAnsi="宋体" w:cs="宋体"/>
          <w:color w:val="auto"/>
          <w:szCs w:val="21"/>
          <w:highlight w:val="none"/>
        </w:rPr>
      </w:pPr>
    </w:p>
    <w:p w14:paraId="1A1AA920">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附</w:t>
      </w:r>
      <w:bookmarkStart w:id="1484" w:name="_Toc296346727"/>
      <w:bookmarkStart w:id="1485" w:name="_Toc267261693"/>
      <w:bookmarkStart w:id="1486" w:name="_Toc296891266"/>
      <w:bookmarkStart w:id="1487" w:name="_Toc296891054"/>
      <w:bookmarkStart w:id="1488" w:name="_Toc296347225"/>
      <w:bookmarkStart w:id="1489" w:name="_Toc296944565"/>
      <w:bookmarkStart w:id="1490" w:name="_Toc296503226"/>
      <w:r>
        <w:rPr>
          <w:rFonts w:hint="eastAsia" w:ascii="宋体" w:hAnsi="宋体" w:cs="宋体"/>
          <w:color w:val="auto"/>
          <w:szCs w:val="21"/>
          <w:highlight w:val="none"/>
        </w:rPr>
        <w:t>件3：</w:t>
      </w:r>
      <w:bookmarkEnd w:id="1484"/>
      <w:bookmarkEnd w:id="1485"/>
      <w:bookmarkEnd w:id="1486"/>
      <w:bookmarkEnd w:id="1487"/>
      <w:bookmarkEnd w:id="1488"/>
      <w:bookmarkEnd w:id="1489"/>
      <w:bookmarkEnd w:id="1490"/>
      <w:r>
        <w:rPr>
          <w:rFonts w:hint="eastAsia" w:ascii="宋体" w:hAnsi="宋体" w:cs="宋体"/>
          <w:color w:val="auto"/>
          <w:szCs w:val="21"/>
          <w:highlight w:val="none"/>
        </w:rPr>
        <w:t xml:space="preserve">    </w:t>
      </w:r>
    </w:p>
    <w:p w14:paraId="0BD6EAED">
      <w:pPr>
        <w:spacing w:before="156" w:beforeLines="50" w:after="156" w:afterLines="50"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工程质量保修书</w:t>
      </w:r>
    </w:p>
    <w:p w14:paraId="4EFF365A">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发包人（全称）：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2FD4F3A3">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　　承包人（全称）：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17937EFF">
      <w:pPr>
        <w:spacing w:line="440" w:lineRule="exact"/>
        <w:rPr>
          <w:rFonts w:hint="eastAsia" w:ascii="宋体" w:hAnsi="宋体" w:cs="宋体"/>
          <w:color w:val="auto"/>
          <w:szCs w:val="21"/>
          <w:highlight w:val="none"/>
        </w:rPr>
      </w:pPr>
    </w:p>
    <w:p w14:paraId="107BBAC1">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发包人和承包人根据《中华人民共和国建筑法》和《建设工程质量管理条例》，经协商一致就</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（工程全称）签订工程质量保修书。</w:t>
      </w:r>
    </w:p>
    <w:p w14:paraId="75B847D7">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一、工程质量保修范围和内容</w:t>
      </w:r>
    </w:p>
    <w:p w14:paraId="39A8F91E">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承包人在质量保修期内，按照有关法律规定和合同约定，承担工程质量保修责任。</w:t>
      </w:r>
    </w:p>
    <w:p w14:paraId="2269D109">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质量保修范围包括</w:t>
      </w:r>
      <w:r>
        <w:rPr>
          <w:rFonts w:hint="eastAsia" w:ascii="宋体" w:hAnsi="宋体"/>
          <w:color w:val="auto"/>
          <w:szCs w:val="21"/>
          <w:highlight w:val="none"/>
          <w:u w:val="single"/>
        </w:rPr>
        <w:t>桂林航天工业学院多媒体教室安装空调供电改造工程所涉及的相关保修</w:t>
      </w:r>
      <w:r>
        <w:rPr>
          <w:rFonts w:hint="eastAsia" w:ascii="宋体" w:hAnsi="宋体" w:cs="宋体"/>
          <w:color w:val="auto"/>
          <w:szCs w:val="21"/>
          <w:highlight w:val="none"/>
        </w:rPr>
        <w:t>，以及双方约定的其他项目。具体保修的内容，双方约定如下：</w:t>
      </w:r>
    </w:p>
    <w:p w14:paraId="508517A4">
      <w:pPr>
        <w:autoSpaceDE w:val="0"/>
        <w:autoSpaceDN w:val="0"/>
        <w:adjustRightInd w:val="0"/>
        <w:spacing w:line="500" w:lineRule="exact"/>
        <w:ind w:left="-85" w:firstLine="420" w:firstLineChars="200"/>
        <w:rPr>
          <w:rFonts w:hint="eastAsia" w:ascii="宋体" w:hAnsi="宋体" w:cs="宋体"/>
          <w:b/>
          <w:color w:val="auto"/>
          <w:highlight w:val="none"/>
          <w:u w:val="single"/>
        </w:rPr>
      </w:pPr>
      <w:r>
        <w:rPr>
          <w:rFonts w:hint="eastAsia" w:ascii="宋体" w:hAnsi="宋体" w:cs="宋体"/>
          <w:color w:val="auto"/>
          <w:szCs w:val="21"/>
          <w:highlight w:val="none"/>
        </w:rPr>
        <w:t>　　</w:t>
      </w:r>
      <w:r>
        <w:rPr>
          <w:rFonts w:hint="eastAsia" w:ascii="宋体" w:hAnsi="宋体" w:cs="宋体"/>
          <w:b/>
          <w:color w:val="auto"/>
          <w:highlight w:val="none"/>
          <w:u w:val="single"/>
          <w:lang w:val="zh-CN"/>
        </w:rPr>
        <w:t>在承包人承包范围内，属承包人责任造成的工程质量问题，由承包人承担质量保修责任</w:t>
      </w:r>
      <w:r>
        <w:rPr>
          <w:rFonts w:hint="eastAsia" w:ascii="宋体" w:hAnsi="宋体" w:cs="宋体"/>
          <w:color w:val="auto"/>
          <w:szCs w:val="21"/>
          <w:highlight w:val="none"/>
        </w:rPr>
        <w:t>。</w:t>
      </w:r>
    </w:p>
    <w:p w14:paraId="1CE8D276">
      <w:pPr>
        <w:spacing w:line="360" w:lineRule="auto"/>
        <w:rPr>
          <w:rFonts w:hint="eastAsia" w:ascii="宋体" w:hAnsi="宋体" w:cs="宋体"/>
          <w:color w:val="auto"/>
          <w:szCs w:val="21"/>
          <w:highlight w:val="none"/>
        </w:rPr>
      </w:pPr>
      <w:r>
        <w:rPr>
          <w:rFonts w:hint="eastAsia" w:ascii="宋体" w:hAnsi="宋体" w:cs="宋体"/>
          <w:b/>
          <w:color w:val="auto"/>
          <w:szCs w:val="21"/>
          <w:highlight w:val="none"/>
        </w:rPr>
        <w:t>　　</w:t>
      </w:r>
      <w:r>
        <w:rPr>
          <w:rFonts w:hint="eastAsia" w:ascii="宋体" w:hAnsi="宋体" w:cs="宋体"/>
          <w:color w:val="auto"/>
          <w:szCs w:val="21"/>
          <w:highlight w:val="none"/>
        </w:rPr>
        <w:t>二、质量保修期</w:t>
      </w:r>
    </w:p>
    <w:p w14:paraId="2ADEB13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根据《建设工程质量管理条例》及有关规定，工程的质量保修期如下：</w:t>
      </w:r>
    </w:p>
    <w:p w14:paraId="3C41553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1.</w:t>
      </w:r>
      <w:r>
        <w:rPr>
          <w:rFonts w:hint="eastAsia" w:ascii="宋体" w:hAnsi="宋体" w:cs="宋体"/>
          <w:color w:val="auto"/>
          <w:szCs w:val="21"/>
          <w:highlight w:val="none"/>
        </w:rPr>
        <w:t>地基基础工程和主体结构工程为设计文件规定的该工程合理使用年限；</w:t>
      </w:r>
    </w:p>
    <w:p w14:paraId="316FB8D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2.</w:t>
      </w:r>
      <w:r>
        <w:rPr>
          <w:rFonts w:hint="eastAsia" w:ascii="宋体" w:hAnsi="宋体" w:cs="宋体"/>
          <w:color w:val="auto"/>
          <w:szCs w:val="21"/>
          <w:highlight w:val="none"/>
        </w:rPr>
        <w:t>屋面防水工程、有防水要求的卫生间、房间和外墙面的防渗漏为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p>
    <w:p w14:paraId="2613B68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3.</w:t>
      </w:r>
      <w:r>
        <w:rPr>
          <w:rFonts w:hint="eastAsia" w:ascii="宋体" w:hAnsi="宋体" w:cs="宋体"/>
          <w:color w:val="auto"/>
          <w:szCs w:val="21"/>
          <w:highlight w:val="none"/>
        </w:rPr>
        <w:t>装修</w:t>
      </w:r>
      <w:r>
        <w:rPr>
          <w:rFonts w:hint="eastAsia" w:ascii="宋体" w:hAnsi="宋体" w:cs="宋体"/>
          <w:color w:val="auto"/>
          <w:szCs w:val="21"/>
          <w:highlight w:val="none"/>
          <w:lang w:eastAsia="zh-CN"/>
        </w:rPr>
        <w:t>工期</w:t>
      </w:r>
      <w:r>
        <w:rPr>
          <w:rFonts w:hint="eastAsia" w:ascii="宋体" w:hAnsi="宋体" w:cs="宋体"/>
          <w:color w:val="auto"/>
          <w:szCs w:val="21"/>
          <w:highlight w:val="none"/>
        </w:rPr>
        <w:t>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2</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p>
    <w:p w14:paraId="5D4D198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4.</w:t>
      </w:r>
      <w:r>
        <w:rPr>
          <w:rFonts w:hint="eastAsia" w:ascii="宋体" w:hAnsi="宋体" w:cs="宋体"/>
          <w:color w:val="auto"/>
          <w:szCs w:val="21"/>
          <w:highlight w:val="none"/>
        </w:rPr>
        <w:t>电气管线、给排水管道、设备安装工程为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2</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p>
    <w:p w14:paraId="71D91F6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5.</w:t>
      </w:r>
      <w:r>
        <w:rPr>
          <w:rFonts w:hint="eastAsia" w:ascii="宋体" w:hAnsi="宋体" w:cs="宋体"/>
          <w:color w:val="auto"/>
          <w:szCs w:val="21"/>
          <w:highlight w:val="none"/>
        </w:rPr>
        <w:t>供热与供冷系统为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2</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个采暖期、供冷期；</w:t>
      </w:r>
    </w:p>
    <w:p w14:paraId="319626E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6.</w:t>
      </w:r>
      <w:r>
        <w:rPr>
          <w:rFonts w:hint="eastAsia" w:ascii="宋体" w:hAnsi="宋体" w:cs="宋体"/>
          <w:color w:val="auto"/>
          <w:szCs w:val="21"/>
          <w:highlight w:val="none"/>
        </w:rPr>
        <w:t>住宅小区内的给排水设施、道路等配套工程为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2</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p>
    <w:p w14:paraId="685E60C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7.</w:t>
      </w:r>
      <w:r>
        <w:rPr>
          <w:rFonts w:hint="eastAsia" w:ascii="宋体" w:hAnsi="宋体" w:cs="宋体"/>
          <w:color w:val="auto"/>
          <w:szCs w:val="21"/>
          <w:highlight w:val="none"/>
        </w:rPr>
        <w:t>其他项目保修期限约定如下：</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2</w:t>
      </w:r>
      <w:r>
        <w:rPr>
          <w:rFonts w:hint="eastAsia" w:ascii="宋体" w:hAnsi="宋体" w:cs="宋体"/>
          <w:color w:val="auto"/>
          <w:szCs w:val="21"/>
          <w:highlight w:val="none"/>
          <w:u w:val="single"/>
        </w:rPr>
        <w:t xml:space="preserve">年         </w:t>
      </w:r>
      <w:r>
        <w:rPr>
          <w:rFonts w:hint="eastAsia" w:ascii="宋体" w:hAnsi="宋体" w:cs="宋体"/>
          <w:color w:val="auto"/>
          <w:szCs w:val="21"/>
          <w:highlight w:val="none"/>
        </w:rPr>
        <w:t>。</w:t>
      </w:r>
    </w:p>
    <w:p w14:paraId="07B3805F">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质量保修期自工程竣工验收合格之日起计算。</w:t>
      </w:r>
    </w:p>
    <w:p w14:paraId="0C507A5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三、缺陷责任期</w:t>
      </w:r>
    </w:p>
    <w:p w14:paraId="0671BCB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工程缺陷责任期为</w:t>
      </w:r>
      <w:r>
        <w:rPr>
          <w:rFonts w:hint="eastAsia" w:ascii="宋体" w:hAnsi="宋体" w:cs="宋体"/>
          <w:color w:val="auto"/>
          <w:szCs w:val="21"/>
          <w:highlight w:val="none"/>
          <w:u w:val="single"/>
        </w:rPr>
        <w:t xml:space="preserve">24 </w:t>
      </w:r>
      <w:r>
        <w:rPr>
          <w:rFonts w:hint="eastAsia" w:ascii="宋体" w:hAnsi="宋体" w:cs="宋体"/>
          <w:color w:val="auto"/>
          <w:szCs w:val="21"/>
          <w:highlight w:val="none"/>
        </w:rPr>
        <w:t>个月，缺陷责任期自工程竣工验收合格之日起计算。单位工程先于全部工程进行验收，单位工程缺陷责任期自单位工程验收合格之日起算。</w:t>
      </w:r>
    </w:p>
    <w:p w14:paraId="5462586E">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四、质量保修责任</w:t>
      </w:r>
    </w:p>
    <w:p w14:paraId="5BE74F86">
      <w:pPr>
        <w:spacing w:line="360" w:lineRule="auto"/>
        <w:ind w:left="105" w:leftChars="50" w:firstLine="430" w:firstLineChars="205"/>
        <w:rPr>
          <w:rFonts w:hint="eastAsia" w:ascii="宋体" w:hAnsi="宋体" w:cs="宋体"/>
          <w:color w:val="auto"/>
          <w:szCs w:val="21"/>
          <w:highlight w:val="none"/>
        </w:rPr>
      </w:pPr>
      <w:r>
        <w:rPr>
          <w:rFonts w:hint="eastAsia" w:ascii="宋体" w:hAnsi="宋体" w:cs="宋体"/>
          <w:color w:val="auto"/>
          <w:szCs w:val="21"/>
          <w:highlight w:val="none"/>
          <w:lang w:eastAsia="zh-CN"/>
        </w:rPr>
        <w:t>1.</w:t>
      </w:r>
      <w:r>
        <w:rPr>
          <w:rFonts w:hint="eastAsia" w:ascii="宋体" w:hAnsi="宋体" w:cs="宋体"/>
          <w:color w:val="auto"/>
          <w:szCs w:val="21"/>
          <w:highlight w:val="none"/>
        </w:rPr>
        <w:t>属于保修范围、内容的项目，承包人应当在接到保修通知之日起7天内派人保修。承包人不在约定期限内派人保修的，发包人可以委托他人修理。</w:t>
      </w:r>
    </w:p>
    <w:p w14:paraId="53E2A02B">
      <w:pPr>
        <w:spacing w:line="360" w:lineRule="auto"/>
        <w:ind w:left="105" w:leftChars="50" w:firstLine="430" w:firstLineChars="205"/>
        <w:rPr>
          <w:rFonts w:hint="eastAsia" w:ascii="宋体" w:hAnsi="宋体" w:cs="宋体"/>
          <w:color w:val="auto"/>
          <w:szCs w:val="21"/>
          <w:highlight w:val="none"/>
        </w:rPr>
      </w:pPr>
      <w:r>
        <w:rPr>
          <w:rFonts w:hint="eastAsia" w:ascii="宋体" w:hAnsi="宋体" w:cs="宋体"/>
          <w:color w:val="auto"/>
          <w:szCs w:val="21"/>
          <w:highlight w:val="none"/>
          <w:lang w:eastAsia="zh-CN"/>
        </w:rPr>
        <w:t>2.</w:t>
      </w:r>
      <w:r>
        <w:rPr>
          <w:rFonts w:hint="eastAsia" w:ascii="宋体" w:hAnsi="宋体" w:cs="宋体"/>
          <w:color w:val="auto"/>
          <w:szCs w:val="21"/>
          <w:highlight w:val="none"/>
        </w:rPr>
        <w:t>发生紧急事故需抢修的，承包人在接到事故通知后，应当立即到达事故现场抢修。</w:t>
      </w:r>
    </w:p>
    <w:p w14:paraId="38277F51">
      <w:pPr>
        <w:spacing w:line="360" w:lineRule="auto"/>
        <w:ind w:left="105" w:leftChars="50" w:firstLine="430" w:firstLineChars="205"/>
        <w:rPr>
          <w:rFonts w:hint="eastAsia" w:ascii="宋体" w:hAnsi="宋体" w:cs="宋体"/>
          <w:color w:val="auto"/>
          <w:szCs w:val="21"/>
          <w:highlight w:val="none"/>
        </w:rPr>
      </w:pPr>
      <w:r>
        <w:rPr>
          <w:rFonts w:hint="eastAsia" w:ascii="宋体" w:hAnsi="宋体" w:cs="宋体"/>
          <w:color w:val="auto"/>
          <w:szCs w:val="21"/>
          <w:highlight w:val="none"/>
          <w:lang w:eastAsia="zh-CN"/>
        </w:rPr>
        <w:t>3.</w:t>
      </w:r>
      <w:r>
        <w:rPr>
          <w:rFonts w:hint="eastAsia" w:ascii="宋体" w:hAnsi="宋体" w:cs="宋体"/>
          <w:color w:val="auto"/>
          <w:szCs w:val="21"/>
          <w:highlight w:val="none"/>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5E4C1D44">
      <w:pPr>
        <w:spacing w:line="360" w:lineRule="auto"/>
        <w:ind w:left="420" w:leftChars="200" w:firstLine="105" w:firstLineChars="50"/>
        <w:rPr>
          <w:rFonts w:hint="eastAsia" w:ascii="宋体" w:hAnsi="宋体" w:cs="宋体"/>
          <w:color w:val="auto"/>
          <w:szCs w:val="21"/>
          <w:highlight w:val="none"/>
        </w:rPr>
      </w:pPr>
      <w:r>
        <w:rPr>
          <w:rFonts w:hint="eastAsia" w:ascii="宋体" w:hAnsi="宋体" w:cs="宋体"/>
          <w:color w:val="auto"/>
          <w:szCs w:val="21"/>
          <w:highlight w:val="none"/>
          <w:lang w:eastAsia="zh-CN"/>
        </w:rPr>
        <w:t>4.</w:t>
      </w:r>
      <w:r>
        <w:rPr>
          <w:rFonts w:hint="eastAsia" w:ascii="宋体" w:hAnsi="宋体" w:cs="宋体"/>
          <w:color w:val="auto"/>
          <w:szCs w:val="21"/>
          <w:highlight w:val="none"/>
        </w:rPr>
        <w:t>质量保修完成后，由发包人组织验收。</w:t>
      </w:r>
    </w:p>
    <w:p w14:paraId="290BA78D">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五、保修费用</w:t>
      </w:r>
    </w:p>
    <w:p w14:paraId="3F278AA3">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保修费用由造成质量缺陷的责任方承担。</w:t>
      </w:r>
    </w:p>
    <w:p w14:paraId="6AFE74D1">
      <w:pPr>
        <w:spacing w:line="360" w:lineRule="auto"/>
        <w:ind w:firstLine="600"/>
        <w:jc w:val="left"/>
        <w:rPr>
          <w:rFonts w:hint="eastAsia" w:ascii="宋体" w:hAnsi="宋体" w:cs="宋体"/>
          <w:color w:val="auto"/>
          <w:szCs w:val="21"/>
          <w:highlight w:val="none"/>
          <w:u w:val="single"/>
        </w:rPr>
      </w:pPr>
      <w:r>
        <w:rPr>
          <w:rFonts w:hint="eastAsia" w:ascii="宋体" w:hAnsi="宋体" w:cs="宋体"/>
          <w:b/>
          <w:color w:val="auto"/>
          <w:szCs w:val="21"/>
          <w:highlight w:val="none"/>
        </w:rPr>
        <w:t>六</w:t>
      </w:r>
      <w:r>
        <w:rPr>
          <w:rFonts w:hint="eastAsia" w:ascii="宋体" w:hAnsi="宋体" w:cs="宋体"/>
          <w:color w:val="auto"/>
          <w:szCs w:val="21"/>
          <w:highlight w:val="none"/>
        </w:rPr>
        <w:t>、双方约定的其他工程质量保修事项</w:t>
      </w:r>
      <w:r>
        <w:rPr>
          <w:rFonts w:hint="eastAsia" w:ascii="宋体" w:hAnsi="宋体" w:cs="宋体"/>
          <w:color w:val="auto"/>
          <w:szCs w:val="21"/>
          <w:highlight w:val="none"/>
          <w:u w:val="single"/>
        </w:rPr>
        <w:t xml:space="preserve">                                   。</w:t>
      </w:r>
    </w:p>
    <w:p w14:paraId="3ED45B74">
      <w:pPr>
        <w:spacing w:line="360" w:lineRule="auto"/>
        <w:ind w:firstLine="600"/>
        <w:jc w:val="left"/>
        <w:rPr>
          <w:rFonts w:hint="eastAsia" w:ascii="宋体" w:hAnsi="宋体" w:cs="宋体"/>
          <w:color w:val="auto"/>
          <w:szCs w:val="21"/>
          <w:highlight w:val="none"/>
        </w:rPr>
      </w:pPr>
      <w:r>
        <w:rPr>
          <w:rFonts w:hint="eastAsia" w:ascii="宋体" w:hAnsi="宋体" w:cs="宋体"/>
          <w:color w:val="auto"/>
          <w:szCs w:val="21"/>
          <w:highlight w:val="none"/>
        </w:rPr>
        <w:t>工程质量保修书由发包人、承包人在工程竣工验收前共同签署，作为施工合同附件，其有效期限至保修期满。</w:t>
      </w:r>
    </w:p>
    <w:p w14:paraId="73C54FC6">
      <w:pPr>
        <w:spacing w:line="360" w:lineRule="auto"/>
        <w:ind w:firstLine="420"/>
        <w:rPr>
          <w:rFonts w:hint="eastAsia" w:ascii="宋体" w:hAnsi="宋体" w:cs="宋体"/>
          <w:color w:val="auto"/>
          <w:szCs w:val="21"/>
          <w:highlight w:val="none"/>
        </w:rPr>
      </w:pPr>
    </w:p>
    <w:p w14:paraId="73924893">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发包人（公章）：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承包人（公章）：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4DF7341A">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地  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1F96974C">
      <w:pPr>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法定代表人（签字）：</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法定代表人（签字）：</w:t>
      </w:r>
      <w:r>
        <w:rPr>
          <w:rFonts w:hint="eastAsia" w:ascii="宋体" w:hAnsi="宋体" w:cs="宋体"/>
          <w:color w:val="auto"/>
          <w:szCs w:val="21"/>
          <w:highlight w:val="none"/>
          <w:u w:val="single"/>
        </w:rPr>
        <w:t xml:space="preserve">           </w:t>
      </w:r>
    </w:p>
    <w:p w14:paraId="6F370DE2">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委托代理人</w:t>
      </w:r>
      <w:r>
        <w:rPr>
          <w:rFonts w:hint="eastAsia" w:ascii="宋体" w:hAnsi="宋体" w:cs="宋体"/>
          <w:color w:val="auto"/>
          <w:szCs w:val="21"/>
          <w:highlight w:val="none"/>
          <w:lang w:eastAsia="zh-CN"/>
        </w:rPr>
        <w:t>（</w:t>
      </w:r>
      <w:r>
        <w:rPr>
          <w:rFonts w:hint="eastAsia" w:ascii="宋体" w:hAnsi="宋体" w:cs="宋体"/>
          <w:color w:val="auto"/>
          <w:szCs w:val="21"/>
          <w:highlight w:val="none"/>
        </w:rPr>
        <w:t>签字）：</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委托代理人</w:t>
      </w:r>
      <w:r>
        <w:rPr>
          <w:rFonts w:hint="eastAsia" w:ascii="宋体" w:hAnsi="宋体" w:cs="宋体"/>
          <w:color w:val="auto"/>
          <w:szCs w:val="21"/>
          <w:highlight w:val="none"/>
          <w:lang w:eastAsia="zh-CN"/>
        </w:rPr>
        <w:t>（</w:t>
      </w:r>
      <w:r>
        <w:rPr>
          <w:rFonts w:hint="eastAsia" w:ascii="宋体" w:hAnsi="宋体" w:cs="宋体"/>
          <w:color w:val="auto"/>
          <w:szCs w:val="21"/>
          <w:highlight w:val="none"/>
        </w:rPr>
        <w:t>签字）：</w:t>
      </w:r>
      <w:r>
        <w:rPr>
          <w:rFonts w:hint="eastAsia" w:ascii="宋体" w:hAnsi="宋体" w:cs="宋体"/>
          <w:color w:val="auto"/>
          <w:szCs w:val="21"/>
          <w:highlight w:val="none"/>
          <w:u w:val="single"/>
        </w:rPr>
        <w:t xml:space="preserve">           </w:t>
      </w:r>
    </w:p>
    <w:p w14:paraId="2E1C77B0">
      <w:pPr>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电  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电  话：</w:t>
      </w:r>
      <w:r>
        <w:rPr>
          <w:rFonts w:hint="eastAsia" w:ascii="宋体" w:hAnsi="宋体" w:cs="宋体"/>
          <w:color w:val="auto"/>
          <w:szCs w:val="21"/>
          <w:highlight w:val="none"/>
          <w:u w:val="single"/>
        </w:rPr>
        <w:t xml:space="preserve">                    </w:t>
      </w:r>
    </w:p>
    <w:p w14:paraId="152853A9">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传  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传  真：</w:t>
      </w:r>
      <w:r>
        <w:rPr>
          <w:rFonts w:hint="eastAsia" w:ascii="宋体" w:hAnsi="宋体" w:cs="宋体"/>
          <w:color w:val="auto"/>
          <w:szCs w:val="21"/>
          <w:highlight w:val="none"/>
          <w:u w:val="single"/>
        </w:rPr>
        <w:t xml:space="preserve">                     </w:t>
      </w:r>
    </w:p>
    <w:p w14:paraId="471E4120">
      <w:pPr>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开户银行：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开户银行：</w:t>
      </w:r>
      <w:r>
        <w:rPr>
          <w:rFonts w:hint="eastAsia" w:ascii="宋体" w:hAnsi="宋体" w:cs="宋体"/>
          <w:color w:val="auto"/>
          <w:szCs w:val="21"/>
          <w:highlight w:val="none"/>
          <w:u w:val="single"/>
        </w:rPr>
        <w:t xml:space="preserve">                  </w:t>
      </w:r>
    </w:p>
    <w:p w14:paraId="6EB55472">
      <w:pPr>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账  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账  号：</w:t>
      </w:r>
      <w:r>
        <w:rPr>
          <w:rFonts w:hint="eastAsia" w:ascii="宋体" w:hAnsi="宋体" w:cs="宋体"/>
          <w:color w:val="auto"/>
          <w:szCs w:val="21"/>
          <w:highlight w:val="none"/>
          <w:u w:val="single"/>
        </w:rPr>
        <w:t xml:space="preserve">                    </w:t>
      </w:r>
    </w:p>
    <w:p w14:paraId="3D7581DD">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邮政编码：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邮政编码：</w:t>
      </w:r>
      <w:r>
        <w:rPr>
          <w:rFonts w:hint="eastAsia" w:ascii="宋体" w:hAnsi="宋体" w:cs="宋体"/>
          <w:color w:val="auto"/>
          <w:szCs w:val="21"/>
          <w:highlight w:val="none"/>
          <w:u w:val="single"/>
        </w:rPr>
        <w:t xml:space="preserve">                  </w:t>
      </w:r>
      <w:r>
        <w:rPr>
          <w:rFonts w:hint="eastAsia" w:ascii="宋体" w:hAnsi="宋体" w:cs="宋体"/>
          <w:b/>
          <w:color w:val="auto"/>
          <w:szCs w:val="21"/>
          <w:highlight w:val="none"/>
        </w:rPr>
        <w:br w:type="page"/>
      </w:r>
      <w:r>
        <w:rPr>
          <w:rFonts w:hint="eastAsia" w:ascii="宋体" w:hAnsi="宋体" w:cs="宋体"/>
          <w:color w:val="auto"/>
          <w:szCs w:val="21"/>
          <w:highlight w:val="none"/>
        </w:rPr>
        <w:t>附件4：</w:t>
      </w:r>
    </w:p>
    <w:p w14:paraId="6003DD37">
      <w:pPr>
        <w:spacing w:before="156" w:beforeLines="50" w:after="156" w:afterLines="50"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主要建设工程文件目录</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953"/>
        <w:gridCol w:w="1276"/>
        <w:gridCol w:w="1450"/>
        <w:gridCol w:w="1243"/>
        <w:gridCol w:w="1450"/>
        <w:gridCol w:w="1667"/>
      </w:tblGrid>
      <w:tr w14:paraId="43A27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3" w:type="dxa"/>
            <w:vAlign w:val="center"/>
          </w:tcPr>
          <w:p w14:paraId="0F4A7055">
            <w:pPr>
              <w:pStyle w:val="18"/>
              <w:keepNext/>
              <w:spacing w:line="440" w:lineRule="exact"/>
              <w:ind w:left="420" w:right="63"/>
              <w:rPr>
                <w:rFonts w:hint="eastAsia" w:ascii="宋体" w:hAnsi="宋体"/>
                <w:color w:val="auto"/>
                <w:highlight w:val="none"/>
              </w:rPr>
            </w:pPr>
            <w:r>
              <w:rPr>
                <w:rFonts w:hint="eastAsia" w:ascii="宋体" w:hAnsi="宋体"/>
                <w:color w:val="auto"/>
                <w:highlight w:val="none"/>
              </w:rPr>
              <w:t>文件名称</w:t>
            </w:r>
          </w:p>
        </w:tc>
        <w:tc>
          <w:tcPr>
            <w:tcW w:w="1276" w:type="dxa"/>
            <w:vAlign w:val="center"/>
          </w:tcPr>
          <w:p w14:paraId="35C42F31">
            <w:pPr>
              <w:pStyle w:val="18"/>
              <w:keepNext/>
              <w:spacing w:line="440" w:lineRule="exact"/>
              <w:ind w:left="420" w:right="63"/>
              <w:rPr>
                <w:rFonts w:hint="eastAsia" w:ascii="宋体" w:hAnsi="宋体"/>
                <w:color w:val="auto"/>
                <w:highlight w:val="none"/>
              </w:rPr>
            </w:pPr>
            <w:r>
              <w:rPr>
                <w:rFonts w:hint="eastAsia" w:ascii="宋体" w:hAnsi="宋体"/>
                <w:color w:val="auto"/>
                <w:highlight w:val="none"/>
              </w:rPr>
              <w:t>套数</w:t>
            </w:r>
          </w:p>
        </w:tc>
        <w:tc>
          <w:tcPr>
            <w:tcW w:w="1450" w:type="dxa"/>
            <w:vAlign w:val="center"/>
          </w:tcPr>
          <w:p w14:paraId="42533B20">
            <w:pPr>
              <w:pStyle w:val="18"/>
              <w:keepNext/>
              <w:spacing w:line="440" w:lineRule="exact"/>
              <w:ind w:left="420" w:right="63"/>
              <w:rPr>
                <w:rFonts w:hint="eastAsia" w:ascii="宋体" w:hAnsi="宋体"/>
                <w:color w:val="auto"/>
                <w:highlight w:val="none"/>
              </w:rPr>
            </w:pPr>
            <w:r>
              <w:rPr>
                <w:rFonts w:hint="eastAsia" w:ascii="宋体" w:hAnsi="宋体"/>
                <w:color w:val="auto"/>
                <w:highlight w:val="none"/>
              </w:rPr>
              <w:t>费用（元）</w:t>
            </w:r>
          </w:p>
        </w:tc>
        <w:tc>
          <w:tcPr>
            <w:tcW w:w="1243" w:type="dxa"/>
            <w:vAlign w:val="center"/>
          </w:tcPr>
          <w:p w14:paraId="0E1009AD">
            <w:pPr>
              <w:pStyle w:val="18"/>
              <w:keepNext/>
              <w:spacing w:line="440" w:lineRule="exact"/>
              <w:ind w:left="420" w:right="63"/>
              <w:rPr>
                <w:rFonts w:hint="eastAsia" w:ascii="宋体" w:hAnsi="宋体"/>
                <w:color w:val="auto"/>
                <w:highlight w:val="none"/>
              </w:rPr>
            </w:pPr>
            <w:r>
              <w:rPr>
                <w:rFonts w:hint="eastAsia" w:ascii="宋体" w:hAnsi="宋体"/>
                <w:color w:val="auto"/>
                <w:highlight w:val="none"/>
              </w:rPr>
              <w:t>质量</w:t>
            </w:r>
          </w:p>
        </w:tc>
        <w:tc>
          <w:tcPr>
            <w:tcW w:w="1450" w:type="dxa"/>
          </w:tcPr>
          <w:p w14:paraId="184FFD87">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移交时间</w:t>
            </w:r>
          </w:p>
        </w:tc>
        <w:tc>
          <w:tcPr>
            <w:tcW w:w="1667" w:type="dxa"/>
          </w:tcPr>
          <w:p w14:paraId="4FBDE90D">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责任人</w:t>
            </w:r>
          </w:p>
        </w:tc>
      </w:tr>
      <w:tr w14:paraId="0F6E9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953" w:type="dxa"/>
            <w:vAlign w:val="center"/>
          </w:tcPr>
          <w:p w14:paraId="4B97BFB7">
            <w:pPr>
              <w:pStyle w:val="18"/>
              <w:keepNext/>
              <w:spacing w:line="440" w:lineRule="exact"/>
              <w:ind w:left="420" w:right="63"/>
              <w:rPr>
                <w:rFonts w:hint="eastAsia" w:ascii="宋体" w:hAnsi="宋体"/>
                <w:color w:val="auto"/>
                <w:highlight w:val="none"/>
              </w:rPr>
            </w:pPr>
          </w:p>
        </w:tc>
        <w:tc>
          <w:tcPr>
            <w:tcW w:w="1276" w:type="dxa"/>
            <w:vAlign w:val="center"/>
          </w:tcPr>
          <w:p w14:paraId="17A2A8A6">
            <w:pPr>
              <w:pStyle w:val="18"/>
              <w:keepNext/>
              <w:spacing w:line="440" w:lineRule="exact"/>
              <w:ind w:left="420" w:right="63"/>
              <w:rPr>
                <w:rFonts w:hint="eastAsia" w:ascii="宋体" w:hAnsi="宋体"/>
                <w:color w:val="auto"/>
                <w:highlight w:val="none"/>
              </w:rPr>
            </w:pPr>
          </w:p>
        </w:tc>
        <w:tc>
          <w:tcPr>
            <w:tcW w:w="1450" w:type="dxa"/>
            <w:vAlign w:val="center"/>
          </w:tcPr>
          <w:p w14:paraId="562CA1A0">
            <w:pPr>
              <w:pStyle w:val="18"/>
              <w:keepNext/>
              <w:spacing w:line="440" w:lineRule="exact"/>
              <w:ind w:left="420" w:right="63"/>
              <w:rPr>
                <w:rFonts w:hint="eastAsia" w:ascii="宋体" w:hAnsi="宋体"/>
                <w:color w:val="auto"/>
                <w:highlight w:val="none"/>
              </w:rPr>
            </w:pPr>
          </w:p>
        </w:tc>
        <w:tc>
          <w:tcPr>
            <w:tcW w:w="1243" w:type="dxa"/>
            <w:vAlign w:val="center"/>
          </w:tcPr>
          <w:p w14:paraId="09414F3F">
            <w:pPr>
              <w:pStyle w:val="18"/>
              <w:keepNext/>
              <w:spacing w:line="440" w:lineRule="exact"/>
              <w:ind w:left="420" w:right="63"/>
              <w:rPr>
                <w:rFonts w:hint="eastAsia" w:ascii="宋体" w:hAnsi="宋体"/>
                <w:color w:val="auto"/>
                <w:highlight w:val="none"/>
              </w:rPr>
            </w:pPr>
          </w:p>
        </w:tc>
        <w:tc>
          <w:tcPr>
            <w:tcW w:w="1450" w:type="dxa"/>
            <w:vAlign w:val="center"/>
          </w:tcPr>
          <w:p w14:paraId="2989C861">
            <w:pPr>
              <w:pStyle w:val="18"/>
              <w:keepNext/>
              <w:spacing w:line="440" w:lineRule="exact"/>
              <w:ind w:left="420" w:right="63"/>
              <w:rPr>
                <w:rFonts w:hint="eastAsia" w:ascii="宋体" w:hAnsi="宋体"/>
                <w:color w:val="auto"/>
                <w:highlight w:val="none"/>
              </w:rPr>
            </w:pPr>
          </w:p>
        </w:tc>
        <w:tc>
          <w:tcPr>
            <w:tcW w:w="1667" w:type="dxa"/>
            <w:vAlign w:val="center"/>
          </w:tcPr>
          <w:p w14:paraId="25D8F653">
            <w:pPr>
              <w:pStyle w:val="18"/>
              <w:keepNext/>
              <w:spacing w:line="440" w:lineRule="exact"/>
              <w:ind w:left="420" w:right="63"/>
              <w:rPr>
                <w:rFonts w:hint="eastAsia" w:ascii="宋体" w:hAnsi="宋体"/>
                <w:color w:val="auto"/>
                <w:highlight w:val="none"/>
              </w:rPr>
            </w:pPr>
          </w:p>
        </w:tc>
      </w:tr>
      <w:tr w14:paraId="34995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953" w:type="dxa"/>
            <w:vAlign w:val="center"/>
          </w:tcPr>
          <w:p w14:paraId="20276FDE">
            <w:pPr>
              <w:pStyle w:val="18"/>
              <w:keepNext/>
              <w:spacing w:line="440" w:lineRule="exact"/>
              <w:ind w:left="420" w:right="63"/>
              <w:rPr>
                <w:rFonts w:hint="eastAsia" w:ascii="宋体" w:hAnsi="宋体"/>
                <w:color w:val="auto"/>
                <w:highlight w:val="none"/>
              </w:rPr>
            </w:pPr>
          </w:p>
        </w:tc>
        <w:tc>
          <w:tcPr>
            <w:tcW w:w="1276" w:type="dxa"/>
            <w:vAlign w:val="center"/>
          </w:tcPr>
          <w:p w14:paraId="23FB4AD4">
            <w:pPr>
              <w:pStyle w:val="18"/>
              <w:keepNext/>
              <w:spacing w:line="440" w:lineRule="exact"/>
              <w:ind w:left="420" w:right="63"/>
              <w:rPr>
                <w:rFonts w:hint="eastAsia" w:ascii="宋体" w:hAnsi="宋体"/>
                <w:color w:val="auto"/>
                <w:highlight w:val="none"/>
              </w:rPr>
            </w:pPr>
          </w:p>
        </w:tc>
        <w:tc>
          <w:tcPr>
            <w:tcW w:w="1450" w:type="dxa"/>
            <w:vAlign w:val="center"/>
          </w:tcPr>
          <w:p w14:paraId="7A725CD0">
            <w:pPr>
              <w:pStyle w:val="18"/>
              <w:keepNext/>
              <w:spacing w:line="440" w:lineRule="exact"/>
              <w:ind w:left="420" w:right="63"/>
              <w:rPr>
                <w:rFonts w:hint="eastAsia" w:ascii="宋体" w:hAnsi="宋体"/>
                <w:color w:val="auto"/>
                <w:highlight w:val="none"/>
              </w:rPr>
            </w:pPr>
          </w:p>
        </w:tc>
        <w:tc>
          <w:tcPr>
            <w:tcW w:w="1243" w:type="dxa"/>
            <w:vAlign w:val="center"/>
          </w:tcPr>
          <w:p w14:paraId="105F8170">
            <w:pPr>
              <w:pStyle w:val="18"/>
              <w:keepNext/>
              <w:spacing w:line="440" w:lineRule="exact"/>
              <w:ind w:left="420" w:right="63"/>
              <w:rPr>
                <w:rFonts w:hint="eastAsia" w:ascii="宋体" w:hAnsi="宋体"/>
                <w:color w:val="auto"/>
                <w:highlight w:val="none"/>
              </w:rPr>
            </w:pPr>
          </w:p>
        </w:tc>
        <w:tc>
          <w:tcPr>
            <w:tcW w:w="1450" w:type="dxa"/>
            <w:vAlign w:val="center"/>
          </w:tcPr>
          <w:p w14:paraId="3AF5727D">
            <w:pPr>
              <w:pStyle w:val="18"/>
              <w:keepNext/>
              <w:spacing w:line="440" w:lineRule="exact"/>
              <w:ind w:left="420" w:right="63"/>
              <w:rPr>
                <w:rFonts w:hint="eastAsia" w:ascii="宋体" w:hAnsi="宋体"/>
                <w:color w:val="auto"/>
                <w:highlight w:val="none"/>
              </w:rPr>
            </w:pPr>
          </w:p>
        </w:tc>
        <w:tc>
          <w:tcPr>
            <w:tcW w:w="1667" w:type="dxa"/>
            <w:vAlign w:val="center"/>
          </w:tcPr>
          <w:p w14:paraId="75360637">
            <w:pPr>
              <w:pStyle w:val="18"/>
              <w:keepNext/>
              <w:spacing w:line="440" w:lineRule="exact"/>
              <w:ind w:left="420" w:right="63"/>
              <w:rPr>
                <w:rFonts w:hint="eastAsia" w:ascii="宋体" w:hAnsi="宋体"/>
                <w:color w:val="auto"/>
                <w:highlight w:val="none"/>
              </w:rPr>
            </w:pPr>
          </w:p>
        </w:tc>
      </w:tr>
      <w:tr w14:paraId="13B43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953" w:type="dxa"/>
            <w:vAlign w:val="center"/>
          </w:tcPr>
          <w:p w14:paraId="7B00AE07">
            <w:pPr>
              <w:pStyle w:val="18"/>
              <w:keepNext/>
              <w:spacing w:line="440" w:lineRule="exact"/>
              <w:ind w:left="420" w:right="63"/>
              <w:rPr>
                <w:rFonts w:hint="eastAsia" w:ascii="宋体" w:hAnsi="宋体"/>
                <w:color w:val="auto"/>
                <w:highlight w:val="none"/>
              </w:rPr>
            </w:pPr>
          </w:p>
        </w:tc>
        <w:tc>
          <w:tcPr>
            <w:tcW w:w="1276" w:type="dxa"/>
            <w:vAlign w:val="center"/>
          </w:tcPr>
          <w:p w14:paraId="64213A94">
            <w:pPr>
              <w:pStyle w:val="18"/>
              <w:keepNext/>
              <w:spacing w:line="440" w:lineRule="exact"/>
              <w:ind w:left="420" w:right="63"/>
              <w:rPr>
                <w:rFonts w:hint="eastAsia" w:ascii="宋体" w:hAnsi="宋体"/>
                <w:color w:val="auto"/>
                <w:highlight w:val="none"/>
              </w:rPr>
            </w:pPr>
          </w:p>
        </w:tc>
        <w:tc>
          <w:tcPr>
            <w:tcW w:w="1450" w:type="dxa"/>
            <w:vAlign w:val="center"/>
          </w:tcPr>
          <w:p w14:paraId="69D1194D">
            <w:pPr>
              <w:pStyle w:val="18"/>
              <w:keepNext/>
              <w:spacing w:line="440" w:lineRule="exact"/>
              <w:ind w:left="420" w:right="63"/>
              <w:rPr>
                <w:rFonts w:hint="eastAsia" w:ascii="宋体" w:hAnsi="宋体"/>
                <w:color w:val="auto"/>
                <w:highlight w:val="none"/>
              </w:rPr>
            </w:pPr>
          </w:p>
        </w:tc>
        <w:tc>
          <w:tcPr>
            <w:tcW w:w="1243" w:type="dxa"/>
            <w:vAlign w:val="center"/>
          </w:tcPr>
          <w:p w14:paraId="15C4A180">
            <w:pPr>
              <w:pStyle w:val="18"/>
              <w:keepNext/>
              <w:spacing w:line="440" w:lineRule="exact"/>
              <w:ind w:left="420" w:right="63"/>
              <w:rPr>
                <w:rFonts w:hint="eastAsia" w:ascii="宋体" w:hAnsi="宋体"/>
                <w:color w:val="auto"/>
                <w:highlight w:val="none"/>
              </w:rPr>
            </w:pPr>
          </w:p>
        </w:tc>
        <w:tc>
          <w:tcPr>
            <w:tcW w:w="1450" w:type="dxa"/>
            <w:vAlign w:val="center"/>
          </w:tcPr>
          <w:p w14:paraId="33746F03">
            <w:pPr>
              <w:pStyle w:val="18"/>
              <w:keepNext/>
              <w:spacing w:line="440" w:lineRule="exact"/>
              <w:ind w:left="420" w:right="63"/>
              <w:rPr>
                <w:rFonts w:hint="eastAsia" w:ascii="宋体" w:hAnsi="宋体"/>
                <w:color w:val="auto"/>
                <w:highlight w:val="none"/>
              </w:rPr>
            </w:pPr>
          </w:p>
        </w:tc>
        <w:tc>
          <w:tcPr>
            <w:tcW w:w="1667" w:type="dxa"/>
            <w:vAlign w:val="center"/>
          </w:tcPr>
          <w:p w14:paraId="14D392D2">
            <w:pPr>
              <w:pStyle w:val="18"/>
              <w:keepNext/>
              <w:spacing w:line="440" w:lineRule="exact"/>
              <w:ind w:left="420" w:right="63"/>
              <w:rPr>
                <w:rFonts w:hint="eastAsia" w:ascii="宋体" w:hAnsi="宋体"/>
                <w:color w:val="auto"/>
                <w:highlight w:val="none"/>
              </w:rPr>
            </w:pPr>
          </w:p>
        </w:tc>
      </w:tr>
      <w:tr w14:paraId="5DC28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953" w:type="dxa"/>
            <w:vAlign w:val="center"/>
          </w:tcPr>
          <w:p w14:paraId="037F71E1">
            <w:pPr>
              <w:pStyle w:val="18"/>
              <w:keepNext/>
              <w:spacing w:line="440" w:lineRule="exact"/>
              <w:ind w:left="420" w:right="63"/>
              <w:rPr>
                <w:rFonts w:hint="eastAsia" w:ascii="宋体" w:hAnsi="宋体"/>
                <w:color w:val="auto"/>
                <w:highlight w:val="none"/>
              </w:rPr>
            </w:pPr>
          </w:p>
        </w:tc>
        <w:tc>
          <w:tcPr>
            <w:tcW w:w="1276" w:type="dxa"/>
            <w:vAlign w:val="center"/>
          </w:tcPr>
          <w:p w14:paraId="4B4077C4">
            <w:pPr>
              <w:pStyle w:val="18"/>
              <w:keepNext/>
              <w:spacing w:line="440" w:lineRule="exact"/>
              <w:ind w:left="420" w:right="63"/>
              <w:rPr>
                <w:rFonts w:hint="eastAsia" w:ascii="宋体" w:hAnsi="宋体"/>
                <w:color w:val="auto"/>
                <w:highlight w:val="none"/>
              </w:rPr>
            </w:pPr>
          </w:p>
        </w:tc>
        <w:tc>
          <w:tcPr>
            <w:tcW w:w="1450" w:type="dxa"/>
            <w:vAlign w:val="center"/>
          </w:tcPr>
          <w:p w14:paraId="033F686F">
            <w:pPr>
              <w:pStyle w:val="18"/>
              <w:keepNext/>
              <w:spacing w:line="440" w:lineRule="exact"/>
              <w:ind w:left="420" w:right="63"/>
              <w:rPr>
                <w:rFonts w:hint="eastAsia" w:ascii="宋体" w:hAnsi="宋体"/>
                <w:color w:val="auto"/>
                <w:highlight w:val="none"/>
              </w:rPr>
            </w:pPr>
          </w:p>
        </w:tc>
        <w:tc>
          <w:tcPr>
            <w:tcW w:w="1243" w:type="dxa"/>
            <w:vAlign w:val="center"/>
          </w:tcPr>
          <w:p w14:paraId="32960FB7">
            <w:pPr>
              <w:pStyle w:val="18"/>
              <w:keepNext/>
              <w:spacing w:line="440" w:lineRule="exact"/>
              <w:ind w:left="420" w:right="63"/>
              <w:rPr>
                <w:rFonts w:hint="eastAsia" w:ascii="宋体" w:hAnsi="宋体"/>
                <w:color w:val="auto"/>
                <w:highlight w:val="none"/>
              </w:rPr>
            </w:pPr>
          </w:p>
        </w:tc>
        <w:tc>
          <w:tcPr>
            <w:tcW w:w="1450" w:type="dxa"/>
            <w:vAlign w:val="center"/>
          </w:tcPr>
          <w:p w14:paraId="41E5AB76">
            <w:pPr>
              <w:pStyle w:val="18"/>
              <w:keepNext/>
              <w:spacing w:line="440" w:lineRule="exact"/>
              <w:ind w:left="420" w:right="63"/>
              <w:rPr>
                <w:rFonts w:hint="eastAsia" w:ascii="宋体" w:hAnsi="宋体"/>
                <w:color w:val="auto"/>
                <w:highlight w:val="none"/>
              </w:rPr>
            </w:pPr>
          </w:p>
        </w:tc>
        <w:tc>
          <w:tcPr>
            <w:tcW w:w="1667" w:type="dxa"/>
            <w:vAlign w:val="center"/>
          </w:tcPr>
          <w:p w14:paraId="22EF9F64">
            <w:pPr>
              <w:pStyle w:val="18"/>
              <w:keepNext/>
              <w:spacing w:line="440" w:lineRule="exact"/>
              <w:ind w:left="420" w:right="63"/>
              <w:rPr>
                <w:rFonts w:hint="eastAsia" w:ascii="宋体" w:hAnsi="宋体"/>
                <w:color w:val="auto"/>
                <w:highlight w:val="none"/>
              </w:rPr>
            </w:pPr>
          </w:p>
        </w:tc>
      </w:tr>
      <w:tr w14:paraId="332FB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953" w:type="dxa"/>
            <w:vAlign w:val="center"/>
          </w:tcPr>
          <w:p w14:paraId="0B52F121">
            <w:pPr>
              <w:pStyle w:val="18"/>
              <w:keepNext/>
              <w:spacing w:line="440" w:lineRule="exact"/>
              <w:ind w:left="420" w:right="63"/>
              <w:rPr>
                <w:rFonts w:hint="eastAsia" w:ascii="宋体" w:hAnsi="宋体"/>
                <w:color w:val="auto"/>
                <w:highlight w:val="none"/>
              </w:rPr>
            </w:pPr>
          </w:p>
        </w:tc>
        <w:tc>
          <w:tcPr>
            <w:tcW w:w="1276" w:type="dxa"/>
            <w:vAlign w:val="center"/>
          </w:tcPr>
          <w:p w14:paraId="07F923A2">
            <w:pPr>
              <w:pStyle w:val="18"/>
              <w:keepNext/>
              <w:spacing w:line="440" w:lineRule="exact"/>
              <w:ind w:left="420" w:right="63"/>
              <w:rPr>
                <w:rFonts w:hint="eastAsia" w:ascii="宋体" w:hAnsi="宋体"/>
                <w:color w:val="auto"/>
                <w:highlight w:val="none"/>
              </w:rPr>
            </w:pPr>
          </w:p>
        </w:tc>
        <w:tc>
          <w:tcPr>
            <w:tcW w:w="1450" w:type="dxa"/>
            <w:vAlign w:val="center"/>
          </w:tcPr>
          <w:p w14:paraId="7BD8AA81">
            <w:pPr>
              <w:pStyle w:val="18"/>
              <w:keepNext/>
              <w:spacing w:line="440" w:lineRule="exact"/>
              <w:ind w:left="420" w:right="63"/>
              <w:rPr>
                <w:rFonts w:hint="eastAsia" w:ascii="宋体" w:hAnsi="宋体"/>
                <w:color w:val="auto"/>
                <w:highlight w:val="none"/>
              </w:rPr>
            </w:pPr>
          </w:p>
        </w:tc>
        <w:tc>
          <w:tcPr>
            <w:tcW w:w="1243" w:type="dxa"/>
            <w:vAlign w:val="center"/>
          </w:tcPr>
          <w:p w14:paraId="421220F5">
            <w:pPr>
              <w:pStyle w:val="18"/>
              <w:keepNext/>
              <w:spacing w:line="440" w:lineRule="exact"/>
              <w:ind w:left="420" w:right="63"/>
              <w:rPr>
                <w:rFonts w:hint="eastAsia" w:ascii="宋体" w:hAnsi="宋体"/>
                <w:color w:val="auto"/>
                <w:highlight w:val="none"/>
              </w:rPr>
            </w:pPr>
          </w:p>
        </w:tc>
        <w:tc>
          <w:tcPr>
            <w:tcW w:w="1450" w:type="dxa"/>
            <w:vAlign w:val="center"/>
          </w:tcPr>
          <w:p w14:paraId="4C8727DA">
            <w:pPr>
              <w:pStyle w:val="18"/>
              <w:keepNext/>
              <w:spacing w:line="440" w:lineRule="exact"/>
              <w:ind w:left="420" w:right="63"/>
              <w:rPr>
                <w:rFonts w:hint="eastAsia" w:ascii="宋体" w:hAnsi="宋体"/>
                <w:color w:val="auto"/>
                <w:highlight w:val="none"/>
              </w:rPr>
            </w:pPr>
          </w:p>
        </w:tc>
        <w:tc>
          <w:tcPr>
            <w:tcW w:w="1667" w:type="dxa"/>
            <w:vAlign w:val="center"/>
          </w:tcPr>
          <w:p w14:paraId="7810AFA8">
            <w:pPr>
              <w:pStyle w:val="18"/>
              <w:keepNext/>
              <w:spacing w:line="440" w:lineRule="exact"/>
              <w:ind w:left="420" w:right="63"/>
              <w:rPr>
                <w:rFonts w:hint="eastAsia" w:ascii="宋体" w:hAnsi="宋体"/>
                <w:color w:val="auto"/>
                <w:highlight w:val="none"/>
              </w:rPr>
            </w:pPr>
          </w:p>
        </w:tc>
      </w:tr>
      <w:tr w14:paraId="50765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953" w:type="dxa"/>
            <w:vAlign w:val="center"/>
          </w:tcPr>
          <w:p w14:paraId="493C5790">
            <w:pPr>
              <w:pStyle w:val="18"/>
              <w:keepNext/>
              <w:spacing w:line="440" w:lineRule="exact"/>
              <w:ind w:left="420" w:right="63"/>
              <w:rPr>
                <w:rFonts w:hint="eastAsia" w:ascii="宋体" w:hAnsi="宋体"/>
                <w:color w:val="auto"/>
                <w:highlight w:val="none"/>
              </w:rPr>
            </w:pPr>
          </w:p>
        </w:tc>
        <w:tc>
          <w:tcPr>
            <w:tcW w:w="1276" w:type="dxa"/>
            <w:vAlign w:val="center"/>
          </w:tcPr>
          <w:p w14:paraId="2AF802A2">
            <w:pPr>
              <w:pStyle w:val="18"/>
              <w:keepNext/>
              <w:spacing w:line="440" w:lineRule="exact"/>
              <w:ind w:left="420" w:right="63"/>
              <w:rPr>
                <w:rFonts w:hint="eastAsia" w:ascii="宋体" w:hAnsi="宋体"/>
                <w:color w:val="auto"/>
                <w:highlight w:val="none"/>
              </w:rPr>
            </w:pPr>
          </w:p>
        </w:tc>
        <w:tc>
          <w:tcPr>
            <w:tcW w:w="1450" w:type="dxa"/>
            <w:vAlign w:val="center"/>
          </w:tcPr>
          <w:p w14:paraId="0789DA18">
            <w:pPr>
              <w:pStyle w:val="18"/>
              <w:keepNext/>
              <w:spacing w:line="440" w:lineRule="exact"/>
              <w:ind w:left="420" w:right="63"/>
              <w:rPr>
                <w:rFonts w:hint="eastAsia" w:ascii="宋体" w:hAnsi="宋体"/>
                <w:color w:val="auto"/>
                <w:highlight w:val="none"/>
              </w:rPr>
            </w:pPr>
          </w:p>
        </w:tc>
        <w:tc>
          <w:tcPr>
            <w:tcW w:w="1243" w:type="dxa"/>
            <w:vAlign w:val="center"/>
          </w:tcPr>
          <w:p w14:paraId="4E808B02">
            <w:pPr>
              <w:pStyle w:val="18"/>
              <w:keepNext/>
              <w:spacing w:line="440" w:lineRule="exact"/>
              <w:ind w:left="420" w:right="63"/>
              <w:rPr>
                <w:rFonts w:hint="eastAsia" w:ascii="宋体" w:hAnsi="宋体"/>
                <w:color w:val="auto"/>
                <w:highlight w:val="none"/>
              </w:rPr>
            </w:pPr>
          </w:p>
        </w:tc>
        <w:tc>
          <w:tcPr>
            <w:tcW w:w="1450" w:type="dxa"/>
            <w:vAlign w:val="center"/>
          </w:tcPr>
          <w:p w14:paraId="34619FB9">
            <w:pPr>
              <w:pStyle w:val="18"/>
              <w:keepNext/>
              <w:spacing w:line="440" w:lineRule="exact"/>
              <w:ind w:left="420" w:right="63"/>
              <w:rPr>
                <w:rFonts w:hint="eastAsia" w:ascii="宋体" w:hAnsi="宋体"/>
                <w:color w:val="auto"/>
                <w:highlight w:val="none"/>
              </w:rPr>
            </w:pPr>
          </w:p>
        </w:tc>
        <w:tc>
          <w:tcPr>
            <w:tcW w:w="1667" w:type="dxa"/>
            <w:vAlign w:val="center"/>
          </w:tcPr>
          <w:p w14:paraId="20394770">
            <w:pPr>
              <w:pStyle w:val="18"/>
              <w:keepNext/>
              <w:spacing w:line="440" w:lineRule="exact"/>
              <w:ind w:left="420" w:right="63"/>
              <w:rPr>
                <w:rFonts w:hint="eastAsia" w:ascii="宋体" w:hAnsi="宋体"/>
                <w:color w:val="auto"/>
                <w:highlight w:val="none"/>
              </w:rPr>
            </w:pPr>
          </w:p>
        </w:tc>
      </w:tr>
      <w:tr w14:paraId="621CF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953" w:type="dxa"/>
            <w:vAlign w:val="center"/>
          </w:tcPr>
          <w:p w14:paraId="66B14F9D">
            <w:pPr>
              <w:pStyle w:val="18"/>
              <w:keepNext/>
              <w:spacing w:line="440" w:lineRule="exact"/>
              <w:ind w:left="420" w:right="63"/>
              <w:rPr>
                <w:rFonts w:hint="eastAsia" w:ascii="宋体" w:hAnsi="宋体"/>
                <w:color w:val="auto"/>
                <w:highlight w:val="none"/>
              </w:rPr>
            </w:pPr>
          </w:p>
        </w:tc>
        <w:tc>
          <w:tcPr>
            <w:tcW w:w="1276" w:type="dxa"/>
            <w:vAlign w:val="center"/>
          </w:tcPr>
          <w:p w14:paraId="3B48324C">
            <w:pPr>
              <w:pStyle w:val="18"/>
              <w:keepNext/>
              <w:spacing w:line="440" w:lineRule="exact"/>
              <w:ind w:left="420" w:right="63"/>
              <w:rPr>
                <w:rFonts w:hint="eastAsia" w:ascii="宋体" w:hAnsi="宋体"/>
                <w:color w:val="auto"/>
                <w:highlight w:val="none"/>
              </w:rPr>
            </w:pPr>
          </w:p>
        </w:tc>
        <w:tc>
          <w:tcPr>
            <w:tcW w:w="1450" w:type="dxa"/>
            <w:vAlign w:val="center"/>
          </w:tcPr>
          <w:p w14:paraId="5BBE558A">
            <w:pPr>
              <w:pStyle w:val="18"/>
              <w:keepNext/>
              <w:spacing w:line="440" w:lineRule="exact"/>
              <w:ind w:left="420" w:right="63"/>
              <w:rPr>
                <w:rFonts w:hint="eastAsia" w:ascii="宋体" w:hAnsi="宋体"/>
                <w:color w:val="auto"/>
                <w:highlight w:val="none"/>
              </w:rPr>
            </w:pPr>
          </w:p>
        </w:tc>
        <w:tc>
          <w:tcPr>
            <w:tcW w:w="1243" w:type="dxa"/>
            <w:vAlign w:val="center"/>
          </w:tcPr>
          <w:p w14:paraId="2FE4775C">
            <w:pPr>
              <w:pStyle w:val="18"/>
              <w:keepNext/>
              <w:spacing w:line="440" w:lineRule="exact"/>
              <w:ind w:left="420" w:right="63"/>
              <w:rPr>
                <w:rFonts w:hint="eastAsia" w:ascii="宋体" w:hAnsi="宋体"/>
                <w:color w:val="auto"/>
                <w:highlight w:val="none"/>
              </w:rPr>
            </w:pPr>
          </w:p>
        </w:tc>
        <w:tc>
          <w:tcPr>
            <w:tcW w:w="1450" w:type="dxa"/>
            <w:vAlign w:val="center"/>
          </w:tcPr>
          <w:p w14:paraId="6AC3D14C">
            <w:pPr>
              <w:pStyle w:val="18"/>
              <w:keepNext/>
              <w:spacing w:line="440" w:lineRule="exact"/>
              <w:ind w:left="420" w:right="63"/>
              <w:rPr>
                <w:rFonts w:hint="eastAsia" w:ascii="宋体" w:hAnsi="宋体"/>
                <w:color w:val="auto"/>
                <w:highlight w:val="none"/>
              </w:rPr>
            </w:pPr>
          </w:p>
        </w:tc>
        <w:tc>
          <w:tcPr>
            <w:tcW w:w="1667" w:type="dxa"/>
            <w:vAlign w:val="center"/>
          </w:tcPr>
          <w:p w14:paraId="75413862">
            <w:pPr>
              <w:pStyle w:val="18"/>
              <w:keepNext/>
              <w:spacing w:line="440" w:lineRule="exact"/>
              <w:ind w:left="420" w:right="63"/>
              <w:rPr>
                <w:rFonts w:hint="eastAsia" w:ascii="宋体" w:hAnsi="宋体"/>
                <w:color w:val="auto"/>
                <w:highlight w:val="none"/>
              </w:rPr>
            </w:pPr>
          </w:p>
        </w:tc>
      </w:tr>
      <w:tr w14:paraId="0A545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953" w:type="dxa"/>
            <w:vAlign w:val="center"/>
          </w:tcPr>
          <w:p w14:paraId="0C4BB7D5">
            <w:pPr>
              <w:pStyle w:val="18"/>
              <w:keepNext/>
              <w:spacing w:line="440" w:lineRule="exact"/>
              <w:ind w:left="420" w:right="63"/>
              <w:rPr>
                <w:rFonts w:hint="eastAsia" w:ascii="宋体" w:hAnsi="宋体"/>
                <w:color w:val="auto"/>
                <w:highlight w:val="none"/>
              </w:rPr>
            </w:pPr>
          </w:p>
        </w:tc>
        <w:tc>
          <w:tcPr>
            <w:tcW w:w="1276" w:type="dxa"/>
            <w:vAlign w:val="center"/>
          </w:tcPr>
          <w:p w14:paraId="4FD82D8F">
            <w:pPr>
              <w:pStyle w:val="18"/>
              <w:keepNext/>
              <w:spacing w:line="440" w:lineRule="exact"/>
              <w:ind w:left="420" w:right="63"/>
              <w:rPr>
                <w:rFonts w:hint="eastAsia" w:ascii="宋体" w:hAnsi="宋体"/>
                <w:color w:val="auto"/>
                <w:highlight w:val="none"/>
              </w:rPr>
            </w:pPr>
          </w:p>
        </w:tc>
        <w:tc>
          <w:tcPr>
            <w:tcW w:w="1450" w:type="dxa"/>
            <w:vAlign w:val="center"/>
          </w:tcPr>
          <w:p w14:paraId="3358B638">
            <w:pPr>
              <w:pStyle w:val="18"/>
              <w:keepNext/>
              <w:spacing w:line="440" w:lineRule="exact"/>
              <w:ind w:left="420" w:right="63"/>
              <w:rPr>
                <w:rFonts w:hint="eastAsia" w:ascii="宋体" w:hAnsi="宋体"/>
                <w:color w:val="auto"/>
                <w:highlight w:val="none"/>
              </w:rPr>
            </w:pPr>
          </w:p>
        </w:tc>
        <w:tc>
          <w:tcPr>
            <w:tcW w:w="1243" w:type="dxa"/>
            <w:vAlign w:val="center"/>
          </w:tcPr>
          <w:p w14:paraId="6D535211">
            <w:pPr>
              <w:pStyle w:val="18"/>
              <w:keepNext/>
              <w:spacing w:line="440" w:lineRule="exact"/>
              <w:ind w:left="420" w:right="63"/>
              <w:rPr>
                <w:rFonts w:hint="eastAsia" w:ascii="宋体" w:hAnsi="宋体"/>
                <w:color w:val="auto"/>
                <w:highlight w:val="none"/>
              </w:rPr>
            </w:pPr>
          </w:p>
        </w:tc>
        <w:tc>
          <w:tcPr>
            <w:tcW w:w="1450" w:type="dxa"/>
            <w:vAlign w:val="center"/>
          </w:tcPr>
          <w:p w14:paraId="30803A35">
            <w:pPr>
              <w:pStyle w:val="18"/>
              <w:keepNext/>
              <w:spacing w:line="440" w:lineRule="exact"/>
              <w:ind w:left="420" w:right="63"/>
              <w:rPr>
                <w:rFonts w:hint="eastAsia" w:ascii="宋体" w:hAnsi="宋体"/>
                <w:color w:val="auto"/>
                <w:highlight w:val="none"/>
              </w:rPr>
            </w:pPr>
          </w:p>
        </w:tc>
        <w:tc>
          <w:tcPr>
            <w:tcW w:w="1667" w:type="dxa"/>
            <w:vAlign w:val="center"/>
          </w:tcPr>
          <w:p w14:paraId="4245C99D">
            <w:pPr>
              <w:pStyle w:val="18"/>
              <w:keepNext/>
              <w:spacing w:line="440" w:lineRule="exact"/>
              <w:ind w:left="420" w:right="63"/>
              <w:rPr>
                <w:rFonts w:hint="eastAsia" w:ascii="宋体" w:hAnsi="宋体"/>
                <w:color w:val="auto"/>
                <w:highlight w:val="none"/>
              </w:rPr>
            </w:pPr>
          </w:p>
        </w:tc>
      </w:tr>
    </w:tbl>
    <w:p w14:paraId="604E5125">
      <w:pPr>
        <w:spacing w:line="440" w:lineRule="exact"/>
        <w:rPr>
          <w:rFonts w:hint="eastAsia" w:ascii="宋体" w:hAnsi="宋体" w:cs="宋体"/>
          <w:color w:val="auto"/>
          <w:szCs w:val="21"/>
          <w:highlight w:val="none"/>
        </w:rPr>
      </w:pPr>
    </w:p>
    <w:p w14:paraId="378BD85A">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附</w:t>
      </w:r>
      <w:bookmarkStart w:id="1491" w:name="_Toc296891267"/>
      <w:bookmarkStart w:id="1492" w:name="_Toc296346728"/>
      <w:bookmarkStart w:id="1493" w:name="_Toc296503227"/>
      <w:bookmarkStart w:id="1494" w:name="_Toc296347226"/>
      <w:bookmarkStart w:id="1495" w:name="_Toc267261698"/>
      <w:bookmarkStart w:id="1496" w:name="_Toc296891055"/>
      <w:bookmarkStart w:id="1497" w:name="_Toc296944566"/>
      <w:r>
        <w:rPr>
          <w:rFonts w:hint="eastAsia" w:ascii="宋体" w:hAnsi="宋体" w:cs="宋体"/>
          <w:color w:val="auto"/>
          <w:szCs w:val="21"/>
          <w:highlight w:val="none"/>
        </w:rPr>
        <w:t>件5：</w:t>
      </w:r>
    </w:p>
    <w:bookmarkEnd w:id="1491"/>
    <w:bookmarkEnd w:id="1492"/>
    <w:bookmarkEnd w:id="1493"/>
    <w:bookmarkEnd w:id="1494"/>
    <w:bookmarkEnd w:id="1495"/>
    <w:bookmarkEnd w:id="1496"/>
    <w:bookmarkEnd w:id="1497"/>
    <w:p w14:paraId="0AF7BB5B">
      <w:pPr>
        <w:spacing w:before="156" w:beforeLines="50" w:after="156" w:afterLines="50"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承包人用于本工程施工的机械设备表</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14:paraId="2D695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62" w:type="dxa"/>
            <w:vAlign w:val="center"/>
          </w:tcPr>
          <w:p w14:paraId="5CDB508C">
            <w:pPr>
              <w:jc w:val="center"/>
              <w:rPr>
                <w:color w:val="auto"/>
                <w:highlight w:val="none"/>
              </w:rPr>
            </w:pPr>
            <w:r>
              <w:rPr>
                <w:rFonts w:hint="eastAsia"/>
                <w:color w:val="auto"/>
                <w:highlight w:val="none"/>
              </w:rPr>
              <w:t>序号</w:t>
            </w:r>
          </w:p>
        </w:tc>
        <w:tc>
          <w:tcPr>
            <w:tcW w:w="1418" w:type="dxa"/>
            <w:vAlign w:val="center"/>
          </w:tcPr>
          <w:p w14:paraId="64ADF76E">
            <w:pPr>
              <w:jc w:val="center"/>
              <w:rPr>
                <w:color w:val="auto"/>
                <w:highlight w:val="none"/>
              </w:rPr>
            </w:pPr>
            <w:r>
              <w:rPr>
                <w:rFonts w:hint="eastAsia"/>
                <w:color w:val="auto"/>
                <w:highlight w:val="none"/>
              </w:rPr>
              <w:t>机械或设备名称</w:t>
            </w:r>
          </w:p>
        </w:tc>
        <w:tc>
          <w:tcPr>
            <w:tcW w:w="850" w:type="dxa"/>
            <w:vAlign w:val="center"/>
          </w:tcPr>
          <w:p w14:paraId="00FA185F">
            <w:pPr>
              <w:jc w:val="center"/>
              <w:rPr>
                <w:color w:val="auto"/>
                <w:highlight w:val="none"/>
              </w:rPr>
            </w:pPr>
            <w:r>
              <w:rPr>
                <w:rFonts w:hint="eastAsia"/>
                <w:color w:val="auto"/>
                <w:highlight w:val="none"/>
              </w:rPr>
              <w:t>规格型号</w:t>
            </w:r>
          </w:p>
        </w:tc>
        <w:tc>
          <w:tcPr>
            <w:tcW w:w="1058" w:type="dxa"/>
            <w:vAlign w:val="center"/>
          </w:tcPr>
          <w:p w14:paraId="1585AD16">
            <w:pPr>
              <w:jc w:val="center"/>
              <w:rPr>
                <w:color w:val="auto"/>
                <w:highlight w:val="none"/>
              </w:rPr>
            </w:pPr>
            <w:r>
              <w:rPr>
                <w:rFonts w:hint="eastAsia"/>
                <w:color w:val="auto"/>
                <w:highlight w:val="none"/>
              </w:rPr>
              <w:t>数量</w:t>
            </w:r>
          </w:p>
        </w:tc>
        <w:tc>
          <w:tcPr>
            <w:tcW w:w="880" w:type="dxa"/>
            <w:vAlign w:val="center"/>
          </w:tcPr>
          <w:p w14:paraId="444DDDCA">
            <w:pPr>
              <w:jc w:val="center"/>
              <w:rPr>
                <w:color w:val="auto"/>
                <w:highlight w:val="none"/>
              </w:rPr>
            </w:pPr>
            <w:r>
              <w:rPr>
                <w:rFonts w:hint="eastAsia"/>
                <w:color w:val="auto"/>
                <w:highlight w:val="none"/>
              </w:rPr>
              <w:t>产地</w:t>
            </w:r>
          </w:p>
        </w:tc>
        <w:tc>
          <w:tcPr>
            <w:tcW w:w="1020" w:type="dxa"/>
            <w:vAlign w:val="center"/>
          </w:tcPr>
          <w:p w14:paraId="7A426795">
            <w:pPr>
              <w:jc w:val="center"/>
              <w:rPr>
                <w:color w:val="auto"/>
                <w:highlight w:val="none"/>
              </w:rPr>
            </w:pPr>
            <w:r>
              <w:rPr>
                <w:rFonts w:hint="eastAsia"/>
                <w:color w:val="auto"/>
                <w:highlight w:val="none"/>
              </w:rPr>
              <w:t>制造年份</w:t>
            </w:r>
          </w:p>
        </w:tc>
        <w:tc>
          <w:tcPr>
            <w:tcW w:w="1480" w:type="dxa"/>
            <w:vAlign w:val="center"/>
          </w:tcPr>
          <w:p w14:paraId="608CB584">
            <w:pPr>
              <w:jc w:val="center"/>
              <w:rPr>
                <w:color w:val="auto"/>
                <w:highlight w:val="none"/>
              </w:rPr>
            </w:pPr>
            <w:r>
              <w:rPr>
                <w:rFonts w:hint="eastAsia"/>
                <w:color w:val="auto"/>
                <w:highlight w:val="none"/>
              </w:rPr>
              <w:t>额定功率</w:t>
            </w:r>
            <w:r>
              <w:rPr>
                <w:rFonts w:hint="eastAsia"/>
                <w:color w:val="auto"/>
                <w:highlight w:val="none"/>
                <w:lang w:eastAsia="zh-CN"/>
              </w:rPr>
              <w:t>（</w:t>
            </w:r>
            <w:r>
              <w:rPr>
                <w:color w:val="auto"/>
                <w:highlight w:val="none"/>
              </w:rPr>
              <w:t>kW</w:t>
            </w:r>
            <w:r>
              <w:rPr>
                <w:rFonts w:hint="eastAsia"/>
                <w:color w:val="auto"/>
                <w:highlight w:val="none"/>
              </w:rPr>
              <w:t>）</w:t>
            </w:r>
          </w:p>
        </w:tc>
        <w:tc>
          <w:tcPr>
            <w:tcW w:w="1020" w:type="dxa"/>
            <w:vAlign w:val="center"/>
          </w:tcPr>
          <w:p w14:paraId="111C627F">
            <w:pPr>
              <w:jc w:val="center"/>
              <w:rPr>
                <w:color w:val="auto"/>
                <w:highlight w:val="none"/>
              </w:rPr>
            </w:pPr>
            <w:r>
              <w:rPr>
                <w:rFonts w:hint="eastAsia"/>
                <w:color w:val="auto"/>
                <w:highlight w:val="none"/>
              </w:rPr>
              <w:t>生产能力</w:t>
            </w:r>
          </w:p>
        </w:tc>
        <w:tc>
          <w:tcPr>
            <w:tcW w:w="921" w:type="dxa"/>
            <w:vAlign w:val="center"/>
          </w:tcPr>
          <w:p w14:paraId="08FB57F0">
            <w:pPr>
              <w:jc w:val="center"/>
              <w:rPr>
                <w:color w:val="auto"/>
                <w:highlight w:val="none"/>
              </w:rPr>
            </w:pPr>
            <w:r>
              <w:rPr>
                <w:rFonts w:hint="eastAsia"/>
                <w:color w:val="auto"/>
                <w:highlight w:val="none"/>
              </w:rPr>
              <w:t>备注</w:t>
            </w:r>
          </w:p>
        </w:tc>
      </w:tr>
      <w:tr w14:paraId="11CDA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center"/>
          </w:tcPr>
          <w:p w14:paraId="3D0980C1">
            <w:pPr>
              <w:pStyle w:val="18"/>
              <w:keepNext/>
              <w:spacing w:line="440" w:lineRule="exact"/>
              <w:ind w:left="420" w:right="63"/>
              <w:rPr>
                <w:rFonts w:hint="eastAsia" w:ascii="宋体" w:hAnsi="宋体"/>
                <w:color w:val="auto"/>
                <w:highlight w:val="none"/>
              </w:rPr>
            </w:pPr>
          </w:p>
        </w:tc>
        <w:tc>
          <w:tcPr>
            <w:tcW w:w="1418" w:type="dxa"/>
            <w:vAlign w:val="center"/>
          </w:tcPr>
          <w:p w14:paraId="309D45F4">
            <w:pPr>
              <w:pStyle w:val="18"/>
              <w:keepNext/>
              <w:spacing w:line="440" w:lineRule="exact"/>
              <w:ind w:left="420" w:right="63"/>
              <w:rPr>
                <w:rFonts w:hint="eastAsia" w:ascii="宋体" w:hAnsi="宋体"/>
                <w:color w:val="auto"/>
                <w:highlight w:val="none"/>
              </w:rPr>
            </w:pPr>
          </w:p>
        </w:tc>
        <w:tc>
          <w:tcPr>
            <w:tcW w:w="850" w:type="dxa"/>
            <w:vAlign w:val="center"/>
          </w:tcPr>
          <w:p w14:paraId="1C917351">
            <w:pPr>
              <w:pStyle w:val="18"/>
              <w:keepNext/>
              <w:spacing w:line="440" w:lineRule="exact"/>
              <w:ind w:left="420" w:right="63"/>
              <w:rPr>
                <w:rFonts w:hint="eastAsia" w:ascii="宋体" w:hAnsi="宋体"/>
                <w:color w:val="auto"/>
                <w:highlight w:val="none"/>
              </w:rPr>
            </w:pPr>
          </w:p>
        </w:tc>
        <w:tc>
          <w:tcPr>
            <w:tcW w:w="1058" w:type="dxa"/>
            <w:vAlign w:val="center"/>
          </w:tcPr>
          <w:p w14:paraId="13019D74">
            <w:pPr>
              <w:pStyle w:val="18"/>
              <w:keepNext/>
              <w:spacing w:line="440" w:lineRule="exact"/>
              <w:ind w:left="420" w:right="63"/>
              <w:rPr>
                <w:rFonts w:hint="eastAsia" w:ascii="宋体" w:hAnsi="宋体"/>
                <w:color w:val="auto"/>
                <w:highlight w:val="none"/>
              </w:rPr>
            </w:pPr>
          </w:p>
        </w:tc>
        <w:tc>
          <w:tcPr>
            <w:tcW w:w="880" w:type="dxa"/>
            <w:vAlign w:val="center"/>
          </w:tcPr>
          <w:p w14:paraId="4002395E">
            <w:pPr>
              <w:pStyle w:val="18"/>
              <w:keepNext/>
              <w:spacing w:line="440" w:lineRule="exact"/>
              <w:ind w:left="420" w:right="63"/>
              <w:rPr>
                <w:rFonts w:hint="eastAsia" w:ascii="宋体" w:hAnsi="宋体"/>
                <w:color w:val="auto"/>
                <w:highlight w:val="none"/>
              </w:rPr>
            </w:pPr>
          </w:p>
        </w:tc>
        <w:tc>
          <w:tcPr>
            <w:tcW w:w="1020" w:type="dxa"/>
            <w:vAlign w:val="center"/>
          </w:tcPr>
          <w:p w14:paraId="305F96E7">
            <w:pPr>
              <w:pStyle w:val="18"/>
              <w:keepNext/>
              <w:spacing w:line="440" w:lineRule="exact"/>
              <w:ind w:left="420" w:right="63"/>
              <w:rPr>
                <w:rFonts w:hint="eastAsia" w:ascii="宋体" w:hAnsi="宋体"/>
                <w:color w:val="auto"/>
                <w:highlight w:val="none"/>
              </w:rPr>
            </w:pPr>
          </w:p>
        </w:tc>
        <w:tc>
          <w:tcPr>
            <w:tcW w:w="1480" w:type="dxa"/>
            <w:vAlign w:val="center"/>
          </w:tcPr>
          <w:p w14:paraId="5E2CE7E5">
            <w:pPr>
              <w:pStyle w:val="18"/>
              <w:keepNext/>
              <w:spacing w:line="440" w:lineRule="exact"/>
              <w:ind w:left="420" w:right="63"/>
              <w:rPr>
                <w:rFonts w:hint="eastAsia" w:ascii="宋体" w:hAnsi="宋体"/>
                <w:color w:val="auto"/>
                <w:highlight w:val="none"/>
              </w:rPr>
            </w:pPr>
          </w:p>
        </w:tc>
        <w:tc>
          <w:tcPr>
            <w:tcW w:w="1020" w:type="dxa"/>
            <w:vAlign w:val="center"/>
          </w:tcPr>
          <w:p w14:paraId="7BC91D12">
            <w:pPr>
              <w:pStyle w:val="18"/>
              <w:keepNext/>
              <w:spacing w:line="440" w:lineRule="exact"/>
              <w:ind w:left="420" w:right="63"/>
              <w:rPr>
                <w:rFonts w:hint="eastAsia" w:ascii="宋体" w:hAnsi="宋体"/>
                <w:color w:val="auto"/>
                <w:highlight w:val="none"/>
              </w:rPr>
            </w:pPr>
          </w:p>
        </w:tc>
        <w:tc>
          <w:tcPr>
            <w:tcW w:w="921" w:type="dxa"/>
            <w:vAlign w:val="center"/>
          </w:tcPr>
          <w:p w14:paraId="6D6D366B">
            <w:pPr>
              <w:pStyle w:val="18"/>
              <w:keepNext/>
              <w:spacing w:line="440" w:lineRule="exact"/>
              <w:ind w:left="420" w:right="63"/>
              <w:rPr>
                <w:rFonts w:hint="eastAsia" w:ascii="宋体" w:hAnsi="宋体"/>
                <w:color w:val="auto"/>
                <w:highlight w:val="none"/>
              </w:rPr>
            </w:pPr>
          </w:p>
        </w:tc>
      </w:tr>
      <w:tr w14:paraId="3F14C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center"/>
          </w:tcPr>
          <w:p w14:paraId="18EE5CE5">
            <w:pPr>
              <w:pStyle w:val="18"/>
              <w:keepNext/>
              <w:spacing w:line="440" w:lineRule="exact"/>
              <w:ind w:left="420" w:right="63"/>
              <w:rPr>
                <w:rFonts w:hint="eastAsia" w:ascii="宋体" w:hAnsi="宋体"/>
                <w:color w:val="auto"/>
                <w:highlight w:val="none"/>
              </w:rPr>
            </w:pPr>
          </w:p>
        </w:tc>
        <w:tc>
          <w:tcPr>
            <w:tcW w:w="1418" w:type="dxa"/>
            <w:vAlign w:val="center"/>
          </w:tcPr>
          <w:p w14:paraId="0B6E77CA">
            <w:pPr>
              <w:pStyle w:val="18"/>
              <w:keepNext/>
              <w:spacing w:line="440" w:lineRule="exact"/>
              <w:ind w:left="420" w:right="63"/>
              <w:rPr>
                <w:rFonts w:hint="eastAsia" w:ascii="宋体" w:hAnsi="宋体"/>
                <w:color w:val="auto"/>
                <w:highlight w:val="none"/>
              </w:rPr>
            </w:pPr>
          </w:p>
        </w:tc>
        <w:tc>
          <w:tcPr>
            <w:tcW w:w="850" w:type="dxa"/>
            <w:vAlign w:val="center"/>
          </w:tcPr>
          <w:p w14:paraId="27F63582">
            <w:pPr>
              <w:pStyle w:val="18"/>
              <w:keepNext/>
              <w:spacing w:line="440" w:lineRule="exact"/>
              <w:ind w:left="420" w:right="63"/>
              <w:rPr>
                <w:rFonts w:hint="eastAsia" w:ascii="宋体" w:hAnsi="宋体"/>
                <w:color w:val="auto"/>
                <w:highlight w:val="none"/>
              </w:rPr>
            </w:pPr>
          </w:p>
        </w:tc>
        <w:tc>
          <w:tcPr>
            <w:tcW w:w="1058" w:type="dxa"/>
            <w:vAlign w:val="center"/>
          </w:tcPr>
          <w:p w14:paraId="2B6F8DC0">
            <w:pPr>
              <w:pStyle w:val="18"/>
              <w:keepNext/>
              <w:spacing w:line="440" w:lineRule="exact"/>
              <w:ind w:left="420" w:right="63"/>
              <w:rPr>
                <w:rFonts w:hint="eastAsia" w:ascii="宋体" w:hAnsi="宋体"/>
                <w:color w:val="auto"/>
                <w:highlight w:val="none"/>
              </w:rPr>
            </w:pPr>
          </w:p>
        </w:tc>
        <w:tc>
          <w:tcPr>
            <w:tcW w:w="880" w:type="dxa"/>
            <w:vAlign w:val="center"/>
          </w:tcPr>
          <w:p w14:paraId="719DCA33">
            <w:pPr>
              <w:pStyle w:val="18"/>
              <w:keepNext/>
              <w:spacing w:line="440" w:lineRule="exact"/>
              <w:ind w:left="420" w:right="63"/>
              <w:rPr>
                <w:rFonts w:hint="eastAsia" w:ascii="宋体" w:hAnsi="宋体"/>
                <w:color w:val="auto"/>
                <w:highlight w:val="none"/>
              </w:rPr>
            </w:pPr>
          </w:p>
        </w:tc>
        <w:tc>
          <w:tcPr>
            <w:tcW w:w="1020" w:type="dxa"/>
            <w:vAlign w:val="center"/>
          </w:tcPr>
          <w:p w14:paraId="4D63035B">
            <w:pPr>
              <w:pStyle w:val="18"/>
              <w:keepNext/>
              <w:spacing w:line="440" w:lineRule="exact"/>
              <w:ind w:left="420" w:right="63"/>
              <w:rPr>
                <w:rFonts w:hint="eastAsia" w:ascii="宋体" w:hAnsi="宋体"/>
                <w:color w:val="auto"/>
                <w:highlight w:val="none"/>
              </w:rPr>
            </w:pPr>
          </w:p>
        </w:tc>
        <w:tc>
          <w:tcPr>
            <w:tcW w:w="1480" w:type="dxa"/>
            <w:vAlign w:val="center"/>
          </w:tcPr>
          <w:p w14:paraId="6A84AB93">
            <w:pPr>
              <w:pStyle w:val="18"/>
              <w:keepNext/>
              <w:spacing w:line="440" w:lineRule="exact"/>
              <w:ind w:left="420" w:right="63"/>
              <w:rPr>
                <w:rFonts w:hint="eastAsia" w:ascii="宋体" w:hAnsi="宋体"/>
                <w:color w:val="auto"/>
                <w:highlight w:val="none"/>
              </w:rPr>
            </w:pPr>
          </w:p>
        </w:tc>
        <w:tc>
          <w:tcPr>
            <w:tcW w:w="1020" w:type="dxa"/>
            <w:vAlign w:val="center"/>
          </w:tcPr>
          <w:p w14:paraId="7EB7075B">
            <w:pPr>
              <w:pStyle w:val="18"/>
              <w:keepNext/>
              <w:spacing w:line="440" w:lineRule="exact"/>
              <w:ind w:left="420" w:right="63"/>
              <w:rPr>
                <w:rFonts w:hint="eastAsia" w:ascii="宋体" w:hAnsi="宋体"/>
                <w:color w:val="auto"/>
                <w:highlight w:val="none"/>
              </w:rPr>
            </w:pPr>
          </w:p>
        </w:tc>
        <w:tc>
          <w:tcPr>
            <w:tcW w:w="921" w:type="dxa"/>
            <w:vAlign w:val="center"/>
          </w:tcPr>
          <w:p w14:paraId="4EA22FE9">
            <w:pPr>
              <w:pStyle w:val="18"/>
              <w:keepNext/>
              <w:spacing w:line="440" w:lineRule="exact"/>
              <w:ind w:left="420" w:right="63"/>
              <w:rPr>
                <w:rFonts w:hint="eastAsia" w:ascii="宋体" w:hAnsi="宋体"/>
                <w:color w:val="auto"/>
                <w:highlight w:val="none"/>
              </w:rPr>
            </w:pPr>
          </w:p>
        </w:tc>
      </w:tr>
      <w:tr w14:paraId="424A2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center"/>
          </w:tcPr>
          <w:p w14:paraId="1C5F4FF2">
            <w:pPr>
              <w:pStyle w:val="18"/>
              <w:keepNext/>
              <w:spacing w:line="440" w:lineRule="exact"/>
              <w:ind w:left="420" w:right="63"/>
              <w:rPr>
                <w:rFonts w:hint="eastAsia" w:ascii="宋体" w:hAnsi="宋体"/>
                <w:color w:val="auto"/>
                <w:highlight w:val="none"/>
              </w:rPr>
            </w:pPr>
          </w:p>
        </w:tc>
        <w:tc>
          <w:tcPr>
            <w:tcW w:w="1418" w:type="dxa"/>
            <w:vAlign w:val="center"/>
          </w:tcPr>
          <w:p w14:paraId="0F8AC943">
            <w:pPr>
              <w:pStyle w:val="18"/>
              <w:keepNext/>
              <w:spacing w:line="440" w:lineRule="exact"/>
              <w:ind w:left="420" w:right="63"/>
              <w:rPr>
                <w:rFonts w:hint="eastAsia" w:ascii="宋体" w:hAnsi="宋体"/>
                <w:color w:val="auto"/>
                <w:highlight w:val="none"/>
              </w:rPr>
            </w:pPr>
          </w:p>
        </w:tc>
        <w:tc>
          <w:tcPr>
            <w:tcW w:w="850" w:type="dxa"/>
            <w:vAlign w:val="center"/>
          </w:tcPr>
          <w:p w14:paraId="5A57DAB7">
            <w:pPr>
              <w:pStyle w:val="18"/>
              <w:keepNext/>
              <w:spacing w:line="440" w:lineRule="exact"/>
              <w:ind w:left="420" w:right="63"/>
              <w:rPr>
                <w:rFonts w:hint="eastAsia" w:ascii="宋体" w:hAnsi="宋体"/>
                <w:color w:val="auto"/>
                <w:highlight w:val="none"/>
              </w:rPr>
            </w:pPr>
          </w:p>
        </w:tc>
        <w:tc>
          <w:tcPr>
            <w:tcW w:w="1058" w:type="dxa"/>
            <w:vAlign w:val="center"/>
          </w:tcPr>
          <w:p w14:paraId="776E9457">
            <w:pPr>
              <w:pStyle w:val="18"/>
              <w:keepNext/>
              <w:spacing w:line="440" w:lineRule="exact"/>
              <w:ind w:left="420" w:right="63"/>
              <w:rPr>
                <w:rFonts w:hint="eastAsia" w:ascii="宋体" w:hAnsi="宋体"/>
                <w:color w:val="auto"/>
                <w:highlight w:val="none"/>
              </w:rPr>
            </w:pPr>
          </w:p>
        </w:tc>
        <w:tc>
          <w:tcPr>
            <w:tcW w:w="880" w:type="dxa"/>
            <w:vAlign w:val="center"/>
          </w:tcPr>
          <w:p w14:paraId="683DC317">
            <w:pPr>
              <w:pStyle w:val="18"/>
              <w:keepNext/>
              <w:spacing w:line="440" w:lineRule="exact"/>
              <w:ind w:left="420" w:right="63"/>
              <w:rPr>
                <w:rFonts w:hint="eastAsia" w:ascii="宋体" w:hAnsi="宋体"/>
                <w:color w:val="auto"/>
                <w:highlight w:val="none"/>
              </w:rPr>
            </w:pPr>
          </w:p>
        </w:tc>
        <w:tc>
          <w:tcPr>
            <w:tcW w:w="1020" w:type="dxa"/>
            <w:vAlign w:val="center"/>
          </w:tcPr>
          <w:p w14:paraId="2472425E">
            <w:pPr>
              <w:pStyle w:val="18"/>
              <w:keepNext/>
              <w:spacing w:line="440" w:lineRule="exact"/>
              <w:ind w:left="420" w:right="63"/>
              <w:rPr>
                <w:rFonts w:hint="eastAsia" w:ascii="宋体" w:hAnsi="宋体"/>
                <w:color w:val="auto"/>
                <w:highlight w:val="none"/>
              </w:rPr>
            </w:pPr>
          </w:p>
        </w:tc>
        <w:tc>
          <w:tcPr>
            <w:tcW w:w="1480" w:type="dxa"/>
            <w:vAlign w:val="center"/>
          </w:tcPr>
          <w:p w14:paraId="4E68D109">
            <w:pPr>
              <w:pStyle w:val="18"/>
              <w:keepNext/>
              <w:spacing w:line="440" w:lineRule="exact"/>
              <w:ind w:left="420" w:right="63"/>
              <w:rPr>
                <w:rFonts w:hint="eastAsia" w:ascii="宋体" w:hAnsi="宋体"/>
                <w:color w:val="auto"/>
                <w:highlight w:val="none"/>
              </w:rPr>
            </w:pPr>
          </w:p>
        </w:tc>
        <w:tc>
          <w:tcPr>
            <w:tcW w:w="1020" w:type="dxa"/>
            <w:vAlign w:val="center"/>
          </w:tcPr>
          <w:p w14:paraId="26282BA6">
            <w:pPr>
              <w:pStyle w:val="18"/>
              <w:keepNext/>
              <w:spacing w:line="440" w:lineRule="exact"/>
              <w:ind w:left="420" w:right="63"/>
              <w:rPr>
                <w:rFonts w:hint="eastAsia" w:ascii="宋体" w:hAnsi="宋体"/>
                <w:color w:val="auto"/>
                <w:highlight w:val="none"/>
              </w:rPr>
            </w:pPr>
          </w:p>
        </w:tc>
        <w:tc>
          <w:tcPr>
            <w:tcW w:w="921" w:type="dxa"/>
            <w:vAlign w:val="center"/>
          </w:tcPr>
          <w:p w14:paraId="6E1F4FED">
            <w:pPr>
              <w:pStyle w:val="18"/>
              <w:keepNext/>
              <w:spacing w:line="440" w:lineRule="exact"/>
              <w:ind w:left="420" w:right="63"/>
              <w:rPr>
                <w:rFonts w:hint="eastAsia" w:ascii="宋体" w:hAnsi="宋体"/>
                <w:color w:val="auto"/>
                <w:highlight w:val="none"/>
              </w:rPr>
            </w:pPr>
          </w:p>
        </w:tc>
      </w:tr>
      <w:tr w14:paraId="072F1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center"/>
          </w:tcPr>
          <w:p w14:paraId="3107FB73">
            <w:pPr>
              <w:pStyle w:val="18"/>
              <w:keepNext/>
              <w:spacing w:line="440" w:lineRule="exact"/>
              <w:ind w:left="420" w:right="63"/>
              <w:rPr>
                <w:rFonts w:hint="eastAsia" w:ascii="宋体" w:hAnsi="宋体"/>
                <w:color w:val="auto"/>
                <w:highlight w:val="none"/>
              </w:rPr>
            </w:pPr>
          </w:p>
        </w:tc>
        <w:tc>
          <w:tcPr>
            <w:tcW w:w="1418" w:type="dxa"/>
            <w:vAlign w:val="center"/>
          </w:tcPr>
          <w:p w14:paraId="1A463841">
            <w:pPr>
              <w:pStyle w:val="18"/>
              <w:keepNext/>
              <w:spacing w:line="440" w:lineRule="exact"/>
              <w:ind w:left="420" w:right="63"/>
              <w:rPr>
                <w:rFonts w:hint="eastAsia" w:ascii="宋体" w:hAnsi="宋体"/>
                <w:color w:val="auto"/>
                <w:highlight w:val="none"/>
              </w:rPr>
            </w:pPr>
          </w:p>
        </w:tc>
        <w:tc>
          <w:tcPr>
            <w:tcW w:w="850" w:type="dxa"/>
            <w:vAlign w:val="center"/>
          </w:tcPr>
          <w:p w14:paraId="12E8E86A">
            <w:pPr>
              <w:pStyle w:val="18"/>
              <w:keepNext/>
              <w:spacing w:line="440" w:lineRule="exact"/>
              <w:ind w:left="420" w:right="63"/>
              <w:rPr>
                <w:rFonts w:hint="eastAsia" w:ascii="宋体" w:hAnsi="宋体"/>
                <w:color w:val="auto"/>
                <w:highlight w:val="none"/>
              </w:rPr>
            </w:pPr>
          </w:p>
        </w:tc>
        <w:tc>
          <w:tcPr>
            <w:tcW w:w="1058" w:type="dxa"/>
            <w:vAlign w:val="center"/>
          </w:tcPr>
          <w:p w14:paraId="0C28D2F9">
            <w:pPr>
              <w:pStyle w:val="18"/>
              <w:keepNext/>
              <w:spacing w:line="440" w:lineRule="exact"/>
              <w:ind w:left="420" w:right="63"/>
              <w:rPr>
                <w:rFonts w:hint="eastAsia" w:ascii="宋体" w:hAnsi="宋体"/>
                <w:color w:val="auto"/>
                <w:highlight w:val="none"/>
              </w:rPr>
            </w:pPr>
          </w:p>
        </w:tc>
        <w:tc>
          <w:tcPr>
            <w:tcW w:w="880" w:type="dxa"/>
            <w:vAlign w:val="center"/>
          </w:tcPr>
          <w:p w14:paraId="1532513C">
            <w:pPr>
              <w:pStyle w:val="18"/>
              <w:keepNext/>
              <w:spacing w:line="440" w:lineRule="exact"/>
              <w:ind w:left="420" w:right="63"/>
              <w:rPr>
                <w:rFonts w:hint="eastAsia" w:ascii="宋体" w:hAnsi="宋体"/>
                <w:color w:val="auto"/>
                <w:highlight w:val="none"/>
              </w:rPr>
            </w:pPr>
          </w:p>
        </w:tc>
        <w:tc>
          <w:tcPr>
            <w:tcW w:w="1020" w:type="dxa"/>
            <w:vAlign w:val="center"/>
          </w:tcPr>
          <w:p w14:paraId="466315CE">
            <w:pPr>
              <w:pStyle w:val="18"/>
              <w:keepNext/>
              <w:spacing w:line="440" w:lineRule="exact"/>
              <w:ind w:left="420" w:right="63"/>
              <w:rPr>
                <w:rFonts w:hint="eastAsia" w:ascii="宋体" w:hAnsi="宋体"/>
                <w:color w:val="auto"/>
                <w:highlight w:val="none"/>
              </w:rPr>
            </w:pPr>
          </w:p>
        </w:tc>
        <w:tc>
          <w:tcPr>
            <w:tcW w:w="1480" w:type="dxa"/>
            <w:vAlign w:val="center"/>
          </w:tcPr>
          <w:p w14:paraId="624863B7">
            <w:pPr>
              <w:pStyle w:val="18"/>
              <w:keepNext/>
              <w:spacing w:line="440" w:lineRule="exact"/>
              <w:ind w:left="420" w:right="63"/>
              <w:rPr>
                <w:rFonts w:hint="eastAsia" w:ascii="宋体" w:hAnsi="宋体"/>
                <w:color w:val="auto"/>
                <w:highlight w:val="none"/>
              </w:rPr>
            </w:pPr>
          </w:p>
        </w:tc>
        <w:tc>
          <w:tcPr>
            <w:tcW w:w="1020" w:type="dxa"/>
            <w:vAlign w:val="center"/>
          </w:tcPr>
          <w:p w14:paraId="0E264231">
            <w:pPr>
              <w:pStyle w:val="18"/>
              <w:keepNext/>
              <w:spacing w:line="440" w:lineRule="exact"/>
              <w:ind w:left="420" w:right="63"/>
              <w:rPr>
                <w:rFonts w:hint="eastAsia" w:ascii="宋体" w:hAnsi="宋体"/>
                <w:color w:val="auto"/>
                <w:highlight w:val="none"/>
              </w:rPr>
            </w:pPr>
          </w:p>
        </w:tc>
        <w:tc>
          <w:tcPr>
            <w:tcW w:w="921" w:type="dxa"/>
            <w:vAlign w:val="center"/>
          </w:tcPr>
          <w:p w14:paraId="6CC61C0D">
            <w:pPr>
              <w:pStyle w:val="18"/>
              <w:keepNext/>
              <w:spacing w:line="440" w:lineRule="exact"/>
              <w:ind w:left="420" w:right="63"/>
              <w:rPr>
                <w:rFonts w:hint="eastAsia" w:ascii="宋体" w:hAnsi="宋体"/>
                <w:color w:val="auto"/>
                <w:highlight w:val="none"/>
              </w:rPr>
            </w:pPr>
          </w:p>
        </w:tc>
      </w:tr>
      <w:tr w14:paraId="0E5B9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center"/>
          </w:tcPr>
          <w:p w14:paraId="35CADB88">
            <w:pPr>
              <w:pStyle w:val="18"/>
              <w:keepNext/>
              <w:spacing w:line="440" w:lineRule="exact"/>
              <w:ind w:left="420" w:right="63"/>
              <w:rPr>
                <w:rFonts w:hint="eastAsia" w:ascii="宋体" w:hAnsi="宋体"/>
                <w:color w:val="auto"/>
                <w:highlight w:val="none"/>
              </w:rPr>
            </w:pPr>
          </w:p>
        </w:tc>
        <w:tc>
          <w:tcPr>
            <w:tcW w:w="1418" w:type="dxa"/>
            <w:vAlign w:val="center"/>
          </w:tcPr>
          <w:p w14:paraId="4254CB5F">
            <w:pPr>
              <w:pStyle w:val="18"/>
              <w:keepNext/>
              <w:spacing w:line="440" w:lineRule="exact"/>
              <w:ind w:left="420" w:right="63"/>
              <w:rPr>
                <w:rFonts w:hint="eastAsia" w:ascii="宋体" w:hAnsi="宋体"/>
                <w:color w:val="auto"/>
                <w:highlight w:val="none"/>
              </w:rPr>
            </w:pPr>
          </w:p>
        </w:tc>
        <w:tc>
          <w:tcPr>
            <w:tcW w:w="850" w:type="dxa"/>
            <w:vAlign w:val="center"/>
          </w:tcPr>
          <w:p w14:paraId="4A0AC29E">
            <w:pPr>
              <w:pStyle w:val="18"/>
              <w:keepNext/>
              <w:spacing w:line="440" w:lineRule="exact"/>
              <w:ind w:left="420" w:right="63"/>
              <w:rPr>
                <w:rFonts w:hint="eastAsia" w:ascii="宋体" w:hAnsi="宋体"/>
                <w:color w:val="auto"/>
                <w:highlight w:val="none"/>
              </w:rPr>
            </w:pPr>
          </w:p>
        </w:tc>
        <w:tc>
          <w:tcPr>
            <w:tcW w:w="1058" w:type="dxa"/>
            <w:vAlign w:val="center"/>
          </w:tcPr>
          <w:p w14:paraId="19D90FB4">
            <w:pPr>
              <w:pStyle w:val="18"/>
              <w:keepNext/>
              <w:spacing w:line="440" w:lineRule="exact"/>
              <w:ind w:left="420" w:right="63"/>
              <w:rPr>
                <w:rFonts w:hint="eastAsia" w:ascii="宋体" w:hAnsi="宋体"/>
                <w:color w:val="auto"/>
                <w:highlight w:val="none"/>
              </w:rPr>
            </w:pPr>
          </w:p>
        </w:tc>
        <w:tc>
          <w:tcPr>
            <w:tcW w:w="880" w:type="dxa"/>
            <w:vAlign w:val="center"/>
          </w:tcPr>
          <w:p w14:paraId="373C19DF">
            <w:pPr>
              <w:pStyle w:val="18"/>
              <w:keepNext/>
              <w:spacing w:line="440" w:lineRule="exact"/>
              <w:ind w:left="420" w:right="63"/>
              <w:rPr>
                <w:rFonts w:hint="eastAsia" w:ascii="宋体" w:hAnsi="宋体"/>
                <w:color w:val="auto"/>
                <w:highlight w:val="none"/>
              </w:rPr>
            </w:pPr>
          </w:p>
        </w:tc>
        <w:tc>
          <w:tcPr>
            <w:tcW w:w="1020" w:type="dxa"/>
            <w:vAlign w:val="center"/>
          </w:tcPr>
          <w:p w14:paraId="17B963AB">
            <w:pPr>
              <w:pStyle w:val="18"/>
              <w:keepNext/>
              <w:spacing w:line="440" w:lineRule="exact"/>
              <w:ind w:left="420" w:right="63"/>
              <w:rPr>
                <w:rFonts w:hint="eastAsia" w:ascii="宋体" w:hAnsi="宋体"/>
                <w:color w:val="auto"/>
                <w:highlight w:val="none"/>
              </w:rPr>
            </w:pPr>
          </w:p>
        </w:tc>
        <w:tc>
          <w:tcPr>
            <w:tcW w:w="1480" w:type="dxa"/>
            <w:vAlign w:val="center"/>
          </w:tcPr>
          <w:p w14:paraId="3E3160ED">
            <w:pPr>
              <w:pStyle w:val="18"/>
              <w:keepNext/>
              <w:spacing w:line="440" w:lineRule="exact"/>
              <w:ind w:left="420" w:right="63"/>
              <w:rPr>
                <w:rFonts w:hint="eastAsia" w:ascii="宋体" w:hAnsi="宋体"/>
                <w:color w:val="auto"/>
                <w:highlight w:val="none"/>
              </w:rPr>
            </w:pPr>
          </w:p>
        </w:tc>
        <w:tc>
          <w:tcPr>
            <w:tcW w:w="1020" w:type="dxa"/>
            <w:vAlign w:val="center"/>
          </w:tcPr>
          <w:p w14:paraId="07603AB8">
            <w:pPr>
              <w:pStyle w:val="18"/>
              <w:keepNext/>
              <w:spacing w:line="440" w:lineRule="exact"/>
              <w:ind w:left="420" w:right="63"/>
              <w:rPr>
                <w:rFonts w:hint="eastAsia" w:ascii="宋体" w:hAnsi="宋体"/>
                <w:color w:val="auto"/>
                <w:highlight w:val="none"/>
              </w:rPr>
            </w:pPr>
          </w:p>
        </w:tc>
        <w:tc>
          <w:tcPr>
            <w:tcW w:w="921" w:type="dxa"/>
            <w:vAlign w:val="center"/>
          </w:tcPr>
          <w:p w14:paraId="11B9576C">
            <w:pPr>
              <w:pStyle w:val="18"/>
              <w:keepNext/>
              <w:spacing w:line="440" w:lineRule="exact"/>
              <w:ind w:left="420" w:right="63"/>
              <w:rPr>
                <w:rFonts w:hint="eastAsia" w:ascii="宋体" w:hAnsi="宋体"/>
                <w:color w:val="auto"/>
                <w:highlight w:val="none"/>
              </w:rPr>
            </w:pPr>
          </w:p>
        </w:tc>
      </w:tr>
      <w:tr w14:paraId="744FC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center"/>
          </w:tcPr>
          <w:p w14:paraId="6A707891">
            <w:pPr>
              <w:pStyle w:val="18"/>
              <w:keepNext/>
              <w:spacing w:line="440" w:lineRule="exact"/>
              <w:ind w:left="420" w:right="63"/>
              <w:rPr>
                <w:rFonts w:hint="eastAsia" w:ascii="宋体" w:hAnsi="宋体"/>
                <w:color w:val="auto"/>
                <w:highlight w:val="none"/>
              </w:rPr>
            </w:pPr>
          </w:p>
        </w:tc>
        <w:tc>
          <w:tcPr>
            <w:tcW w:w="1418" w:type="dxa"/>
            <w:vAlign w:val="center"/>
          </w:tcPr>
          <w:p w14:paraId="77CE42C4">
            <w:pPr>
              <w:pStyle w:val="18"/>
              <w:keepNext/>
              <w:spacing w:line="440" w:lineRule="exact"/>
              <w:ind w:left="420" w:right="63"/>
              <w:rPr>
                <w:rFonts w:hint="eastAsia" w:ascii="宋体" w:hAnsi="宋体"/>
                <w:color w:val="auto"/>
                <w:highlight w:val="none"/>
              </w:rPr>
            </w:pPr>
          </w:p>
        </w:tc>
        <w:tc>
          <w:tcPr>
            <w:tcW w:w="850" w:type="dxa"/>
            <w:vAlign w:val="center"/>
          </w:tcPr>
          <w:p w14:paraId="3EE44F37">
            <w:pPr>
              <w:pStyle w:val="18"/>
              <w:keepNext/>
              <w:spacing w:line="440" w:lineRule="exact"/>
              <w:ind w:left="420" w:right="63"/>
              <w:rPr>
                <w:rFonts w:hint="eastAsia" w:ascii="宋体" w:hAnsi="宋体"/>
                <w:color w:val="auto"/>
                <w:highlight w:val="none"/>
              </w:rPr>
            </w:pPr>
          </w:p>
        </w:tc>
        <w:tc>
          <w:tcPr>
            <w:tcW w:w="1058" w:type="dxa"/>
            <w:vAlign w:val="center"/>
          </w:tcPr>
          <w:p w14:paraId="57BFCE1D">
            <w:pPr>
              <w:pStyle w:val="18"/>
              <w:keepNext/>
              <w:spacing w:line="440" w:lineRule="exact"/>
              <w:ind w:left="420" w:right="63"/>
              <w:rPr>
                <w:rFonts w:hint="eastAsia" w:ascii="宋体" w:hAnsi="宋体"/>
                <w:color w:val="auto"/>
                <w:highlight w:val="none"/>
              </w:rPr>
            </w:pPr>
          </w:p>
        </w:tc>
        <w:tc>
          <w:tcPr>
            <w:tcW w:w="880" w:type="dxa"/>
            <w:vAlign w:val="center"/>
          </w:tcPr>
          <w:p w14:paraId="74532645">
            <w:pPr>
              <w:pStyle w:val="18"/>
              <w:keepNext/>
              <w:spacing w:line="440" w:lineRule="exact"/>
              <w:ind w:left="420" w:right="63"/>
              <w:rPr>
                <w:rFonts w:hint="eastAsia" w:ascii="宋体" w:hAnsi="宋体"/>
                <w:color w:val="auto"/>
                <w:highlight w:val="none"/>
              </w:rPr>
            </w:pPr>
          </w:p>
        </w:tc>
        <w:tc>
          <w:tcPr>
            <w:tcW w:w="1020" w:type="dxa"/>
            <w:vAlign w:val="center"/>
          </w:tcPr>
          <w:p w14:paraId="34F008F2">
            <w:pPr>
              <w:pStyle w:val="18"/>
              <w:keepNext/>
              <w:spacing w:line="440" w:lineRule="exact"/>
              <w:ind w:left="420" w:right="63"/>
              <w:rPr>
                <w:rFonts w:hint="eastAsia" w:ascii="宋体" w:hAnsi="宋体"/>
                <w:color w:val="auto"/>
                <w:highlight w:val="none"/>
              </w:rPr>
            </w:pPr>
          </w:p>
        </w:tc>
        <w:tc>
          <w:tcPr>
            <w:tcW w:w="1480" w:type="dxa"/>
            <w:vAlign w:val="center"/>
          </w:tcPr>
          <w:p w14:paraId="77940AB2">
            <w:pPr>
              <w:pStyle w:val="18"/>
              <w:keepNext/>
              <w:spacing w:line="440" w:lineRule="exact"/>
              <w:ind w:left="420" w:right="63"/>
              <w:rPr>
                <w:rFonts w:hint="eastAsia" w:ascii="宋体" w:hAnsi="宋体"/>
                <w:color w:val="auto"/>
                <w:highlight w:val="none"/>
              </w:rPr>
            </w:pPr>
          </w:p>
        </w:tc>
        <w:tc>
          <w:tcPr>
            <w:tcW w:w="1020" w:type="dxa"/>
            <w:vAlign w:val="center"/>
          </w:tcPr>
          <w:p w14:paraId="056B4641">
            <w:pPr>
              <w:pStyle w:val="18"/>
              <w:keepNext/>
              <w:spacing w:line="440" w:lineRule="exact"/>
              <w:ind w:left="420" w:right="63"/>
              <w:rPr>
                <w:rFonts w:hint="eastAsia" w:ascii="宋体" w:hAnsi="宋体"/>
                <w:color w:val="auto"/>
                <w:highlight w:val="none"/>
              </w:rPr>
            </w:pPr>
          </w:p>
        </w:tc>
        <w:tc>
          <w:tcPr>
            <w:tcW w:w="921" w:type="dxa"/>
            <w:vAlign w:val="center"/>
          </w:tcPr>
          <w:p w14:paraId="7F72DB30">
            <w:pPr>
              <w:pStyle w:val="18"/>
              <w:keepNext/>
              <w:spacing w:line="440" w:lineRule="exact"/>
              <w:ind w:left="420" w:right="63"/>
              <w:rPr>
                <w:rFonts w:hint="eastAsia" w:ascii="宋体" w:hAnsi="宋体"/>
                <w:color w:val="auto"/>
                <w:highlight w:val="none"/>
              </w:rPr>
            </w:pPr>
          </w:p>
        </w:tc>
      </w:tr>
    </w:tbl>
    <w:p w14:paraId="34952EC5">
      <w:pPr>
        <w:spacing w:line="440" w:lineRule="exact"/>
        <w:rPr>
          <w:rFonts w:hint="eastAsia" w:ascii="宋体" w:hAnsi="宋体" w:cs="宋体"/>
          <w:color w:val="auto"/>
          <w:szCs w:val="21"/>
          <w:highlight w:val="none"/>
        </w:rPr>
      </w:pPr>
    </w:p>
    <w:p w14:paraId="5A300452">
      <w:pPr>
        <w:pStyle w:val="30"/>
        <w:rPr>
          <w:color w:val="auto"/>
          <w:highlight w:val="none"/>
        </w:rPr>
      </w:pPr>
    </w:p>
    <w:p w14:paraId="7F22A5F0">
      <w:pPr>
        <w:spacing w:line="440" w:lineRule="exact"/>
        <w:rPr>
          <w:rFonts w:hint="eastAsia" w:ascii="宋体" w:hAnsi="宋体" w:cs="宋体"/>
          <w:color w:val="auto"/>
          <w:szCs w:val="21"/>
          <w:highlight w:val="none"/>
        </w:rPr>
      </w:pPr>
    </w:p>
    <w:p w14:paraId="6F44D475">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附</w:t>
      </w:r>
      <w:bookmarkStart w:id="1498" w:name="_Toc296891268"/>
      <w:bookmarkStart w:id="1499" w:name="_Toc267261699"/>
      <w:bookmarkStart w:id="1500" w:name="_Toc296503228"/>
      <w:bookmarkStart w:id="1501" w:name="_Toc296346729"/>
      <w:bookmarkStart w:id="1502" w:name="_Toc296891056"/>
      <w:bookmarkStart w:id="1503" w:name="_Toc296944567"/>
      <w:bookmarkStart w:id="1504" w:name="_Toc296347227"/>
      <w:r>
        <w:rPr>
          <w:rFonts w:hint="eastAsia" w:ascii="宋体" w:hAnsi="宋体" w:cs="宋体"/>
          <w:color w:val="auto"/>
          <w:szCs w:val="21"/>
          <w:highlight w:val="none"/>
        </w:rPr>
        <w:t>件6：</w:t>
      </w:r>
    </w:p>
    <w:bookmarkEnd w:id="1498"/>
    <w:bookmarkEnd w:id="1499"/>
    <w:bookmarkEnd w:id="1500"/>
    <w:bookmarkEnd w:id="1501"/>
    <w:bookmarkEnd w:id="1502"/>
    <w:bookmarkEnd w:id="1503"/>
    <w:bookmarkEnd w:id="1504"/>
    <w:p w14:paraId="3E97787A">
      <w:pPr>
        <w:spacing w:before="156" w:beforeLines="50" w:after="156" w:afterLines="50"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承包人主要施工管理人员表</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71"/>
        <w:gridCol w:w="1418"/>
        <w:gridCol w:w="1134"/>
        <w:gridCol w:w="1134"/>
        <w:gridCol w:w="4252"/>
      </w:tblGrid>
      <w:tr w14:paraId="397F6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53F5B06B">
            <w:pPr>
              <w:jc w:val="center"/>
              <w:rPr>
                <w:color w:val="auto"/>
                <w:highlight w:val="none"/>
              </w:rPr>
            </w:pPr>
            <w:r>
              <w:rPr>
                <w:rFonts w:hint="eastAsia"/>
                <w:color w:val="auto"/>
                <w:highlight w:val="none"/>
              </w:rPr>
              <w:t>名</w:t>
            </w:r>
            <w:r>
              <w:rPr>
                <w:color w:val="auto"/>
                <w:highlight w:val="none"/>
              </w:rPr>
              <w:t xml:space="preserve">    </w:t>
            </w:r>
            <w:r>
              <w:rPr>
                <w:rFonts w:hint="eastAsia"/>
                <w:color w:val="auto"/>
                <w:highlight w:val="none"/>
              </w:rPr>
              <w:t>称</w:t>
            </w:r>
          </w:p>
        </w:tc>
        <w:tc>
          <w:tcPr>
            <w:tcW w:w="1418" w:type="dxa"/>
            <w:vAlign w:val="center"/>
          </w:tcPr>
          <w:p w14:paraId="137DD962">
            <w:pPr>
              <w:jc w:val="center"/>
              <w:rPr>
                <w:color w:val="auto"/>
                <w:highlight w:val="none"/>
              </w:rPr>
            </w:pPr>
            <w:r>
              <w:rPr>
                <w:rFonts w:hint="eastAsia"/>
                <w:color w:val="auto"/>
                <w:highlight w:val="none"/>
              </w:rPr>
              <w:t>姓名</w:t>
            </w:r>
          </w:p>
        </w:tc>
        <w:tc>
          <w:tcPr>
            <w:tcW w:w="1134" w:type="dxa"/>
            <w:vAlign w:val="center"/>
          </w:tcPr>
          <w:p w14:paraId="5E093647">
            <w:pPr>
              <w:jc w:val="center"/>
              <w:rPr>
                <w:color w:val="auto"/>
                <w:highlight w:val="none"/>
              </w:rPr>
            </w:pPr>
            <w:r>
              <w:rPr>
                <w:rFonts w:hint="eastAsia"/>
                <w:color w:val="auto"/>
                <w:highlight w:val="none"/>
              </w:rPr>
              <w:t>职务</w:t>
            </w:r>
          </w:p>
        </w:tc>
        <w:tc>
          <w:tcPr>
            <w:tcW w:w="1134" w:type="dxa"/>
            <w:vAlign w:val="center"/>
          </w:tcPr>
          <w:p w14:paraId="22742C0B">
            <w:pPr>
              <w:jc w:val="center"/>
              <w:rPr>
                <w:color w:val="auto"/>
                <w:highlight w:val="none"/>
              </w:rPr>
            </w:pPr>
            <w:r>
              <w:rPr>
                <w:rFonts w:hint="eastAsia"/>
                <w:color w:val="auto"/>
                <w:highlight w:val="none"/>
              </w:rPr>
              <w:t>职称</w:t>
            </w:r>
          </w:p>
        </w:tc>
        <w:tc>
          <w:tcPr>
            <w:tcW w:w="4252" w:type="dxa"/>
            <w:vAlign w:val="center"/>
          </w:tcPr>
          <w:p w14:paraId="5DCA6B33">
            <w:pPr>
              <w:jc w:val="center"/>
              <w:rPr>
                <w:color w:val="auto"/>
                <w:highlight w:val="none"/>
              </w:rPr>
            </w:pPr>
            <w:r>
              <w:rPr>
                <w:rFonts w:hint="eastAsia"/>
                <w:color w:val="auto"/>
                <w:highlight w:val="none"/>
              </w:rPr>
              <w:t>主要资历、经验及承担过的项目</w:t>
            </w:r>
          </w:p>
        </w:tc>
      </w:tr>
      <w:tr w14:paraId="19154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vAlign w:val="center"/>
          </w:tcPr>
          <w:p w14:paraId="68D6F22B">
            <w:pPr>
              <w:pStyle w:val="18"/>
              <w:keepNext/>
              <w:spacing w:line="440" w:lineRule="exact"/>
              <w:ind w:left="420" w:right="63"/>
              <w:rPr>
                <w:rFonts w:hint="eastAsia" w:ascii="宋体" w:hAnsi="宋体"/>
                <w:color w:val="auto"/>
                <w:highlight w:val="none"/>
              </w:rPr>
            </w:pPr>
            <w:r>
              <w:rPr>
                <w:rFonts w:hint="eastAsia" w:ascii="宋体" w:hAnsi="宋体"/>
                <w:color w:val="auto"/>
                <w:highlight w:val="none"/>
              </w:rPr>
              <w:t>一、总部人员</w:t>
            </w:r>
          </w:p>
        </w:tc>
      </w:tr>
      <w:tr w14:paraId="73A04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60BBBE7D">
            <w:pPr>
              <w:pStyle w:val="18"/>
              <w:keepNext/>
              <w:spacing w:line="440" w:lineRule="exact"/>
              <w:ind w:left="420" w:right="63"/>
              <w:rPr>
                <w:rFonts w:hint="eastAsia" w:ascii="宋体" w:hAnsi="宋体"/>
                <w:color w:val="auto"/>
                <w:highlight w:val="none"/>
              </w:rPr>
            </w:pPr>
            <w:r>
              <w:rPr>
                <w:rFonts w:hint="eastAsia" w:ascii="宋体" w:hAnsi="宋体"/>
                <w:color w:val="auto"/>
                <w:highlight w:val="none"/>
              </w:rPr>
              <w:t>项目主管</w:t>
            </w:r>
          </w:p>
        </w:tc>
        <w:tc>
          <w:tcPr>
            <w:tcW w:w="1418" w:type="dxa"/>
            <w:vAlign w:val="center"/>
          </w:tcPr>
          <w:p w14:paraId="1D87BCE5">
            <w:pPr>
              <w:pStyle w:val="18"/>
              <w:keepNext/>
              <w:spacing w:line="440" w:lineRule="exact"/>
              <w:ind w:left="420" w:right="63"/>
              <w:rPr>
                <w:rFonts w:hint="eastAsia" w:ascii="宋体" w:hAnsi="宋体"/>
                <w:color w:val="auto"/>
                <w:highlight w:val="none"/>
              </w:rPr>
            </w:pPr>
          </w:p>
        </w:tc>
        <w:tc>
          <w:tcPr>
            <w:tcW w:w="1134" w:type="dxa"/>
            <w:vAlign w:val="center"/>
          </w:tcPr>
          <w:p w14:paraId="7B665DDA">
            <w:pPr>
              <w:pStyle w:val="18"/>
              <w:keepNext/>
              <w:spacing w:line="440" w:lineRule="exact"/>
              <w:ind w:left="420" w:right="63"/>
              <w:rPr>
                <w:rFonts w:hint="eastAsia" w:ascii="宋体" w:hAnsi="宋体"/>
                <w:color w:val="auto"/>
                <w:highlight w:val="none"/>
              </w:rPr>
            </w:pPr>
          </w:p>
        </w:tc>
        <w:tc>
          <w:tcPr>
            <w:tcW w:w="1134" w:type="dxa"/>
            <w:vAlign w:val="center"/>
          </w:tcPr>
          <w:p w14:paraId="212B6B09">
            <w:pPr>
              <w:pStyle w:val="18"/>
              <w:keepNext/>
              <w:spacing w:line="440" w:lineRule="exact"/>
              <w:ind w:left="420" w:right="63"/>
              <w:rPr>
                <w:rFonts w:hint="eastAsia" w:ascii="宋体" w:hAnsi="宋体"/>
                <w:color w:val="auto"/>
                <w:highlight w:val="none"/>
              </w:rPr>
            </w:pPr>
          </w:p>
        </w:tc>
        <w:tc>
          <w:tcPr>
            <w:tcW w:w="4252" w:type="dxa"/>
            <w:vAlign w:val="center"/>
          </w:tcPr>
          <w:p w14:paraId="19B5EF0B">
            <w:pPr>
              <w:pStyle w:val="18"/>
              <w:keepNext/>
              <w:spacing w:line="440" w:lineRule="exact"/>
              <w:ind w:left="420" w:right="63"/>
              <w:rPr>
                <w:rFonts w:hint="eastAsia" w:ascii="宋体" w:hAnsi="宋体"/>
                <w:color w:val="auto"/>
                <w:highlight w:val="none"/>
              </w:rPr>
            </w:pPr>
          </w:p>
        </w:tc>
      </w:tr>
      <w:tr w14:paraId="7D6F0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6751DC07">
            <w:pPr>
              <w:pStyle w:val="18"/>
              <w:keepNext/>
              <w:spacing w:line="440" w:lineRule="exact"/>
              <w:ind w:left="420" w:right="63"/>
              <w:rPr>
                <w:rFonts w:hint="eastAsia" w:ascii="宋体" w:hAnsi="宋体"/>
                <w:color w:val="auto"/>
                <w:highlight w:val="none"/>
              </w:rPr>
            </w:pPr>
          </w:p>
        </w:tc>
        <w:tc>
          <w:tcPr>
            <w:tcW w:w="1418" w:type="dxa"/>
            <w:vAlign w:val="center"/>
          </w:tcPr>
          <w:p w14:paraId="4A72D754">
            <w:pPr>
              <w:pStyle w:val="18"/>
              <w:keepNext/>
              <w:spacing w:line="440" w:lineRule="exact"/>
              <w:ind w:left="420" w:right="63"/>
              <w:rPr>
                <w:rFonts w:hint="eastAsia" w:ascii="宋体" w:hAnsi="宋体"/>
                <w:color w:val="auto"/>
                <w:highlight w:val="none"/>
              </w:rPr>
            </w:pPr>
          </w:p>
        </w:tc>
        <w:tc>
          <w:tcPr>
            <w:tcW w:w="1134" w:type="dxa"/>
            <w:vAlign w:val="center"/>
          </w:tcPr>
          <w:p w14:paraId="32BB82BD">
            <w:pPr>
              <w:pStyle w:val="18"/>
              <w:keepNext/>
              <w:spacing w:line="440" w:lineRule="exact"/>
              <w:ind w:left="420" w:right="63"/>
              <w:rPr>
                <w:rFonts w:hint="eastAsia" w:ascii="宋体" w:hAnsi="宋体"/>
                <w:color w:val="auto"/>
                <w:highlight w:val="none"/>
              </w:rPr>
            </w:pPr>
          </w:p>
        </w:tc>
        <w:tc>
          <w:tcPr>
            <w:tcW w:w="1134" w:type="dxa"/>
            <w:vAlign w:val="center"/>
          </w:tcPr>
          <w:p w14:paraId="5E93629A">
            <w:pPr>
              <w:pStyle w:val="18"/>
              <w:keepNext/>
              <w:spacing w:line="440" w:lineRule="exact"/>
              <w:ind w:left="420" w:right="63"/>
              <w:rPr>
                <w:rFonts w:hint="eastAsia" w:ascii="宋体" w:hAnsi="宋体"/>
                <w:color w:val="auto"/>
                <w:highlight w:val="none"/>
              </w:rPr>
            </w:pPr>
          </w:p>
        </w:tc>
        <w:tc>
          <w:tcPr>
            <w:tcW w:w="4252" w:type="dxa"/>
            <w:vAlign w:val="center"/>
          </w:tcPr>
          <w:p w14:paraId="573A94E5">
            <w:pPr>
              <w:pStyle w:val="18"/>
              <w:keepNext/>
              <w:spacing w:line="440" w:lineRule="exact"/>
              <w:ind w:left="420" w:right="63"/>
              <w:rPr>
                <w:rFonts w:hint="eastAsia" w:ascii="宋体" w:hAnsi="宋体"/>
                <w:color w:val="auto"/>
                <w:highlight w:val="none"/>
              </w:rPr>
            </w:pPr>
          </w:p>
        </w:tc>
      </w:tr>
      <w:tr w14:paraId="76DB8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2721F18F">
            <w:pPr>
              <w:pStyle w:val="18"/>
              <w:keepNext/>
              <w:spacing w:line="440" w:lineRule="exact"/>
              <w:ind w:left="420" w:right="63"/>
              <w:rPr>
                <w:rFonts w:hint="eastAsia" w:ascii="宋体" w:hAnsi="宋体"/>
                <w:color w:val="auto"/>
                <w:highlight w:val="none"/>
              </w:rPr>
            </w:pPr>
            <w:r>
              <w:rPr>
                <w:rFonts w:hint="eastAsia" w:ascii="宋体" w:hAnsi="宋体"/>
                <w:color w:val="auto"/>
                <w:highlight w:val="none"/>
              </w:rPr>
              <w:t>其他人员</w:t>
            </w:r>
          </w:p>
        </w:tc>
        <w:tc>
          <w:tcPr>
            <w:tcW w:w="1418" w:type="dxa"/>
            <w:vAlign w:val="center"/>
          </w:tcPr>
          <w:p w14:paraId="5C3CBE02">
            <w:pPr>
              <w:pStyle w:val="18"/>
              <w:keepNext/>
              <w:spacing w:line="440" w:lineRule="exact"/>
              <w:ind w:left="420" w:right="63"/>
              <w:rPr>
                <w:rFonts w:hint="eastAsia" w:ascii="宋体" w:hAnsi="宋体"/>
                <w:color w:val="auto"/>
                <w:highlight w:val="none"/>
              </w:rPr>
            </w:pPr>
          </w:p>
        </w:tc>
        <w:tc>
          <w:tcPr>
            <w:tcW w:w="1134" w:type="dxa"/>
            <w:vAlign w:val="center"/>
          </w:tcPr>
          <w:p w14:paraId="2152425F">
            <w:pPr>
              <w:pStyle w:val="18"/>
              <w:keepNext/>
              <w:spacing w:line="440" w:lineRule="exact"/>
              <w:ind w:left="420" w:right="63"/>
              <w:rPr>
                <w:rFonts w:hint="eastAsia" w:ascii="宋体" w:hAnsi="宋体"/>
                <w:color w:val="auto"/>
                <w:highlight w:val="none"/>
              </w:rPr>
            </w:pPr>
          </w:p>
        </w:tc>
        <w:tc>
          <w:tcPr>
            <w:tcW w:w="1134" w:type="dxa"/>
            <w:vAlign w:val="center"/>
          </w:tcPr>
          <w:p w14:paraId="6BC902B6">
            <w:pPr>
              <w:pStyle w:val="18"/>
              <w:keepNext/>
              <w:spacing w:line="440" w:lineRule="exact"/>
              <w:ind w:left="420" w:right="63"/>
              <w:rPr>
                <w:rFonts w:hint="eastAsia" w:ascii="宋体" w:hAnsi="宋体"/>
                <w:color w:val="auto"/>
                <w:highlight w:val="none"/>
              </w:rPr>
            </w:pPr>
          </w:p>
        </w:tc>
        <w:tc>
          <w:tcPr>
            <w:tcW w:w="4252" w:type="dxa"/>
            <w:vAlign w:val="center"/>
          </w:tcPr>
          <w:p w14:paraId="1979F5E8">
            <w:pPr>
              <w:pStyle w:val="18"/>
              <w:keepNext/>
              <w:spacing w:line="440" w:lineRule="exact"/>
              <w:ind w:left="420" w:right="63"/>
              <w:rPr>
                <w:rFonts w:hint="eastAsia" w:ascii="宋体" w:hAnsi="宋体"/>
                <w:color w:val="auto"/>
                <w:highlight w:val="none"/>
              </w:rPr>
            </w:pPr>
          </w:p>
        </w:tc>
      </w:tr>
      <w:tr w14:paraId="0A572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5FCDD874">
            <w:pPr>
              <w:pStyle w:val="18"/>
              <w:keepNext/>
              <w:spacing w:line="440" w:lineRule="exact"/>
              <w:ind w:left="420" w:right="63"/>
              <w:rPr>
                <w:rFonts w:hint="eastAsia" w:ascii="宋体" w:hAnsi="宋体"/>
                <w:color w:val="auto"/>
                <w:highlight w:val="none"/>
              </w:rPr>
            </w:pPr>
          </w:p>
        </w:tc>
        <w:tc>
          <w:tcPr>
            <w:tcW w:w="1418" w:type="dxa"/>
            <w:vAlign w:val="center"/>
          </w:tcPr>
          <w:p w14:paraId="76F5C12A">
            <w:pPr>
              <w:pStyle w:val="18"/>
              <w:keepNext/>
              <w:spacing w:line="440" w:lineRule="exact"/>
              <w:ind w:left="420" w:right="63"/>
              <w:rPr>
                <w:rFonts w:hint="eastAsia" w:ascii="宋体" w:hAnsi="宋体"/>
                <w:color w:val="auto"/>
                <w:highlight w:val="none"/>
              </w:rPr>
            </w:pPr>
          </w:p>
        </w:tc>
        <w:tc>
          <w:tcPr>
            <w:tcW w:w="1134" w:type="dxa"/>
            <w:vAlign w:val="center"/>
          </w:tcPr>
          <w:p w14:paraId="4D005F18">
            <w:pPr>
              <w:pStyle w:val="18"/>
              <w:keepNext/>
              <w:spacing w:line="440" w:lineRule="exact"/>
              <w:ind w:left="420" w:right="63"/>
              <w:rPr>
                <w:rFonts w:hint="eastAsia" w:ascii="宋体" w:hAnsi="宋体"/>
                <w:color w:val="auto"/>
                <w:highlight w:val="none"/>
              </w:rPr>
            </w:pPr>
          </w:p>
        </w:tc>
        <w:tc>
          <w:tcPr>
            <w:tcW w:w="1134" w:type="dxa"/>
            <w:vAlign w:val="center"/>
          </w:tcPr>
          <w:p w14:paraId="224CF8DB">
            <w:pPr>
              <w:pStyle w:val="18"/>
              <w:keepNext/>
              <w:spacing w:line="440" w:lineRule="exact"/>
              <w:ind w:left="420" w:right="63"/>
              <w:rPr>
                <w:rFonts w:hint="eastAsia" w:ascii="宋体" w:hAnsi="宋体"/>
                <w:color w:val="auto"/>
                <w:highlight w:val="none"/>
              </w:rPr>
            </w:pPr>
          </w:p>
        </w:tc>
        <w:tc>
          <w:tcPr>
            <w:tcW w:w="4252" w:type="dxa"/>
            <w:vAlign w:val="center"/>
          </w:tcPr>
          <w:p w14:paraId="7DF3BAED">
            <w:pPr>
              <w:pStyle w:val="18"/>
              <w:keepNext/>
              <w:spacing w:line="440" w:lineRule="exact"/>
              <w:ind w:left="420" w:right="63"/>
              <w:rPr>
                <w:rFonts w:hint="eastAsia" w:ascii="宋体" w:hAnsi="宋体"/>
                <w:color w:val="auto"/>
                <w:highlight w:val="none"/>
              </w:rPr>
            </w:pPr>
          </w:p>
        </w:tc>
      </w:tr>
      <w:tr w14:paraId="1CFD3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vAlign w:val="center"/>
          </w:tcPr>
          <w:p w14:paraId="4B808864">
            <w:pPr>
              <w:pStyle w:val="18"/>
              <w:keepNext/>
              <w:spacing w:line="440" w:lineRule="exact"/>
              <w:ind w:left="420" w:right="63"/>
              <w:rPr>
                <w:rFonts w:hint="eastAsia" w:ascii="宋体" w:hAnsi="宋体"/>
                <w:color w:val="auto"/>
                <w:highlight w:val="none"/>
              </w:rPr>
            </w:pPr>
            <w:r>
              <w:rPr>
                <w:rFonts w:hint="eastAsia" w:ascii="宋体" w:hAnsi="宋体"/>
                <w:color w:val="auto"/>
                <w:highlight w:val="none"/>
              </w:rPr>
              <w:t>二、现场人员</w:t>
            </w:r>
          </w:p>
        </w:tc>
      </w:tr>
      <w:tr w14:paraId="0915B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38FC382B">
            <w:pPr>
              <w:pStyle w:val="18"/>
              <w:keepNext/>
              <w:spacing w:line="440" w:lineRule="exact"/>
              <w:ind w:left="420" w:right="63"/>
              <w:rPr>
                <w:rFonts w:hint="eastAsia" w:ascii="宋体" w:hAnsi="宋体"/>
                <w:color w:val="auto"/>
                <w:highlight w:val="none"/>
              </w:rPr>
            </w:pPr>
            <w:r>
              <w:rPr>
                <w:rFonts w:hint="eastAsia" w:ascii="宋体" w:hAnsi="宋体"/>
                <w:color w:val="auto"/>
                <w:highlight w:val="none"/>
              </w:rPr>
              <w:t>项目经理</w:t>
            </w:r>
          </w:p>
        </w:tc>
        <w:tc>
          <w:tcPr>
            <w:tcW w:w="1418" w:type="dxa"/>
            <w:vAlign w:val="center"/>
          </w:tcPr>
          <w:p w14:paraId="3F038A36">
            <w:pPr>
              <w:pStyle w:val="18"/>
              <w:keepNext/>
              <w:spacing w:line="440" w:lineRule="exact"/>
              <w:ind w:left="420" w:right="63"/>
              <w:rPr>
                <w:rFonts w:hint="eastAsia" w:ascii="宋体" w:hAnsi="宋体"/>
                <w:color w:val="auto"/>
                <w:highlight w:val="none"/>
              </w:rPr>
            </w:pPr>
          </w:p>
        </w:tc>
        <w:tc>
          <w:tcPr>
            <w:tcW w:w="1134" w:type="dxa"/>
            <w:vAlign w:val="center"/>
          </w:tcPr>
          <w:p w14:paraId="05DA0320">
            <w:pPr>
              <w:pStyle w:val="18"/>
              <w:keepNext/>
              <w:spacing w:line="440" w:lineRule="exact"/>
              <w:ind w:left="420" w:right="63"/>
              <w:rPr>
                <w:rFonts w:hint="eastAsia" w:ascii="宋体" w:hAnsi="宋体"/>
                <w:color w:val="auto"/>
                <w:highlight w:val="none"/>
              </w:rPr>
            </w:pPr>
          </w:p>
        </w:tc>
        <w:tc>
          <w:tcPr>
            <w:tcW w:w="1134" w:type="dxa"/>
            <w:vAlign w:val="center"/>
          </w:tcPr>
          <w:p w14:paraId="17B69D5F">
            <w:pPr>
              <w:pStyle w:val="18"/>
              <w:keepNext/>
              <w:spacing w:line="440" w:lineRule="exact"/>
              <w:ind w:left="420" w:right="63"/>
              <w:rPr>
                <w:rFonts w:hint="eastAsia" w:ascii="宋体" w:hAnsi="宋体"/>
                <w:color w:val="auto"/>
                <w:highlight w:val="none"/>
              </w:rPr>
            </w:pPr>
          </w:p>
        </w:tc>
        <w:tc>
          <w:tcPr>
            <w:tcW w:w="4252" w:type="dxa"/>
            <w:vAlign w:val="center"/>
          </w:tcPr>
          <w:p w14:paraId="53C00892">
            <w:pPr>
              <w:pStyle w:val="18"/>
              <w:keepNext/>
              <w:spacing w:line="440" w:lineRule="exact"/>
              <w:ind w:left="420" w:right="63"/>
              <w:rPr>
                <w:rFonts w:hint="eastAsia" w:ascii="宋体" w:hAnsi="宋体"/>
                <w:color w:val="auto"/>
                <w:highlight w:val="none"/>
              </w:rPr>
            </w:pPr>
          </w:p>
        </w:tc>
      </w:tr>
      <w:tr w14:paraId="76C7E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215ADDC7">
            <w:pPr>
              <w:pStyle w:val="18"/>
              <w:keepNext/>
              <w:spacing w:line="440" w:lineRule="exact"/>
              <w:ind w:left="420" w:right="63"/>
              <w:rPr>
                <w:rFonts w:hint="eastAsia" w:ascii="宋体" w:hAnsi="宋体"/>
                <w:color w:val="auto"/>
                <w:highlight w:val="none"/>
              </w:rPr>
            </w:pPr>
            <w:r>
              <w:rPr>
                <w:rFonts w:hint="eastAsia" w:ascii="宋体" w:hAnsi="宋体"/>
                <w:color w:val="auto"/>
                <w:highlight w:val="none"/>
              </w:rPr>
              <w:t>项目副经理</w:t>
            </w:r>
          </w:p>
        </w:tc>
        <w:tc>
          <w:tcPr>
            <w:tcW w:w="1418" w:type="dxa"/>
            <w:vAlign w:val="center"/>
          </w:tcPr>
          <w:p w14:paraId="35FAEAB8">
            <w:pPr>
              <w:pStyle w:val="18"/>
              <w:keepNext/>
              <w:spacing w:line="440" w:lineRule="exact"/>
              <w:ind w:left="420" w:right="63"/>
              <w:rPr>
                <w:rFonts w:hint="eastAsia" w:ascii="宋体" w:hAnsi="宋体"/>
                <w:color w:val="auto"/>
                <w:highlight w:val="none"/>
              </w:rPr>
            </w:pPr>
          </w:p>
        </w:tc>
        <w:tc>
          <w:tcPr>
            <w:tcW w:w="1134" w:type="dxa"/>
            <w:vAlign w:val="center"/>
          </w:tcPr>
          <w:p w14:paraId="760B5CFF">
            <w:pPr>
              <w:pStyle w:val="18"/>
              <w:keepNext/>
              <w:spacing w:line="440" w:lineRule="exact"/>
              <w:ind w:left="420" w:right="63"/>
              <w:rPr>
                <w:rFonts w:hint="eastAsia" w:ascii="宋体" w:hAnsi="宋体"/>
                <w:color w:val="auto"/>
                <w:highlight w:val="none"/>
              </w:rPr>
            </w:pPr>
          </w:p>
        </w:tc>
        <w:tc>
          <w:tcPr>
            <w:tcW w:w="1134" w:type="dxa"/>
            <w:vAlign w:val="center"/>
          </w:tcPr>
          <w:p w14:paraId="2CFB9FC5">
            <w:pPr>
              <w:pStyle w:val="18"/>
              <w:keepNext/>
              <w:spacing w:line="440" w:lineRule="exact"/>
              <w:ind w:left="420" w:right="63"/>
              <w:rPr>
                <w:rFonts w:hint="eastAsia" w:ascii="宋体" w:hAnsi="宋体"/>
                <w:color w:val="auto"/>
                <w:highlight w:val="none"/>
              </w:rPr>
            </w:pPr>
          </w:p>
        </w:tc>
        <w:tc>
          <w:tcPr>
            <w:tcW w:w="4252" w:type="dxa"/>
            <w:vAlign w:val="center"/>
          </w:tcPr>
          <w:p w14:paraId="4C2D093B">
            <w:pPr>
              <w:pStyle w:val="18"/>
              <w:keepNext/>
              <w:spacing w:line="440" w:lineRule="exact"/>
              <w:ind w:left="420" w:right="63"/>
              <w:rPr>
                <w:rFonts w:hint="eastAsia" w:ascii="宋体" w:hAnsi="宋体"/>
                <w:color w:val="auto"/>
                <w:highlight w:val="none"/>
              </w:rPr>
            </w:pPr>
          </w:p>
        </w:tc>
      </w:tr>
      <w:tr w14:paraId="56E2B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6ED85D44">
            <w:pPr>
              <w:pStyle w:val="18"/>
              <w:keepNext/>
              <w:spacing w:line="440" w:lineRule="exact"/>
              <w:ind w:left="420" w:right="63"/>
              <w:rPr>
                <w:rFonts w:hint="eastAsia" w:ascii="宋体" w:hAnsi="宋体"/>
                <w:color w:val="auto"/>
                <w:highlight w:val="none"/>
              </w:rPr>
            </w:pPr>
            <w:r>
              <w:rPr>
                <w:rFonts w:hint="eastAsia" w:ascii="宋体" w:hAnsi="宋体"/>
                <w:color w:val="auto"/>
                <w:highlight w:val="none"/>
              </w:rPr>
              <w:t>技术负责人</w:t>
            </w:r>
          </w:p>
        </w:tc>
        <w:tc>
          <w:tcPr>
            <w:tcW w:w="1418" w:type="dxa"/>
            <w:vAlign w:val="center"/>
          </w:tcPr>
          <w:p w14:paraId="7D7EE393">
            <w:pPr>
              <w:pStyle w:val="18"/>
              <w:keepNext/>
              <w:spacing w:line="440" w:lineRule="exact"/>
              <w:ind w:left="420" w:right="63"/>
              <w:rPr>
                <w:rFonts w:hint="eastAsia" w:ascii="宋体" w:hAnsi="宋体"/>
                <w:color w:val="auto"/>
                <w:highlight w:val="none"/>
              </w:rPr>
            </w:pPr>
          </w:p>
        </w:tc>
        <w:tc>
          <w:tcPr>
            <w:tcW w:w="1134" w:type="dxa"/>
            <w:vAlign w:val="center"/>
          </w:tcPr>
          <w:p w14:paraId="07ED7192">
            <w:pPr>
              <w:pStyle w:val="18"/>
              <w:keepNext/>
              <w:spacing w:line="440" w:lineRule="exact"/>
              <w:ind w:left="420" w:right="63"/>
              <w:rPr>
                <w:rFonts w:hint="eastAsia" w:ascii="宋体" w:hAnsi="宋体"/>
                <w:color w:val="auto"/>
                <w:highlight w:val="none"/>
              </w:rPr>
            </w:pPr>
          </w:p>
        </w:tc>
        <w:tc>
          <w:tcPr>
            <w:tcW w:w="1134" w:type="dxa"/>
            <w:vAlign w:val="center"/>
          </w:tcPr>
          <w:p w14:paraId="3B2AA88F">
            <w:pPr>
              <w:pStyle w:val="18"/>
              <w:keepNext/>
              <w:spacing w:line="440" w:lineRule="exact"/>
              <w:ind w:left="420" w:right="63"/>
              <w:rPr>
                <w:rFonts w:hint="eastAsia" w:ascii="宋体" w:hAnsi="宋体"/>
                <w:color w:val="auto"/>
                <w:highlight w:val="none"/>
              </w:rPr>
            </w:pPr>
          </w:p>
        </w:tc>
        <w:tc>
          <w:tcPr>
            <w:tcW w:w="4252" w:type="dxa"/>
            <w:vAlign w:val="center"/>
          </w:tcPr>
          <w:p w14:paraId="6E914A77">
            <w:pPr>
              <w:pStyle w:val="18"/>
              <w:keepNext/>
              <w:spacing w:line="440" w:lineRule="exact"/>
              <w:ind w:left="420" w:right="63"/>
              <w:rPr>
                <w:rFonts w:hint="eastAsia" w:ascii="宋体" w:hAnsi="宋体"/>
                <w:color w:val="auto"/>
                <w:highlight w:val="none"/>
              </w:rPr>
            </w:pPr>
          </w:p>
        </w:tc>
      </w:tr>
      <w:tr w14:paraId="79885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5202F650">
            <w:pPr>
              <w:pStyle w:val="18"/>
              <w:keepNext/>
              <w:spacing w:line="440" w:lineRule="exact"/>
              <w:ind w:left="420" w:right="63"/>
              <w:rPr>
                <w:rFonts w:hint="eastAsia" w:ascii="宋体" w:hAnsi="宋体"/>
                <w:color w:val="auto"/>
                <w:highlight w:val="none"/>
              </w:rPr>
            </w:pPr>
            <w:r>
              <w:rPr>
                <w:rFonts w:hint="eastAsia" w:ascii="宋体" w:hAnsi="宋体"/>
                <w:color w:val="auto"/>
                <w:highlight w:val="none"/>
              </w:rPr>
              <w:t>造价管理</w:t>
            </w:r>
          </w:p>
        </w:tc>
        <w:tc>
          <w:tcPr>
            <w:tcW w:w="1418" w:type="dxa"/>
            <w:vAlign w:val="center"/>
          </w:tcPr>
          <w:p w14:paraId="56B03C05">
            <w:pPr>
              <w:pStyle w:val="18"/>
              <w:keepNext/>
              <w:spacing w:line="440" w:lineRule="exact"/>
              <w:ind w:left="420" w:right="63"/>
              <w:rPr>
                <w:rFonts w:hint="eastAsia" w:ascii="宋体" w:hAnsi="宋体"/>
                <w:color w:val="auto"/>
                <w:highlight w:val="none"/>
              </w:rPr>
            </w:pPr>
          </w:p>
        </w:tc>
        <w:tc>
          <w:tcPr>
            <w:tcW w:w="1134" w:type="dxa"/>
            <w:vAlign w:val="center"/>
          </w:tcPr>
          <w:p w14:paraId="41FB674E">
            <w:pPr>
              <w:pStyle w:val="18"/>
              <w:keepNext/>
              <w:spacing w:line="440" w:lineRule="exact"/>
              <w:ind w:left="420" w:right="63"/>
              <w:rPr>
                <w:rFonts w:hint="eastAsia" w:ascii="宋体" w:hAnsi="宋体"/>
                <w:color w:val="auto"/>
                <w:highlight w:val="none"/>
              </w:rPr>
            </w:pPr>
          </w:p>
        </w:tc>
        <w:tc>
          <w:tcPr>
            <w:tcW w:w="1134" w:type="dxa"/>
            <w:vAlign w:val="center"/>
          </w:tcPr>
          <w:p w14:paraId="64B6ECDB">
            <w:pPr>
              <w:pStyle w:val="18"/>
              <w:keepNext/>
              <w:spacing w:line="440" w:lineRule="exact"/>
              <w:ind w:left="420" w:right="63"/>
              <w:rPr>
                <w:rFonts w:hint="eastAsia" w:ascii="宋体" w:hAnsi="宋体"/>
                <w:color w:val="auto"/>
                <w:highlight w:val="none"/>
              </w:rPr>
            </w:pPr>
          </w:p>
        </w:tc>
        <w:tc>
          <w:tcPr>
            <w:tcW w:w="4252" w:type="dxa"/>
            <w:vAlign w:val="center"/>
          </w:tcPr>
          <w:p w14:paraId="58A97F60">
            <w:pPr>
              <w:pStyle w:val="18"/>
              <w:keepNext/>
              <w:spacing w:line="440" w:lineRule="exact"/>
              <w:ind w:left="420" w:right="63"/>
              <w:rPr>
                <w:rFonts w:hint="eastAsia" w:ascii="宋体" w:hAnsi="宋体"/>
                <w:color w:val="auto"/>
                <w:highlight w:val="none"/>
              </w:rPr>
            </w:pPr>
          </w:p>
        </w:tc>
      </w:tr>
      <w:tr w14:paraId="4D437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7F4B66F8">
            <w:pPr>
              <w:pStyle w:val="18"/>
              <w:keepNext/>
              <w:spacing w:line="440" w:lineRule="exact"/>
              <w:ind w:left="420" w:right="63"/>
              <w:rPr>
                <w:rFonts w:hint="eastAsia" w:ascii="宋体" w:hAnsi="宋体"/>
                <w:color w:val="auto"/>
                <w:highlight w:val="none"/>
              </w:rPr>
            </w:pPr>
            <w:r>
              <w:rPr>
                <w:rFonts w:hint="eastAsia" w:ascii="宋体" w:hAnsi="宋体"/>
                <w:color w:val="auto"/>
                <w:highlight w:val="none"/>
              </w:rPr>
              <w:t>质量管理</w:t>
            </w:r>
          </w:p>
        </w:tc>
        <w:tc>
          <w:tcPr>
            <w:tcW w:w="1418" w:type="dxa"/>
            <w:vAlign w:val="center"/>
          </w:tcPr>
          <w:p w14:paraId="0ABA318E">
            <w:pPr>
              <w:pStyle w:val="18"/>
              <w:keepNext/>
              <w:spacing w:line="440" w:lineRule="exact"/>
              <w:ind w:left="420" w:right="63"/>
              <w:rPr>
                <w:rFonts w:hint="eastAsia" w:ascii="宋体" w:hAnsi="宋体"/>
                <w:color w:val="auto"/>
                <w:highlight w:val="none"/>
              </w:rPr>
            </w:pPr>
          </w:p>
        </w:tc>
        <w:tc>
          <w:tcPr>
            <w:tcW w:w="1134" w:type="dxa"/>
            <w:vAlign w:val="center"/>
          </w:tcPr>
          <w:p w14:paraId="240BD8FF">
            <w:pPr>
              <w:pStyle w:val="18"/>
              <w:keepNext/>
              <w:spacing w:line="440" w:lineRule="exact"/>
              <w:ind w:left="420" w:right="63"/>
              <w:rPr>
                <w:rFonts w:hint="eastAsia" w:ascii="宋体" w:hAnsi="宋体"/>
                <w:color w:val="auto"/>
                <w:highlight w:val="none"/>
              </w:rPr>
            </w:pPr>
          </w:p>
        </w:tc>
        <w:tc>
          <w:tcPr>
            <w:tcW w:w="1134" w:type="dxa"/>
            <w:vAlign w:val="center"/>
          </w:tcPr>
          <w:p w14:paraId="75908241">
            <w:pPr>
              <w:pStyle w:val="18"/>
              <w:keepNext/>
              <w:spacing w:line="440" w:lineRule="exact"/>
              <w:ind w:left="420" w:right="63"/>
              <w:rPr>
                <w:rFonts w:hint="eastAsia" w:ascii="宋体" w:hAnsi="宋体"/>
                <w:color w:val="auto"/>
                <w:highlight w:val="none"/>
              </w:rPr>
            </w:pPr>
          </w:p>
        </w:tc>
        <w:tc>
          <w:tcPr>
            <w:tcW w:w="4252" w:type="dxa"/>
            <w:vAlign w:val="center"/>
          </w:tcPr>
          <w:p w14:paraId="43E1ECBA">
            <w:pPr>
              <w:pStyle w:val="18"/>
              <w:keepNext/>
              <w:spacing w:line="440" w:lineRule="exact"/>
              <w:ind w:left="420" w:right="63"/>
              <w:rPr>
                <w:rFonts w:hint="eastAsia" w:ascii="宋体" w:hAnsi="宋体"/>
                <w:color w:val="auto"/>
                <w:highlight w:val="none"/>
              </w:rPr>
            </w:pPr>
          </w:p>
        </w:tc>
      </w:tr>
      <w:tr w14:paraId="1E77C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2F721506">
            <w:pPr>
              <w:pStyle w:val="18"/>
              <w:keepNext/>
              <w:spacing w:line="440" w:lineRule="exact"/>
              <w:ind w:left="420" w:right="63"/>
              <w:rPr>
                <w:rFonts w:hint="eastAsia" w:ascii="宋体" w:hAnsi="宋体"/>
                <w:color w:val="auto"/>
                <w:highlight w:val="none"/>
              </w:rPr>
            </w:pPr>
            <w:r>
              <w:rPr>
                <w:rFonts w:hint="eastAsia" w:ascii="宋体" w:hAnsi="宋体"/>
                <w:color w:val="auto"/>
                <w:highlight w:val="none"/>
              </w:rPr>
              <w:t>材料管理</w:t>
            </w:r>
          </w:p>
        </w:tc>
        <w:tc>
          <w:tcPr>
            <w:tcW w:w="1418" w:type="dxa"/>
            <w:vAlign w:val="center"/>
          </w:tcPr>
          <w:p w14:paraId="469D6690">
            <w:pPr>
              <w:pStyle w:val="18"/>
              <w:keepNext/>
              <w:spacing w:line="440" w:lineRule="exact"/>
              <w:ind w:left="420" w:right="63"/>
              <w:rPr>
                <w:rFonts w:hint="eastAsia" w:ascii="宋体" w:hAnsi="宋体"/>
                <w:color w:val="auto"/>
                <w:highlight w:val="none"/>
              </w:rPr>
            </w:pPr>
          </w:p>
        </w:tc>
        <w:tc>
          <w:tcPr>
            <w:tcW w:w="1134" w:type="dxa"/>
            <w:vAlign w:val="center"/>
          </w:tcPr>
          <w:p w14:paraId="1F7484EC">
            <w:pPr>
              <w:pStyle w:val="18"/>
              <w:keepNext/>
              <w:spacing w:line="440" w:lineRule="exact"/>
              <w:ind w:left="420" w:right="63"/>
              <w:rPr>
                <w:rFonts w:hint="eastAsia" w:ascii="宋体" w:hAnsi="宋体"/>
                <w:color w:val="auto"/>
                <w:highlight w:val="none"/>
              </w:rPr>
            </w:pPr>
          </w:p>
        </w:tc>
        <w:tc>
          <w:tcPr>
            <w:tcW w:w="1134" w:type="dxa"/>
            <w:vAlign w:val="center"/>
          </w:tcPr>
          <w:p w14:paraId="541C06B5">
            <w:pPr>
              <w:pStyle w:val="18"/>
              <w:keepNext/>
              <w:spacing w:line="440" w:lineRule="exact"/>
              <w:ind w:left="420" w:right="63"/>
              <w:rPr>
                <w:rFonts w:hint="eastAsia" w:ascii="宋体" w:hAnsi="宋体"/>
                <w:color w:val="auto"/>
                <w:highlight w:val="none"/>
              </w:rPr>
            </w:pPr>
          </w:p>
        </w:tc>
        <w:tc>
          <w:tcPr>
            <w:tcW w:w="4252" w:type="dxa"/>
            <w:vAlign w:val="center"/>
          </w:tcPr>
          <w:p w14:paraId="523A37B4">
            <w:pPr>
              <w:pStyle w:val="18"/>
              <w:keepNext/>
              <w:spacing w:line="440" w:lineRule="exact"/>
              <w:ind w:left="420" w:right="63"/>
              <w:rPr>
                <w:rFonts w:hint="eastAsia" w:ascii="宋体" w:hAnsi="宋体"/>
                <w:color w:val="auto"/>
                <w:highlight w:val="none"/>
              </w:rPr>
            </w:pPr>
          </w:p>
        </w:tc>
      </w:tr>
      <w:tr w14:paraId="3C63D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7443C9B5">
            <w:pPr>
              <w:pStyle w:val="18"/>
              <w:keepNext/>
              <w:spacing w:line="440" w:lineRule="exact"/>
              <w:ind w:left="420" w:right="63"/>
              <w:rPr>
                <w:rFonts w:hint="eastAsia" w:ascii="宋体" w:hAnsi="宋体"/>
                <w:color w:val="auto"/>
                <w:highlight w:val="none"/>
              </w:rPr>
            </w:pPr>
            <w:r>
              <w:rPr>
                <w:rFonts w:hint="eastAsia" w:ascii="宋体" w:hAnsi="宋体"/>
                <w:color w:val="auto"/>
                <w:highlight w:val="none"/>
              </w:rPr>
              <w:t>计划管理</w:t>
            </w:r>
          </w:p>
        </w:tc>
        <w:tc>
          <w:tcPr>
            <w:tcW w:w="1418" w:type="dxa"/>
            <w:vAlign w:val="center"/>
          </w:tcPr>
          <w:p w14:paraId="679E1D29">
            <w:pPr>
              <w:pStyle w:val="18"/>
              <w:keepNext/>
              <w:spacing w:line="440" w:lineRule="exact"/>
              <w:ind w:left="420" w:right="63"/>
              <w:rPr>
                <w:rFonts w:hint="eastAsia" w:ascii="宋体" w:hAnsi="宋体"/>
                <w:color w:val="auto"/>
                <w:highlight w:val="none"/>
              </w:rPr>
            </w:pPr>
          </w:p>
        </w:tc>
        <w:tc>
          <w:tcPr>
            <w:tcW w:w="1134" w:type="dxa"/>
            <w:vAlign w:val="center"/>
          </w:tcPr>
          <w:p w14:paraId="37D1AA34">
            <w:pPr>
              <w:pStyle w:val="18"/>
              <w:keepNext/>
              <w:spacing w:line="440" w:lineRule="exact"/>
              <w:ind w:left="420" w:right="63"/>
              <w:rPr>
                <w:rFonts w:hint="eastAsia" w:ascii="宋体" w:hAnsi="宋体"/>
                <w:color w:val="auto"/>
                <w:highlight w:val="none"/>
              </w:rPr>
            </w:pPr>
          </w:p>
        </w:tc>
        <w:tc>
          <w:tcPr>
            <w:tcW w:w="1134" w:type="dxa"/>
            <w:vAlign w:val="center"/>
          </w:tcPr>
          <w:p w14:paraId="017B4D7C">
            <w:pPr>
              <w:pStyle w:val="18"/>
              <w:keepNext/>
              <w:spacing w:line="440" w:lineRule="exact"/>
              <w:ind w:left="420" w:right="63"/>
              <w:rPr>
                <w:rFonts w:hint="eastAsia" w:ascii="宋体" w:hAnsi="宋体"/>
                <w:color w:val="auto"/>
                <w:highlight w:val="none"/>
              </w:rPr>
            </w:pPr>
          </w:p>
        </w:tc>
        <w:tc>
          <w:tcPr>
            <w:tcW w:w="4252" w:type="dxa"/>
            <w:vAlign w:val="center"/>
          </w:tcPr>
          <w:p w14:paraId="7258312F">
            <w:pPr>
              <w:pStyle w:val="18"/>
              <w:keepNext/>
              <w:spacing w:line="440" w:lineRule="exact"/>
              <w:ind w:left="420" w:right="63"/>
              <w:rPr>
                <w:rFonts w:hint="eastAsia" w:ascii="宋体" w:hAnsi="宋体"/>
                <w:color w:val="auto"/>
                <w:highlight w:val="none"/>
              </w:rPr>
            </w:pPr>
          </w:p>
        </w:tc>
      </w:tr>
      <w:tr w14:paraId="544A2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5E83CC75">
            <w:pPr>
              <w:pStyle w:val="18"/>
              <w:keepNext/>
              <w:spacing w:line="440" w:lineRule="exact"/>
              <w:ind w:left="420" w:right="63"/>
              <w:rPr>
                <w:rFonts w:hint="eastAsia" w:ascii="宋体" w:hAnsi="宋体"/>
                <w:color w:val="auto"/>
                <w:highlight w:val="none"/>
              </w:rPr>
            </w:pPr>
            <w:r>
              <w:rPr>
                <w:rFonts w:hint="eastAsia" w:ascii="宋体" w:hAnsi="宋体"/>
                <w:color w:val="auto"/>
                <w:highlight w:val="none"/>
              </w:rPr>
              <w:t>安全管理</w:t>
            </w:r>
          </w:p>
        </w:tc>
        <w:tc>
          <w:tcPr>
            <w:tcW w:w="1418" w:type="dxa"/>
            <w:vAlign w:val="center"/>
          </w:tcPr>
          <w:p w14:paraId="0147931A">
            <w:pPr>
              <w:pStyle w:val="18"/>
              <w:keepNext/>
              <w:spacing w:line="440" w:lineRule="exact"/>
              <w:ind w:left="420" w:right="63"/>
              <w:rPr>
                <w:rFonts w:hint="eastAsia" w:ascii="宋体" w:hAnsi="宋体"/>
                <w:color w:val="auto"/>
                <w:highlight w:val="none"/>
              </w:rPr>
            </w:pPr>
          </w:p>
        </w:tc>
        <w:tc>
          <w:tcPr>
            <w:tcW w:w="1134" w:type="dxa"/>
            <w:vAlign w:val="center"/>
          </w:tcPr>
          <w:p w14:paraId="31E303D2">
            <w:pPr>
              <w:pStyle w:val="18"/>
              <w:keepNext/>
              <w:spacing w:line="440" w:lineRule="exact"/>
              <w:ind w:left="420" w:right="63"/>
              <w:rPr>
                <w:rFonts w:hint="eastAsia" w:ascii="宋体" w:hAnsi="宋体"/>
                <w:color w:val="auto"/>
                <w:highlight w:val="none"/>
              </w:rPr>
            </w:pPr>
          </w:p>
        </w:tc>
        <w:tc>
          <w:tcPr>
            <w:tcW w:w="1134" w:type="dxa"/>
            <w:vAlign w:val="center"/>
          </w:tcPr>
          <w:p w14:paraId="6D164BAE">
            <w:pPr>
              <w:pStyle w:val="18"/>
              <w:keepNext/>
              <w:spacing w:line="440" w:lineRule="exact"/>
              <w:ind w:left="420" w:right="63"/>
              <w:rPr>
                <w:rFonts w:hint="eastAsia" w:ascii="宋体" w:hAnsi="宋体"/>
                <w:color w:val="auto"/>
                <w:highlight w:val="none"/>
              </w:rPr>
            </w:pPr>
          </w:p>
        </w:tc>
        <w:tc>
          <w:tcPr>
            <w:tcW w:w="4252" w:type="dxa"/>
            <w:vAlign w:val="center"/>
          </w:tcPr>
          <w:p w14:paraId="0B6246FD">
            <w:pPr>
              <w:pStyle w:val="18"/>
              <w:keepNext/>
              <w:spacing w:line="440" w:lineRule="exact"/>
              <w:ind w:left="420" w:right="63"/>
              <w:rPr>
                <w:rFonts w:hint="eastAsia" w:ascii="宋体" w:hAnsi="宋体"/>
                <w:color w:val="auto"/>
                <w:highlight w:val="none"/>
              </w:rPr>
            </w:pPr>
          </w:p>
        </w:tc>
      </w:tr>
      <w:tr w14:paraId="11384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vAlign w:val="center"/>
          </w:tcPr>
          <w:p w14:paraId="3B07BF95">
            <w:pPr>
              <w:pStyle w:val="18"/>
              <w:keepNext/>
              <w:spacing w:line="440" w:lineRule="exact"/>
              <w:ind w:left="420" w:right="63"/>
              <w:rPr>
                <w:rFonts w:hint="eastAsia" w:ascii="宋体" w:hAnsi="宋体"/>
                <w:color w:val="auto"/>
                <w:highlight w:val="none"/>
              </w:rPr>
            </w:pPr>
            <w:r>
              <w:rPr>
                <w:rFonts w:hint="eastAsia" w:ascii="宋体" w:hAnsi="宋体"/>
                <w:color w:val="auto"/>
                <w:highlight w:val="none"/>
              </w:rPr>
              <w:t>其他人员</w:t>
            </w:r>
          </w:p>
        </w:tc>
        <w:tc>
          <w:tcPr>
            <w:tcW w:w="1418" w:type="dxa"/>
            <w:vAlign w:val="center"/>
          </w:tcPr>
          <w:p w14:paraId="334D7F96">
            <w:pPr>
              <w:pStyle w:val="18"/>
              <w:keepNext/>
              <w:spacing w:line="440" w:lineRule="exact"/>
              <w:ind w:left="420" w:right="63"/>
              <w:rPr>
                <w:rFonts w:hint="eastAsia" w:ascii="宋体" w:hAnsi="宋体"/>
                <w:color w:val="auto"/>
                <w:highlight w:val="none"/>
              </w:rPr>
            </w:pPr>
          </w:p>
        </w:tc>
        <w:tc>
          <w:tcPr>
            <w:tcW w:w="1134" w:type="dxa"/>
            <w:vAlign w:val="center"/>
          </w:tcPr>
          <w:p w14:paraId="3F2469C5">
            <w:pPr>
              <w:pStyle w:val="18"/>
              <w:keepNext/>
              <w:spacing w:line="440" w:lineRule="exact"/>
              <w:ind w:left="420" w:right="63"/>
              <w:rPr>
                <w:rFonts w:hint="eastAsia" w:ascii="宋体" w:hAnsi="宋体"/>
                <w:color w:val="auto"/>
                <w:highlight w:val="none"/>
              </w:rPr>
            </w:pPr>
          </w:p>
        </w:tc>
        <w:tc>
          <w:tcPr>
            <w:tcW w:w="1134" w:type="dxa"/>
            <w:vAlign w:val="center"/>
          </w:tcPr>
          <w:p w14:paraId="72FA80F5">
            <w:pPr>
              <w:pStyle w:val="18"/>
              <w:keepNext/>
              <w:spacing w:line="440" w:lineRule="exact"/>
              <w:ind w:left="420" w:right="63"/>
              <w:rPr>
                <w:rFonts w:hint="eastAsia" w:ascii="宋体" w:hAnsi="宋体"/>
                <w:color w:val="auto"/>
                <w:highlight w:val="none"/>
              </w:rPr>
            </w:pPr>
          </w:p>
        </w:tc>
        <w:tc>
          <w:tcPr>
            <w:tcW w:w="4252" w:type="dxa"/>
            <w:vAlign w:val="center"/>
          </w:tcPr>
          <w:p w14:paraId="0F322168">
            <w:pPr>
              <w:pStyle w:val="18"/>
              <w:keepNext/>
              <w:spacing w:line="440" w:lineRule="exact"/>
              <w:ind w:left="420" w:right="63"/>
              <w:rPr>
                <w:rFonts w:hint="eastAsia" w:ascii="宋体" w:hAnsi="宋体"/>
                <w:color w:val="auto"/>
                <w:highlight w:val="none"/>
              </w:rPr>
            </w:pPr>
          </w:p>
        </w:tc>
      </w:tr>
      <w:tr w14:paraId="5CC67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3684A84E">
            <w:pPr>
              <w:widowControl/>
              <w:jc w:val="left"/>
              <w:rPr>
                <w:rFonts w:hint="eastAsia" w:ascii="宋体" w:hAnsi="宋体" w:cs="宋体"/>
                <w:color w:val="auto"/>
                <w:szCs w:val="21"/>
                <w:highlight w:val="none"/>
              </w:rPr>
            </w:pPr>
          </w:p>
        </w:tc>
        <w:tc>
          <w:tcPr>
            <w:tcW w:w="1418" w:type="dxa"/>
            <w:vAlign w:val="center"/>
          </w:tcPr>
          <w:p w14:paraId="1A398CA2">
            <w:pPr>
              <w:pStyle w:val="18"/>
              <w:keepNext/>
              <w:spacing w:line="440" w:lineRule="exact"/>
              <w:ind w:left="420" w:right="63"/>
              <w:rPr>
                <w:rFonts w:hint="eastAsia" w:ascii="宋体" w:hAnsi="宋体"/>
                <w:color w:val="auto"/>
                <w:highlight w:val="none"/>
              </w:rPr>
            </w:pPr>
          </w:p>
        </w:tc>
        <w:tc>
          <w:tcPr>
            <w:tcW w:w="1134" w:type="dxa"/>
            <w:vAlign w:val="center"/>
          </w:tcPr>
          <w:p w14:paraId="2CD4E397">
            <w:pPr>
              <w:pStyle w:val="18"/>
              <w:keepNext/>
              <w:spacing w:line="440" w:lineRule="exact"/>
              <w:ind w:left="420" w:right="63"/>
              <w:rPr>
                <w:rFonts w:hint="eastAsia" w:ascii="宋体" w:hAnsi="宋体"/>
                <w:color w:val="auto"/>
                <w:highlight w:val="none"/>
              </w:rPr>
            </w:pPr>
          </w:p>
        </w:tc>
        <w:tc>
          <w:tcPr>
            <w:tcW w:w="1134" w:type="dxa"/>
            <w:vAlign w:val="center"/>
          </w:tcPr>
          <w:p w14:paraId="7E2BEF4B">
            <w:pPr>
              <w:pStyle w:val="18"/>
              <w:keepNext/>
              <w:spacing w:line="440" w:lineRule="exact"/>
              <w:ind w:left="420" w:right="63"/>
              <w:rPr>
                <w:rFonts w:hint="eastAsia" w:ascii="宋体" w:hAnsi="宋体"/>
                <w:color w:val="auto"/>
                <w:highlight w:val="none"/>
              </w:rPr>
            </w:pPr>
          </w:p>
        </w:tc>
        <w:tc>
          <w:tcPr>
            <w:tcW w:w="4252" w:type="dxa"/>
            <w:vAlign w:val="center"/>
          </w:tcPr>
          <w:p w14:paraId="76880F79">
            <w:pPr>
              <w:pStyle w:val="18"/>
              <w:keepNext/>
              <w:spacing w:line="440" w:lineRule="exact"/>
              <w:ind w:left="420" w:right="63"/>
              <w:rPr>
                <w:rFonts w:hint="eastAsia" w:ascii="宋体" w:hAnsi="宋体"/>
                <w:color w:val="auto"/>
                <w:highlight w:val="none"/>
              </w:rPr>
            </w:pPr>
          </w:p>
        </w:tc>
      </w:tr>
      <w:tr w14:paraId="2370F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460DBD68">
            <w:pPr>
              <w:widowControl/>
              <w:jc w:val="left"/>
              <w:rPr>
                <w:rFonts w:hint="eastAsia" w:ascii="宋体" w:hAnsi="宋体" w:cs="宋体"/>
                <w:color w:val="auto"/>
                <w:szCs w:val="21"/>
                <w:highlight w:val="none"/>
              </w:rPr>
            </w:pPr>
          </w:p>
        </w:tc>
        <w:tc>
          <w:tcPr>
            <w:tcW w:w="1418" w:type="dxa"/>
            <w:vAlign w:val="center"/>
          </w:tcPr>
          <w:p w14:paraId="182806DD">
            <w:pPr>
              <w:pStyle w:val="18"/>
              <w:keepNext/>
              <w:spacing w:line="440" w:lineRule="exact"/>
              <w:ind w:left="420" w:right="63"/>
              <w:rPr>
                <w:rFonts w:hint="eastAsia" w:ascii="宋体" w:hAnsi="宋体"/>
                <w:color w:val="auto"/>
                <w:highlight w:val="none"/>
              </w:rPr>
            </w:pPr>
          </w:p>
        </w:tc>
        <w:tc>
          <w:tcPr>
            <w:tcW w:w="1134" w:type="dxa"/>
            <w:vAlign w:val="center"/>
          </w:tcPr>
          <w:p w14:paraId="529C1C15">
            <w:pPr>
              <w:pStyle w:val="18"/>
              <w:keepNext/>
              <w:spacing w:line="440" w:lineRule="exact"/>
              <w:ind w:left="420" w:right="63"/>
              <w:rPr>
                <w:rFonts w:hint="eastAsia" w:ascii="宋体" w:hAnsi="宋体"/>
                <w:color w:val="auto"/>
                <w:highlight w:val="none"/>
              </w:rPr>
            </w:pPr>
          </w:p>
        </w:tc>
        <w:tc>
          <w:tcPr>
            <w:tcW w:w="1134" w:type="dxa"/>
            <w:vAlign w:val="center"/>
          </w:tcPr>
          <w:p w14:paraId="49EE3CA0">
            <w:pPr>
              <w:pStyle w:val="18"/>
              <w:keepNext/>
              <w:spacing w:line="440" w:lineRule="exact"/>
              <w:ind w:left="420" w:right="63"/>
              <w:rPr>
                <w:rFonts w:hint="eastAsia" w:ascii="宋体" w:hAnsi="宋体"/>
                <w:color w:val="auto"/>
                <w:highlight w:val="none"/>
              </w:rPr>
            </w:pPr>
          </w:p>
        </w:tc>
        <w:tc>
          <w:tcPr>
            <w:tcW w:w="4252" w:type="dxa"/>
            <w:vAlign w:val="center"/>
          </w:tcPr>
          <w:p w14:paraId="5398AEA6">
            <w:pPr>
              <w:pStyle w:val="18"/>
              <w:keepNext/>
              <w:spacing w:line="440" w:lineRule="exact"/>
              <w:ind w:left="420" w:right="63"/>
              <w:rPr>
                <w:rFonts w:hint="eastAsia" w:ascii="宋体" w:hAnsi="宋体"/>
                <w:color w:val="auto"/>
                <w:highlight w:val="none"/>
              </w:rPr>
            </w:pPr>
          </w:p>
        </w:tc>
      </w:tr>
      <w:tr w14:paraId="5158A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40F59361">
            <w:pPr>
              <w:widowControl/>
              <w:jc w:val="left"/>
              <w:rPr>
                <w:rFonts w:hint="eastAsia" w:ascii="宋体" w:hAnsi="宋体" w:cs="宋体"/>
                <w:color w:val="auto"/>
                <w:szCs w:val="21"/>
                <w:highlight w:val="none"/>
              </w:rPr>
            </w:pPr>
          </w:p>
        </w:tc>
        <w:tc>
          <w:tcPr>
            <w:tcW w:w="1418" w:type="dxa"/>
            <w:vAlign w:val="center"/>
          </w:tcPr>
          <w:p w14:paraId="2823BB2B">
            <w:pPr>
              <w:pStyle w:val="18"/>
              <w:keepNext/>
              <w:spacing w:line="440" w:lineRule="exact"/>
              <w:ind w:left="420" w:right="63"/>
              <w:rPr>
                <w:rFonts w:hint="eastAsia" w:ascii="宋体" w:hAnsi="宋体"/>
                <w:color w:val="auto"/>
                <w:highlight w:val="none"/>
              </w:rPr>
            </w:pPr>
          </w:p>
        </w:tc>
        <w:tc>
          <w:tcPr>
            <w:tcW w:w="1134" w:type="dxa"/>
            <w:vAlign w:val="center"/>
          </w:tcPr>
          <w:p w14:paraId="7DD02CAB">
            <w:pPr>
              <w:pStyle w:val="18"/>
              <w:keepNext/>
              <w:spacing w:line="440" w:lineRule="exact"/>
              <w:ind w:left="420" w:right="63"/>
              <w:rPr>
                <w:rFonts w:hint="eastAsia" w:ascii="宋体" w:hAnsi="宋体"/>
                <w:color w:val="auto"/>
                <w:highlight w:val="none"/>
              </w:rPr>
            </w:pPr>
          </w:p>
        </w:tc>
        <w:tc>
          <w:tcPr>
            <w:tcW w:w="1134" w:type="dxa"/>
            <w:vAlign w:val="center"/>
          </w:tcPr>
          <w:p w14:paraId="364EAA56">
            <w:pPr>
              <w:pStyle w:val="18"/>
              <w:keepNext/>
              <w:spacing w:line="440" w:lineRule="exact"/>
              <w:ind w:left="420" w:right="63"/>
              <w:rPr>
                <w:rFonts w:hint="eastAsia" w:ascii="宋体" w:hAnsi="宋体"/>
                <w:color w:val="auto"/>
                <w:highlight w:val="none"/>
              </w:rPr>
            </w:pPr>
          </w:p>
        </w:tc>
        <w:tc>
          <w:tcPr>
            <w:tcW w:w="4252" w:type="dxa"/>
            <w:vAlign w:val="center"/>
          </w:tcPr>
          <w:p w14:paraId="02E975CB">
            <w:pPr>
              <w:pStyle w:val="18"/>
              <w:keepNext/>
              <w:spacing w:line="440" w:lineRule="exact"/>
              <w:ind w:left="420" w:right="63"/>
              <w:rPr>
                <w:rFonts w:hint="eastAsia" w:ascii="宋体" w:hAnsi="宋体"/>
                <w:color w:val="auto"/>
                <w:highlight w:val="none"/>
              </w:rPr>
            </w:pPr>
          </w:p>
        </w:tc>
      </w:tr>
      <w:tr w14:paraId="00A66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518B8AEC">
            <w:pPr>
              <w:widowControl/>
              <w:jc w:val="left"/>
              <w:rPr>
                <w:rFonts w:hint="eastAsia" w:ascii="宋体" w:hAnsi="宋体" w:cs="宋体"/>
                <w:color w:val="auto"/>
                <w:szCs w:val="21"/>
                <w:highlight w:val="none"/>
              </w:rPr>
            </w:pPr>
          </w:p>
        </w:tc>
        <w:tc>
          <w:tcPr>
            <w:tcW w:w="1418" w:type="dxa"/>
            <w:vAlign w:val="center"/>
          </w:tcPr>
          <w:p w14:paraId="715D5CDE">
            <w:pPr>
              <w:pStyle w:val="18"/>
              <w:keepNext/>
              <w:spacing w:line="440" w:lineRule="exact"/>
              <w:ind w:left="420" w:right="63"/>
              <w:rPr>
                <w:rFonts w:hint="eastAsia" w:ascii="宋体" w:hAnsi="宋体"/>
                <w:color w:val="auto"/>
                <w:highlight w:val="none"/>
              </w:rPr>
            </w:pPr>
          </w:p>
        </w:tc>
        <w:tc>
          <w:tcPr>
            <w:tcW w:w="1134" w:type="dxa"/>
            <w:vAlign w:val="center"/>
          </w:tcPr>
          <w:p w14:paraId="25C0A863">
            <w:pPr>
              <w:pStyle w:val="18"/>
              <w:keepNext/>
              <w:spacing w:line="440" w:lineRule="exact"/>
              <w:ind w:left="420" w:right="63"/>
              <w:rPr>
                <w:rFonts w:hint="eastAsia" w:ascii="宋体" w:hAnsi="宋体"/>
                <w:color w:val="auto"/>
                <w:highlight w:val="none"/>
              </w:rPr>
            </w:pPr>
          </w:p>
        </w:tc>
        <w:tc>
          <w:tcPr>
            <w:tcW w:w="1134" w:type="dxa"/>
            <w:vAlign w:val="center"/>
          </w:tcPr>
          <w:p w14:paraId="6B089BA1">
            <w:pPr>
              <w:pStyle w:val="18"/>
              <w:keepNext/>
              <w:spacing w:line="440" w:lineRule="exact"/>
              <w:ind w:left="420" w:right="63"/>
              <w:rPr>
                <w:rFonts w:hint="eastAsia" w:ascii="宋体" w:hAnsi="宋体"/>
                <w:color w:val="auto"/>
                <w:highlight w:val="none"/>
              </w:rPr>
            </w:pPr>
          </w:p>
        </w:tc>
        <w:tc>
          <w:tcPr>
            <w:tcW w:w="4252" w:type="dxa"/>
            <w:vAlign w:val="center"/>
          </w:tcPr>
          <w:p w14:paraId="44475C22">
            <w:pPr>
              <w:pStyle w:val="18"/>
              <w:keepNext/>
              <w:spacing w:line="440" w:lineRule="exact"/>
              <w:ind w:left="420" w:right="63"/>
              <w:rPr>
                <w:rFonts w:hint="eastAsia" w:ascii="宋体" w:hAnsi="宋体"/>
                <w:color w:val="auto"/>
                <w:highlight w:val="none"/>
              </w:rPr>
            </w:pPr>
          </w:p>
        </w:tc>
      </w:tr>
      <w:tr w14:paraId="23110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0BABB621">
            <w:pPr>
              <w:widowControl/>
              <w:jc w:val="left"/>
              <w:rPr>
                <w:rFonts w:hint="eastAsia" w:ascii="宋体" w:hAnsi="宋体" w:cs="宋体"/>
                <w:color w:val="auto"/>
                <w:szCs w:val="21"/>
                <w:highlight w:val="none"/>
              </w:rPr>
            </w:pPr>
          </w:p>
        </w:tc>
        <w:tc>
          <w:tcPr>
            <w:tcW w:w="1418" w:type="dxa"/>
            <w:vAlign w:val="center"/>
          </w:tcPr>
          <w:p w14:paraId="5576C0EB">
            <w:pPr>
              <w:pStyle w:val="18"/>
              <w:keepNext/>
              <w:spacing w:line="440" w:lineRule="exact"/>
              <w:ind w:left="420" w:right="63"/>
              <w:rPr>
                <w:rFonts w:hint="eastAsia" w:ascii="宋体" w:hAnsi="宋体"/>
                <w:color w:val="auto"/>
                <w:highlight w:val="none"/>
              </w:rPr>
            </w:pPr>
          </w:p>
        </w:tc>
        <w:tc>
          <w:tcPr>
            <w:tcW w:w="1134" w:type="dxa"/>
            <w:vAlign w:val="center"/>
          </w:tcPr>
          <w:p w14:paraId="47D3CDCD">
            <w:pPr>
              <w:pStyle w:val="18"/>
              <w:keepNext/>
              <w:spacing w:line="440" w:lineRule="exact"/>
              <w:ind w:left="420" w:right="63"/>
              <w:rPr>
                <w:rFonts w:hint="eastAsia" w:ascii="宋体" w:hAnsi="宋体"/>
                <w:color w:val="auto"/>
                <w:highlight w:val="none"/>
              </w:rPr>
            </w:pPr>
          </w:p>
        </w:tc>
        <w:tc>
          <w:tcPr>
            <w:tcW w:w="1134" w:type="dxa"/>
            <w:vAlign w:val="center"/>
          </w:tcPr>
          <w:p w14:paraId="238B0C23">
            <w:pPr>
              <w:pStyle w:val="18"/>
              <w:keepNext/>
              <w:spacing w:line="440" w:lineRule="exact"/>
              <w:ind w:left="420" w:right="63"/>
              <w:rPr>
                <w:rFonts w:hint="eastAsia" w:ascii="宋体" w:hAnsi="宋体"/>
                <w:color w:val="auto"/>
                <w:highlight w:val="none"/>
              </w:rPr>
            </w:pPr>
          </w:p>
        </w:tc>
        <w:tc>
          <w:tcPr>
            <w:tcW w:w="4252" w:type="dxa"/>
            <w:vAlign w:val="center"/>
          </w:tcPr>
          <w:p w14:paraId="285D6C50">
            <w:pPr>
              <w:pStyle w:val="18"/>
              <w:keepNext/>
              <w:spacing w:line="440" w:lineRule="exact"/>
              <w:ind w:left="420" w:right="63"/>
              <w:rPr>
                <w:rFonts w:hint="eastAsia" w:ascii="宋体" w:hAnsi="宋体"/>
                <w:color w:val="auto"/>
                <w:highlight w:val="none"/>
              </w:rPr>
            </w:pPr>
          </w:p>
        </w:tc>
      </w:tr>
    </w:tbl>
    <w:p w14:paraId="5FF26664">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br w:type="page"/>
      </w:r>
      <w:r>
        <w:rPr>
          <w:rFonts w:hint="eastAsia" w:ascii="宋体" w:hAnsi="宋体" w:cs="宋体"/>
          <w:color w:val="auto"/>
          <w:szCs w:val="21"/>
          <w:highlight w:val="none"/>
        </w:rPr>
        <w:t>附</w:t>
      </w:r>
      <w:bookmarkStart w:id="1505" w:name="_Toc296891269"/>
      <w:bookmarkStart w:id="1506" w:name="_Toc296944568"/>
      <w:bookmarkStart w:id="1507" w:name="_Toc296891057"/>
      <w:bookmarkStart w:id="1508" w:name="_Toc296346730"/>
      <w:bookmarkStart w:id="1509" w:name="_Toc296347228"/>
      <w:bookmarkStart w:id="1510" w:name="_Toc296503229"/>
      <w:r>
        <w:rPr>
          <w:rFonts w:hint="eastAsia" w:ascii="宋体" w:hAnsi="宋体" w:cs="宋体"/>
          <w:color w:val="auto"/>
          <w:szCs w:val="21"/>
          <w:highlight w:val="none"/>
        </w:rPr>
        <w:t>件7：</w:t>
      </w:r>
    </w:p>
    <w:bookmarkEnd w:id="1505"/>
    <w:bookmarkEnd w:id="1506"/>
    <w:bookmarkEnd w:id="1507"/>
    <w:bookmarkEnd w:id="1508"/>
    <w:bookmarkEnd w:id="1509"/>
    <w:bookmarkEnd w:id="1510"/>
    <w:p w14:paraId="714EFC11">
      <w:pPr>
        <w:spacing w:before="156" w:beforeLines="50" w:after="156" w:afterLines="50"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分包人主要施工管理人员表</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71"/>
        <w:gridCol w:w="1418"/>
        <w:gridCol w:w="1134"/>
        <w:gridCol w:w="1134"/>
        <w:gridCol w:w="4252"/>
      </w:tblGrid>
      <w:tr w14:paraId="0D09D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7E290E09">
            <w:pPr>
              <w:jc w:val="center"/>
              <w:rPr>
                <w:color w:val="auto"/>
                <w:highlight w:val="none"/>
              </w:rPr>
            </w:pPr>
            <w:r>
              <w:rPr>
                <w:rFonts w:hint="eastAsia"/>
                <w:color w:val="auto"/>
                <w:highlight w:val="none"/>
              </w:rPr>
              <w:t>名</w:t>
            </w:r>
            <w:r>
              <w:rPr>
                <w:color w:val="auto"/>
                <w:highlight w:val="none"/>
              </w:rPr>
              <w:t xml:space="preserve">    </w:t>
            </w:r>
            <w:r>
              <w:rPr>
                <w:rFonts w:hint="eastAsia"/>
                <w:color w:val="auto"/>
                <w:highlight w:val="none"/>
              </w:rPr>
              <w:t>称</w:t>
            </w:r>
          </w:p>
        </w:tc>
        <w:tc>
          <w:tcPr>
            <w:tcW w:w="1418" w:type="dxa"/>
            <w:vAlign w:val="center"/>
          </w:tcPr>
          <w:p w14:paraId="080C64D6">
            <w:pPr>
              <w:jc w:val="center"/>
              <w:rPr>
                <w:color w:val="auto"/>
                <w:highlight w:val="none"/>
              </w:rPr>
            </w:pPr>
            <w:r>
              <w:rPr>
                <w:rFonts w:hint="eastAsia"/>
                <w:color w:val="auto"/>
                <w:highlight w:val="none"/>
              </w:rPr>
              <w:t>姓名</w:t>
            </w:r>
          </w:p>
        </w:tc>
        <w:tc>
          <w:tcPr>
            <w:tcW w:w="1134" w:type="dxa"/>
            <w:vAlign w:val="center"/>
          </w:tcPr>
          <w:p w14:paraId="5E851911">
            <w:pPr>
              <w:jc w:val="center"/>
              <w:rPr>
                <w:color w:val="auto"/>
                <w:highlight w:val="none"/>
              </w:rPr>
            </w:pPr>
            <w:r>
              <w:rPr>
                <w:rFonts w:hint="eastAsia"/>
                <w:color w:val="auto"/>
                <w:highlight w:val="none"/>
              </w:rPr>
              <w:t>职务</w:t>
            </w:r>
          </w:p>
        </w:tc>
        <w:tc>
          <w:tcPr>
            <w:tcW w:w="1134" w:type="dxa"/>
            <w:vAlign w:val="center"/>
          </w:tcPr>
          <w:p w14:paraId="331F8B46">
            <w:pPr>
              <w:jc w:val="center"/>
              <w:rPr>
                <w:color w:val="auto"/>
                <w:highlight w:val="none"/>
              </w:rPr>
            </w:pPr>
            <w:r>
              <w:rPr>
                <w:rFonts w:hint="eastAsia"/>
                <w:color w:val="auto"/>
                <w:highlight w:val="none"/>
              </w:rPr>
              <w:t>职称</w:t>
            </w:r>
          </w:p>
        </w:tc>
        <w:tc>
          <w:tcPr>
            <w:tcW w:w="4252" w:type="dxa"/>
            <w:vAlign w:val="center"/>
          </w:tcPr>
          <w:p w14:paraId="5C2EDE0F">
            <w:pPr>
              <w:jc w:val="center"/>
              <w:rPr>
                <w:color w:val="auto"/>
                <w:highlight w:val="none"/>
              </w:rPr>
            </w:pPr>
            <w:r>
              <w:rPr>
                <w:rFonts w:hint="eastAsia"/>
                <w:color w:val="auto"/>
                <w:highlight w:val="none"/>
              </w:rPr>
              <w:t>主要资历、经验及承担过的项目</w:t>
            </w:r>
          </w:p>
        </w:tc>
      </w:tr>
      <w:tr w14:paraId="685CE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vAlign w:val="center"/>
          </w:tcPr>
          <w:p w14:paraId="4DE1BEAE">
            <w:pPr>
              <w:pStyle w:val="18"/>
              <w:keepNext/>
              <w:spacing w:line="440" w:lineRule="exact"/>
              <w:ind w:left="420" w:right="63"/>
              <w:rPr>
                <w:rFonts w:hint="eastAsia" w:ascii="宋体" w:hAnsi="宋体"/>
                <w:color w:val="auto"/>
                <w:highlight w:val="none"/>
              </w:rPr>
            </w:pPr>
            <w:r>
              <w:rPr>
                <w:rFonts w:hint="eastAsia" w:ascii="宋体" w:hAnsi="宋体"/>
                <w:color w:val="auto"/>
                <w:highlight w:val="none"/>
              </w:rPr>
              <w:t>一、总部人员</w:t>
            </w:r>
          </w:p>
        </w:tc>
      </w:tr>
      <w:tr w14:paraId="5737F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4F3E7E68">
            <w:pPr>
              <w:pStyle w:val="18"/>
              <w:keepNext/>
              <w:spacing w:line="440" w:lineRule="exact"/>
              <w:ind w:left="420" w:right="63"/>
              <w:rPr>
                <w:rFonts w:hint="eastAsia" w:ascii="宋体" w:hAnsi="宋体"/>
                <w:color w:val="auto"/>
                <w:highlight w:val="none"/>
              </w:rPr>
            </w:pPr>
            <w:r>
              <w:rPr>
                <w:rFonts w:hint="eastAsia" w:ascii="宋体" w:hAnsi="宋体"/>
                <w:color w:val="auto"/>
                <w:highlight w:val="none"/>
              </w:rPr>
              <w:t>项目主管</w:t>
            </w:r>
          </w:p>
        </w:tc>
        <w:tc>
          <w:tcPr>
            <w:tcW w:w="1418" w:type="dxa"/>
            <w:vAlign w:val="center"/>
          </w:tcPr>
          <w:p w14:paraId="2B842D28">
            <w:pPr>
              <w:pStyle w:val="18"/>
              <w:keepNext/>
              <w:spacing w:line="440" w:lineRule="exact"/>
              <w:ind w:left="420" w:right="63"/>
              <w:rPr>
                <w:rFonts w:hint="eastAsia" w:ascii="宋体" w:hAnsi="宋体"/>
                <w:color w:val="auto"/>
                <w:highlight w:val="none"/>
              </w:rPr>
            </w:pPr>
          </w:p>
        </w:tc>
        <w:tc>
          <w:tcPr>
            <w:tcW w:w="1134" w:type="dxa"/>
            <w:vAlign w:val="center"/>
          </w:tcPr>
          <w:p w14:paraId="08C5150D">
            <w:pPr>
              <w:pStyle w:val="18"/>
              <w:keepNext/>
              <w:spacing w:line="440" w:lineRule="exact"/>
              <w:ind w:left="420" w:right="63"/>
              <w:rPr>
                <w:rFonts w:hint="eastAsia" w:ascii="宋体" w:hAnsi="宋体"/>
                <w:color w:val="auto"/>
                <w:highlight w:val="none"/>
              </w:rPr>
            </w:pPr>
          </w:p>
        </w:tc>
        <w:tc>
          <w:tcPr>
            <w:tcW w:w="1134" w:type="dxa"/>
            <w:vAlign w:val="center"/>
          </w:tcPr>
          <w:p w14:paraId="0BC54C12">
            <w:pPr>
              <w:pStyle w:val="18"/>
              <w:keepNext/>
              <w:spacing w:line="440" w:lineRule="exact"/>
              <w:ind w:left="420" w:right="63"/>
              <w:rPr>
                <w:rFonts w:hint="eastAsia" w:ascii="宋体" w:hAnsi="宋体"/>
                <w:color w:val="auto"/>
                <w:highlight w:val="none"/>
              </w:rPr>
            </w:pPr>
          </w:p>
        </w:tc>
        <w:tc>
          <w:tcPr>
            <w:tcW w:w="4252" w:type="dxa"/>
            <w:vAlign w:val="center"/>
          </w:tcPr>
          <w:p w14:paraId="2B0418CB">
            <w:pPr>
              <w:pStyle w:val="18"/>
              <w:keepNext/>
              <w:spacing w:line="440" w:lineRule="exact"/>
              <w:ind w:left="420" w:right="63"/>
              <w:rPr>
                <w:rFonts w:hint="eastAsia" w:ascii="宋体" w:hAnsi="宋体"/>
                <w:color w:val="auto"/>
                <w:highlight w:val="none"/>
              </w:rPr>
            </w:pPr>
          </w:p>
        </w:tc>
      </w:tr>
      <w:tr w14:paraId="6680E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1A10D4C7">
            <w:pPr>
              <w:pStyle w:val="18"/>
              <w:keepNext/>
              <w:spacing w:line="440" w:lineRule="exact"/>
              <w:ind w:left="420" w:right="63"/>
              <w:rPr>
                <w:rFonts w:hint="eastAsia" w:ascii="宋体" w:hAnsi="宋体"/>
                <w:color w:val="auto"/>
                <w:highlight w:val="none"/>
              </w:rPr>
            </w:pPr>
          </w:p>
        </w:tc>
        <w:tc>
          <w:tcPr>
            <w:tcW w:w="1418" w:type="dxa"/>
            <w:vAlign w:val="center"/>
          </w:tcPr>
          <w:p w14:paraId="12BFA353">
            <w:pPr>
              <w:pStyle w:val="18"/>
              <w:keepNext/>
              <w:spacing w:line="440" w:lineRule="exact"/>
              <w:ind w:left="420" w:right="63"/>
              <w:rPr>
                <w:rFonts w:hint="eastAsia" w:ascii="宋体" w:hAnsi="宋体"/>
                <w:color w:val="auto"/>
                <w:highlight w:val="none"/>
              </w:rPr>
            </w:pPr>
          </w:p>
        </w:tc>
        <w:tc>
          <w:tcPr>
            <w:tcW w:w="1134" w:type="dxa"/>
            <w:vAlign w:val="center"/>
          </w:tcPr>
          <w:p w14:paraId="5CE95023">
            <w:pPr>
              <w:pStyle w:val="18"/>
              <w:keepNext/>
              <w:spacing w:line="440" w:lineRule="exact"/>
              <w:ind w:left="420" w:right="63"/>
              <w:rPr>
                <w:rFonts w:hint="eastAsia" w:ascii="宋体" w:hAnsi="宋体"/>
                <w:color w:val="auto"/>
                <w:highlight w:val="none"/>
              </w:rPr>
            </w:pPr>
          </w:p>
        </w:tc>
        <w:tc>
          <w:tcPr>
            <w:tcW w:w="1134" w:type="dxa"/>
            <w:vAlign w:val="center"/>
          </w:tcPr>
          <w:p w14:paraId="7DB43643">
            <w:pPr>
              <w:pStyle w:val="18"/>
              <w:keepNext/>
              <w:spacing w:line="440" w:lineRule="exact"/>
              <w:ind w:left="420" w:right="63"/>
              <w:rPr>
                <w:rFonts w:hint="eastAsia" w:ascii="宋体" w:hAnsi="宋体"/>
                <w:color w:val="auto"/>
                <w:highlight w:val="none"/>
              </w:rPr>
            </w:pPr>
          </w:p>
        </w:tc>
        <w:tc>
          <w:tcPr>
            <w:tcW w:w="4252" w:type="dxa"/>
            <w:vAlign w:val="center"/>
          </w:tcPr>
          <w:p w14:paraId="0592A998">
            <w:pPr>
              <w:pStyle w:val="18"/>
              <w:keepNext/>
              <w:spacing w:line="440" w:lineRule="exact"/>
              <w:ind w:left="420" w:right="63"/>
              <w:rPr>
                <w:rFonts w:hint="eastAsia" w:ascii="宋体" w:hAnsi="宋体"/>
                <w:color w:val="auto"/>
                <w:highlight w:val="none"/>
              </w:rPr>
            </w:pPr>
          </w:p>
        </w:tc>
      </w:tr>
      <w:tr w14:paraId="32BD2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7AFB2B59">
            <w:pPr>
              <w:pStyle w:val="18"/>
              <w:keepNext/>
              <w:spacing w:line="440" w:lineRule="exact"/>
              <w:ind w:left="420" w:right="63"/>
              <w:rPr>
                <w:rFonts w:hint="eastAsia" w:ascii="宋体" w:hAnsi="宋体"/>
                <w:color w:val="auto"/>
                <w:highlight w:val="none"/>
              </w:rPr>
            </w:pPr>
            <w:r>
              <w:rPr>
                <w:rFonts w:hint="eastAsia" w:ascii="宋体" w:hAnsi="宋体"/>
                <w:color w:val="auto"/>
                <w:highlight w:val="none"/>
              </w:rPr>
              <w:t>其他人员</w:t>
            </w:r>
          </w:p>
        </w:tc>
        <w:tc>
          <w:tcPr>
            <w:tcW w:w="1418" w:type="dxa"/>
            <w:vAlign w:val="center"/>
          </w:tcPr>
          <w:p w14:paraId="10BAEB0C">
            <w:pPr>
              <w:pStyle w:val="18"/>
              <w:keepNext/>
              <w:spacing w:line="440" w:lineRule="exact"/>
              <w:ind w:left="420" w:right="63"/>
              <w:rPr>
                <w:rFonts w:hint="eastAsia" w:ascii="宋体" w:hAnsi="宋体"/>
                <w:color w:val="auto"/>
                <w:highlight w:val="none"/>
              </w:rPr>
            </w:pPr>
          </w:p>
        </w:tc>
        <w:tc>
          <w:tcPr>
            <w:tcW w:w="1134" w:type="dxa"/>
            <w:vAlign w:val="center"/>
          </w:tcPr>
          <w:p w14:paraId="6DD7EC9F">
            <w:pPr>
              <w:pStyle w:val="18"/>
              <w:keepNext/>
              <w:spacing w:line="440" w:lineRule="exact"/>
              <w:ind w:left="420" w:right="63"/>
              <w:rPr>
                <w:rFonts w:hint="eastAsia" w:ascii="宋体" w:hAnsi="宋体"/>
                <w:color w:val="auto"/>
                <w:highlight w:val="none"/>
              </w:rPr>
            </w:pPr>
          </w:p>
        </w:tc>
        <w:tc>
          <w:tcPr>
            <w:tcW w:w="1134" w:type="dxa"/>
            <w:vAlign w:val="center"/>
          </w:tcPr>
          <w:p w14:paraId="0F9D719F">
            <w:pPr>
              <w:pStyle w:val="18"/>
              <w:keepNext/>
              <w:spacing w:line="440" w:lineRule="exact"/>
              <w:ind w:left="420" w:right="63"/>
              <w:rPr>
                <w:rFonts w:hint="eastAsia" w:ascii="宋体" w:hAnsi="宋体"/>
                <w:color w:val="auto"/>
                <w:highlight w:val="none"/>
              </w:rPr>
            </w:pPr>
          </w:p>
        </w:tc>
        <w:tc>
          <w:tcPr>
            <w:tcW w:w="4252" w:type="dxa"/>
            <w:vAlign w:val="center"/>
          </w:tcPr>
          <w:p w14:paraId="261C9CEE">
            <w:pPr>
              <w:pStyle w:val="18"/>
              <w:keepNext/>
              <w:spacing w:line="440" w:lineRule="exact"/>
              <w:ind w:left="420" w:right="63"/>
              <w:rPr>
                <w:rFonts w:hint="eastAsia" w:ascii="宋体" w:hAnsi="宋体"/>
                <w:color w:val="auto"/>
                <w:highlight w:val="none"/>
              </w:rPr>
            </w:pPr>
          </w:p>
        </w:tc>
      </w:tr>
      <w:tr w14:paraId="20E7E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1E20F516">
            <w:pPr>
              <w:pStyle w:val="18"/>
              <w:keepNext/>
              <w:spacing w:line="440" w:lineRule="exact"/>
              <w:ind w:left="420" w:right="63"/>
              <w:rPr>
                <w:rFonts w:hint="eastAsia" w:ascii="宋体" w:hAnsi="宋体"/>
                <w:color w:val="auto"/>
                <w:highlight w:val="none"/>
              </w:rPr>
            </w:pPr>
          </w:p>
        </w:tc>
        <w:tc>
          <w:tcPr>
            <w:tcW w:w="1418" w:type="dxa"/>
            <w:vAlign w:val="center"/>
          </w:tcPr>
          <w:p w14:paraId="7167204F">
            <w:pPr>
              <w:pStyle w:val="18"/>
              <w:keepNext/>
              <w:spacing w:line="440" w:lineRule="exact"/>
              <w:ind w:left="420" w:right="63"/>
              <w:rPr>
                <w:rFonts w:hint="eastAsia" w:ascii="宋体" w:hAnsi="宋体"/>
                <w:color w:val="auto"/>
                <w:highlight w:val="none"/>
              </w:rPr>
            </w:pPr>
          </w:p>
        </w:tc>
        <w:tc>
          <w:tcPr>
            <w:tcW w:w="1134" w:type="dxa"/>
            <w:vAlign w:val="center"/>
          </w:tcPr>
          <w:p w14:paraId="1C4F764E">
            <w:pPr>
              <w:pStyle w:val="18"/>
              <w:keepNext/>
              <w:spacing w:line="440" w:lineRule="exact"/>
              <w:ind w:left="420" w:right="63"/>
              <w:rPr>
                <w:rFonts w:hint="eastAsia" w:ascii="宋体" w:hAnsi="宋体"/>
                <w:color w:val="auto"/>
                <w:highlight w:val="none"/>
              </w:rPr>
            </w:pPr>
          </w:p>
        </w:tc>
        <w:tc>
          <w:tcPr>
            <w:tcW w:w="1134" w:type="dxa"/>
            <w:vAlign w:val="center"/>
          </w:tcPr>
          <w:p w14:paraId="2F7A4EB3">
            <w:pPr>
              <w:pStyle w:val="18"/>
              <w:keepNext/>
              <w:spacing w:line="440" w:lineRule="exact"/>
              <w:ind w:left="420" w:right="63"/>
              <w:rPr>
                <w:rFonts w:hint="eastAsia" w:ascii="宋体" w:hAnsi="宋体"/>
                <w:color w:val="auto"/>
                <w:highlight w:val="none"/>
              </w:rPr>
            </w:pPr>
          </w:p>
        </w:tc>
        <w:tc>
          <w:tcPr>
            <w:tcW w:w="4252" w:type="dxa"/>
            <w:vAlign w:val="center"/>
          </w:tcPr>
          <w:p w14:paraId="022A03FF">
            <w:pPr>
              <w:pStyle w:val="18"/>
              <w:keepNext/>
              <w:spacing w:line="440" w:lineRule="exact"/>
              <w:ind w:left="420" w:right="63"/>
              <w:rPr>
                <w:rFonts w:hint="eastAsia" w:ascii="宋体" w:hAnsi="宋体"/>
                <w:color w:val="auto"/>
                <w:highlight w:val="none"/>
              </w:rPr>
            </w:pPr>
          </w:p>
        </w:tc>
      </w:tr>
      <w:tr w14:paraId="29AF8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vAlign w:val="center"/>
          </w:tcPr>
          <w:p w14:paraId="7CB0E78A">
            <w:pPr>
              <w:pStyle w:val="18"/>
              <w:keepNext/>
              <w:spacing w:line="440" w:lineRule="exact"/>
              <w:ind w:left="420" w:right="63"/>
              <w:rPr>
                <w:rFonts w:hint="eastAsia" w:ascii="宋体" w:hAnsi="宋体"/>
                <w:color w:val="auto"/>
                <w:highlight w:val="none"/>
              </w:rPr>
            </w:pPr>
            <w:r>
              <w:rPr>
                <w:rFonts w:hint="eastAsia" w:ascii="宋体" w:hAnsi="宋体"/>
                <w:color w:val="auto"/>
                <w:highlight w:val="none"/>
              </w:rPr>
              <w:t>二、现场人员</w:t>
            </w:r>
          </w:p>
        </w:tc>
      </w:tr>
      <w:tr w14:paraId="26EF7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4D670EEC">
            <w:pPr>
              <w:pStyle w:val="18"/>
              <w:keepNext/>
              <w:spacing w:line="440" w:lineRule="exact"/>
              <w:ind w:left="420" w:right="63"/>
              <w:rPr>
                <w:rFonts w:hint="eastAsia" w:ascii="宋体" w:hAnsi="宋体"/>
                <w:color w:val="auto"/>
                <w:highlight w:val="none"/>
              </w:rPr>
            </w:pPr>
            <w:r>
              <w:rPr>
                <w:rFonts w:hint="eastAsia" w:ascii="宋体" w:hAnsi="宋体"/>
                <w:color w:val="auto"/>
                <w:highlight w:val="none"/>
              </w:rPr>
              <w:t>项目经理</w:t>
            </w:r>
          </w:p>
        </w:tc>
        <w:tc>
          <w:tcPr>
            <w:tcW w:w="1418" w:type="dxa"/>
            <w:vAlign w:val="center"/>
          </w:tcPr>
          <w:p w14:paraId="05B44C4E">
            <w:pPr>
              <w:pStyle w:val="18"/>
              <w:keepNext/>
              <w:spacing w:line="440" w:lineRule="exact"/>
              <w:ind w:left="420" w:right="63"/>
              <w:rPr>
                <w:rFonts w:hint="eastAsia" w:ascii="宋体" w:hAnsi="宋体"/>
                <w:color w:val="auto"/>
                <w:highlight w:val="none"/>
              </w:rPr>
            </w:pPr>
          </w:p>
        </w:tc>
        <w:tc>
          <w:tcPr>
            <w:tcW w:w="1134" w:type="dxa"/>
            <w:vAlign w:val="center"/>
          </w:tcPr>
          <w:p w14:paraId="70DFF445">
            <w:pPr>
              <w:pStyle w:val="18"/>
              <w:keepNext/>
              <w:spacing w:line="440" w:lineRule="exact"/>
              <w:ind w:left="420" w:right="63"/>
              <w:rPr>
                <w:rFonts w:hint="eastAsia" w:ascii="宋体" w:hAnsi="宋体"/>
                <w:color w:val="auto"/>
                <w:highlight w:val="none"/>
              </w:rPr>
            </w:pPr>
          </w:p>
        </w:tc>
        <w:tc>
          <w:tcPr>
            <w:tcW w:w="1134" w:type="dxa"/>
            <w:vAlign w:val="center"/>
          </w:tcPr>
          <w:p w14:paraId="5AAAF426">
            <w:pPr>
              <w:pStyle w:val="18"/>
              <w:keepNext/>
              <w:spacing w:line="440" w:lineRule="exact"/>
              <w:ind w:left="420" w:right="63"/>
              <w:rPr>
                <w:rFonts w:hint="eastAsia" w:ascii="宋体" w:hAnsi="宋体"/>
                <w:color w:val="auto"/>
                <w:highlight w:val="none"/>
              </w:rPr>
            </w:pPr>
          </w:p>
        </w:tc>
        <w:tc>
          <w:tcPr>
            <w:tcW w:w="4252" w:type="dxa"/>
            <w:vAlign w:val="center"/>
          </w:tcPr>
          <w:p w14:paraId="6B654406">
            <w:pPr>
              <w:pStyle w:val="18"/>
              <w:keepNext/>
              <w:spacing w:line="440" w:lineRule="exact"/>
              <w:ind w:left="420" w:right="63"/>
              <w:rPr>
                <w:rFonts w:hint="eastAsia" w:ascii="宋体" w:hAnsi="宋体"/>
                <w:color w:val="auto"/>
                <w:highlight w:val="none"/>
              </w:rPr>
            </w:pPr>
          </w:p>
        </w:tc>
      </w:tr>
      <w:tr w14:paraId="622BA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4C5F48D6">
            <w:pPr>
              <w:pStyle w:val="18"/>
              <w:keepNext/>
              <w:spacing w:line="440" w:lineRule="exact"/>
              <w:ind w:left="420" w:right="63"/>
              <w:rPr>
                <w:rFonts w:hint="eastAsia" w:ascii="宋体" w:hAnsi="宋体"/>
                <w:color w:val="auto"/>
                <w:highlight w:val="none"/>
              </w:rPr>
            </w:pPr>
            <w:r>
              <w:rPr>
                <w:rFonts w:hint="eastAsia" w:ascii="宋体" w:hAnsi="宋体"/>
                <w:color w:val="auto"/>
                <w:highlight w:val="none"/>
              </w:rPr>
              <w:t>项目副经理</w:t>
            </w:r>
          </w:p>
        </w:tc>
        <w:tc>
          <w:tcPr>
            <w:tcW w:w="1418" w:type="dxa"/>
            <w:vAlign w:val="center"/>
          </w:tcPr>
          <w:p w14:paraId="7E7A08B7">
            <w:pPr>
              <w:pStyle w:val="18"/>
              <w:keepNext/>
              <w:spacing w:line="440" w:lineRule="exact"/>
              <w:ind w:left="420" w:right="63"/>
              <w:rPr>
                <w:rFonts w:hint="eastAsia" w:ascii="宋体" w:hAnsi="宋体"/>
                <w:color w:val="auto"/>
                <w:highlight w:val="none"/>
              </w:rPr>
            </w:pPr>
          </w:p>
        </w:tc>
        <w:tc>
          <w:tcPr>
            <w:tcW w:w="1134" w:type="dxa"/>
            <w:vAlign w:val="center"/>
          </w:tcPr>
          <w:p w14:paraId="2AAD3F8E">
            <w:pPr>
              <w:pStyle w:val="18"/>
              <w:keepNext/>
              <w:spacing w:line="440" w:lineRule="exact"/>
              <w:ind w:left="420" w:right="63"/>
              <w:rPr>
                <w:rFonts w:hint="eastAsia" w:ascii="宋体" w:hAnsi="宋体"/>
                <w:color w:val="auto"/>
                <w:highlight w:val="none"/>
              </w:rPr>
            </w:pPr>
          </w:p>
        </w:tc>
        <w:tc>
          <w:tcPr>
            <w:tcW w:w="1134" w:type="dxa"/>
            <w:vAlign w:val="center"/>
          </w:tcPr>
          <w:p w14:paraId="536BF3CA">
            <w:pPr>
              <w:pStyle w:val="18"/>
              <w:keepNext/>
              <w:spacing w:line="440" w:lineRule="exact"/>
              <w:ind w:left="420" w:right="63"/>
              <w:rPr>
                <w:rFonts w:hint="eastAsia" w:ascii="宋体" w:hAnsi="宋体"/>
                <w:color w:val="auto"/>
                <w:highlight w:val="none"/>
              </w:rPr>
            </w:pPr>
          </w:p>
        </w:tc>
        <w:tc>
          <w:tcPr>
            <w:tcW w:w="4252" w:type="dxa"/>
            <w:vAlign w:val="center"/>
          </w:tcPr>
          <w:p w14:paraId="6F7477FA">
            <w:pPr>
              <w:pStyle w:val="18"/>
              <w:keepNext/>
              <w:spacing w:line="440" w:lineRule="exact"/>
              <w:ind w:left="420" w:right="63"/>
              <w:rPr>
                <w:rFonts w:hint="eastAsia" w:ascii="宋体" w:hAnsi="宋体"/>
                <w:color w:val="auto"/>
                <w:highlight w:val="none"/>
              </w:rPr>
            </w:pPr>
          </w:p>
        </w:tc>
      </w:tr>
      <w:tr w14:paraId="5BB7E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4067ECCA">
            <w:pPr>
              <w:pStyle w:val="18"/>
              <w:keepNext/>
              <w:spacing w:line="440" w:lineRule="exact"/>
              <w:ind w:left="420" w:right="63"/>
              <w:rPr>
                <w:rFonts w:hint="eastAsia" w:ascii="宋体" w:hAnsi="宋体"/>
                <w:color w:val="auto"/>
                <w:highlight w:val="none"/>
              </w:rPr>
            </w:pPr>
            <w:r>
              <w:rPr>
                <w:rFonts w:hint="eastAsia" w:ascii="宋体" w:hAnsi="宋体"/>
                <w:color w:val="auto"/>
                <w:highlight w:val="none"/>
              </w:rPr>
              <w:t>技术负责人</w:t>
            </w:r>
          </w:p>
        </w:tc>
        <w:tc>
          <w:tcPr>
            <w:tcW w:w="1418" w:type="dxa"/>
            <w:vAlign w:val="center"/>
          </w:tcPr>
          <w:p w14:paraId="6DF3E2A3">
            <w:pPr>
              <w:pStyle w:val="18"/>
              <w:keepNext/>
              <w:spacing w:line="440" w:lineRule="exact"/>
              <w:ind w:left="420" w:right="63"/>
              <w:rPr>
                <w:rFonts w:hint="eastAsia" w:ascii="宋体" w:hAnsi="宋体"/>
                <w:color w:val="auto"/>
                <w:highlight w:val="none"/>
              </w:rPr>
            </w:pPr>
          </w:p>
        </w:tc>
        <w:tc>
          <w:tcPr>
            <w:tcW w:w="1134" w:type="dxa"/>
            <w:vAlign w:val="center"/>
          </w:tcPr>
          <w:p w14:paraId="404A7E93">
            <w:pPr>
              <w:pStyle w:val="18"/>
              <w:keepNext/>
              <w:spacing w:line="440" w:lineRule="exact"/>
              <w:ind w:left="420" w:right="63"/>
              <w:rPr>
                <w:rFonts w:hint="eastAsia" w:ascii="宋体" w:hAnsi="宋体"/>
                <w:color w:val="auto"/>
                <w:highlight w:val="none"/>
              </w:rPr>
            </w:pPr>
          </w:p>
        </w:tc>
        <w:tc>
          <w:tcPr>
            <w:tcW w:w="1134" w:type="dxa"/>
            <w:vAlign w:val="center"/>
          </w:tcPr>
          <w:p w14:paraId="04E6B4E2">
            <w:pPr>
              <w:pStyle w:val="18"/>
              <w:keepNext/>
              <w:spacing w:line="440" w:lineRule="exact"/>
              <w:ind w:left="420" w:right="63"/>
              <w:rPr>
                <w:rFonts w:hint="eastAsia" w:ascii="宋体" w:hAnsi="宋体"/>
                <w:color w:val="auto"/>
                <w:highlight w:val="none"/>
              </w:rPr>
            </w:pPr>
          </w:p>
        </w:tc>
        <w:tc>
          <w:tcPr>
            <w:tcW w:w="4252" w:type="dxa"/>
            <w:vAlign w:val="center"/>
          </w:tcPr>
          <w:p w14:paraId="21B5EFA9">
            <w:pPr>
              <w:pStyle w:val="18"/>
              <w:keepNext/>
              <w:spacing w:line="440" w:lineRule="exact"/>
              <w:ind w:left="420" w:right="63"/>
              <w:rPr>
                <w:rFonts w:hint="eastAsia" w:ascii="宋体" w:hAnsi="宋体"/>
                <w:color w:val="auto"/>
                <w:highlight w:val="none"/>
              </w:rPr>
            </w:pPr>
          </w:p>
        </w:tc>
      </w:tr>
      <w:tr w14:paraId="18CFA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39B1F4B7">
            <w:pPr>
              <w:pStyle w:val="18"/>
              <w:keepNext/>
              <w:spacing w:line="440" w:lineRule="exact"/>
              <w:ind w:left="420" w:right="63"/>
              <w:rPr>
                <w:rFonts w:hint="eastAsia" w:ascii="宋体" w:hAnsi="宋体"/>
                <w:color w:val="auto"/>
                <w:highlight w:val="none"/>
              </w:rPr>
            </w:pPr>
            <w:r>
              <w:rPr>
                <w:rFonts w:hint="eastAsia" w:ascii="宋体" w:hAnsi="宋体"/>
                <w:color w:val="auto"/>
                <w:highlight w:val="none"/>
              </w:rPr>
              <w:t>造价管理</w:t>
            </w:r>
          </w:p>
        </w:tc>
        <w:tc>
          <w:tcPr>
            <w:tcW w:w="1418" w:type="dxa"/>
            <w:vAlign w:val="center"/>
          </w:tcPr>
          <w:p w14:paraId="7B05E778">
            <w:pPr>
              <w:pStyle w:val="18"/>
              <w:keepNext/>
              <w:spacing w:line="440" w:lineRule="exact"/>
              <w:ind w:left="420" w:right="63"/>
              <w:rPr>
                <w:rFonts w:hint="eastAsia" w:ascii="宋体" w:hAnsi="宋体"/>
                <w:color w:val="auto"/>
                <w:highlight w:val="none"/>
              </w:rPr>
            </w:pPr>
          </w:p>
        </w:tc>
        <w:tc>
          <w:tcPr>
            <w:tcW w:w="1134" w:type="dxa"/>
            <w:vAlign w:val="center"/>
          </w:tcPr>
          <w:p w14:paraId="2C8DE260">
            <w:pPr>
              <w:pStyle w:val="18"/>
              <w:keepNext/>
              <w:spacing w:line="440" w:lineRule="exact"/>
              <w:ind w:left="420" w:right="63"/>
              <w:rPr>
                <w:rFonts w:hint="eastAsia" w:ascii="宋体" w:hAnsi="宋体"/>
                <w:color w:val="auto"/>
                <w:highlight w:val="none"/>
              </w:rPr>
            </w:pPr>
          </w:p>
        </w:tc>
        <w:tc>
          <w:tcPr>
            <w:tcW w:w="1134" w:type="dxa"/>
            <w:vAlign w:val="center"/>
          </w:tcPr>
          <w:p w14:paraId="5A325969">
            <w:pPr>
              <w:pStyle w:val="18"/>
              <w:keepNext/>
              <w:spacing w:line="440" w:lineRule="exact"/>
              <w:ind w:left="420" w:right="63"/>
              <w:rPr>
                <w:rFonts w:hint="eastAsia" w:ascii="宋体" w:hAnsi="宋体"/>
                <w:color w:val="auto"/>
                <w:highlight w:val="none"/>
              </w:rPr>
            </w:pPr>
          </w:p>
        </w:tc>
        <w:tc>
          <w:tcPr>
            <w:tcW w:w="4252" w:type="dxa"/>
            <w:vAlign w:val="center"/>
          </w:tcPr>
          <w:p w14:paraId="589CF77F">
            <w:pPr>
              <w:pStyle w:val="18"/>
              <w:keepNext/>
              <w:spacing w:line="440" w:lineRule="exact"/>
              <w:ind w:left="420" w:right="63"/>
              <w:rPr>
                <w:rFonts w:hint="eastAsia" w:ascii="宋体" w:hAnsi="宋体"/>
                <w:color w:val="auto"/>
                <w:highlight w:val="none"/>
              </w:rPr>
            </w:pPr>
          </w:p>
        </w:tc>
      </w:tr>
      <w:tr w14:paraId="5FDF1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70782C79">
            <w:pPr>
              <w:pStyle w:val="18"/>
              <w:keepNext/>
              <w:spacing w:line="440" w:lineRule="exact"/>
              <w:ind w:left="420" w:right="63"/>
              <w:rPr>
                <w:rFonts w:hint="eastAsia" w:ascii="宋体" w:hAnsi="宋体"/>
                <w:color w:val="auto"/>
                <w:highlight w:val="none"/>
              </w:rPr>
            </w:pPr>
            <w:r>
              <w:rPr>
                <w:rFonts w:hint="eastAsia" w:ascii="宋体" w:hAnsi="宋体"/>
                <w:color w:val="auto"/>
                <w:highlight w:val="none"/>
              </w:rPr>
              <w:t>质量管理</w:t>
            </w:r>
          </w:p>
        </w:tc>
        <w:tc>
          <w:tcPr>
            <w:tcW w:w="1418" w:type="dxa"/>
            <w:vAlign w:val="center"/>
          </w:tcPr>
          <w:p w14:paraId="4D4F0462">
            <w:pPr>
              <w:pStyle w:val="18"/>
              <w:keepNext/>
              <w:spacing w:line="440" w:lineRule="exact"/>
              <w:ind w:left="420" w:right="63"/>
              <w:rPr>
                <w:rFonts w:hint="eastAsia" w:ascii="宋体" w:hAnsi="宋体"/>
                <w:color w:val="auto"/>
                <w:highlight w:val="none"/>
              </w:rPr>
            </w:pPr>
          </w:p>
        </w:tc>
        <w:tc>
          <w:tcPr>
            <w:tcW w:w="1134" w:type="dxa"/>
            <w:vAlign w:val="center"/>
          </w:tcPr>
          <w:p w14:paraId="6B680921">
            <w:pPr>
              <w:pStyle w:val="18"/>
              <w:keepNext/>
              <w:spacing w:line="440" w:lineRule="exact"/>
              <w:ind w:left="420" w:right="63"/>
              <w:rPr>
                <w:rFonts w:hint="eastAsia" w:ascii="宋体" w:hAnsi="宋体"/>
                <w:color w:val="auto"/>
                <w:highlight w:val="none"/>
              </w:rPr>
            </w:pPr>
          </w:p>
        </w:tc>
        <w:tc>
          <w:tcPr>
            <w:tcW w:w="1134" w:type="dxa"/>
            <w:vAlign w:val="center"/>
          </w:tcPr>
          <w:p w14:paraId="1133158D">
            <w:pPr>
              <w:pStyle w:val="18"/>
              <w:keepNext/>
              <w:spacing w:line="440" w:lineRule="exact"/>
              <w:ind w:left="420" w:right="63"/>
              <w:rPr>
                <w:rFonts w:hint="eastAsia" w:ascii="宋体" w:hAnsi="宋体"/>
                <w:color w:val="auto"/>
                <w:highlight w:val="none"/>
              </w:rPr>
            </w:pPr>
          </w:p>
        </w:tc>
        <w:tc>
          <w:tcPr>
            <w:tcW w:w="4252" w:type="dxa"/>
            <w:vAlign w:val="center"/>
          </w:tcPr>
          <w:p w14:paraId="6FCE7EB0">
            <w:pPr>
              <w:pStyle w:val="18"/>
              <w:keepNext/>
              <w:spacing w:line="440" w:lineRule="exact"/>
              <w:ind w:left="420" w:right="63"/>
              <w:rPr>
                <w:rFonts w:hint="eastAsia" w:ascii="宋体" w:hAnsi="宋体"/>
                <w:color w:val="auto"/>
                <w:highlight w:val="none"/>
              </w:rPr>
            </w:pPr>
          </w:p>
        </w:tc>
      </w:tr>
      <w:tr w14:paraId="00D7A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0C62C073">
            <w:pPr>
              <w:pStyle w:val="18"/>
              <w:keepNext/>
              <w:spacing w:line="440" w:lineRule="exact"/>
              <w:ind w:left="420" w:right="63"/>
              <w:rPr>
                <w:rFonts w:hint="eastAsia" w:ascii="宋体" w:hAnsi="宋体"/>
                <w:color w:val="auto"/>
                <w:highlight w:val="none"/>
              </w:rPr>
            </w:pPr>
            <w:r>
              <w:rPr>
                <w:rFonts w:hint="eastAsia" w:ascii="宋体" w:hAnsi="宋体"/>
                <w:color w:val="auto"/>
                <w:highlight w:val="none"/>
              </w:rPr>
              <w:t>材料管理</w:t>
            </w:r>
          </w:p>
        </w:tc>
        <w:tc>
          <w:tcPr>
            <w:tcW w:w="1418" w:type="dxa"/>
            <w:vAlign w:val="center"/>
          </w:tcPr>
          <w:p w14:paraId="437DB82B">
            <w:pPr>
              <w:pStyle w:val="18"/>
              <w:keepNext/>
              <w:spacing w:line="440" w:lineRule="exact"/>
              <w:ind w:left="420" w:right="63"/>
              <w:rPr>
                <w:rFonts w:hint="eastAsia" w:ascii="宋体" w:hAnsi="宋体"/>
                <w:color w:val="auto"/>
                <w:highlight w:val="none"/>
              </w:rPr>
            </w:pPr>
          </w:p>
        </w:tc>
        <w:tc>
          <w:tcPr>
            <w:tcW w:w="1134" w:type="dxa"/>
            <w:vAlign w:val="center"/>
          </w:tcPr>
          <w:p w14:paraId="490F32E5">
            <w:pPr>
              <w:pStyle w:val="18"/>
              <w:keepNext/>
              <w:spacing w:line="440" w:lineRule="exact"/>
              <w:ind w:left="420" w:right="63"/>
              <w:rPr>
                <w:rFonts w:hint="eastAsia" w:ascii="宋体" w:hAnsi="宋体"/>
                <w:color w:val="auto"/>
                <w:highlight w:val="none"/>
              </w:rPr>
            </w:pPr>
          </w:p>
        </w:tc>
        <w:tc>
          <w:tcPr>
            <w:tcW w:w="1134" w:type="dxa"/>
            <w:vAlign w:val="center"/>
          </w:tcPr>
          <w:p w14:paraId="67205CE5">
            <w:pPr>
              <w:pStyle w:val="18"/>
              <w:keepNext/>
              <w:spacing w:line="440" w:lineRule="exact"/>
              <w:ind w:left="420" w:right="63"/>
              <w:rPr>
                <w:rFonts w:hint="eastAsia" w:ascii="宋体" w:hAnsi="宋体"/>
                <w:color w:val="auto"/>
                <w:highlight w:val="none"/>
              </w:rPr>
            </w:pPr>
          </w:p>
        </w:tc>
        <w:tc>
          <w:tcPr>
            <w:tcW w:w="4252" w:type="dxa"/>
            <w:vAlign w:val="center"/>
          </w:tcPr>
          <w:p w14:paraId="5F98B7FF">
            <w:pPr>
              <w:pStyle w:val="18"/>
              <w:keepNext/>
              <w:spacing w:line="440" w:lineRule="exact"/>
              <w:ind w:left="420" w:right="63"/>
              <w:rPr>
                <w:rFonts w:hint="eastAsia" w:ascii="宋体" w:hAnsi="宋体"/>
                <w:color w:val="auto"/>
                <w:highlight w:val="none"/>
              </w:rPr>
            </w:pPr>
          </w:p>
        </w:tc>
      </w:tr>
      <w:tr w14:paraId="012FE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6C220A0B">
            <w:pPr>
              <w:pStyle w:val="18"/>
              <w:keepNext/>
              <w:spacing w:line="440" w:lineRule="exact"/>
              <w:ind w:left="420" w:right="63"/>
              <w:rPr>
                <w:rFonts w:hint="eastAsia" w:ascii="宋体" w:hAnsi="宋体"/>
                <w:color w:val="auto"/>
                <w:highlight w:val="none"/>
              </w:rPr>
            </w:pPr>
            <w:r>
              <w:rPr>
                <w:rFonts w:hint="eastAsia" w:ascii="宋体" w:hAnsi="宋体"/>
                <w:color w:val="auto"/>
                <w:highlight w:val="none"/>
              </w:rPr>
              <w:t>计划管理</w:t>
            </w:r>
          </w:p>
        </w:tc>
        <w:tc>
          <w:tcPr>
            <w:tcW w:w="1418" w:type="dxa"/>
            <w:vAlign w:val="center"/>
          </w:tcPr>
          <w:p w14:paraId="70E847F9">
            <w:pPr>
              <w:pStyle w:val="18"/>
              <w:keepNext/>
              <w:spacing w:line="440" w:lineRule="exact"/>
              <w:ind w:left="420" w:right="63"/>
              <w:rPr>
                <w:rFonts w:hint="eastAsia" w:ascii="宋体" w:hAnsi="宋体"/>
                <w:color w:val="auto"/>
                <w:highlight w:val="none"/>
              </w:rPr>
            </w:pPr>
          </w:p>
        </w:tc>
        <w:tc>
          <w:tcPr>
            <w:tcW w:w="1134" w:type="dxa"/>
            <w:vAlign w:val="center"/>
          </w:tcPr>
          <w:p w14:paraId="1A1E0A21">
            <w:pPr>
              <w:pStyle w:val="18"/>
              <w:keepNext/>
              <w:spacing w:line="440" w:lineRule="exact"/>
              <w:ind w:left="420" w:right="63"/>
              <w:rPr>
                <w:rFonts w:hint="eastAsia" w:ascii="宋体" w:hAnsi="宋体"/>
                <w:color w:val="auto"/>
                <w:highlight w:val="none"/>
              </w:rPr>
            </w:pPr>
          </w:p>
        </w:tc>
        <w:tc>
          <w:tcPr>
            <w:tcW w:w="1134" w:type="dxa"/>
            <w:vAlign w:val="center"/>
          </w:tcPr>
          <w:p w14:paraId="0D775268">
            <w:pPr>
              <w:pStyle w:val="18"/>
              <w:keepNext/>
              <w:spacing w:line="440" w:lineRule="exact"/>
              <w:ind w:left="420" w:right="63"/>
              <w:rPr>
                <w:rFonts w:hint="eastAsia" w:ascii="宋体" w:hAnsi="宋体"/>
                <w:color w:val="auto"/>
                <w:highlight w:val="none"/>
              </w:rPr>
            </w:pPr>
          </w:p>
        </w:tc>
        <w:tc>
          <w:tcPr>
            <w:tcW w:w="4252" w:type="dxa"/>
            <w:vAlign w:val="center"/>
          </w:tcPr>
          <w:p w14:paraId="35A11F06">
            <w:pPr>
              <w:pStyle w:val="18"/>
              <w:keepNext/>
              <w:spacing w:line="440" w:lineRule="exact"/>
              <w:ind w:left="420" w:right="63"/>
              <w:rPr>
                <w:rFonts w:hint="eastAsia" w:ascii="宋体" w:hAnsi="宋体"/>
                <w:color w:val="auto"/>
                <w:highlight w:val="none"/>
              </w:rPr>
            </w:pPr>
          </w:p>
        </w:tc>
      </w:tr>
      <w:tr w14:paraId="33D41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25F15688">
            <w:pPr>
              <w:pStyle w:val="18"/>
              <w:keepNext/>
              <w:spacing w:line="440" w:lineRule="exact"/>
              <w:ind w:left="420" w:right="63"/>
              <w:rPr>
                <w:rFonts w:hint="eastAsia" w:ascii="宋体" w:hAnsi="宋体"/>
                <w:color w:val="auto"/>
                <w:highlight w:val="none"/>
              </w:rPr>
            </w:pPr>
            <w:r>
              <w:rPr>
                <w:rFonts w:hint="eastAsia" w:ascii="宋体" w:hAnsi="宋体"/>
                <w:color w:val="auto"/>
                <w:highlight w:val="none"/>
              </w:rPr>
              <w:t>安全管理</w:t>
            </w:r>
          </w:p>
        </w:tc>
        <w:tc>
          <w:tcPr>
            <w:tcW w:w="1418" w:type="dxa"/>
            <w:vAlign w:val="center"/>
          </w:tcPr>
          <w:p w14:paraId="36915BBA">
            <w:pPr>
              <w:pStyle w:val="18"/>
              <w:keepNext/>
              <w:spacing w:line="440" w:lineRule="exact"/>
              <w:ind w:left="420" w:right="63"/>
              <w:rPr>
                <w:rFonts w:hint="eastAsia" w:ascii="宋体" w:hAnsi="宋体"/>
                <w:color w:val="auto"/>
                <w:highlight w:val="none"/>
              </w:rPr>
            </w:pPr>
          </w:p>
        </w:tc>
        <w:tc>
          <w:tcPr>
            <w:tcW w:w="1134" w:type="dxa"/>
            <w:vAlign w:val="center"/>
          </w:tcPr>
          <w:p w14:paraId="0178B605">
            <w:pPr>
              <w:pStyle w:val="18"/>
              <w:keepNext/>
              <w:spacing w:line="440" w:lineRule="exact"/>
              <w:ind w:left="420" w:right="63"/>
              <w:rPr>
                <w:rFonts w:hint="eastAsia" w:ascii="宋体" w:hAnsi="宋体"/>
                <w:color w:val="auto"/>
                <w:highlight w:val="none"/>
              </w:rPr>
            </w:pPr>
          </w:p>
        </w:tc>
        <w:tc>
          <w:tcPr>
            <w:tcW w:w="1134" w:type="dxa"/>
            <w:vAlign w:val="center"/>
          </w:tcPr>
          <w:p w14:paraId="0EEB8588">
            <w:pPr>
              <w:pStyle w:val="18"/>
              <w:keepNext/>
              <w:spacing w:line="440" w:lineRule="exact"/>
              <w:ind w:left="420" w:right="63"/>
              <w:rPr>
                <w:rFonts w:hint="eastAsia" w:ascii="宋体" w:hAnsi="宋体"/>
                <w:color w:val="auto"/>
                <w:highlight w:val="none"/>
              </w:rPr>
            </w:pPr>
          </w:p>
        </w:tc>
        <w:tc>
          <w:tcPr>
            <w:tcW w:w="4252" w:type="dxa"/>
            <w:vAlign w:val="center"/>
          </w:tcPr>
          <w:p w14:paraId="7C6E7038">
            <w:pPr>
              <w:pStyle w:val="18"/>
              <w:keepNext/>
              <w:spacing w:line="440" w:lineRule="exact"/>
              <w:ind w:left="420" w:right="63"/>
              <w:rPr>
                <w:rFonts w:hint="eastAsia" w:ascii="宋体" w:hAnsi="宋体"/>
                <w:color w:val="auto"/>
                <w:highlight w:val="none"/>
              </w:rPr>
            </w:pPr>
          </w:p>
        </w:tc>
      </w:tr>
      <w:tr w14:paraId="1FE5F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vAlign w:val="center"/>
          </w:tcPr>
          <w:p w14:paraId="6B06B66A">
            <w:pPr>
              <w:pStyle w:val="18"/>
              <w:keepNext/>
              <w:spacing w:line="440" w:lineRule="exact"/>
              <w:ind w:left="420" w:right="63"/>
              <w:rPr>
                <w:rFonts w:hint="eastAsia" w:ascii="宋体" w:hAnsi="宋体"/>
                <w:color w:val="auto"/>
                <w:highlight w:val="none"/>
              </w:rPr>
            </w:pPr>
            <w:r>
              <w:rPr>
                <w:rFonts w:hint="eastAsia" w:ascii="宋体" w:hAnsi="宋体"/>
                <w:color w:val="auto"/>
                <w:highlight w:val="none"/>
              </w:rPr>
              <w:t>其他人员</w:t>
            </w:r>
          </w:p>
        </w:tc>
        <w:tc>
          <w:tcPr>
            <w:tcW w:w="1418" w:type="dxa"/>
            <w:vAlign w:val="center"/>
          </w:tcPr>
          <w:p w14:paraId="7B90F325">
            <w:pPr>
              <w:pStyle w:val="18"/>
              <w:keepNext/>
              <w:spacing w:line="440" w:lineRule="exact"/>
              <w:ind w:left="420" w:right="63"/>
              <w:rPr>
                <w:rFonts w:hint="eastAsia" w:ascii="宋体" w:hAnsi="宋体"/>
                <w:color w:val="auto"/>
                <w:highlight w:val="none"/>
              </w:rPr>
            </w:pPr>
          </w:p>
        </w:tc>
        <w:tc>
          <w:tcPr>
            <w:tcW w:w="1134" w:type="dxa"/>
            <w:vAlign w:val="center"/>
          </w:tcPr>
          <w:p w14:paraId="02CCCF5A">
            <w:pPr>
              <w:pStyle w:val="18"/>
              <w:keepNext/>
              <w:spacing w:line="440" w:lineRule="exact"/>
              <w:ind w:left="420" w:right="63"/>
              <w:rPr>
                <w:rFonts w:hint="eastAsia" w:ascii="宋体" w:hAnsi="宋体"/>
                <w:color w:val="auto"/>
                <w:highlight w:val="none"/>
              </w:rPr>
            </w:pPr>
          </w:p>
        </w:tc>
        <w:tc>
          <w:tcPr>
            <w:tcW w:w="1134" w:type="dxa"/>
            <w:vAlign w:val="center"/>
          </w:tcPr>
          <w:p w14:paraId="063B5B62">
            <w:pPr>
              <w:pStyle w:val="18"/>
              <w:keepNext/>
              <w:spacing w:line="440" w:lineRule="exact"/>
              <w:ind w:left="420" w:right="63"/>
              <w:rPr>
                <w:rFonts w:hint="eastAsia" w:ascii="宋体" w:hAnsi="宋体"/>
                <w:color w:val="auto"/>
                <w:highlight w:val="none"/>
              </w:rPr>
            </w:pPr>
          </w:p>
        </w:tc>
        <w:tc>
          <w:tcPr>
            <w:tcW w:w="4252" w:type="dxa"/>
            <w:vAlign w:val="center"/>
          </w:tcPr>
          <w:p w14:paraId="2E2D6E1C">
            <w:pPr>
              <w:pStyle w:val="18"/>
              <w:keepNext/>
              <w:spacing w:line="440" w:lineRule="exact"/>
              <w:ind w:left="420" w:right="63"/>
              <w:rPr>
                <w:rFonts w:hint="eastAsia" w:ascii="宋体" w:hAnsi="宋体"/>
                <w:color w:val="auto"/>
                <w:highlight w:val="none"/>
              </w:rPr>
            </w:pPr>
          </w:p>
        </w:tc>
      </w:tr>
      <w:tr w14:paraId="12D2A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548612B2">
            <w:pPr>
              <w:widowControl/>
              <w:jc w:val="left"/>
              <w:rPr>
                <w:rFonts w:hint="eastAsia" w:ascii="宋体" w:hAnsi="宋体" w:cs="宋体"/>
                <w:color w:val="auto"/>
                <w:szCs w:val="21"/>
                <w:highlight w:val="none"/>
              </w:rPr>
            </w:pPr>
          </w:p>
        </w:tc>
        <w:tc>
          <w:tcPr>
            <w:tcW w:w="1418" w:type="dxa"/>
            <w:vAlign w:val="center"/>
          </w:tcPr>
          <w:p w14:paraId="3688066D">
            <w:pPr>
              <w:pStyle w:val="18"/>
              <w:keepNext/>
              <w:spacing w:line="440" w:lineRule="exact"/>
              <w:ind w:left="420" w:right="63"/>
              <w:rPr>
                <w:rFonts w:hint="eastAsia" w:ascii="宋体" w:hAnsi="宋体"/>
                <w:color w:val="auto"/>
                <w:highlight w:val="none"/>
              </w:rPr>
            </w:pPr>
          </w:p>
        </w:tc>
        <w:tc>
          <w:tcPr>
            <w:tcW w:w="1134" w:type="dxa"/>
            <w:vAlign w:val="center"/>
          </w:tcPr>
          <w:p w14:paraId="1B6B57F8">
            <w:pPr>
              <w:pStyle w:val="18"/>
              <w:keepNext/>
              <w:spacing w:line="440" w:lineRule="exact"/>
              <w:ind w:left="420" w:right="63"/>
              <w:rPr>
                <w:rFonts w:hint="eastAsia" w:ascii="宋体" w:hAnsi="宋体"/>
                <w:color w:val="auto"/>
                <w:highlight w:val="none"/>
              </w:rPr>
            </w:pPr>
          </w:p>
        </w:tc>
        <w:tc>
          <w:tcPr>
            <w:tcW w:w="1134" w:type="dxa"/>
            <w:vAlign w:val="center"/>
          </w:tcPr>
          <w:p w14:paraId="001A8CCE">
            <w:pPr>
              <w:pStyle w:val="18"/>
              <w:keepNext/>
              <w:spacing w:line="440" w:lineRule="exact"/>
              <w:ind w:left="420" w:right="63"/>
              <w:rPr>
                <w:rFonts w:hint="eastAsia" w:ascii="宋体" w:hAnsi="宋体"/>
                <w:color w:val="auto"/>
                <w:highlight w:val="none"/>
              </w:rPr>
            </w:pPr>
          </w:p>
        </w:tc>
        <w:tc>
          <w:tcPr>
            <w:tcW w:w="4252" w:type="dxa"/>
            <w:vAlign w:val="center"/>
          </w:tcPr>
          <w:p w14:paraId="159867CC">
            <w:pPr>
              <w:pStyle w:val="18"/>
              <w:keepNext/>
              <w:spacing w:line="440" w:lineRule="exact"/>
              <w:ind w:left="420" w:right="63"/>
              <w:rPr>
                <w:rFonts w:hint="eastAsia" w:ascii="宋体" w:hAnsi="宋体"/>
                <w:color w:val="auto"/>
                <w:highlight w:val="none"/>
              </w:rPr>
            </w:pPr>
          </w:p>
        </w:tc>
      </w:tr>
      <w:tr w14:paraId="3A93D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37B64B91">
            <w:pPr>
              <w:widowControl/>
              <w:jc w:val="left"/>
              <w:rPr>
                <w:rFonts w:hint="eastAsia" w:ascii="宋体" w:hAnsi="宋体" w:cs="宋体"/>
                <w:color w:val="auto"/>
                <w:szCs w:val="21"/>
                <w:highlight w:val="none"/>
              </w:rPr>
            </w:pPr>
          </w:p>
        </w:tc>
        <w:tc>
          <w:tcPr>
            <w:tcW w:w="1418" w:type="dxa"/>
            <w:vAlign w:val="center"/>
          </w:tcPr>
          <w:p w14:paraId="677DD0B9">
            <w:pPr>
              <w:pStyle w:val="18"/>
              <w:keepNext/>
              <w:spacing w:line="440" w:lineRule="exact"/>
              <w:ind w:left="420" w:right="63"/>
              <w:rPr>
                <w:rFonts w:hint="eastAsia" w:ascii="宋体" w:hAnsi="宋体"/>
                <w:color w:val="auto"/>
                <w:highlight w:val="none"/>
              </w:rPr>
            </w:pPr>
          </w:p>
        </w:tc>
        <w:tc>
          <w:tcPr>
            <w:tcW w:w="1134" w:type="dxa"/>
            <w:vAlign w:val="center"/>
          </w:tcPr>
          <w:p w14:paraId="60BD2D76">
            <w:pPr>
              <w:pStyle w:val="18"/>
              <w:keepNext/>
              <w:spacing w:line="440" w:lineRule="exact"/>
              <w:ind w:left="420" w:right="63"/>
              <w:rPr>
                <w:rFonts w:hint="eastAsia" w:ascii="宋体" w:hAnsi="宋体"/>
                <w:color w:val="auto"/>
                <w:highlight w:val="none"/>
              </w:rPr>
            </w:pPr>
          </w:p>
        </w:tc>
        <w:tc>
          <w:tcPr>
            <w:tcW w:w="1134" w:type="dxa"/>
            <w:vAlign w:val="center"/>
          </w:tcPr>
          <w:p w14:paraId="5485E30E">
            <w:pPr>
              <w:pStyle w:val="18"/>
              <w:keepNext/>
              <w:spacing w:line="440" w:lineRule="exact"/>
              <w:ind w:left="420" w:right="63"/>
              <w:rPr>
                <w:rFonts w:hint="eastAsia" w:ascii="宋体" w:hAnsi="宋体"/>
                <w:color w:val="auto"/>
                <w:highlight w:val="none"/>
              </w:rPr>
            </w:pPr>
          </w:p>
        </w:tc>
        <w:tc>
          <w:tcPr>
            <w:tcW w:w="4252" w:type="dxa"/>
            <w:vAlign w:val="center"/>
          </w:tcPr>
          <w:p w14:paraId="2F646C19">
            <w:pPr>
              <w:pStyle w:val="18"/>
              <w:keepNext/>
              <w:spacing w:line="440" w:lineRule="exact"/>
              <w:ind w:left="420" w:right="63"/>
              <w:rPr>
                <w:rFonts w:hint="eastAsia" w:ascii="宋体" w:hAnsi="宋体"/>
                <w:color w:val="auto"/>
                <w:highlight w:val="none"/>
              </w:rPr>
            </w:pPr>
          </w:p>
        </w:tc>
      </w:tr>
      <w:tr w14:paraId="26239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54ACAFC9">
            <w:pPr>
              <w:widowControl/>
              <w:jc w:val="left"/>
              <w:rPr>
                <w:rFonts w:hint="eastAsia" w:ascii="宋体" w:hAnsi="宋体" w:cs="宋体"/>
                <w:color w:val="auto"/>
                <w:szCs w:val="21"/>
                <w:highlight w:val="none"/>
              </w:rPr>
            </w:pPr>
          </w:p>
        </w:tc>
        <w:tc>
          <w:tcPr>
            <w:tcW w:w="1418" w:type="dxa"/>
            <w:vAlign w:val="center"/>
          </w:tcPr>
          <w:p w14:paraId="7FE08B1B">
            <w:pPr>
              <w:pStyle w:val="18"/>
              <w:keepNext/>
              <w:spacing w:line="440" w:lineRule="exact"/>
              <w:ind w:left="420" w:right="63"/>
              <w:rPr>
                <w:rFonts w:hint="eastAsia" w:ascii="宋体" w:hAnsi="宋体"/>
                <w:color w:val="auto"/>
                <w:highlight w:val="none"/>
              </w:rPr>
            </w:pPr>
          </w:p>
        </w:tc>
        <w:tc>
          <w:tcPr>
            <w:tcW w:w="1134" w:type="dxa"/>
            <w:vAlign w:val="center"/>
          </w:tcPr>
          <w:p w14:paraId="644589E3">
            <w:pPr>
              <w:pStyle w:val="18"/>
              <w:keepNext/>
              <w:spacing w:line="440" w:lineRule="exact"/>
              <w:ind w:left="420" w:right="63"/>
              <w:rPr>
                <w:rFonts w:hint="eastAsia" w:ascii="宋体" w:hAnsi="宋体"/>
                <w:color w:val="auto"/>
                <w:highlight w:val="none"/>
              </w:rPr>
            </w:pPr>
          </w:p>
        </w:tc>
        <w:tc>
          <w:tcPr>
            <w:tcW w:w="1134" w:type="dxa"/>
            <w:vAlign w:val="center"/>
          </w:tcPr>
          <w:p w14:paraId="5AC7A5B3">
            <w:pPr>
              <w:pStyle w:val="18"/>
              <w:keepNext/>
              <w:spacing w:line="440" w:lineRule="exact"/>
              <w:ind w:left="420" w:right="63"/>
              <w:rPr>
                <w:rFonts w:hint="eastAsia" w:ascii="宋体" w:hAnsi="宋体"/>
                <w:color w:val="auto"/>
                <w:highlight w:val="none"/>
              </w:rPr>
            </w:pPr>
          </w:p>
        </w:tc>
        <w:tc>
          <w:tcPr>
            <w:tcW w:w="4252" w:type="dxa"/>
            <w:vAlign w:val="center"/>
          </w:tcPr>
          <w:p w14:paraId="382CB4DF">
            <w:pPr>
              <w:pStyle w:val="18"/>
              <w:keepNext/>
              <w:spacing w:line="440" w:lineRule="exact"/>
              <w:ind w:left="420" w:right="63"/>
              <w:rPr>
                <w:rFonts w:hint="eastAsia" w:ascii="宋体" w:hAnsi="宋体"/>
                <w:color w:val="auto"/>
                <w:highlight w:val="none"/>
              </w:rPr>
            </w:pPr>
          </w:p>
        </w:tc>
      </w:tr>
      <w:tr w14:paraId="3B1D0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3E7C629D">
            <w:pPr>
              <w:widowControl/>
              <w:jc w:val="left"/>
              <w:rPr>
                <w:rFonts w:hint="eastAsia" w:ascii="宋体" w:hAnsi="宋体" w:cs="宋体"/>
                <w:color w:val="auto"/>
                <w:szCs w:val="21"/>
                <w:highlight w:val="none"/>
              </w:rPr>
            </w:pPr>
          </w:p>
        </w:tc>
        <w:tc>
          <w:tcPr>
            <w:tcW w:w="1418" w:type="dxa"/>
            <w:vAlign w:val="center"/>
          </w:tcPr>
          <w:p w14:paraId="44DFEF2F">
            <w:pPr>
              <w:pStyle w:val="18"/>
              <w:keepNext/>
              <w:spacing w:line="440" w:lineRule="exact"/>
              <w:ind w:left="420" w:right="63"/>
              <w:rPr>
                <w:rFonts w:hint="eastAsia" w:ascii="宋体" w:hAnsi="宋体"/>
                <w:color w:val="auto"/>
                <w:highlight w:val="none"/>
              </w:rPr>
            </w:pPr>
          </w:p>
        </w:tc>
        <w:tc>
          <w:tcPr>
            <w:tcW w:w="1134" w:type="dxa"/>
            <w:vAlign w:val="center"/>
          </w:tcPr>
          <w:p w14:paraId="5DE7C938">
            <w:pPr>
              <w:pStyle w:val="18"/>
              <w:keepNext/>
              <w:spacing w:line="440" w:lineRule="exact"/>
              <w:ind w:left="420" w:right="63"/>
              <w:rPr>
                <w:rFonts w:hint="eastAsia" w:ascii="宋体" w:hAnsi="宋体"/>
                <w:color w:val="auto"/>
                <w:highlight w:val="none"/>
              </w:rPr>
            </w:pPr>
          </w:p>
        </w:tc>
        <w:tc>
          <w:tcPr>
            <w:tcW w:w="1134" w:type="dxa"/>
            <w:vAlign w:val="center"/>
          </w:tcPr>
          <w:p w14:paraId="201F5FCF">
            <w:pPr>
              <w:pStyle w:val="18"/>
              <w:keepNext/>
              <w:spacing w:line="440" w:lineRule="exact"/>
              <w:ind w:left="420" w:right="63"/>
              <w:rPr>
                <w:rFonts w:hint="eastAsia" w:ascii="宋体" w:hAnsi="宋体"/>
                <w:color w:val="auto"/>
                <w:highlight w:val="none"/>
              </w:rPr>
            </w:pPr>
          </w:p>
        </w:tc>
        <w:tc>
          <w:tcPr>
            <w:tcW w:w="4252" w:type="dxa"/>
            <w:vAlign w:val="center"/>
          </w:tcPr>
          <w:p w14:paraId="6EAB4257">
            <w:pPr>
              <w:pStyle w:val="18"/>
              <w:keepNext/>
              <w:spacing w:line="440" w:lineRule="exact"/>
              <w:ind w:left="420" w:right="63"/>
              <w:rPr>
                <w:rFonts w:hint="eastAsia" w:ascii="宋体" w:hAnsi="宋体"/>
                <w:color w:val="auto"/>
                <w:highlight w:val="none"/>
              </w:rPr>
            </w:pPr>
          </w:p>
        </w:tc>
      </w:tr>
      <w:tr w14:paraId="31BFD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62E2F10C">
            <w:pPr>
              <w:widowControl/>
              <w:jc w:val="left"/>
              <w:rPr>
                <w:rFonts w:hint="eastAsia" w:ascii="宋体" w:hAnsi="宋体" w:cs="宋体"/>
                <w:color w:val="auto"/>
                <w:szCs w:val="21"/>
                <w:highlight w:val="none"/>
              </w:rPr>
            </w:pPr>
          </w:p>
        </w:tc>
        <w:tc>
          <w:tcPr>
            <w:tcW w:w="1418" w:type="dxa"/>
            <w:vAlign w:val="center"/>
          </w:tcPr>
          <w:p w14:paraId="37464FE6">
            <w:pPr>
              <w:pStyle w:val="18"/>
              <w:keepNext/>
              <w:spacing w:line="440" w:lineRule="exact"/>
              <w:ind w:left="420" w:right="63"/>
              <w:rPr>
                <w:rFonts w:hint="eastAsia" w:ascii="宋体" w:hAnsi="宋体"/>
                <w:color w:val="auto"/>
                <w:highlight w:val="none"/>
              </w:rPr>
            </w:pPr>
          </w:p>
        </w:tc>
        <w:tc>
          <w:tcPr>
            <w:tcW w:w="1134" w:type="dxa"/>
            <w:vAlign w:val="center"/>
          </w:tcPr>
          <w:p w14:paraId="1F73EBAB">
            <w:pPr>
              <w:pStyle w:val="18"/>
              <w:keepNext/>
              <w:spacing w:line="440" w:lineRule="exact"/>
              <w:ind w:left="420" w:right="63"/>
              <w:rPr>
                <w:rFonts w:hint="eastAsia" w:ascii="宋体" w:hAnsi="宋体"/>
                <w:color w:val="auto"/>
                <w:highlight w:val="none"/>
              </w:rPr>
            </w:pPr>
          </w:p>
        </w:tc>
        <w:tc>
          <w:tcPr>
            <w:tcW w:w="1134" w:type="dxa"/>
            <w:vAlign w:val="center"/>
          </w:tcPr>
          <w:p w14:paraId="3D24D30B">
            <w:pPr>
              <w:pStyle w:val="18"/>
              <w:keepNext/>
              <w:spacing w:line="440" w:lineRule="exact"/>
              <w:ind w:left="420" w:right="63"/>
              <w:rPr>
                <w:rFonts w:hint="eastAsia" w:ascii="宋体" w:hAnsi="宋体"/>
                <w:color w:val="auto"/>
                <w:highlight w:val="none"/>
              </w:rPr>
            </w:pPr>
          </w:p>
        </w:tc>
        <w:tc>
          <w:tcPr>
            <w:tcW w:w="4252" w:type="dxa"/>
            <w:vAlign w:val="center"/>
          </w:tcPr>
          <w:p w14:paraId="48C11141">
            <w:pPr>
              <w:pStyle w:val="18"/>
              <w:keepNext/>
              <w:spacing w:line="440" w:lineRule="exact"/>
              <w:ind w:left="420" w:right="63"/>
              <w:rPr>
                <w:rFonts w:hint="eastAsia" w:ascii="宋体" w:hAnsi="宋体"/>
                <w:color w:val="auto"/>
                <w:highlight w:val="none"/>
              </w:rPr>
            </w:pPr>
          </w:p>
        </w:tc>
      </w:tr>
    </w:tbl>
    <w:p w14:paraId="279AE863">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br w:type="page"/>
      </w:r>
      <w:bookmarkStart w:id="1511" w:name="_Toc267261701"/>
      <w:r>
        <w:rPr>
          <w:rFonts w:hint="eastAsia" w:ascii="宋体" w:hAnsi="宋体" w:cs="宋体"/>
          <w:color w:val="auto"/>
          <w:szCs w:val="21"/>
          <w:highlight w:val="none"/>
        </w:rPr>
        <w:t>附</w:t>
      </w:r>
      <w:bookmarkStart w:id="1512" w:name="_Toc296346732"/>
      <w:bookmarkStart w:id="1513" w:name="_Toc296944570"/>
      <w:bookmarkStart w:id="1514" w:name="_Toc296347230"/>
      <w:bookmarkStart w:id="1515" w:name="_Toc296891271"/>
      <w:bookmarkStart w:id="1516" w:name="_Toc296891059"/>
      <w:bookmarkStart w:id="1517" w:name="_Toc296503231"/>
      <w:r>
        <w:rPr>
          <w:rFonts w:hint="eastAsia" w:ascii="宋体" w:hAnsi="宋体" w:cs="宋体"/>
          <w:color w:val="auto"/>
          <w:szCs w:val="21"/>
          <w:highlight w:val="none"/>
        </w:rPr>
        <w:t>件8：</w:t>
      </w:r>
    </w:p>
    <w:bookmarkEnd w:id="1511"/>
    <w:bookmarkEnd w:id="1512"/>
    <w:bookmarkEnd w:id="1513"/>
    <w:bookmarkEnd w:id="1514"/>
    <w:bookmarkEnd w:id="1515"/>
    <w:bookmarkEnd w:id="1516"/>
    <w:bookmarkEnd w:id="1517"/>
    <w:p w14:paraId="7CD1F361">
      <w:pPr>
        <w:spacing w:before="156" w:beforeLines="50" w:after="156" w:afterLines="50"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履约担保</w:t>
      </w:r>
    </w:p>
    <w:p w14:paraId="1D72D324">
      <w:pPr>
        <w:spacing w:line="440" w:lineRule="exact"/>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（发包人名称）：</w:t>
      </w:r>
    </w:p>
    <w:p w14:paraId="591ACC24">
      <w:pPr>
        <w:spacing w:line="440" w:lineRule="exact"/>
        <w:rPr>
          <w:rFonts w:hint="eastAsia" w:ascii="宋体" w:hAnsi="宋体" w:cs="宋体"/>
          <w:color w:val="auto"/>
          <w:szCs w:val="21"/>
          <w:highlight w:val="none"/>
        </w:rPr>
      </w:pPr>
    </w:p>
    <w:p w14:paraId="7416668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鉴于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（发包人名称，以下简称“发包人”）与</w:t>
      </w:r>
    </w:p>
    <w:p w14:paraId="1A684700">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（承包人名称）（以下称“承包人”）于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日就</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（工程名称）施工及有关事项协商一致共同签订《建设工程施工合同》。我方愿意无条件地、不可撤销地就承包人履行与你方签订的合同，向你方提供连带责任担保。 </w:t>
      </w:r>
    </w:p>
    <w:p w14:paraId="2D788B8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 担保金额人民币（大写）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048D097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 担保有效期自你方与承包人签订的合同生效之日起至你方签发或应签发工程接收证书之日止。</w:t>
      </w:r>
    </w:p>
    <w:p w14:paraId="31B1E5A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 在本担保有效期内，因承包人违反合同约定的义务给你方造成经济损失时，我方在收到你方以书面形式提出的在担保金额内的赔偿要求后，在7天内无条件支付。</w:t>
      </w:r>
    </w:p>
    <w:p w14:paraId="10C3874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 你方和承包人按合同约定变更合同时，我方承担本担保规定的义务不变。</w:t>
      </w:r>
    </w:p>
    <w:p w14:paraId="3829088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 因本保函发生的纠纷，可由双方协商解决，协商不成的，任何一方均可提请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仲裁委员会仲裁。</w:t>
      </w:r>
    </w:p>
    <w:p w14:paraId="19381DA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 本保函自我方法定代表人（或其授权代理人）签字并加盖公章之日起生效。</w:t>
      </w:r>
    </w:p>
    <w:p w14:paraId="18D71D0A">
      <w:pPr>
        <w:spacing w:line="360" w:lineRule="auto"/>
        <w:rPr>
          <w:rFonts w:hint="eastAsia" w:ascii="宋体" w:hAnsi="宋体" w:cs="宋体"/>
          <w:color w:val="auto"/>
          <w:szCs w:val="21"/>
          <w:highlight w:val="none"/>
        </w:rPr>
      </w:pPr>
    </w:p>
    <w:p w14:paraId="0F81BC09">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担 保 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（盖单位章）</w:t>
      </w:r>
    </w:p>
    <w:p w14:paraId="7F176FF8">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法定代表人或其委托代理人：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w:t>
      </w:r>
    </w:p>
    <w:p w14:paraId="412F80F8">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w:t>
      </w:r>
    </w:p>
    <w:p w14:paraId="567377F1">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邮政编码：</w:t>
      </w:r>
      <w:r>
        <w:rPr>
          <w:rFonts w:hint="eastAsia" w:ascii="宋体" w:hAnsi="宋体" w:cs="宋体"/>
          <w:color w:val="auto"/>
          <w:szCs w:val="21"/>
          <w:highlight w:val="none"/>
          <w:u w:val="single"/>
        </w:rPr>
        <w:t xml:space="preserve">                                      </w:t>
      </w:r>
    </w:p>
    <w:p w14:paraId="26CD4E31">
      <w:pPr>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电    话：</w:t>
      </w:r>
      <w:r>
        <w:rPr>
          <w:rFonts w:hint="eastAsia" w:ascii="宋体" w:hAnsi="宋体" w:cs="宋体"/>
          <w:color w:val="auto"/>
          <w:szCs w:val="21"/>
          <w:highlight w:val="none"/>
          <w:u w:val="single"/>
        </w:rPr>
        <w:t xml:space="preserve">                                      </w:t>
      </w:r>
    </w:p>
    <w:p w14:paraId="2D3D6806">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传    真：</w:t>
      </w:r>
      <w:r>
        <w:rPr>
          <w:rFonts w:hint="eastAsia" w:ascii="宋体" w:hAnsi="宋体" w:cs="宋体"/>
          <w:color w:val="auto"/>
          <w:szCs w:val="21"/>
          <w:highlight w:val="none"/>
          <w:u w:val="single"/>
        </w:rPr>
        <w:t xml:space="preserve">                                      </w:t>
      </w:r>
    </w:p>
    <w:p w14:paraId="27CC66D4">
      <w:pPr>
        <w:spacing w:line="360" w:lineRule="auto"/>
        <w:jc w:val="left"/>
        <w:rPr>
          <w:rFonts w:hint="eastAsia" w:ascii="宋体" w:hAnsi="宋体" w:cs="宋体"/>
          <w:color w:val="auto"/>
          <w:szCs w:val="21"/>
          <w:highlight w:val="none"/>
          <w:u w:val="single"/>
        </w:rPr>
      </w:pPr>
    </w:p>
    <w:p w14:paraId="679192C7">
      <w:pPr>
        <w:spacing w:line="360" w:lineRule="auto"/>
        <w:ind w:left="1329" w:hanging="1329" w:hangingChars="633"/>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56B8CC3C">
      <w:pPr>
        <w:spacing w:line="360" w:lineRule="auto"/>
        <w:ind w:left="1329" w:hanging="1329" w:hangingChars="633"/>
        <w:rPr>
          <w:rFonts w:hint="eastAsia" w:ascii="宋体" w:hAnsi="宋体" w:cs="宋体"/>
          <w:color w:val="auto"/>
          <w:szCs w:val="21"/>
          <w:highlight w:val="none"/>
        </w:rPr>
      </w:pPr>
    </w:p>
    <w:p w14:paraId="0A8001E0">
      <w:pPr>
        <w:spacing w:line="360" w:lineRule="auto"/>
        <w:ind w:left="1329" w:hanging="1329" w:hangingChars="633"/>
        <w:rPr>
          <w:rFonts w:hint="eastAsia" w:ascii="宋体" w:hAnsi="宋体" w:cs="宋体"/>
          <w:color w:val="auto"/>
          <w:szCs w:val="21"/>
          <w:highlight w:val="none"/>
        </w:rPr>
      </w:pPr>
    </w:p>
    <w:p w14:paraId="6BD4AD50">
      <w:pPr>
        <w:spacing w:line="360" w:lineRule="auto"/>
        <w:ind w:left="1329" w:hanging="1329" w:hangingChars="633"/>
        <w:rPr>
          <w:rFonts w:hint="eastAsia" w:ascii="宋体" w:hAnsi="宋体" w:cs="宋体"/>
          <w:color w:val="auto"/>
          <w:szCs w:val="21"/>
          <w:highlight w:val="none"/>
        </w:rPr>
      </w:pPr>
    </w:p>
    <w:p w14:paraId="5909C614">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附</w:t>
      </w:r>
      <w:bookmarkStart w:id="1518" w:name="_Toc267261702"/>
      <w:bookmarkStart w:id="1519" w:name="_Toc296347231"/>
      <w:bookmarkStart w:id="1520" w:name="_Toc296503232"/>
      <w:bookmarkStart w:id="1521" w:name="_Toc296891272"/>
      <w:bookmarkStart w:id="1522" w:name="_Toc296944571"/>
      <w:bookmarkStart w:id="1523" w:name="_Toc296891060"/>
      <w:bookmarkStart w:id="1524" w:name="_Toc296346733"/>
      <w:r>
        <w:rPr>
          <w:rFonts w:hint="eastAsia" w:ascii="宋体" w:hAnsi="宋体" w:cs="宋体"/>
          <w:color w:val="auto"/>
          <w:szCs w:val="21"/>
          <w:highlight w:val="none"/>
        </w:rPr>
        <w:t>件9 ：</w:t>
      </w:r>
    </w:p>
    <w:bookmarkEnd w:id="1518"/>
    <w:bookmarkEnd w:id="1519"/>
    <w:bookmarkEnd w:id="1520"/>
    <w:bookmarkEnd w:id="1521"/>
    <w:bookmarkEnd w:id="1522"/>
    <w:bookmarkEnd w:id="1523"/>
    <w:bookmarkEnd w:id="1524"/>
    <w:p w14:paraId="6700DC62">
      <w:pPr>
        <w:spacing w:before="156" w:beforeLines="50" w:after="156" w:afterLines="50"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预付款担保</w:t>
      </w:r>
    </w:p>
    <w:p w14:paraId="271383C1">
      <w:pPr>
        <w:spacing w:line="360" w:lineRule="auto"/>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（发包人名称）：</w:t>
      </w:r>
    </w:p>
    <w:p w14:paraId="32B24906">
      <w:pPr>
        <w:spacing w:line="360" w:lineRule="auto"/>
        <w:rPr>
          <w:rFonts w:hint="eastAsia" w:ascii="宋体" w:hAnsi="宋体" w:cs="宋体"/>
          <w:color w:val="auto"/>
          <w:szCs w:val="21"/>
          <w:highlight w:val="none"/>
        </w:rPr>
      </w:pPr>
    </w:p>
    <w:p w14:paraId="7CA830B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根据</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（承包人名称）（以下称“承包人”）与</w:t>
      </w:r>
    </w:p>
    <w:p w14:paraId="5B61A589">
      <w:pPr>
        <w:spacing w:line="360" w:lineRule="auto"/>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（发包人名称）（以下简称“发包人”）</w:t>
      </w:r>
    </w:p>
    <w:p w14:paraId="4C185681">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日签订的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（工程名称）《建设工程施工合同》，承包人按约定的金额向你方提交一份预付款担保，即有权得到你方支付相等金额的预付款。我方愿意就你方提供给承包人的预付款为承包人提供连带责任担保。</w:t>
      </w:r>
    </w:p>
    <w:p w14:paraId="5CBB759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 担保金额人民币（大写）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1E9C17A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 担保有效期自预付款支付给承包人起生效，至你方签发的进度款支付证书说明已完全扣清止。</w:t>
      </w:r>
    </w:p>
    <w:p w14:paraId="6545033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 在本保函有效期内，因承包人违反合同约定的义务而要求收回预付款时，我方在收到你方的书面通知后，在</w:t>
      </w:r>
      <w:r>
        <w:rPr>
          <w:rFonts w:hint="eastAsia" w:ascii="宋体" w:hAnsi="宋体" w:cs="宋体"/>
          <w:color w:val="auto"/>
          <w:szCs w:val="21"/>
          <w:highlight w:val="none"/>
          <w:lang w:eastAsia="zh-CN"/>
        </w:rPr>
        <w:t>7</w:t>
      </w:r>
      <w:r>
        <w:rPr>
          <w:rFonts w:hint="eastAsia" w:ascii="宋体" w:hAnsi="宋体" w:cs="宋体"/>
          <w:color w:val="auto"/>
          <w:szCs w:val="21"/>
          <w:highlight w:val="none"/>
        </w:rPr>
        <w:t>天内无条件支付。但本保函的担保金额，在任何时候不应超过预付款金额减去你方按合同约定在向承包人签发的进度款支付证书中扣除的金额。</w:t>
      </w:r>
    </w:p>
    <w:p w14:paraId="2398433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 你方和承包人按合同约定变更合同时，我方承担本保函规定的义务不变。</w:t>
      </w:r>
    </w:p>
    <w:p w14:paraId="23589690">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 因本保函发生的纠纷，可由双方协商解决，协商不成的，任何一方均可提请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仲裁委员会仲裁。</w:t>
      </w:r>
    </w:p>
    <w:p w14:paraId="1894E184">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 本保函自我方法定代表人（或其授权代理人）签字并加盖公章之日起生效。</w:t>
      </w:r>
    </w:p>
    <w:p w14:paraId="229C3835">
      <w:pPr>
        <w:spacing w:line="360" w:lineRule="auto"/>
        <w:rPr>
          <w:rFonts w:hint="eastAsia" w:ascii="宋体" w:hAnsi="宋体" w:cs="宋体"/>
          <w:color w:val="auto"/>
          <w:szCs w:val="21"/>
          <w:highlight w:val="none"/>
        </w:rPr>
      </w:pPr>
    </w:p>
    <w:p w14:paraId="5E250605">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担保人：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（盖单位章）</w:t>
      </w:r>
    </w:p>
    <w:p w14:paraId="4D64D392">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法定代表人或其委托代理人：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w:t>
      </w:r>
    </w:p>
    <w:p w14:paraId="30155524">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p>
    <w:p w14:paraId="3D701C65">
      <w:pPr>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邮政编码：</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p>
    <w:p w14:paraId="10FE3220">
      <w:pPr>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电    话：</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p>
    <w:p w14:paraId="02D5AA87">
      <w:pPr>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传    真：</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p>
    <w:p w14:paraId="59FBB9A9">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w:t>
      </w:r>
    </w:p>
    <w:p w14:paraId="290E6037">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278DE3F7">
      <w:pPr>
        <w:spacing w:line="440" w:lineRule="exact"/>
        <w:rPr>
          <w:rFonts w:hint="eastAsia" w:ascii="宋体" w:hAnsi="宋体" w:cs="宋体"/>
          <w:color w:val="auto"/>
          <w:szCs w:val="21"/>
          <w:highlight w:val="none"/>
        </w:rPr>
      </w:pPr>
      <w:r>
        <w:rPr>
          <w:rFonts w:hint="eastAsia" w:ascii="宋体" w:hAnsi="宋体" w:cs="宋体"/>
          <w:b/>
          <w:color w:val="auto"/>
          <w:szCs w:val="21"/>
          <w:highlight w:val="none"/>
        </w:rPr>
        <w:br w:type="page"/>
      </w:r>
      <w:r>
        <w:rPr>
          <w:rFonts w:hint="eastAsia" w:ascii="宋体" w:hAnsi="宋体" w:cs="宋体"/>
          <w:color w:val="auto"/>
          <w:szCs w:val="21"/>
          <w:highlight w:val="none"/>
        </w:rPr>
        <w:t>附件10：</w:t>
      </w:r>
    </w:p>
    <w:p w14:paraId="096F473C">
      <w:pPr>
        <w:spacing w:before="156" w:beforeLines="50" w:after="156" w:afterLines="50"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10-1：材料暂估价表</w:t>
      </w:r>
    </w:p>
    <w:tbl>
      <w:tblPr>
        <w:tblStyle w:val="47"/>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70945C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left w:val="single" w:color="auto" w:sz="12" w:space="0"/>
              <w:bottom w:val="double" w:color="auto" w:sz="6" w:space="0"/>
              <w:right w:val="single" w:color="auto" w:sz="6" w:space="0"/>
            </w:tcBorders>
          </w:tcPr>
          <w:p w14:paraId="0D0C8DBC">
            <w:pPr>
              <w:pStyle w:val="18"/>
              <w:keepNext/>
              <w:spacing w:line="440" w:lineRule="exact"/>
              <w:ind w:left="420" w:right="63"/>
              <w:rPr>
                <w:rFonts w:hint="eastAsia" w:ascii="宋体" w:hAnsi="宋体"/>
                <w:color w:val="auto"/>
                <w:highlight w:val="none"/>
              </w:rPr>
            </w:pPr>
          </w:p>
        </w:tc>
        <w:tc>
          <w:tcPr>
            <w:tcW w:w="1984" w:type="dxa"/>
            <w:tcBorders>
              <w:top w:val="single" w:color="auto" w:sz="12" w:space="0"/>
              <w:left w:val="single" w:color="auto" w:sz="6" w:space="0"/>
              <w:bottom w:val="double" w:color="auto" w:sz="6" w:space="0"/>
              <w:right w:val="single" w:color="auto" w:sz="6" w:space="0"/>
            </w:tcBorders>
          </w:tcPr>
          <w:p w14:paraId="35A61CF8">
            <w:pPr>
              <w:pStyle w:val="18"/>
              <w:keepNext/>
              <w:spacing w:line="440" w:lineRule="exact"/>
              <w:ind w:left="420" w:right="63"/>
              <w:rPr>
                <w:rFonts w:hint="eastAsia" w:ascii="宋体" w:hAnsi="宋体"/>
                <w:color w:val="auto"/>
                <w:highlight w:val="none"/>
              </w:rPr>
            </w:pPr>
          </w:p>
        </w:tc>
        <w:tc>
          <w:tcPr>
            <w:tcW w:w="851" w:type="dxa"/>
            <w:tcBorders>
              <w:top w:val="single" w:color="auto" w:sz="12" w:space="0"/>
              <w:left w:val="single" w:color="auto" w:sz="6" w:space="0"/>
              <w:bottom w:val="double" w:color="auto" w:sz="6" w:space="0"/>
              <w:right w:val="single" w:color="auto" w:sz="6" w:space="0"/>
            </w:tcBorders>
          </w:tcPr>
          <w:p w14:paraId="40B22E5C">
            <w:pPr>
              <w:pStyle w:val="18"/>
              <w:keepNext/>
              <w:spacing w:line="440" w:lineRule="exact"/>
              <w:ind w:left="420" w:right="63"/>
              <w:rPr>
                <w:rFonts w:hint="eastAsia" w:ascii="宋体" w:hAnsi="宋体"/>
                <w:color w:val="auto"/>
                <w:highlight w:val="none"/>
              </w:rPr>
            </w:pPr>
          </w:p>
        </w:tc>
        <w:tc>
          <w:tcPr>
            <w:tcW w:w="774" w:type="dxa"/>
            <w:tcBorders>
              <w:top w:val="single" w:color="auto" w:sz="12" w:space="0"/>
              <w:left w:val="single" w:color="auto" w:sz="6" w:space="0"/>
              <w:bottom w:val="double" w:color="auto" w:sz="6" w:space="0"/>
              <w:right w:val="single" w:color="auto" w:sz="6" w:space="0"/>
            </w:tcBorders>
          </w:tcPr>
          <w:p w14:paraId="0EA95837">
            <w:pPr>
              <w:pStyle w:val="18"/>
              <w:keepNext/>
              <w:spacing w:line="440" w:lineRule="exact"/>
              <w:ind w:left="420" w:right="63"/>
              <w:rPr>
                <w:rFonts w:hint="eastAsia" w:ascii="宋体" w:hAnsi="宋体"/>
                <w:color w:val="auto"/>
                <w:highlight w:val="none"/>
              </w:rPr>
            </w:pPr>
          </w:p>
        </w:tc>
        <w:tc>
          <w:tcPr>
            <w:tcW w:w="1352" w:type="dxa"/>
            <w:tcBorders>
              <w:top w:val="single" w:color="auto" w:sz="12" w:space="0"/>
              <w:left w:val="single" w:color="auto" w:sz="6" w:space="0"/>
              <w:bottom w:val="double" w:color="auto" w:sz="6" w:space="0"/>
              <w:right w:val="single" w:color="auto" w:sz="6" w:space="0"/>
            </w:tcBorders>
          </w:tcPr>
          <w:p w14:paraId="11A9F2D3">
            <w:pPr>
              <w:pStyle w:val="18"/>
              <w:keepNext/>
              <w:spacing w:line="440" w:lineRule="exact"/>
              <w:ind w:left="420" w:right="63"/>
              <w:rPr>
                <w:rFonts w:hint="eastAsia" w:ascii="宋体" w:hAnsi="宋体"/>
                <w:color w:val="auto"/>
                <w:highlight w:val="none"/>
              </w:rPr>
            </w:pPr>
          </w:p>
        </w:tc>
        <w:tc>
          <w:tcPr>
            <w:tcW w:w="1418" w:type="dxa"/>
            <w:tcBorders>
              <w:top w:val="single" w:color="auto" w:sz="12" w:space="0"/>
              <w:left w:val="single" w:color="auto" w:sz="6" w:space="0"/>
              <w:bottom w:val="double" w:color="auto" w:sz="6" w:space="0"/>
              <w:right w:val="single" w:color="auto" w:sz="6" w:space="0"/>
            </w:tcBorders>
          </w:tcPr>
          <w:p w14:paraId="3FD54F03">
            <w:pPr>
              <w:pStyle w:val="18"/>
              <w:keepNext/>
              <w:spacing w:line="440" w:lineRule="exact"/>
              <w:ind w:left="420" w:right="63"/>
              <w:rPr>
                <w:rFonts w:hint="eastAsia" w:ascii="宋体" w:hAnsi="宋体"/>
                <w:color w:val="auto"/>
                <w:highlight w:val="none"/>
              </w:rPr>
            </w:pPr>
          </w:p>
        </w:tc>
        <w:tc>
          <w:tcPr>
            <w:tcW w:w="1701" w:type="dxa"/>
            <w:tcBorders>
              <w:top w:val="single" w:color="auto" w:sz="12" w:space="0"/>
              <w:left w:val="single" w:color="auto" w:sz="6" w:space="0"/>
              <w:bottom w:val="double" w:color="auto" w:sz="6" w:space="0"/>
              <w:right w:val="single" w:color="auto" w:sz="12" w:space="0"/>
            </w:tcBorders>
          </w:tcPr>
          <w:p w14:paraId="7544EF11">
            <w:pPr>
              <w:pStyle w:val="18"/>
              <w:keepNext/>
              <w:spacing w:line="440" w:lineRule="exact"/>
              <w:ind w:left="420" w:right="63"/>
              <w:rPr>
                <w:rFonts w:hint="eastAsia" w:ascii="宋体" w:hAnsi="宋体"/>
                <w:color w:val="auto"/>
                <w:highlight w:val="none"/>
              </w:rPr>
            </w:pPr>
          </w:p>
        </w:tc>
      </w:tr>
      <w:tr w14:paraId="4F43BD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left w:val="single" w:color="auto" w:sz="12" w:space="0"/>
              <w:bottom w:val="single" w:color="auto" w:sz="6" w:space="0"/>
              <w:right w:val="single" w:color="auto" w:sz="6" w:space="0"/>
            </w:tcBorders>
          </w:tcPr>
          <w:p w14:paraId="06A3236C">
            <w:pPr>
              <w:pStyle w:val="18"/>
              <w:keepNext/>
              <w:spacing w:line="440" w:lineRule="exact"/>
              <w:ind w:left="420" w:right="63"/>
              <w:rPr>
                <w:rFonts w:hint="eastAsia" w:ascii="宋体" w:hAnsi="宋体"/>
                <w:color w:val="auto"/>
                <w:highlight w:val="none"/>
              </w:rPr>
            </w:pPr>
          </w:p>
        </w:tc>
        <w:tc>
          <w:tcPr>
            <w:tcW w:w="1984" w:type="dxa"/>
            <w:tcBorders>
              <w:top w:val="double" w:color="auto" w:sz="6" w:space="0"/>
              <w:left w:val="single" w:color="auto" w:sz="6" w:space="0"/>
              <w:bottom w:val="single" w:color="auto" w:sz="6" w:space="0"/>
              <w:right w:val="single" w:color="auto" w:sz="6" w:space="0"/>
            </w:tcBorders>
          </w:tcPr>
          <w:p w14:paraId="3B928D93">
            <w:pPr>
              <w:pStyle w:val="18"/>
              <w:keepNext/>
              <w:spacing w:line="440" w:lineRule="exact"/>
              <w:ind w:left="420" w:right="63"/>
              <w:rPr>
                <w:rFonts w:hint="eastAsia" w:ascii="宋体" w:hAnsi="宋体"/>
                <w:color w:val="auto"/>
                <w:highlight w:val="none"/>
              </w:rPr>
            </w:pPr>
          </w:p>
        </w:tc>
        <w:tc>
          <w:tcPr>
            <w:tcW w:w="851" w:type="dxa"/>
            <w:tcBorders>
              <w:top w:val="double" w:color="auto" w:sz="6" w:space="0"/>
              <w:left w:val="single" w:color="auto" w:sz="6" w:space="0"/>
              <w:bottom w:val="single" w:color="auto" w:sz="6" w:space="0"/>
              <w:right w:val="single" w:color="auto" w:sz="6" w:space="0"/>
            </w:tcBorders>
          </w:tcPr>
          <w:p w14:paraId="004E01BE">
            <w:pPr>
              <w:pStyle w:val="18"/>
              <w:keepNext/>
              <w:spacing w:line="440" w:lineRule="exact"/>
              <w:ind w:left="420" w:right="63"/>
              <w:rPr>
                <w:rFonts w:hint="eastAsia" w:ascii="宋体" w:hAnsi="宋体"/>
                <w:color w:val="auto"/>
                <w:highlight w:val="none"/>
              </w:rPr>
            </w:pPr>
          </w:p>
        </w:tc>
        <w:tc>
          <w:tcPr>
            <w:tcW w:w="774" w:type="dxa"/>
            <w:tcBorders>
              <w:top w:val="double" w:color="auto" w:sz="6" w:space="0"/>
              <w:left w:val="single" w:color="auto" w:sz="6" w:space="0"/>
              <w:bottom w:val="single" w:color="auto" w:sz="6" w:space="0"/>
              <w:right w:val="single" w:color="auto" w:sz="6" w:space="0"/>
            </w:tcBorders>
          </w:tcPr>
          <w:p w14:paraId="4BA5987C">
            <w:pPr>
              <w:pStyle w:val="18"/>
              <w:keepNext/>
              <w:spacing w:line="440" w:lineRule="exact"/>
              <w:ind w:left="420" w:right="63"/>
              <w:rPr>
                <w:rFonts w:hint="eastAsia" w:ascii="宋体" w:hAnsi="宋体"/>
                <w:color w:val="auto"/>
                <w:highlight w:val="none"/>
              </w:rPr>
            </w:pPr>
          </w:p>
        </w:tc>
        <w:tc>
          <w:tcPr>
            <w:tcW w:w="1352" w:type="dxa"/>
            <w:tcBorders>
              <w:top w:val="double" w:color="auto" w:sz="6" w:space="0"/>
              <w:left w:val="single" w:color="auto" w:sz="6" w:space="0"/>
              <w:bottom w:val="single" w:color="auto" w:sz="6" w:space="0"/>
              <w:right w:val="single" w:color="auto" w:sz="6" w:space="0"/>
            </w:tcBorders>
          </w:tcPr>
          <w:p w14:paraId="2AD7AB4F">
            <w:pPr>
              <w:pStyle w:val="18"/>
              <w:keepNext/>
              <w:spacing w:line="440" w:lineRule="exact"/>
              <w:ind w:left="420" w:right="63"/>
              <w:rPr>
                <w:rFonts w:hint="eastAsia" w:ascii="宋体" w:hAnsi="宋体"/>
                <w:color w:val="auto"/>
                <w:highlight w:val="none"/>
              </w:rPr>
            </w:pPr>
          </w:p>
        </w:tc>
        <w:tc>
          <w:tcPr>
            <w:tcW w:w="1418" w:type="dxa"/>
            <w:tcBorders>
              <w:top w:val="double" w:color="auto" w:sz="6" w:space="0"/>
              <w:left w:val="single" w:color="auto" w:sz="6" w:space="0"/>
              <w:bottom w:val="single" w:color="auto" w:sz="6" w:space="0"/>
              <w:right w:val="single" w:color="auto" w:sz="6" w:space="0"/>
            </w:tcBorders>
          </w:tcPr>
          <w:p w14:paraId="2ED3CAE5">
            <w:pPr>
              <w:pStyle w:val="18"/>
              <w:keepNext/>
              <w:spacing w:line="440" w:lineRule="exact"/>
              <w:ind w:left="420" w:right="63"/>
              <w:rPr>
                <w:rFonts w:hint="eastAsia" w:ascii="宋体" w:hAnsi="宋体"/>
                <w:color w:val="auto"/>
                <w:highlight w:val="none"/>
              </w:rPr>
            </w:pPr>
          </w:p>
        </w:tc>
        <w:tc>
          <w:tcPr>
            <w:tcW w:w="1701" w:type="dxa"/>
            <w:tcBorders>
              <w:top w:val="double" w:color="auto" w:sz="6" w:space="0"/>
              <w:left w:val="single" w:color="auto" w:sz="6" w:space="0"/>
              <w:bottom w:val="single" w:color="auto" w:sz="6" w:space="0"/>
              <w:right w:val="single" w:color="auto" w:sz="12" w:space="0"/>
            </w:tcBorders>
          </w:tcPr>
          <w:p w14:paraId="0E1B7AD4">
            <w:pPr>
              <w:pStyle w:val="18"/>
              <w:keepNext/>
              <w:spacing w:line="440" w:lineRule="exact"/>
              <w:ind w:left="420" w:right="63"/>
              <w:rPr>
                <w:rFonts w:hint="eastAsia" w:ascii="宋体" w:hAnsi="宋体"/>
                <w:color w:val="auto"/>
                <w:highlight w:val="none"/>
              </w:rPr>
            </w:pPr>
          </w:p>
        </w:tc>
      </w:tr>
      <w:tr w14:paraId="496A1C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left w:val="single" w:color="auto" w:sz="12" w:space="0"/>
              <w:bottom w:val="single" w:color="auto" w:sz="6" w:space="0"/>
              <w:right w:val="single" w:color="auto" w:sz="6" w:space="0"/>
            </w:tcBorders>
          </w:tcPr>
          <w:p w14:paraId="74B6ACB9">
            <w:pPr>
              <w:pStyle w:val="18"/>
              <w:keepNext/>
              <w:spacing w:line="440" w:lineRule="exact"/>
              <w:ind w:left="420" w:right="63"/>
              <w:rPr>
                <w:rFonts w:hint="eastAsia" w:ascii="宋体" w:hAnsi="宋体"/>
                <w:color w:val="auto"/>
                <w:highlight w:val="none"/>
              </w:rPr>
            </w:pPr>
          </w:p>
        </w:tc>
        <w:tc>
          <w:tcPr>
            <w:tcW w:w="1984" w:type="dxa"/>
            <w:tcBorders>
              <w:top w:val="nil"/>
              <w:left w:val="single" w:color="auto" w:sz="6" w:space="0"/>
              <w:bottom w:val="single" w:color="auto" w:sz="6" w:space="0"/>
              <w:right w:val="single" w:color="auto" w:sz="6" w:space="0"/>
            </w:tcBorders>
          </w:tcPr>
          <w:p w14:paraId="1F0D1B7D">
            <w:pPr>
              <w:pStyle w:val="18"/>
              <w:keepNext/>
              <w:spacing w:line="440" w:lineRule="exact"/>
              <w:ind w:left="420" w:right="63"/>
              <w:rPr>
                <w:rFonts w:hint="eastAsia" w:ascii="宋体" w:hAnsi="宋体"/>
                <w:color w:val="auto"/>
                <w:highlight w:val="none"/>
              </w:rPr>
            </w:pPr>
          </w:p>
        </w:tc>
        <w:tc>
          <w:tcPr>
            <w:tcW w:w="851" w:type="dxa"/>
            <w:tcBorders>
              <w:top w:val="nil"/>
              <w:left w:val="single" w:color="auto" w:sz="6" w:space="0"/>
              <w:bottom w:val="single" w:color="auto" w:sz="6" w:space="0"/>
              <w:right w:val="single" w:color="auto" w:sz="6" w:space="0"/>
            </w:tcBorders>
          </w:tcPr>
          <w:p w14:paraId="54E43BA3">
            <w:pPr>
              <w:pStyle w:val="18"/>
              <w:keepNext/>
              <w:spacing w:line="440" w:lineRule="exact"/>
              <w:ind w:left="420" w:right="63"/>
              <w:rPr>
                <w:rFonts w:hint="eastAsia" w:ascii="宋体" w:hAnsi="宋体"/>
                <w:color w:val="auto"/>
                <w:highlight w:val="none"/>
              </w:rPr>
            </w:pPr>
          </w:p>
        </w:tc>
        <w:tc>
          <w:tcPr>
            <w:tcW w:w="774" w:type="dxa"/>
            <w:tcBorders>
              <w:top w:val="nil"/>
              <w:left w:val="single" w:color="auto" w:sz="6" w:space="0"/>
              <w:bottom w:val="single" w:color="auto" w:sz="6" w:space="0"/>
              <w:right w:val="single" w:color="auto" w:sz="6" w:space="0"/>
            </w:tcBorders>
          </w:tcPr>
          <w:p w14:paraId="52D0C304">
            <w:pPr>
              <w:pStyle w:val="18"/>
              <w:keepNext/>
              <w:spacing w:line="440" w:lineRule="exact"/>
              <w:ind w:left="420" w:right="63"/>
              <w:rPr>
                <w:rFonts w:hint="eastAsia" w:ascii="宋体" w:hAnsi="宋体"/>
                <w:color w:val="auto"/>
                <w:highlight w:val="none"/>
              </w:rPr>
            </w:pPr>
          </w:p>
        </w:tc>
        <w:tc>
          <w:tcPr>
            <w:tcW w:w="1352" w:type="dxa"/>
            <w:tcBorders>
              <w:top w:val="nil"/>
              <w:left w:val="single" w:color="auto" w:sz="6" w:space="0"/>
              <w:bottom w:val="single" w:color="auto" w:sz="6" w:space="0"/>
              <w:right w:val="single" w:color="auto" w:sz="6" w:space="0"/>
            </w:tcBorders>
          </w:tcPr>
          <w:p w14:paraId="2DD65263">
            <w:pPr>
              <w:pStyle w:val="18"/>
              <w:keepNext/>
              <w:spacing w:line="440" w:lineRule="exact"/>
              <w:ind w:left="420" w:right="63"/>
              <w:rPr>
                <w:rFonts w:hint="eastAsia" w:ascii="宋体" w:hAnsi="宋体"/>
                <w:color w:val="auto"/>
                <w:highlight w:val="none"/>
              </w:rPr>
            </w:pPr>
          </w:p>
        </w:tc>
        <w:tc>
          <w:tcPr>
            <w:tcW w:w="1418" w:type="dxa"/>
            <w:tcBorders>
              <w:top w:val="nil"/>
              <w:left w:val="single" w:color="auto" w:sz="6" w:space="0"/>
              <w:bottom w:val="single" w:color="auto" w:sz="6" w:space="0"/>
              <w:right w:val="single" w:color="auto" w:sz="6" w:space="0"/>
            </w:tcBorders>
          </w:tcPr>
          <w:p w14:paraId="122362F4">
            <w:pPr>
              <w:pStyle w:val="18"/>
              <w:keepNext/>
              <w:spacing w:line="440" w:lineRule="exact"/>
              <w:ind w:left="420" w:right="63"/>
              <w:rPr>
                <w:rFonts w:hint="eastAsia" w:ascii="宋体" w:hAnsi="宋体"/>
                <w:color w:val="auto"/>
                <w:highlight w:val="none"/>
              </w:rPr>
            </w:pPr>
          </w:p>
        </w:tc>
        <w:tc>
          <w:tcPr>
            <w:tcW w:w="1701" w:type="dxa"/>
            <w:tcBorders>
              <w:top w:val="nil"/>
              <w:left w:val="single" w:color="auto" w:sz="6" w:space="0"/>
              <w:bottom w:val="single" w:color="auto" w:sz="6" w:space="0"/>
              <w:right w:val="single" w:color="auto" w:sz="12" w:space="0"/>
            </w:tcBorders>
          </w:tcPr>
          <w:p w14:paraId="7297ECF3">
            <w:pPr>
              <w:pStyle w:val="18"/>
              <w:keepNext/>
              <w:spacing w:line="440" w:lineRule="exact"/>
              <w:ind w:left="420" w:right="63"/>
              <w:rPr>
                <w:rFonts w:hint="eastAsia" w:ascii="宋体" w:hAnsi="宋体"/>
                <w:color w:val="auto"/>
                <w:highlight w:val="none"/>
              </w:rPr>
            </w:pPr>
          </w:p>
        </w:tc>
      </w:tr>
      <w:tr w14:paraId="59F1BF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06E5FEC9">
            <w:pPr>
              <w:pStyle w:val="18"/>
              <w:keepNext/>
              <w:spacing w:line="440" w:lineRule="exact"/>
              <w:ind w:left="420" w:right="63"/>
              <w:rPr>
                <w:rFonts w:hint="eastAsia" w:ascii="宋体" w:hAnsi="宋体"/>
                <w:color w:val="auto"/>
                <w:highlight w:val="none"/>
              </w:rPr>
            </w:pPr>
          </w:p>
        </w:tc>
        <w:tc>
          <w:tcPr>
            <w:tcW w:w="1984" w:type="dxa"/>
            <w:tcBorders>
              <w:top w:val="single" w:color="auto" w:sz="6" w:space="0"/>
              <w:left w:val="single" w:color="auto" w:sz="6" w:space="0"/>
              <w:bottom w:val="single" w:color="auto" w:sz="6" w:space="0"/>
              <w:right w:val="single" w:color="auto" w:sz="6" w:space="0"/>
            </w:tcBorders>
          </w:tcPr>
          <w:p w14:paraId="406C0A56">
            <w:pPr>
              <w:pStyle w:val="18"/>
              <w:keepNext/>
              <w:spacing w:line="440" w:lineRule="exact"/>
              <w:ind w:left="420" w:right="63"/>
              <w:rPr>
                <w:rFonts w:hint="eastAsia" w:ascii="宋体" w:hAnsi="宋体"/>
                <w:color w:val="auto"/>
                <w:highlight w:val="none"/>
              </w:rPr>
            </w:pPr>
          </w:p>
        </w:tc>
        <w:tc>
          <w:tcPr>
            <w:tcW w:w="851" w:type="dxa"/>
            <w:tcBorders>
              <w:top w:val="single" w:color="auto" w:sz="6" w:space="0"/>
              <w:left w:val="single" w:color="auto" w:sz="6" w:space="0"/>
              <w:bottom w:val="single" w:color="auto" w:sz="6" w:space="0"/>
              <w:right w:val="single" w:color="auto" w:sz="6" w:space="0"/>
            </w:tcBorders>
          </w:tcPr>
          <w:p w14:paraId="0BD54A41">
            <w:pPr>
              <w:pStyle w:val="18"/>
              <w:keepNext/>
              <w:spacing w:line="440" w:lineRule="exact"/>
              <w:ind w:left="420" w:right="63"/>
              <w:rPr>
                <w:rFonts w:hint="eastAsia" w:ascii="宋体" w:hAnsi="宋体"/>
                <w:color w:val="auto"/>
                <w:highlight w:val="none"/>
              </w:rPr>
            </w:pPr>
          </w:p>
        </w:tc>
        <w:tc>
          <w:tcPr>
            <w:tcW w:w="774" w:type="dxa"/>
            <w:tcBorders>
              <w:top w:val="single" w:color="auto" w:sz="6" w:space="0"/>
              <w:left w:val="single" w:color="auto" w:sz="6" w:space="0"/>
              <w:bottom w:val="single" w:color="auto" w:sz="6" w:space="0"/>
              <w:right w:val="single" w:color="auto" w:sz="6" w:space="0"/>
            </w:tcBorders>
          </w:tcPr>
          <w:p w14:paraId="108E5E42">
            <w:pPr>
              <w:pStyle w:val="18"/>
              <w:keepNext/>
              <w:spacing w:line="440" w:lineRule="exact"/>
              <w:ind w:left="420" w:right="63"/>
              <w:rPr>
                <w:rFonts w:hint="eastAsia" w:ascii="宋体" w:hAnsi="宋体"/>
                <w:color w:val="auto"/>
                <w:highlight w:val="none"/>
              </w:rPr>
            </w:pPr>
          </w:p>
        </w:tc>
        <w:tc>
          <w:tcPr>
            <w:tcW w:w="1352" w:type="dxa"/>
            <w:tcBorders>
              <w:top w:val="single" w:color="auto" w:sz="6" w:space="0"/>
              <w:left w:val="single" w:color="auto" w:sz="6" w:space="0"/>
              <w:bottom w:val="single" w:color="auto" w:sz="6" w:space="0"/>
              <w:right w:val="single" w:color="auto" w:sz="6" w:space="0"/>
            </w:tcBorders>
          </w:tcPr>
          <w:p w14:paraId="40C2B7C2">
            <w:pPr>
              <w:pStyle w:val="18"/>
              <w:keepNext/>
              <w:spacing w:line="440" w:lineRule="exact"/>
              <w:ind w:left="420" w:right="63"/>
              <w:rPr>
                <w:rFonts w:hint="eastAsia" w:ascii="宋体" w:hAnsi="宋体"/>
                <w:color w:val="auto"/>
                <w:highlight w:val="none"/>
              </w:rPr>
            </w:pPr>
          </w:p>
        </w:tc>
        <w:tc>
          <w:tcPr>
            <w:tcW w:w="1418" w:type="dxa"/>
            <w:tcBorders>
              <w:top w:val="single" w:color="auto" w:sz="6" w:space="0"/>
              <w:left w:val="single" w:color="auto" w:sz="6" w:space="0"/>
              <w:bottom w:val="single" w:color="auto" w:sz="6" w:space="0"/>
              <w:right w:val="single" w:color="auto" w:sz="6" w:space="0"/>
            </w:tcBorders>
          </w:tcPr>
          <w:p w14:paraId="091066A5">
            <w:pPr>
              <w:pStyle w:val="18"/>
              <w:keepNext/>
              <w:spacing w:line="440" w:lineRule="exact"/>
              <w:ind w:left="420" w:right="63"/>
              <w:rPr>
                <w:rFonts w:hint="eastAsia" w:ascii="宋体" w:hAnsi="宋体"/>
                <w:color w:val="auto"/>
                <w:highlight w:val="none"/>
              </w:rPr>
            </w:pPr>
          </w:p>
        </w:tc>
        <w:tc>
          <w:tcPr>
            <w:tcW w:w="1701" w:type="dxa"/>
            <w:tcBorders>
              <w:top w:val="single" w:color="auto" w:sz="6" w:space="0"/>
              <w:left w:val="single" w:color="auto" w:sz="6" w:space="0"/>
              <w:bottom w:val="single" w:color="auto" w:sz="6" w:space="0"/>
              <w:right w:val="single" w:color="auto" w:sz="12" w:space="0"/>
            </w:tcBorders>
          </w:tcPr>
          <w:p w14:paraId="553E8143">
            <w:pPr>
              <w:pStyle w:val="18"/>
              <w:keepNext/>
              <w:spacing w:line="440" w:lineRule="exact"/>
              <w:ind w:left="420" w:right="63"/>
              <w:rPr>
                <w:rFonts w:hint="eastAsia" w:ascii="宋体" w:hAnsi="宋体"/>
                <w:color w:val="auto"/>
                <w:highlight w:val="none"/>
              </w:rPr>
            </w:pPr>
          </w:p>
        </w:tc>
      </w:tr>
      <w:tr w14:paraId="04B96D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2A4AB65C">
            <w:pPr>
              <w:pStyle w:val="18"/>
              <w:keepNext/>
              <w:spacing w:line="440" w:lineRule="exact"/>
              <w:ind w:left="420" w:right="63"/>
              <w:rPr>
                <w:rFonts w:hint="eastAsia" w:ascii="宋体" w:hAnsi="宋体"/>
                <w:color w:val="auto"/>
                <w:highlight w:val="none"/>
              </w:rPr>
            </w:pPr>
          </w:p>
        </w:tc>
        <w:tc>
          <w:tcPr>
            <w:tcW w:w="1984" w:type="dxa"/>
            <w:tcBorders>
              <w:top w:val="single" w:color="auto" w:sz="6" w:space="0"/>
              <w:left w:val="single" w:color="auto" w:sz="6" w:space="0"/>
              <w:bottom w:val="single" w:color="auto" w:sz="6" w:space="0"/>
              <w:right w:val="single" w:color="auto" w:sz="6" w:space="0"/>
            </w:tcBorders>
          </w:tcPr>
          <w:p w14:paraId="0F42AC82">
            <w:pPr>
              <w:pStyle w:val="18"/>
              <w:keepNext/>
              <w:spacing w:line="440" w:lineRule="exact"/>
              <w:ind w:left="420" w:right="63"/>
              <w:rPr>
                <w:rFonts w:hint="eastAsia" w:ascii="宋体" w:hAnsi="宋体"/>
                <w:color w:val="auto"/>
                <w:highlight w:val="none"/>
              </w:rPr>
            </w:pPr>
          </w:p>
        </w:tc>
        <w:tc>
          <w:tcPr>
            <w:tcW w:w="851" w:type="dxa"/>
            <w:tcBorders>
              <w:top w:val="single" w:color="auto" w:sz="6" w:space="0"/>
              <w:left w:val="single" w:color="auto" w:sz="6" w:space="0"/>
              <w:bottom w:val="single" w:color="auto" w:sz="6" w:space="0"/>
              <w:right w:val="single" w:color="auto" w:sz="6" w:space="0"/>
            </w:tcBorders>
          </w:tcPr>
          <w:p w14:paraId="0BE0BCD7">
            <w:pPr>
              <w:pStyle w:val="18"/>
              <w:keepNext/>
              <w:spacing w:line="440" w:lineRule="exact"/>
              <w:ind w:left="420" w:right="63"/>
              <w:rPr>
                <w:rFonts w:hint="eastAsia" w:ascii="宋体" w:hAnsi="宋体"/>
                <w:color w:val="auto"/>
                <w:highlight w:val="none"/>
              </w:rPr>
            </w:pPr>
          </w:p>
        </w:tc>
        <w:tc>
          <w:tcPr>
            <w:tcW w:w="774" w:type="dxa"/>
            <w:tcBorders>
              <w:top w:val="single" w:color="auto" w:sz="6" w:space="0"/>
              <w:left w:val="single" w:color="auto" w:sz="6" w:space="0"/>
              <w:bottom w:val="single" w:color="auto" w:sz="6" w:space="0"/>
              <w:right w:val="single" w:color="auto" w:sz="6" w:space="0"/>
            </w:tcBorders>
          </w:tcPr>
          <w:p w14:paraId="47B92DC4">
            <w:pPr>
              <w:pStyle w:val="18"/>
              <w:keepNext/>
              <w:spacing w:line="440" w:lineRule="exact"/>
              <w:ind w:left="420" w:right="63"/>
              <w:rPr>
                <w:rFonts w:hint="eastAsia" w:ascii="宋体" w:hAnsi="宋体"/>
                <w:color w:val="auto"/>
                <w:highlight w:val="none"/>
              </w:rPr>
            </w:pPr>
          </w:p>
        </w:tc>
        <w:tc>
          <w:tcPr>
            <w:tcW w:w="1352" w:type="dxa"/>
            <w:tcBorders>
              <w:top w:val="single" w:color="auto" w:sz="6" w:space="0"/>
              <w:left w:val="single" w:color="auto" w:sz="6" w:space="0"/>
              <w:bottom w:val="single" w:color="auto" w:sz="6" w:space="0"/>
              <w:right w:val="single" w:color="auto" w:sz="6" w:space="0"/>
            </w:tcBorders>
          </w:tcPr>
          <w:p w14:paraId="261D91BF">
            <w:pPr>
              <w:pStyle w:val="18"/>
              <w:keepNext/>
              <w:spacing w:line="440" w:lineRule="exact"/>
              <w:ind w:left="420" w:right="63"/>
              <w:rPr>
                <w:rFonts w:hint="eastAsia" w:ascii="宋体" w:hAnsi="宋体"/>
                <w:color w:val="auto"/>
                <w:highlight w:val="none"/>
              </w:rPr>
            </w:pPr>
          </w:p>
        </w:tc>
        <w:tc>
          <w:tcPr>
            <w:tcW w:w="1418" w:type="dxa"/>
            <w:tcBorders>
              <w:top w:val="single" w:color="auto" w:sz="6" w:space="0"/>
              <w:left w:val="single" w:color="auto" w:sz="6" w:space="0"/>
              <w:bottom w:val="single" w:color="auto" w:sz="6" w:space="0"/>
              <w:right w:val="single" w:color="auto" w:sz="6" w:space="0"/>
            </w:tcBorders>
          </w:tcPr>
          <w:p w14:paraId="576D022F">
            <w:pPr>
              <w:pStyle w:val="18"/>
              <w:keepNext/>
              <w:spacing w:line="440" w:lineRule="exact"/>
              <w:ind w:left="420" w:right="63"/>
              <w:rPr>
                <w:rFonts w:hint="eastAsia" w:ascii="宋体" w:hAnsi="宋体"/>
                <w:color w:val="auto"/>
                <w:highlight w:val="none"/>
              </w:rPr>
            </w:pPr>
          </w:p>
        </w:tc>
        <w:tc>
          <w:tcPr>
            <w:tcW w:w="1701" w:type="dxa"/>
            <w:tcBorders>
              <w:top w:val="single" w:color="auto" w:sz="6" w:space="0"/>
              <w:left w:val="single" w:color="auto" w:sz="6" w:space="0"/>
              <w:bottom w:val="single" w:color="auto" w:sz="6" w:space="0"/>
              <w:right w:val="single" w:color="auto" w:sz="12" w:space="0"/>
            </w:tcBorders>
          </w:tcPr>
          <w:p w14:paraId="0BF9AEF4">
            <w:pPr>
              <w:pStyle w:val="18"/>
              <w:keepNext/>
              <w:spacing w:line="440" w:lineRule="exact"/>
              <w:ind w:left="420" w:right="63"/>
              <w:rPr>
                <w:rFonts w:hint="eastAsia" w:ascii="宋体" w:hAnsi="宋体"/>
                <w:color w:val="auto"/>
                <w:highlight w:val="none"/>
              </w:rPr>
            </w:pPr>
          </w:p>
        </w:tc>
      </w:tr>
      <w:tr w14:paraId="54A6CA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58979933">
            <w:pPr>
              <w:pStyle w:val="18"/>
              <w:keepNext/>
              <w:spacing w:line="440" w:lineRule="exact"/>
              <w:ind w:left="420" w:right="63"/>
              <w:rPr>
                <w:rFonts w:hint="eastAsia" w:ascii="宋体" w:hAnsi="宋体"/>
                <w:color w:val="auto"/>
                <w:highlight w:val="none"/>
              </w:rPr>
            </w:pPr>
          </w:p>
        </w:tc>
        <w:tc>
          <w:tcPr>
            <w:tcW w:w="1984" w:type="dxa"/>
            <w:tcBorders>
              <w:top w:val="single" w:color="auto" w:sz="6" w:space="0"/>
              <w:left w:val="single" w:color="auto" w:sz="6" w:space="0"/>
              <w:bottom w:val="single" w:color="auto" w:sz="6" w:space="0"/>
              <w:right w:val="single" w:color="auto" w:sz="6" w:space="0"/>
            </w:tcBorders>
          </w:tcPr>
          <w:p w14:paraId="4ADD3190">
            <w:pPr>
              <w:pStyle w:val="18"/>
              <w:keepNext/>
              <w:spacing w:line="440" w:lineRule="exact"/>
              <w:ind w:left="420" w:right="63"/>
              <w:rPr>
                <w:rFonts w:hint="eastAsia" w:ascii="宋体" w:hAnsi="宋体"/>
                <w:color w:val="auto"/>
                <w:highlight w:val="none"/>
              </w:rPr>
            </w:pPr>
          </w:p>
        </w:tc>
        <w:tc>
          <w:tcPr>
            <w:tcW w:w="851" w:type="dxa"/>
            <w:tcBorders>
              <w:top w:val="single" w:color="auto" w:sz="6" w:space="0"/>
              <w:left w:val="single" w:color="auto" w:sz="6" w:space="0"/>
              <w:bottom w:val="single" w:color="auto" w:sz="6" w:space="0"/>
              <w:right w:val="single" w:color="auto" w:sz="6" w:space="0"/>
            </w:tcBorders>
          </w:tcPr>
          <w:p w14:paraId="22C33AB4">
            <w:pPr>
              <w:pStyle w:val="18"/>
              <w:keepNext/>
              <w:spacing w:line="440" w:lineRule="exact"/>
              <w:ind w:left="420" w:right="63"/>
              <w:rPr>
                <w:rFonts w:hint="eastAsia" w:ascii="宋体" w:hAnsi="宋体"/>
                <w:color w:val="auto"/>
                <w:highlight w:val="none"/>
              </w:rPr>
            </w:pPr>
          </w:p>
        </w:tc>
        <w:tc>
          <w:tcPr>
            <w:tcW w:w="774" w:type="dxa"/>
            <w:tcBorders>
              <w:top w:val="single" w:color="auto" w:sz="6" w:space="0"/>
              <w:left w:val="single" w:color="auto" w:sz="6" w:space="0"/>
              <w:bottom w:val="single" w:color="auto" w:sz="6" w:space="0"/>
              <w:right w:val="single" w:color="auto" w:sz="6" w:space="0"/>
            </w:tcBorders>
          </w:tcPr>
          <w:p w14:paraId="36AFD99E">
            <w:pPr>
              <w:pStyle w:val="18"/>
              <w:keepNext/>
              <w:spacing w:line="440" w:lineRule="exact"/>
              <w:ind w:left="420" w:right="63"/>
              <w:rPr>
                <w:rFonts w:hint="eastAsia" w:ascii="宋体" w:hAnsi="宋体"/>
                <w:color w:val="auto"/>
                <w:highlight w:val="none"/>
              </w:rPr>
            </w:pPr>
          </w:p>
        </w:tc>
        <w:tc>
          <w:tcPr>
            <w:tcW w:w="1352" w:type="dxa"/>
            <w:tcBorders>
              <w:top w:val="single" w:color="auto" w:sz="6" w:space="0"/>
              <w:left w:val="single" w:color="auto" w:sz="6" w:space="0"/>
              <w:bottom w:val="single" w:color="auto" w:sz="6" w:space="0"/>
              <w:right w:val="single" w:color="auto" w:sz="6" w:space="0"/>
            </w:tcBorders>
          </w:tcPr>
          <w:p w14:paraId="133C4E27">
            <w:pPr>
              <w:pStyle w:val="18"/>
              <w:keepNext/>
              <w:spacing w:line="440" w:lineRule="exact"/>
              <w:ind w:left="420" w:right="63"/>
              <w:rPr>
                <w:rFonts w:hint="eastAsia" w:ascii="宋体" w:hAnsi="宋体"/>
                <w:color w:val="auto"/>
                <w:highlight w:val="none"/>
              </w:rPr>
            </w:pPr>
          </w:p>
        </w:tc>
        <w:tc>
          <w:tcPr>
            <w:tcW w:w="1418" w:type="dxa"/>
            <w:tcBorders>
              <w:top w:val="single" w:color="auto" w:sz="6" w:space="0"/>
              <w:left w:val="single" w:color="auto" w:sz="6" w:space="0"/>
              <w:bottom w:val="single" w:color="auto" w:sz="6" w:space="0"/>
              <w:right w:val="single" w:color="auto" w:sz="6" w:space="0"/>
            </w:tcBorders>
          </w:tcPr>
          <w:p w14:paraId="0B8EFA26">
            <w:pPr>
              <w:pStyle w:val="18"/>
              <w:keepNext/>
              <w:spacing w:line="440" w:lineRule="exact"/>
              <w:ind w:left="420" w:right="63"/>
              <w:rPr>
                <w:rFonts w:hint="eastAsia" w:ascii="宋体" w:hAnsi="宋体"/>
                <w:color w:val="auto"/>
                <w:highlight w:val="none"/>
              </w:rPr>
            </w:pPr>
          </w:p>
        </w:tc>
        <w:tc>
          <w:tcPr>
            <w:tcW w:w="1701" w:type="dxa"/>
            <w:tcBorders>
              <w:top w:val="single" w:color="auto" w:sz="6" w:space="0"/>
              <w:left w:val="single" w:color="auto" w:sz="6" w:space="0"/>
              <w:bottom w:val="single" w:color="auto" w:sz="6" w:space="0"/>
              <w:right w:val="single" w:color="auto" w:sz="12" w:space="0"/>
            </w:tcBorders>
          </w:tcPr>
          <w:p w14:paraId="071F3E54">
            <w:pPr>
              <w:pStyle w:val="18"/>
              <w:keepNext/>
              <w:spacing w:line="440" w:lineRule="exact"/>
              <w:ind w:left="420" w:right="63"/>
              <w:rPr>
                <w:rFonts w:hint="eastAsia" w:ascii="宋体" w:hAnsi="宋体"/>
                <w:color w:val="auto"/>
                <w:highlight w:val="none"/>
              </w:rPr>
            </w:pPr>
          </w:p>
        </w:tc>
      </w:tr>
      <w:tr w14:paraId="39FC27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1DB9FE21">
            <w:pPr>
              <w:pStyle w:val="18"/>
              <w:keepNext/>
              <w:spacing w:line="440" w:lineRule="exact"/>
              <w:ind w:left="420" w:right="63"/>
              <w:rPr>
                <w:rFonts w:hint="eastAsia" w:ascii="宋体" w:hAnsi="宋体"/>
                <w:color w:val="auto"/>
                <w:highlight w:val="none"/>
              </w:rPr>
            </w:pPr>
          </w:p>
        </w:tc>
        <w:tc>
          <w:tcPr>
            <w:tcW w:w="1984" w:type="dxa"/>
            <w:tcBorders>
              <w:top w:val="single" w:color="auto" w:sz="6" w:space="0"/>
              <w:left w:val="single" w:color="auto" w:sz="6" w:space="0"/>
              <w:bottom w:val="single" w:color="auto" w:sz="6" w:space="0"/>
              <w:right w:val="single" w:color="auto" w:sz="6" w:space="0"/>
            </w:tcBorders>
          </w:tcPr>
          <w:p w14:paraId="03570312">
            <w:pPr>
              <w:pStyle w:val="18"/>
              <w:keepNext/>
              <w:spacing w:line="440" w:lineRule="exact"/>
              <w:ind w:left="420" w:right="63"/>
              <w:rPr>
                <w:rFonts w:hint="eastAsia" w:ascii="宋体" w:hAnsi="宋体"/>
                <w:color w:val="auto"/>
                <w:highlight w:val="none"/>
              </w:rPr>
            </w:pPr>
          </w:p>
        </w:tc>
        <w:tc>
          <w:tcPr>
            <w:tcW w:w="851" w:type="dxa"/>
            <w:tcBorders>
              <w:top w:val="single" w:color="auto" w:sz="6" w:space="0"/>
              <w:left w:val="single" w:color="auto" w:sz="6" w:space="0"/>
              <w:bottom w:val="single" w:color="auto" w:sz="6" w:space="0"/>
              <w:right w:val="single" w:color="auto" w:sz="6" w:space="0"/>
            </w:tcBorders>
          </w:tcPr>
          <w:p w14:paraId="3C1D7D2A">
            <w:pPr>
              <w:pStyle w:val="18"/>
              <w:keepNext/>
              <w:spacing w:line="440" w:lineRule="exact"/>
              <w:ind w:left="420" w:right="63"/>
              <w:rPr>
                <w:rFonts w:hint="eastAsia" w:ascii="宋体" w:hAnsi="宋体"/>
                <w:color w:val="auto"/>
                <w:highlight w:val="none"/>
              </w:rPr>
            </w:pPr>
          </w:p>
        </w:tc>
        <w:tc>
          <w:tcPr>
            <w:tcW w:w="774" w:type="dxa"/>
            <w:tcBorders>
              <w:top w:val="single" w:color="auto" w:sz="6" w:space="0"/>
              <w:left w:val="single" w:color="auto" w:sz="6" w:space="0"/>
              <w:bottom w:val="single" w:color="auto" w:sz="6" w:space="0"/>
              <w:right w:val="single" w:color="auto" w:sz="6" w:space="0"/>
            </w:tcBorders>
          </w:tcPr>
          <w:p w14:paraId="525793DE">
            <w:pPr>
              <w:pStyle w:val="18"/>
              <w:keepNext/>
              <w:spacing w:line="440" w:lineRule="exact"/>
              <w:ind w:left="420" w:right="63"/>
              <w:rPr>
                <w:rFonts w:hint="eastAsia" w:ascii="宋体" w:hAnsi="宋体"/>
                <w:color w:val="auto"/>
                <w:highlight w:val="none"/>
              </w:rPr>
            </w:pPr>
          </w:p>
        </w:tc>
        <w:tc>
          <w:tcPr>
            <w:tcW w:w="1352" w:type="dxa"/>
            <w:tcBorders>
              <w:top w:val="single" w:color="auto" w:sz="6" w:space="0"/>
              <w:left w:val="single" w:color="auto" w:sz="6" w:space="0"/>
              <w:bottom w:val="single" w:color="auto" w:sz="6" w:space="0"/>
              <w:right w:val="single" w:color="auto" w:sz="6" w:space="0"/>
            </w:tcBorders>
          </w:tcPr>
          <w:p w14:paraId="04D07CCD">
            <w:pPr>
              <w:pStyle w:val="18"/>
              <w:keepNext/>
              <w:spacing w:line="440" w:lineRule="exact"/>
              <w:ind w:left="420" w:right="63"/>
              <w:rPr>
                <w:rFonts w:hint="eastAsia" w:ascii="宋体" w:hAnsi="宋体"/>
                <w:color w:val="auto"/>
                <w:highlight w:val="none"/>
              </w:rPr>
            </w:pPr>
          </w:p>
        </w:tc>
        <w:tc>
          <w:tcPr>
            <w:tcW w:w="1418" w:type="dxa"/>
            <w:tcBorders>
              <w:top w:val="single" w:color="auto" w:sz="6" w:space="0"/>
              <w:left w:val="single" w:color="auto" w:sz="6" w:space="0"/>
              <w:bottom w:val="single" w:color="auto" w:sz="6" w:space="0"/>
              <w:right w:val="single" w:color="auto" w:sz="6" w:space="0"/>
            </w:tcBorders>
          </w:tcPr>
          <w:p w14:paraId="4D506D15">
            <w:pPr>
              <w:pStyle w:val="18"/>
              <w:keepNext/>
              <w:spacing w:line="440" w:lineRule="exact"/>
              <w:ind w:left="420" w:right="63"/>
              <w:rPr>
                <w:rFonts w:hint="eastAsia" w:ascii="宋体" w:hAnsi="宋体"/>
                <w:color w:val="auto"/>
                <w:highlight w:val="none"/>
              </w:rPr>
            </w:pPr>
          </w:p>
        </w:tc>
        <w:tc>
          <w:tcPr>
            <w:tcW w:w="1701" w:type="dxa"/>
            <w:tcBorders>
              <w:top w:val="single" w:color="auto" w:sz="6" w:space="0"/>
              <w:left w:val="single" w:color="auto" w:sz="6" w:space="0"/>
              <w:bottom w:val="single" w:color="auto" w:sz="6" w:space="0"/>
              <w:right w:val="single" w:color="auto" w:sz="12" w:space="0"/>
            </w:tcBorders>
          </w:tcPr>
          <w:p w14:paraId="2175A9B4">
            <w:pPr>
              <w:pStyle w:val="18"/>
              <w:keepNext/>
              <w:spacing w:line="440" w:lineRule="exact"/>
              <w:ind w:left="420" w:right="63"/>
              <w:rPr>
                <w:rFonts w:hint="eastAsia" w:ascii="宋体" w:hAnsi="宋体"/>
                <w:color w:val="auto"/>
                <w:highlight w:val="none"/>
              </w:rPr>
            </w:pPr>
          </w:p>
        </w:tc>
      </w:tr>
      <w:tr w14:paraId="2DB2BC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1984FDF3">
            <w:pPr>
              <w:pStyle w:val="18"/>
              <w:keepNext/>
              <w:spacing w:line="440" w:lineRule="exact"/>
              <w:ind w:left="420" w:right="63"/>
              <w:rPr>
                <w:rFonts w:hint="eastAsia" w:ascii="宋体" w:hAnsi="宋体"/>
                <w:color w:val="auto"/>
                <w:highlight w:val="none"/>
              </w:rPr>
            </w:pPr>
          </w:p>
        </w:tc>
        <w:tc>
          <w:tcPr>
            <w:tcW w:w="1984" w:type="dxa"/>
            <w:tcBorders>
              <w:top w:val="single" w:color="auto" w:sz="6" w:space="0"/>
              <w:left w:val="single" w:color="auto" w:sz="6" w:space="0"/>
              <w:bottom w:val="single" w:color="auto" w:sz="6" w:space="0"/>
              <w:right w:val="single" w:color="auto" w:sz="6" w:space="0"/>
            </w:tcBorders>
          </w:tcPr>
          <w:p w14:paraId="1E0F0495">
            <w:pPr>
              <w:pStyle w:val="18"/>
              <w:keepNext/>
              <w:spacing w:line="440" w:lineRule="exact"/>
              <w:ind w:left="420" w:right="63"/>
              <w:rPr>
                <w:rFonts w:hint="eastAsia" w:ascii="宋体" w:hAnsi="宋体"/>
                <w:color w:val="auto"/>
                <w:highlight w:val="none"/>
              </w:rPr>
            </w:pPr>
          </w:p>
        </w:tc>
        <w:tc>
          <w:tcPr>
            <w:tcW w:w="851" w:type="dxa"/>
            <w:tcBorders>
              <w:top w:val="single" w:color="auto" w:sz="6" w:space="0"/>
              <w:left w:val="single" w:color="auto" w:sz="6" w:space="0"/>
              <w:bottom w:val="single" w:color="auto" w:sz="6" w:space="0"/>
              <w:right w:val="single" w:color="auto" w:sz="6" w:space="0"/>
            </w:tcBorders>
          </w:tcPr>
          <w:p w14:paraId="412F8F89">
            <w:pPr>
              <w:pStyle w:val="18"/>
              <w:keepNext/>
              <w:spacing w:line="440" w:lineRule="exact"/>
              <w:ind w:left="420" w:right="63"/>
              <w:rPr>
                <w:rFonts w:hint="eastAsia" w:ascii="宋体" w:hAnsi="宋体"/>
                <w:color w:val="auto"/>
                <w:highlight w:val="none"/>
              </w:rPr>
            </w:pPr>
          </w:p>
        </w:tc>
        <w:tc>
          <w:tcPr>
            <w:tcW w:w="774" w:type="dxa"/>
            <w:tcBorders>
              <w:top w:val="single" w:color="auto" w:sz="6" w:space="0"/>
              <w:left w:val="single" w:color="auto" w:sz="6" w:space="0"/>
              <w:bottom w:val="single" w:color="auto" w:sz="6" w:space="0"/>
              <w:right w:val="single" w:color="auto" w:sz="6" w:space="0"/>
            </w:tcBorders>
          </w:tcPr>
          <w:p w14:paraId="58A25894">
            <w:pPr>
              <w:pStyle w:val="18"/>
              <w:keepNext/>
              <w:spacing w:line="440" w:lineRule="exact"/>
              <w:ind w:left="420" w:right="63"/>
              <w:rPr>
                <w:rFonts w:hint="eastAsia" w:ascii="宋体" w:hAnsi="宋体"/>
                <w:color w:val="auto"/>
                <w:highlight w:val="none"/>
              </w:rPr>
            </w:pPr>
          </w:p>
        </w:tc>
        <w:tc>
          <w:tcPr>
            <w:tcW w:w="1352" w:type="dxa"/>
            <w:tcBorders>
              <w:top w:val="single" w:color="auto" w:sz="6" w:space="0"/>
              <w:left w:val="single" w:color="auto" w:sz="6" w:space="0"/>
              <w:bottom w:val="single" w:color="auto" w:sz="6" w:space="0"/>
              <w:right w:val="single" w:color="auto" w:sz="6" w:space="0"/>
            </w:tcBorders>
          </w:tcPr>
          <w:p w14:paraId="672D0F7D">
            <w:pPr>
              <w:pStyle w:val="18"/>
              <w:keepNext/>
              <w:spacing w:line="440" w:lineRule="exact"/>
              <w:ind w:left="420" w:right="63"/>
              <w:rPr>
                <w:rFonts w:hint="eastAsia" w:ascii="宋体" w:hAnsi="宋体"/>
                <w:color w:val="auto"/>
                <w:highlight w:val="none"/>
              </w:rPr>
            </w:pPr>
          </w:p>
        </w:tc>
        <w:tc>
          <w:tcPr>
            <w:tcW w:w="1418" w:type="dxa"/>
            <w:tcBorders>
              <w:top w:val="single" w:color="auto" w:sz="6" w:space="0"/>
              <w:left w:val="single" w:color="auto" w:sz="6" w:space="0"/>
              <w:bottom w:val="single" w:color="auto" w:sz="6" w:space="0"/>
              <w:right w:val="single" w:color="auto" w:sz="6" w:space="0"/>
            </w:tcBorders>
          </w:tcPr>
          <w:p w14:paraId="46B81390">
            <w:pPr>
              <w:pStyle w:val="18"/>
              <w:keepNext/>
              <w:spacing w:line="440" w:lineRule="exact"/>
              <w:ind w:left="420" w:right="63"/>
              <w:rPr>
                <w:rFonts w:hint="eastAsia" w:ascii="宋体" w:hAnsi="宋体"/>
                <w:color w:val="auto"/>
                <w:highlight w:val="none"/>
              </w:rPr>
            </w:pPr>
          </w:p>
        </w:tc>
        <w:tc>
          <w:tcPr>
            <w:tcW w:w="1701" w:type="dxa"/>
            <w:tcBorders>
              <w:top w:val="single" w:color="auto" w:sz="6" w:space="0"/>
              <w:left w:val="single" w:color="auto" w:sz="6" w:space="0"/>
              <w:bottom w:val="single" w:color="auto" w:sz="6" w:space="0"/>
              <w:right w:val="single" w:color="auto" w:sz="12" w:space="0"/>
            </w:tcBorders>
          </w:tcPr>
          <w:p w14:paraId="1ED35D65">
            <w:pPr>
              <w:pStyle w:val="18"/>
              <w:keepNext/>
              <w:spacing w:line="440" w:lineRule="exact"/>
              <w:ind w:left="420" w:right="63"/>
              <w:rPr>
                <w:rFonts w:hint="eastAsia" w:ascii="宋体" w:hAnsi="宋体"/>
                <w:color w:val="auto"/>
                <w:highlight w:val="none"/>
              </w:rPr>
            </w:pPr>
          </w:p>
        </w:tc>
      </w:tr>
      <w:tr w14:paraId="59DDC4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3CFAB378">
            <w:pPr>
              <w:pStyle w:val="18"/>
              <w:keepNext/>
              <w:spacing w:line="440" w:lineRule="exact"/>
              <w:ind w:left="420" w:right="63"/>
              <w:rPr>
                <w:rFonts w:hint="eastAsia" w:ascii="宋体" w:hAnsi="宋体"/>
                <w:color w:val="auto"/>
                <w:highlight w:val="none"/>
              </w:rPr>
            </w:pPr>
          </w:p>
        </w:tc>
        <w:tc>
          <w:tcPr>
            <w:tcW w:w="1984" w:type="dxa"/>
            <w:tcBorders>
              <w:top w:val="single" w:color="auto" w:sz="6" w:space="0"/>
              <w:left w:val="single" w:color="auto" w:sz="6" w:space="0"/>
              <w:bottom w:val="single" w:color="auto" w:sz="6" w:space="0"/>
              <w:right w:val="single" w:color="auto" w:sz="6" w:space="0"/>
            </w:tcBorders>
          </w:tcPr>
          <w:p w14:paraId="78C3D3AA">
            <w:pPr>
              <w:pStyle w:val="18"/>
              <w:keepNext/>
              <w:spacing w:line="440" w:lineRule="exact"/>
              <w:ind w:left="420" w:right="63"/>
              <w:rPr>
                <w:rFonts w:hint="eastAsia" w:ascii="宋体" w:hAnsi="宋体"/>
                <w:color w:val="auto"/>
                <w:highlight w:val="none"/>
              </w:rPr>
            </w:pPr>
          </w:p>
        </w:tc>
        <w:tc>
          <w:tcPr>
            <w:tcW w:w="851" w:type="dxa"/>
            <w:tcBorders>
              <w:top w:val="single" w:color="auto" w:sz="6" w:space="0"/>
              <w:left w:val="single" w:color="auto" w:sz="6" w:space="0"/>
              <w:bottom w:val="single" w:color="auto" w:sz="6" w:space="0"/>
              <w:right w:val="single" w:color="auto" w:sz="6" w:space="0"/>
            </w:tcBorders>
          </w:tcPr>
          <w:p w14:paraId="0B9C0F21">
            <w:pPr>
              <w:pStyle w:val="18"/>
              <w:keepNext/>
              <w:spacing w:line="440" w:lineRule="exact"/>
              <w:ind w:left="420" w:right="63"/>
              <w:rPr>
                <w:rFonts w:hint="eastAsia" w:ascii="宋体" w:hAnsi="宋体"/>
                <w:color w:val="auto"/>
                <w:highlight w:val="none"/>
              </w:rPr>
            </w:pPr>
          </w:p>
        </w:tc>
        <w:tc>
          <w:tcPr>
            <w:tcW w:w="774" w:type="dxa"/>
            <w:tcBorders>
              <w:top w:val="single" w:color="auto" w:sz="6" w:space="0"/>
              <w:left w:val="single" w:color="auto" w:sz="6" w:space="0"/>
              <w:bottom w:val="single" w:color="auto" w:sz="6" w:space="0"/>
              <w:right w:val="single" w:color="auto" w:sz="6" w:space="0"/>
            </w:tcBorders>
          </w:tcPr>
          <w:p w14:paraId="7CFD2DE4">
            <w:pPr>
              <w:pStyle w:val="18"/>
              <w:keepNext/>
              <w:spacing w:line="440" w:lineRule="exact"/>
              <w:ind w:left="420" w:right="63"/>
              <w:rPr>
                <w:rFonts w:hint="eastAsia" w:ascii="宋体" w:hAnsi="宋体"/>
                <w:color w:val="auto"/>
                <w:highlight w:val="none"/>
              </w:rPr>
            </w:pPr>
          </w:p>
        </w:tc>
        <w:tc>
          <w:tcPr>
            <w:tcW w:w="1352" w:type="dxa"/>
            <w:tcBorders>
              <w:top w:val="single" w:color="auto" w:sz="6" w:space="0"/>
              <w:left w:val="single" w:color="auto" w:sz="6" w:space="0"/>
              <w:bottom w:val="single" w:color="auto" w:sz="6" w:space="0"/>
              <w:right w:val="single" w:color="auto" w:sz="6" w:space="0"/>
            </w:tcBorders>
          </w:tcPr>
          <w:p w14:paraId="17D679EB">
            <w:pPr>
              <w:pStyle w:val="18"/>
              <w:keepNext/>
              <w:spacing w:line="440" w:lineRule="exact"/>
              <w:ind w:left="420" w:right="63"/>
              <w:rPr>
                <w:rFonts w:hint="eastAsia" w:ascii="宋体" w:hAnsi="宋体"/>
                <w:color w:val="auto"/>
                <w:highlight w:val="none"/>
              </w:rPr>
            </w:pPr>
          </w:p>
        </w:tc>
        <w:tc>
          <w:tcPr>
            <w:tcW w:w="1418" w:type="dxa"/>
            <w:tcBorders>
              <w:top w:val="single" w:color="auto" w:sz="6" w:space="0"/>
              <w:left w:val="single" w:color="auto" w:sz="6" w:space="0"/>
              <w:bottom w:val="single" w:color="auto" w:sz="6" w:space="0"/>
              <w:right w:val="single" w:color="auto" w:sz="6" w:space="0"/>
            </w:tcBorders>
          </w:tcPr>
          <w:p w14:paraId="1A0FEA0A">
            <w:pPr>
              <w:pStyle w:val="18"/>
              <w:keepNext/>
              <w:spacing w:line="440" w:lineRule="exact"/>
              <w:ind w:left="420" w:right="63"/>
              <w:rPr>
                <w:rFonts w:hint="eastAsia" w:ascii="宋体" w:hAnsi="宋体"/>
                <w:color w:val="auto"/>
                <w:highlight w:val="none"/>
              </w:rPr>
            </w:pPr>
          </w:p>
        </w:tc>
        <w:tc>
          <w:tcPr>
            <w:tcW w:w="1701" w:type="dxa"/>
            <w:tcBorders>
              <w:top w:val="single" w:color="auto" w:sz="6" w:space="0"/>
              <w:left w:val="single" w:color="auto" w:sz="6" w:space="0"/>
              <w:bottom w:val="single" w:color="auto" w:sz="6" w:space="0"/>
              <w:right w:val="single" w:color="auto" w:sz="12" w:space="0"/>
            </w:tcBorders>
          </w:tcPr>
          <w:p w14:paraId="6F9247EA">
            <w:pPr>
              <w:pStyle w:val="18"/>
              <w:keepNext/>
              <w:spacing w:line="440" w:lineRule="exact"/>
              <w:ind w:left="420" w:right="63"/>
              <w:rPr>
                <w:rFonts w:hint="eastAsia" w:ascii="宋体" w:hAnsi="宋体"/>
                <w:color w:val="auto"/>
                <w:highlight w:val="none"/>
              </w:rPr>
            </w:pPr>
          </w:p>
        </w:tc>
      </w:tr>
      <w:tr w14:paraId="44D00B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2BC3BE7E">
            <w:pPr>
              <w:pStyle w:val="18"/>
              <w:keepNext/>
              <w:spacing w:line="440" w:lineRule="exact"/>
              <w:ind w:left="420" w:right="63"/>
              <w:rPr>
                <w:rFonts w:hint="eastAsia" w:ascii="宋体" w:hAnsi="宋体"/>
                <w:color w:val="auto"/>
                <w:highlight w:val="none"/>
              </w:rPr>
            </w:pPr>
          </w:p>
        </w:tc>
        <w:tc>
          <w:tcPr>
            <w:tcW w:w="1984" w:type="dxa"/>
            <w:tcBorders>
              <w:top w:val="single" w:color="auto" w:sz="6" w:space="0"/>
              <w:left w:val="single" w:color="auto" w:sz="6" w:space="0"/>
              <w:bottom w:val="single" w:color="auto" w:sz="6" w:space="0"/>
              <w:right w:val="single" w:color="auto" w:sz="6" w:space="0"/>
            </w:tcBorders>
          </w:tcPr>
          <w:p w14:paraId="0F6FA7EA">
            <w:pPr>
              <w:pStyle w:val="18"/>
              <w:keepNext/>
              <w:spacing w:line="440" w:lineRule="exact"/>
              <w:ind w:left="420" w:right="63"/>
              <w:rPr>
                <w:rFonts w:hint="eastAsia" w:ascii="宋体" w:hAnsi="宋体"/>
                <w:color w:val="auto"/>
                <w:highlight w:val="none"/>
              </w:rPr>
            </w:pPr>
          </w:p>
        </w:tc>
        <w:tc>
          <w:tcPr>
            <w:tcW w:w="851" w:type="dxa"/>
            <w:tcBorders>
              <w:top w:val="single" w:color="auto" w:sz="6" w:space="0"/>
              <w:left w:val="single" w:color="auto" w:sz="6" w:space="0"/>
              <w:bottom w:val="single" w:color="auto" w:sz="6" w:space="0"/>
              <w:right w:val="single" w:color="auto" w:sz="6" w:space="0"/>
            </w:tcBorders>
          </w:tcPr>
          <w:p w14:paraId="49898211">
            <w:pPr>
              <w:pStyle w:val="18"/>
              <w:keepNext/>
              <w:spacing w:line="440" w:lineRule="exact"/>
              <w:ind w:left="420" w:right="63"/>
              <w:rPr>
                <w:rFonts w:hint="eastAsia" w:ascii="宋体" w:hAnsi="宋体"/>
                <w:color w:val="auto"/>
                <w:highlight w:val="none"/>
              </w:rPr>
            </w:pPr>
          </w:p>
        </w:tc>
        <w:tc>
          <w:tcPr>
            <w:tcW w:w="774" w:type="dxa"/>
            <w:tcBorders>
              <w:top w:val="single" w:color="auto" w:sz="6" w:space="0"/>
              <w:left w:val="single" w:color="auto" w:sz="6" w:space="0"/>
              <w:bottom w:val="single" w:color="auto" w:sz="6" w:space="0"/>
              <w:right w:val="single" w:color="auto" w:sz="6" w:space="0"/>
            </w:tcBorders>
          </w:tcPr>
          <w:p w14:paraId="3B4F99A6">
            <w:pPr>
              <w:pStyle w:val="18"/>
              <w:keepNext/>
              <w:spacing w:line="440" w:lineRule="exact"/>
              <w:ind w:left="420" w:right="63"/>
              <w:rPr>
                <w:rFonts w:hint="eastAsia" w:ascii="宋体" w:hAnsi="宋体"/>
                <w:color w:val="auto"/>
                <w:highlight w:val="none"/>
              </w:rPr>
            </w:pPr>
          </w:p>
        </w:tc>
        <w:tc>
          <w:tcPr>
            <w:tcW w:w="1352" w:type="dxa"/>
            <w:tcBorders>
              <w:top w:val="single" w:color="auto" w:sz="6" w:space="0"/>
              <w:left w:val="single" w:color="auto" w:sz="6" w:space="0"/>
              <w:bottom w:val="single" w:color="auto" w:sz="6" w:space="0"/>
              <w:right w:val="single" w:color="auto" w:sz="6" w:space="0"/>
            </w:tcBorders>
          </w:tcPr>
          <w:p w14:paraId="77C6361D">
            <w:pPr>
              <w:pStyle w:val="18"/>
              <w:keepNext/>
              <w:spacing w:line="440" w:lineRule="exact"/>
              <w:ind w:left="420" w:right="63"/>
              <w:rPr>
                <w:rFonts w:hint="eastAsia" w:ascii="宋体" w:hAnsi="宋体"/>
                <w:color w:val="auto"/>
                <w:highlight w:val="none"/>
              </w:rPr>
            </w:pPr>
          </w:p>
        </w:tc>
        <w:tc>
          <w:tcPr>
            <w:tcW w:w="1418" w:type="dxa"/>
            <w:tcBorders>
              <w:top w:val="single" w:color="auto" w:sz="6" w:space="0"/>
              <w:left w:val="single" w:color="auto" w:sz="6" w:space="0"/>
              <w:bottom w:val="single" w:color="auto" w:sz="6" w:space="0"/>
              <w:right w:val="single" w:color="auto" w:sz="6" w:space="0"/>
            </w:tcBorders>
          </w:tcPr>
          <w:p w14:paraId="0A16FB50">
            <w:pPr>
              <w:pStyle w:val="18"/>
              <w:keepNext/>
              <w:spacing w:line="440" w:lineRule="exact"/>
              <w:ind w:left="420" w:right="63"/>
              <w:rPr>
                <w:rFonts w:hint="eastAsia" w:ascii="宋体" w:hAnsi="宋体"/>
                <w:color w:val="auto"/>
                <w:highlight w:val="none"/>
              </w:rPr>
            </w:pPr>
          </w:p>
        </w:tc>
        <w:tc>
          <w:tcPr>
            <w:tcW w:w="1701" w:type="dxa"/>
            <w:tcBorders>
              <w:top w:val="single" w:color="auto" w:sz="6" w:space="0"/>
              <w:left w:val="single" w:color="auto" w:sz="6" w:space="0"/>
              <w:bottom w:val="single" w:color="auto" w:sz="6" w:space="0"/>
              <w:right w:val="single" w:color="auto" w:sz="12" w:space="0"/>
            </w:tcBorders>
          </w:tcPr>
          <w:p w14:paraId="2EB3DA72">
            <w:pPr>
              <w:pStyle w:val="18"/>
              <w:keepNext/>
              <w:spacing w:line="440" w:lineRule="exact"/>
              <w:ind w:left="420" w:right="63"/>
              <w:rPr>
                <w:rFonts w:hint="eastAsia" w:ascii="宋体" w:hAnsi="宋体"/>
                <w:color w:val="auto"/>
                <w:highlight w:val="none"/>
              </w:rPr>
            </w:pPr>
          </w:p>
        </w:tc>
      </w:tr>
      <w:tr w14:paraId="2CFE84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12" w:space="0"/>
              <w:right w:val="single" w:color="auto" w:sz="6" w:space="0"/>
            </w:tcBorders>
          </w:tcPr>
          <w:p w14:paraId="7C59D1A8">
            <w:pPr>
              <w:pStyle w:val="18"/>
              <w:keepNext/>
              <w:spacing w:line="440" w:lineRule="exact"/>
              <w:ind w:left="420" w:right="63"/>
              <w:rPr>
                <w:rFonts w:hint="eastAsia" w:ascii="宋体" w:hAnsi="宋体"/>
                <w:color w:val="auto"/>
                <w:highlight w:val="none"/>
              </w:rPr>
            </w:pPr>
          </w:p>
        </w:tc>
        <w:tc>
          <w:tcPr>
            <w:tcW w:w="1984" w:type="dxa"/>
            <w:tcBorders>
              <w:top w:val="single" w:color="auto" w:sz="6" w:space="0"/>
              <w:left w:val="single" w:color="auto" w:sz="6" w:space="0"/>
              <w:bottom w:val="single" w:color="auto" w:sz="12" w:space="0"/>
              <w:right w:val="single" w:color="auto" w:sz="6" w:space="0"/>
            </w:tcBorders>
          </w:tcPr>
          <w:p w14:paraId="1CCD1B83">
            <w:pPr>
              <w:pStyle w:val="18"/>
              <w:keepNext/>
              <w:spacing w:line="440" w:lineRule="exact"/>
              <w:ind w:left="420" w:right="63"/>
              <w:rPr>
                <w:rFonts w:hint="eastAsia" w:ascii="宋体" w:hAnsi="宋体"/>
                <w:color w:val="auto"/>
                <w:highlight w:val="none"/>
              </w:rPr>
            </w:pPr>
          </w:p>
        </w:tc>
        <w:tc>
          <w:tcPr>
            <w:tcW w:w="851" w:type="dxa"/>
            <w:tcBorders>
              <w:top w:val="single" w:color="auto" w:sz="6" w:space="0"/>
              <w:left w:val="single" w:color="auto" w:sz="6" w:space="0"/>
              <w:bottom w:val="single" w:color="auto" w:sz="12" w:space="0"/>
              <w:right w:val="single" w:color="auto" w:sz="6" w:space="0"/>
            </w:tcBorders>
          </w:tcPr>
          <w:p w14:paraId="03A51F46">
            <w:pPr>
              <w:pStyle w:val="18"/>
              <w:keepNext/>
              <w:spacing w:line="440" w:lineRule="exact"/>
              <w:ind w:left="420" w:right="63"/>
              <w:rPr>
                <w:rFonts w:hint="eastAsia" w:ascii="宋体" w:hAnsi="宋体"/>
                <w:color w:val="auto"/>
                <w:highlight w:val="none"/>
              </w:rPr>
            </w:pPr>
          </w:p>
        </w:tc>
        <w:tc>
          <w:tcPr>
            <w:tcW w:w="774" w:type="dxa"/>
            <w:tcBorders>
              <w:top w:val="single" w:color="auto" w:sz="6" w:space="0"/>
              <w:left w:val="single" w:color="auto" w:sz="6" w:space="0"/>
              <w:bottom w:val="single" w:color="auto" w:sz="12" w:space="0"/>
              <w:right w:val="single" w:color="auto" w:sz="6" w:space="0"/>
            </w:tcBorders>
          </w:tcPr>
          <w:p w14:paraId="70AD7A1F">
            <w:pPr>
              <w:pStyle w:val="18"/>
              <w:keepNext/>
              <w:spacing w:line="440" w:lineRule="exact"/>
              <w:ind w:left="420" w:right="63"/>
              <w:rPr>
                <w:rFonts w:hint="eastAsia" w:ascii="宋体" w:hAnsi="宋体"/>
                <w:color w:val="auto"/>
                <w:highlight w:val="none"/>
              </w:rPr>
            </w:pPr>
          </w:p>
        </w:tc>
        <w:tc>
          <w:tcPr>
            <w:tcW w:w="1352" w:type="dxa"/>
            <w:tcBorders>
              <w:top w:val="single" w:color="auto" w:sz="6" w:space="0"/>
              <w:left w:val="single" w:color="auto" w:sz="6" w:space="0"/>
              <w:bottom w:val="single" w:color="auto" w:sz="12" w:space="0"/>
              <w:right w:val="single" w:color="auto" w:sz="6" w:space="0"/>
            </w:tcBorders>
          </w:tcPr>
          <w:p w14:paraId="4A32F238">
            <w:pPr>
              <w:pStyle w:val="18"/>
              <w:keepNext/>
              <w:spacing w:line="440" w:lineRule="exact"/>
              <w:ind w:left="420" w:right="63"/>
              <w:rPr>
                <w:rFonts w:hint="eastAsia" w:ascii="宋体" w:hAnsi="宋体"/>
                <w:color w:val="auto"/>
                <w:highlight w:val="none"/>
              </w:rPr>
            </w:pPr>
          </w:p>
        </w:tc>
        <w:tc>
          <w:tcPr>
            <w:tcW w:w="1418" w:type="dxa"/>
            <w:tcBorders>
              <w:top w:val="single" w:color="auto" w:sz="6" w:space="0"/>
              <w:left w:val="single" w:color="auto" w:sz="6" w:space="0"/>
              <w:bottom w:val="single" w:color="auto" w:sz="12" w:space="0"/>
              <w:right w:val="single" w:color="auto" w:sz="6" w:space="0"/>
            </w:tcBorders>
          </w:tcPr>
          <w:p w14:paraId="1F832B08">
            <w:pPr>
              <w:pStyle w:val="18"/>
              <w:keepNext/>
              <w:spacing w:line="440" w:lineRule="exact"/>
              <w:ind w:left="420" w:right="63"/>
              <w:rPr>
                <w:rFonts w:hint="eastAsia" w:ascii="宋体" w:hAnsi="宋体"/>
                <w:color w:val="auto"/>
                <w:highlight w:val="none"/>
              </w:rPr>
            </w:pPr>
          </w:p>
        </w:tc>
        <w:tc>
          <w:tcPr>
            <w:tcW w:w="1701" w:type="dxa"/>
            <w:tcBorders>
              <w:top w:val="single" w:color="auto" w:sz="6" w:space="0"/>
              <w:left w:val="single" w:color="auto" w:sz="6" w:space="0"/>
              <w:bottom w:val="single" w:color="auto" w:sz="12" w:space="0"/>
              <w:right w:val="single" w:color="auto" w:sz="12" w:space="0"/>
            </w:tcBorders>
          </w:tcPr>
          <w:p w14:paraId="06169FD6">
            <w:pPr>
              <w:pStyle w:val="18"/>
              <w:keepNext/>
              <w:spacing w:line="440" w:lineRule="exact"/>
              <w:ind w:left="420" w:right="63"/>
              <w:rPr>
                <w:rFonts w:hint="eastAsia" w:ascii="宋体" w:hAnsi="宋体"/>
                <w:color w:val="auto"/>
                <w:highlight w:val="none"/>
              </w:rPr>
            </w:pPr>
          </w:p>
        </w:tc>
      </w:tr>
    </w:tbl>
    <w:p w14:paraId="3B32A439">
      <w:pPr>
        <w:spacing w:before="156" w:beforeLines="50" w:after="156" w:afterLines="50" w:line="440" w:lineRule="exact"/>
        <w:jc w:val="center"/>
        <w:rPr>
          <w:rFonts w:hint="eastAsia" w:ascii="宋体" w:hAnsi="宋体" w:cs="宋体"/>
          <w:color w:val="auto"/>
          <w:szCs w:val="21"/>
          <w:highlight w:val="none"/>
        </w:rPr>
      </w:pPr>
    </w:p>
    <w:p w14:paraId="20D2FE18">
      <w:pPr>
        <w:spacing w:before="156" w:beforeLines="50" w:after="156" w:afterLines="50" w:line="440" w:lineRule="exact"/>
        <w:jc w:val="center"/>
        <w:rPr>
          <w:rFonts w:hint="eastAsia" w:ascii="宋体" w:hAnsi="宋体" w:cs="宋体"/>
          <w:color w:val="auto"/>
          <w:szCs w:val="21"/>
          <w:highlight w:val="none"/>
        </w:rPr>
      </w:pPr>
    </w:p>
    <w:p w14:paraId="596A9AF6">
      <w:pPr>
        <w:spacing w:before="156" w:beforeLines="50" w:after="156" w:afterLines="50" w:line="440" w:lineRule="exact"/>
        <w:jc w:val="center"/>
        <w:rPr>
          <w:rFonts w:hint="eastAsia" w:ascii="宋体" w:hAnsi="宋体" w:cs="宋体"/>
          <w:color w:val="auto"/>
          <w:szCs w:val="21"/>
          <w:highlight w:val="none"/>
        </w:rPr>
      </w:pPr>
    </w:p>
    <w:p w14:paraId="69C7AAB4">
      <w:pPr>
        <w:spacing w:before="156" w:beforeLines="50" w:after="156" w:afterLines="50" w:line="440" w:lineRule="exact"/>
        <w:jc w:val="center"/>
        <w:rPr>
          <w:rFonts w:hint="eastAsia" w:ascii="宋体" w:hAnsi="宋体" w:cs="宋体"/>
          <w:color w:val="auto"/>
          <w:szCs w:val="21"/>
          <w:highlight w:val="none"/>
        </w:rPr>
      </w:pPr>
    </w:p>
    <w:p w14:paraId="2BECA557">
      <w:pPr>
        <w:spacing w:before="156" w:beforeLines="50" w:after="156" w:afterLines="50" w:line="440" w:lineRule="exact"/>
        <w:jc w:val="center"/>
        <w:rPr>
          <w:rFonts w:hint="eastAsia" w:ascii="宋体" w:hAnsi="宋体" w:cs="宋体"/>
          <w:color w:val="auto"/>
          <w:szCs w:val="21"/>
          <w:highlight w:val="none"/>
        </w:rPr>
      </w:pPr>
    </w:p>
    <w:p w14:paraId="308FCE4D">
      <w:pPr>
        <w:spacing w:before="156" w:beforeLines="50" w:after="156" w:afterLines="50" w:line="440" w:lineRule="exact"/>
        <w:jc w:val="center"/>
        <w:rPr>
          <w:rFonts w:hint="eastAsia" w:ascii="宋体" w:hAnsi="宋体" w:cs="宋体"/>
          <w:color w:val="auto"/>
          <w:szCs w:val="21"/>
          <w:highlight w:val="none"/>
        </w:rPr>
      </w:pPr>
    </w:p>
    <w:p w14:paraId="17EA35B2">
      <w:pPr>
        <w:spacing w:before="156" w:beforeLines="50" w:after="156" w:afterLines="50" w:line="440" w:lineRule="exact"/>
        <w:jc w:val="center"/>
        <w:rPr>
          <w:rFonts w:hint="eastAsia" w:ascii="宋体" w:hAnsi="宋体" w:cs="宋体"/>
          <w:color w:val="auto"/>
          <w:szCs w:val="21"/>
          <w:highlight w:val="none"/>
        </w:rPr>
      </w:pPr>
    </w:p>
    <w:p w14:paraId="0F1A995A">
      <w:pPr>
        <w:spacing w:before="156" w:beforeLines="50" w:after="156" w:afterLines="50" w:line="440" w:lineRule="exact"/>
        <w:jc w:val="center"/>
        <w:rPr>
          <w:rFonts w:hint="eastAsia" w:ascii="宋体" w:hAnsi="宋体" w:cs="宋体"/>
          <w:color w:val="auto"/>
          <w:szCs w:val="21"/>
          <w:highlight w:val="none"/>
        </w:rPr>
      </w:pPr>
    </w:p>
    <w:p w14:paraId="0A79C134">
      <w:pPr>
        <w:spacing w:before="156" w:beforeLines="50" w:after="156" w:afterLines="50" w:line="440" w:lineRule="exact"/>
        <w:jc w:val="center"/>
        <w:rPr>
          <w:rFonts w:hint="eastAsia" w:ascii="宋体" w:hAnsi="宋体" w:cs="宋体"/>
          <w:color w:val="auto"/>
          <w:szCs w:val="21"/>
          <w:highlight w:val="none"/>
        </w:rPr>
      </w:pPr>
    </w:p>
    <w:p w14:paraId="7BF5A182">
      <w:pPr>
        <w:spacing w:before="156" w:beforeLines="50" w:after="156" w:afterLines="50" w:line="440" w:lineRule="exact"/>
        <w:jc w:val="center"/>
        <w:rPr>
          <w:rFonts w:hint="eastAsia" w:ascii="宋体" w:hAnsi="宋体" w:cs="宋体"/>
          <w:color w:val="auto"/>
          <w:szCs w:val="21"/>
          <w:highlight w:val="none"/>
        </w:rPr>
      </w:pPr>
    </w:p>
    <w:p w14:paraId="1941EC38">
      <w:pPr>
        <w:spacing w:before="156" w:beforeLines="50" w:after="156" w:afterLines="50"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10-2：工程设备暂估价表</w:t>
      </w:r>
    </w:p>
    <w:tbl>
      <w:tblPr>
        <w:tblStyle w:val="47"/>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273C80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left w:val="single" w:color="auto" w:sz="12" w:space="0"/>
              <w:bottom w:val="double" w:color="auto" w:sz="6" w:space="0"/>
              <w:right w:val="single" w:color="auto" w:sz="6" w:space="0"/>
            </w:tcBorders>
          </w:tcPr>
          <w:p w14:paraId="110FDAB7">
            <w:pPr>
              <w:pStyle w:val="18"/>
              <w:keepNext/>
              <w:spacing w:line="440" w:lineRule="exact"/>
              <w:ind w:left="420" w:right="63"/>
              <w:rPr>
                <w:rFonts w:hint="eastAsia" w:ascii="宋体" w:hAnsi="宋体"/>
                <w:color w:val="auto"/>
                <w:highlight w:val="none"/>
              </w:rPr>
            </w:pPr>
          </w:p>
        </w:tc>
        <w:tc>
          <w:tcPr>
            <w:tcW w:w="1984" w:type="dxa"/>
            <w:tcBorders>
              <w:top w:val="single" w:color="auto" w:sz="12" w:space="0"/>
              <w:left w:val="single" w:color="auto" w:sz="6" w:space="0"/>
              <w:bottom w:val="double" w:color="auto" w:sz="6" w:space="0"/>
              <w:right w:val="single" w:color="auto" w:sz="6" w:space="0"/>
            </w:tcBorders>
          </w:tcPr>
          <w:p w14:paraId="28466511">
            <w:pPr>
              <w:pStyle w:val="18"/>
              <w:keepNext/>
              <w:spacing w:line="440" w:lineRule="exact"/>
              <w:ind w:left="420" w:right="63"/>
              <w:rPr>
                <w:rFonts w:hint="eastAsia" w:ascii="宋体" w:hAnsi="宋体"/>
                <w:color w:val="auto"/>
                <w:highlight w:val="none"/>
              </w:rPr>
            </w:pPr>
          </w:p>
        </w:tc>
        <w:tc>
          <w:tcPr>
            <w:tcW w:w="851" w:type="dxa"/>
            <w:tcBorders>
              <w:top w:val="single" w:color="auto" w:sz="12" w:space="0"/>
              <w:left w:val="single" w:color="auto" w:sz="6" w:space="0"/>
              <w:bottom w:val="double" w:color="auto" w:sz="6" w:space="0"/>
              <w:right w:val="single" w:color="auto" w:sz="6" w:space="0"/>
            </w:tcBorders>
          </w:tcPr>
          <w:p w14:paraId="2F9FF4B3">
            <w:pPr>
              <w:pStyle w:val="18"/>
              <w:keepNext/>
              <w:spacing w:line="440" w:lineRule="exact"/>
              <w:ind w:left="420" w:right="63"/>
              <w:rPr>
                <w:rFonts w:hint="eastAsia" w:ascii="宋体" w:hAnsi="宋体"/>
                <w:color w:val="auto"/>
                <w:highlight w:val="none"/>
              </w:rPr>
            </w:pPr>
          </w:p>
        </w:tc>
        <w:tc>
          <w:tcPr>
            <w:tcW w:w="774" w:type="dxa"/>
            <w:tcBorders>
              <w:top w:val="single" w:color="auto" w:sz="12" w:space="0"/>
              <w:left w:val="single" w:color="auto" w:sz="6" w:space="0"/>
              <w:bottom w:val="double" w:color="auto" w:sz="6" w:space="0"/>
              <w:right w:val="single" w:color="auto" w:sz="6" w:space="0"/>
            </w:tcBorders>
          </w:tcPr>
          <w:p w14:paraId="267B415C">
            <w:pPr>
              <w:pStyle w:val="18"/>
              <w:keepNext/>
              <w:spacing w:line="440" w:lineRule="exact"/>
              <w:ind w:left="420" w:right="63"/>
              <w:rPr>
                <w:rFonts w:hint="eastAsia" w:ascii="宋体" w:hAnsi="宋体"/>
                <w:color w:val="auto"/>
                <w:highlight w:val="none"/>
              </w:rPr>
            </w:pPr>
          </w:p>
        </w:tc>
        <w:tc>
          <w:tcPr>
            <w:tcW w:w="1352" w:type="dxa"/>
            <w:tcBorders>
              <w:top w:val="single" w:color="auto" w:sz="12" w:space="0"/>
              <w:left w:val="single" w:color="auto" w:sz="6" w:space="0"/>
              <w:bottom w:val="double" w:color="auto" w:sz="6" w:space="0"/>
              <w:right w:val="single" w:color="auto" w:sz="6" w:space="0"/>
            </w:tcBorders>
          </w:tcPr>
          <w:p w14:paraId="61872117">
            <w:pPr>
              <w:pStyle w:val="18"/>
              <w:keepNext/>
              <w:spacing w:line="440" w:lineRule="exact"/>
              <w:ind w:left="420" w:right="63"/>
              <w:rPr>
                <w:rFonts w:hint="eastAsia" w:ascii="宋体" w:hAnsi="宋体"/>
                <w:color w:val="auto"/>
                <w:highlight w:val="none"/>
              </w:rPr>
            </w:pPr>
          </w:p>
        </w:tc>
        <w:tc>
          <w:tcPr>
            <w:tcW w:w="1418" w:type="dxa"/>
            <w:tcBorders>
              <w:top w:val="single" w:color="auto" w:sz="12" w:space="0"/>
              <w:left w:val="single" w:color="auto" w:sz="6" w:space="0"/>
              <w:bottom w:val="double" w:color="auto" w:sz="6" w:space="0"/>
              <w:right w:val="single" w:color="auto" w:sz="6" w:space="0"/>
            </w:tcBorders>
          </w:tcPr>
          <w:p w14:paraId="180D51D0">
            <w:pPr>
              <w:pStyle w:val="18"/>
              <w:keepNext/>
              <w:spacing w:line="440" w:lineRule="exact"/>
              <w:ind w:left="420" w:right="63"/>
              <w:rPr>
                <w:rFonts w:hint="eastAsia" w:ascii="宋体" w:hAnsi="宋体"/>
                <w:color w:val="auto"/>
                <w:highlight w:val="none"/>
              </w:rPr>
            </w:pPr>
          </w:p>
        </w:tc>
        <w:tc>
          <w:tcPr>
            <w:tcW w:w="1701" w:type="dxa"/>
            <w:tcBorders>
              <w:top w:val="single" w:color="auto" w:sz="12" w:space="0"/>
              <w:left w:val="single" w:color="auto" w:sz="6" w:space="0"/>
              <w:bottom w:val="double" w:color="auto" w:sz="6" w:space="0"/>
              <w:right w:val="single" w:color="auto" w:sz="12" w:space="0"/>
            </w:tcBorders>
          </w:tcPr>
          <w:p w14:paraId="520865F6">
            <w:pPr>
              <w:pStyle w:val="18"/>
              <w:keepNext/>
              <w:spacing w:line="440" w:lineRule="exact"/>
              <w:ind w:left="420" w:right="63"/>
              <w:rPr>
                <w:rFonts w:hint="eastAsia" w:ascii="宋体" w:hAnsi="宋体"/>
                <w:color w:val="auto"/>
                <w:highlight w:val="none"/>
              </w:rPr>
            </w:pPr>
          </w:p>
        </w:tc>
      </w:tr>
      <w:tr w14:paraId="14982B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left w:val="single" w:color="auto" w:sz="12" w:space="0"/>
              <w:bottom w:val="single" w:color="auto" w:sz="6" w:space="0"/>
              <w:right w:val="single" w:color="auto" w:sz="6" w:space="0"/>
            </w:tcBorders>
          </w:tcPr>
          <w:p w14:paraId="571CC0E5">
            <w:pPr>
              <w:pStyle w:val="18"/>
              <w:keepNext/>
              <w:spacing w:line="440" w:lineRule="exact"/>
              <w:ind w:left="420" w:right="63"/>
              <w:rPr>
                <w:rFonts w:hint="eastAsia" w:ascii="宋体" w:hAnsi="宋体"/>
                <w:color w:val="auto"/>
                <w:highlight w:val="none"/>
              </w:rPr>
            </w:pPr>
          </w:p>
        </w:tc>
        <w:tc>
          <w:tcPr>
            <w:tcW w:w="1984" w:type="dxa"/>
            <w:tcBorders>
              <w:top w:val="double" w:color="auto" w:sz="6" w:space="0"/>
              <w:left w:val="single" w:color="auto" w:sz="6" w:space="0"/>
              <w:bottom w:val="single" w:color="auto" w:sz="6" w:space="0"/>
              <w:right w:val="single" w:color="auto" w:sz="6" w:space="0"/>
            </w:tcBorders>
          </w:tcPr>
          <w:p w14:paraId="0520EDF5">
            <w:pPr>
              <w:pStyle w:val="18"/>
              <w:keepNext/>
              <w:spacing w:line="440" w:lineRule="exact"/>
              <w:ind w:left="420" w:right="63"/>
              <w:rPr>
                <w:rFonts w:hint="eastAsia" w:ascii="宋体" w:hAnsi="宋体"/>
                <w:color w:val="auto"/>
                <w:highlight w:val="none"/>
              </w:rPr>
            </w:pPr>
          </w:p>
        </w:tc>
        <w:tc>
          <w:tcPr>
            <w:tcW w:w="851" w:type="dxa"/>
            <w:tcBorders>
              <w:top w:val="double" w:color="auto" w:sz="6" w:space="0"/>
              <w:left w:val="single" w:color="auto" w:sz="6" w:space="0"/>
              <w:bottom w:val="single" w:color="auto" w:sz="6" w:space="0"/>
              <w:right w:val="single" w:color="auto" w:sz="6" w:space="0"/>
            </w:tcBorders>
          </w:tcPr>
          <w:p w14:paraId="5B557E88">
            <w:pPr>
              <w:pStyle w:val="18"/>
              <w:keepNext/>
              <w:spacing w:line="440" w:lineRule="exact"/>
              <w:ind w:left="420" w:right="63"/>
              <w:rPr>
                <w:rFonts w:hint="eastAsia" w:ascii="宋体" w:hAnsi="宋体"/>
                <w:color w:val="auto"/>
                <w:highlight w:val="none"/>
              </w:rPr>
            </w:pPr>
          </w:p>
        </w:tc>
        <w:tc>
          <w:tcPr>
            <w:tcW w:w="774" w:type="dxa"/>
            <w:tcBorders>
              <w:top w:val="double" w:color="auto" w:sz="6" w:space="0"/>
              <w:left w:val="single" w:color="auto" w:sz="6" w:space="0"/>
              <w:bottom w:val="single" w:color="auto" w:sz="6" w:space="0"/>
              <w:right w:val="single" w:color="auto" w:sz="6" w:space="0"/>
            </w:tcBorders>
          </w:tcPr>
          <w:p w14:paraId="79E41FE3">
            <w:pPr>
              <w:pStyle w:val="18"/>
              <w:keepNext/>
              <w:spacing w:line="440" w:lineRule="exact"/>
              <w:ind w:left="420" w:right="63"/>
              <w:rPr>
                <w:rFonts w:hint="eastAsia" w:ascii="宋体" w:hAnsi="宋体"/>
                <w:color w:val="auto"/>
                <w:highlight w:val="none"/>
              </w:rPr>
            </w:pPr>
          </w:p>
        </w:tc>
        <w:tc>
          <w:tcPr>
            <w:tcW w:w="1352" w:type="dxa"/>
            <w:tcBorders>
              <w:top w:val="double" w:color="auto" w:sz="6" w:space="0"/>
              <w:left w:val="single" w:color="auto" w:sz="6" w:space="0"/>
              <w:bottom w:val="single" w:color="auto" w:sz="6" w:space="0"/>
              <w:right w:val="single" w:color="auto" w:sz="6" w:space="0"/>
            </w:tcBorders>
          </w:tcPr>
          <w:p w14:paraId="3FA84AAA">
            <w:pPr>
              <w:pStyle w:val="18"/>
              <w:keepNext/>
              <w:spacing w:line="440" w:lineRule="exact"/>
              <w:ind w:left="420" w:right="63"/>
              <w:rPr>
                <w:rFonts w:hint="eastAsia" w:ascii="宋体" w:hAnsi="宋体"/>
                <w:color w:val="auto"/>
                <w:highlight w:val="none"/>
              </w:rPr>
            </w:pPr>
          </w:p>
        </w:tc>
        <w:tc>
          <w:tcPr>
            <w:tcW w:w="1418" w:type="dxa"/>
            <w:tcBorders>
              <w:top w:val="double" w:color="auto" w:sz="6" w:space="0"/>
              <w:left w:val="single" w:color="auto" w:sz="6" w:space="0"/>
              <w:bottom w:val="single" w:color="auto" w:sz="6" w:space="0"/>
              <w:right w:val="single" w:color="auto" w:sz="6" w:space="0"/>
            </w:tcBorders>
          </w:tcPr>
          <w:p w14:paraId="364537B2">
            <w:pPr>
              <w:pStyle w:val="18"/>
              <w:keepNext/>
              <w:spacing w:line="440" w:lineRule="exact"/>
              <w:ind w:left="420" w:right="63"/>
              <w:rPr>
                <w:rFonts w:hint="eastAsia" w:ascii="宋体" w:hAnsi="宋体"/>
                <w:color w:val="auto"/>
                <w:highlight w:val="none"/>
              </w:rPr>
            </w:pPr>
          </w:p>
        </w:tc>
        <w:tc>
          <w:tcPr>
            <w:tcW w:w="1701" w:type="dxa"/>
            <w:tcBorders>
              <w:top w:val="double" w:color="auto" w:sz="6" w:space="0"/>
              <w:left w:val="single" w:color="auto" w:sz="6" w:space="0"/>
              <w:bottom w:val="single" w:color="auto" w:sz="6" w:space="0"/>
              <w:right w:val="single" w:color="auto" w:sz="12" w:space="0"/>
            </w:tcBorders>
          </w:tcPr>
          <w:p w14:paraId="18767CA3">
            <w:pPr>
              <w:pStyle w:val="18"/>
              <w:keepNext/>
              <w:spacing w:line="440" w:lineRule="exact"/>
              <w:ind w:left="420" w:right="63"/>
              <w:rPr>
                <w:rFonts w:hint="eastAsia" w:ascii="宋体" w:hAnsi="宋体"/>
                <w:color w:val="auto"/>
                <w:highlight w:val="none"/>
              </w:rPr>
            </w:pPr>
          </w:p>
        </w:tc>
      </w:tr>
      <w:tr w14:paraId="4C5C3D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left w:val="single" w:color="auto" w:sz="12" w:space="0"/>
              <w:bottom w:val="single" w:color="auto" w:sz="6" w:space="0"/>
              <w:right w:val="single" w:color="auto" w:sz="6" w:space="0"/>
            </w:tcBorders>
          </w:tcPr>
          <w:p w14:paraId="2CDA9544">
            <w:pPr>
              <w:pStyle w:val="18"/>
              <w:keepNext/>
              <w:spacing w:line="440" w:lineRule="exact"/>
              <w:ind w:left="420" w:right="63"/>
              <w:rPr>
                <w:rFonts w:hint="eastAsia" w:ascii="宋体" w:hAnsi="宋体"/>
                <w:color w:val="auto"/>
                <w:highlight w:val="none"/>
              </w:rPr>
            </w:pPr>
          </w:p>
        </w:tc>
        <w:tc>
          <w:tcPr>
            <w:tcW w:w="1984" w:type="dxa"/>
            <w:tcBorders>
              <w:top w:val="nil"/>
              <w:left w:val="single" w:color="auto" w:sz="6" w:space="0"/>
              <w:bottom w:val="single" w:color="auto" w:sz="6" w:space="0"/>
              <w:right w:val="single" w:color="auto" w:sz="6" w:space="0"/>
            </w:tcBorders>
          </w:tcPr>
          <w:p w14:paraId="589D2DF0">
            <w:pPr>
              <w:pStyle w:val="18"/>
              <w:keepNext/>
              <w:spacing w:line="440" w:lineRule="exact"/>
              <w:ind w:left="420" w:right="63"/>
              <w:rPr>
                <w:rFonts w:hint="eastAsia" w:ascii="宋体" w:hAnsi="宋体"/>
                <w:color w:val="auto"/>
                <w:highlight w:val="none"/>
              </w:rPr>
            </w:pPr>
          </w:p>
        </w:tc>
        <w:tc>
          <w:tcPr>
            <w:tcW w:w="851" w:type="dxa"/>
            <w:tcBorders>
              <w:top w:val="nil"/>
              <w:left w:val="single" w:color="auto" w:sz="6" w:space="0"/>
              <w:bottom w:val="single" w:color="auto" w:sz="6" w:space="0"/>
              <w:right w:val="single" w:color="auto" w:sz="6" w:space="0"/>
            </w:tcBorders>
          </w:tcPr>
          <w:p w14:paraId="20F84108">
            <w:pPr>
              <w:pStyle w:val="18"/>
              <w:keepNext/>
              <w:spacing w:line="440" w:lineRule="exact"/>
              <w:ind w:left="420" w:right="63"/>
              <w:rPr>
                <w:rFonts w:hint="eastAsia" w:ascii="宋体" w:hAnsi="宋体"/>
                <w:color w:val="auto"/>
                <w:highlight w:val="none"/>
              </w:rPr>
            </w:pPr>
          </w:p>
        </w:tc>
        <w:tc>
          <w:tcPr>
            <w:tcW w:w="774" w:type="dxa"/>
            <w:tcBorders>
              <w:top w:val="nil"/>
              <w:left w:val="single" w:color="auto" w:sz="6" w:space="0"/>
              <w:bottom w:val="single" w:color="auto" w:sz="6" w:space="0"/>
              <w:right w:val="single" w:color="auto" w:sz="6" w:space="0"/>
            </w:tcBorders>
          </w:tcPr>
          <w:p w14:paraId="6EE39882">
            <w:pPr>
              <w:pStyle w:val="18"/>
              <w:keepNext/>
              <w:spacing w:line="440" w:lineRule="exact"/>
              <w:ind w:left="420" w:right="63"/>
              <w:rPr>
                <w:rFonts w:hint="eastAsia" w:ascii="宋体" w:hAnsi="宋体"/>
                <w:color w:val="auto"/>
                <w:highlight w:val="none"/>
              </w:rPr>
            </w:pPr>
          </w:p>
        </w:tc>
        <w:tc>
          <w:tcPr>
            <w:tcW w:w="1352" w:type="dxa"/>
            <w:tcBorders>
              <w:top w:val="nil"/>
              <w:left w:val="single" w:color="auto" w:sz="6" w:space="0"/>
              <w:bottom w:val="single" w:color="auto" w:sz="6" w:space="0"/>
              <w:right w:val="single" w:color="auto" w:sz="6" w:space="0"/>
            </w:tcBorders>
          </w:tcPr>
          <w:p w14:paraId="2C5EB3CE">
            <w:pPr>
              <w:pStyle w:val="18"/>
              <w:keepNext/>
              <w:spacing w:line="440" w:lineRule="exact"/>
              <w:ind w:left="420" w:right="63"/>
              <w:rPr>
                <w:rFonts w:hint="eastAsia" w:ascii="宋体" w:hAnsi="宋体"/>
                <w:color w:val="auto"/>
                <w:highlight w:val="none"/>
              </w:rPr>
            </w:pPr>
          </w:p>
        </w:tc>
        <w:tc>
          <w:tcPr>
            <w:tcW w:w="1418" w:type="dxa"/>
            <w:tcBorders>
              <w:top w:val="nil"/>
              <w:left w:val="single" w:color="auto" w:sz="6" w:space="0"/>
              <w:bottom w:val="single" w:color="auto" w:sz="6" w:space="0"/>
              <w:right w:val="single" w:color="auto" w:sz="6" w:space="0"/>
            </w:tcBorders>
          </w:tcPr>
          <w:p w14:paraId="4824B3FC">
            <w:pPr>
              <w:pStyle w:val="18"/>
              <w:keepNext/>
              <w:spacing w:line="440" w:lineRule="exact"/>
              <w:ind w:left="420" w:right="63"/>
              <w:rPr>
                <w:rFonts w:hint="eastAsia" w:ascii="宋体" w:hAnsi="宋体"/>
                <w:color w:val="auto"/>
                <w:highlight w:val="none"/>
              </w:rPr>
            </w:pPr>
          </w:p>
        </w:tc>
        <w:tc>
          <w:tcPr>
            <w:tcW w:w="1701" w:type="dxa"/>
            <w:tcBorders>
              <w:top w:val="nil"/>
              <w:left w:val="single" w:color="auto" w:sz="6" w:space="0"/>
              <w:bottom w:val="single" w:color="auto" w:sz="6" w:space="0"/>
              <w:right w:val="single" w:color="auto" w:sz="12" w:space="0"/>
            </w:tcBorders>
          </w:tcPr>
          <w:p w14:paraId="4319B5B2">
            <w:pPr>
              <w:pStyle w:val="18"/>
              <w:keepNext/>
              <w:spacing w:line="440" w:lineRule="exact"/>
              <w:ind w:left="420" w:right="63"/>
              <w:rPr>
                <w:rFonts w:hint="eastAsia" w:ascii="宋体" w:hAnsi="宋体"/>
                <w:color w:val="auto"/>
                <w:highlight w:val="none"/>
              </w:rPr>
            </w:pPr>
          </w:p>
        </w:tc>
      </w:tr>
      <w:tr w14:paraId="6C14E2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09BA425A">
            <w:pPr>
              <w:pStyle w:val="18"/>
              <w:keepNext/>
              <w:spacing w:line="440" w:lineRule="exact"/>
              <w:ind w:left="420" w:right="63"/>
              <w:rPr>
                <w:rFonts w:hint="eastAsia" w:ascii="宋体" w:hAnsi="宋体"/>
                <w:color w:val="auto"/>
                <w:highlight w:val="none"/>
              </w:rPr>
            </w:pPr>
          </w:p>
        </w:tc>
        <w:tc>
          <w:tcPr>
            <w:tcW w:w="1984" w:type="dxa"/>
            <w:tcBorders>
              <w:top w:val="single" w:color="auto" w:sz="6" w:space="0"/>
              <w:left w:val="single" w:color="auto" w:sz="6" w:space="0"/>
              <w:bottom w:val="single" w:color="auto" w:sz="6" w:space="0"/>
              <w:right w:val="single" w:color="auto" w:sz="6" w:space="0"/>
            </w:tcBorders>
          </w:tcPr>
          <w:p w14:paraId="4990285F">
            <w:pPr>
              <w:pStyle w:val="18"/>
              <w:keepNext/>
              <w:spacing w:line="440" w:lineRule="exact"/>
              <w:ind w:left="420" w:right="63"/>
              <w:rPr>
                <w:rFonts w:hint="eastAsia" w:ascii="宋体" w:hAnsi="宋体"/>
                <w:color w:val="auto"/>
                <w:highlight w:val="none"/>
              </w:rPr>
            </w:pPr>
          </w:p>
        </w:tc>
        <w:tc>
          <w:tcPr>
            <w:tcW w:w="851" w:type="dxa"/>
            <w:tcBorders>
              <w:top w:val="single" w:color="auto" w:sz="6" w:space="0"/>
              <w:left w:val="single" w:color="auto" w:sz="6" w:space="0"/>
              <w:bottom w:val="single" w:color="auto" w:sz="6" w:space="0"/>
              <w:right w:val="single" w:color="auto" w:sz="6" w:space="0"/>
            </w:tcBorders>
          </w:tcPr>
          <w:p w14:paraId="3A69AEC3">
            <w:pPr>
              <w:pStyle w:val="18"/>
              <w:keepNext/>
              <w:spacing w:line="440" w:lineRule="exact"/>
              <w:ind w:left="420" w:right="63"/>
              <w:rPr>
                <w:rFonts w:hint="eastAsia" w:ascii="宋体" w:hAnsi="宋体"/>
                <w:color w:val="auto"/>
                <w:highlight w:val="none"/>
              </w:rPr>
            </w:pPr>
          </w:p>
        </w:tc>
        <w:tc>
          <w:tcPr>
            <w:tcW w:w="774" w:type="dxa"/>
            <w:tcBorders>
              <w:top w:val="single" w:color="auto" w:sz="6" w:space="0"/>
              <w:left w:val="single" w:color="auto" w:sz="6" w:space="0"/>
              <w:bottom w:val="single" w:color="auto" w:sz="6" w:space="0"/>
              <w:right w:val="single" w:color="auto" w:sz="6" w:space="0"/>
            </w:tcBorders>
          </w:tcPr>
          <w:p w14:paraId="0362380C">
            <w:pPr>
              <w:pStyle w:val="18"/>
              <w:keepNext/>
              <w:spacing w:line="440" w:lineRule="exact"/>
              <w:ind w:left="420" w:right="63"/>
              <w:rPr>
                <w:rFonts w:hint="eastAsia" w:ascii="宋体" w:hAnsi="宋体"/>
                <w:color w:val="auto"/>
                <w:highlight w:val="none"/>
              </w:rPr>
            </w:pPr>
          </w:p>
        </w:tc>
        <w:tc>
          <w:tcPr>
            <w:tcW w:w="1352" w:type="dxa"/>
            <w:tcBorders>
              <w:top w:val="single" w:color="auto" w:sz="6" w:space="0"/>
              <w:left w:val="single" w:color="auto" w:sz="6" w:space="0"/>
              <w:bottom w:val="single" w:color="auto" w:sz="6" w:space="0"/>
              <w:right w:val="single" w:color="auto" w:sz="6" w:space="0"/>
            </w:tcBorders>
          </w:tcPr>
          <w:p w14:paraId="6A0CE997">
            <w:pPr>
              <w:pStyle w:val="18"/>
              <w:keepNext/>
              <w:spacing w:line="440" w:lineRule="exact"/>
              <w:ind w:left="420" w:right="63"/>
              <w:rPr>
                <w:rFonts w:hint="eastAsia" w:ascii="宋体" w:hAnsi="宋体"/>
                <w:color w:val="auto"/>
                <w:highlight w:val="none"/>
              </w:rPr>
            </w:pPr>
          </w:p>
        </w:tc>
        <w:tc>
          <w:tcPr>
            <w:tcW w:w="1418" w:type="dxa"/>
            <w:tcBorders>
              <w:top w:val="single" w:color="auto" w:sz="6" w:space="0"/>
              <w:left w:val="single" w:color="auto" w:sz="6" w:space="0"/>
              <w:bottom w:val="single" w:color="auto" w:sz="6" w:space="0"/>
              <w:right w:val="single" w:color="auto" w:sz="6" w:space="0"/>
            </w:tcBorders>
          </w:tcPr>
          <w:p w14:paraId="0C6A3FC4">
            <w:pPr>
              <w:pStyle w:val="18"/>
              <w:keepNext/>
              <w:spacing w:line="440" w:lineRule="exact"/>
              <w:ind w:left="420" w:right="63"/>
              <w:rPr>
                <w:rFonts w:hint="eastAsia" w:ascii="宋体" w:hAnsi="宋体"/>
                <w:color w:val="auto"/>
                <w:highlight w:val="none"/>
              </w:rPr>
            </w:pPr>
          </w:p>
        </w:tc>
        <w:tc>
          <w:tcPr>
            <w:tcW w:w="1701" w:type="dxa"/>
            <w:tcBorders>
              <w:top w:val="single" w:color="auto" w:sz="6" w:space="0"/>
              <w:left w:val="single" w:color="auto" w:sz="6" w:space="0"/>
              <w:bottom w:val="single" w:color="auto" w:sz="6" w:space="0"/>
              <w:right w:val="single" w:color="auto" w:sz="12" w:space="0"/>
            </w:tcBorders>
          </w:tcPr>
          <w:p w14:paraId="631D09FC">
            <w:pPr>
              <w:pStyle w:val="18"/>
              <w:keepNext/>
              <w:spacing w:line="440" w:lineRule="exact"/>
              <w:ind w:left="420" w:right="63"/>
              <w:rPr>
                <w:rFonts w:hint="eastAsia" w:ascii="宋体" w:hAnsi="宋体"/>
                <w:color w:val="auto"/>
                <w:highlight w:val="none"/>
              </w:rPr>
            </w:pPr>
          </w:p>
        </w:tc>
      </w:tr>
      <w:tr w14:paraId="122F52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784F00DC">
            <w:pPr>
              <w:pStyle w:val="18"/>
              <w:keepNext/>
              <w:spacing w:line="440" w:lineRule="exact"/>
              <w:ind w:left="420" w:right="63"/>
              <w:rPr>
                <w:rFonts w:hint="eastAsia" w:ascii="宋体" w:hAnsi="宋体"/>
                <w:color w:val="auto"/>
                <w:highlight w:val="none"/>
              </w:rPr>
            </w:pPr>
          </w:p>
        </w:tc>
        <w:tc>
          <w:tcPr>
            <w:tcW w:w="1984" w:type="dxa"/>
            <w:tcBorders>
              <w:top w:val="single" w:color="auto" w:sz="6" w:space="0"/>
              <w:left w:val="single" w:color="auto" w:sz="6" w:space="0"/>
              <w:bottom w:val="single" w:color="auto" w:sz="6" w:space="0"/>
              <w:right w:val="single" w:color="auto" w:sz="6" w:space="0"/>
            </w:tcBorders>
          </w:tcPr>
          <w:p w14:paraId="09E0DEF4">
            <w:pPr>
              <w:pStyle w:val="18"/>
              <w:keepNext/>
              <w:spacing w:line="440" w:lineRule="exact"/>
              <w:ind w:left="420" w:right="63"/>
              <w:rPr>
                <w:rFonts w:hint="eastAsia" w:ascii="宋体" w:hAnsi="宋体"/>
                <w:color w:val="auto"/>
                <w:highlight w:val="none"/>
              </w:rPr>
            </w:pPr>
          </w:p>
        </w:tc>
        <w:tc>
          <w:tcPr>
            <w:tcW w:w="851" w:type="dxa"/>
            <w:tcBorders>
              <w:top w:val="single" w:color="auto" w:sz="6" w:space="0"/>
              <w:left w:val="single" w:color="auto" w:sz="6" w:space="0"/>
              <w:bottom w:val="single" w:color="auto" w:sz="6" w:space="0"/>
              <w:right w:val="single" w:color="auto" w:sz="6" w:space="0"/>
            </w:tcBorders>
          </w:tcPr>
          <w:p w14:paraId="12D5E0D4">
            <w:pPr>
              <w:pStyle w:val="18"/>
              <w:keepNext/>
              <w:spacing w:line="440" w:lineRule="exact"/>
              <w:ind w:left="420" w:right="63"/>
              <w:rPr>
                <w:rFonts w:hint="eastAsia" w:ascii="宋体" w:hAnsi="宋体"/>
                <w:color w:val="auto"/>
                <w:highlight w:val="none"/>
              </w:rPr>
            </w:pPr>
          </w:p>
        </w:tc>
        <w:tc>
          <w:tcPr>
            <w:tcW w:w="774" w:type="dxa"/>
            <w:tcBorders>
              <w:top w:val="single" w:color="auto" w:sz="6" w:space="0"/>
              <w:left w:val="single" w:color="auto" w:sz="6" w:space="0"/>
              <w:bottom w:val="single" w:color="auto" w:sz="6" w:space="0"/>
              <w:right w:val="single" w:color="auto" w:sz="6" w:space="0"/>
            </w:tcBorders>
          </w:tcPr>
          <w:p w14:paraId="321EE29C">
            <w:pPr>
              <w:pStyle w:val="18"/>
              <w:keepNext/>
              <w:spacing w:line="440" w:lineRule="exact"/>
              <w:ind w:left="420" w:right="63"/>
              <w:rPr>
                <w:rFonts w:hint="eastAsia" w:ascii="宋体" w:hAnsi="宋体"/>
                <w:color w:val="auto"/>
                <w:highlight w:val="none"/>
              </w:rPr>
            </w:pPr>
          </w:p>
        </w:tc>
        <w:tc>
          <w:tcPr>
            <w:tcW w:w="1352" w:type="dxa"/>
            <w:tcBorders>
              <w:top w:val="single" w:color="auto" w:sz="6" w:space="0"/>
              <w:left w:val="single" w:color="auto" w:sz="6" w:space="0"/>
              <w:bottom w:val="single" w:color="auto" w:sz="6" w:space="0"/>
              <w:right w:val="single" w:color="auto" w:sz="6" w:space="0"/>
            </w:tcBorders>
          </w:tcPr>
          <w:p w14:paraId="65E839FC">
            <w:pPr>
              <w:pStyle w:val="18"/>
              <w:keepNext/>
              <w:spacing w:line="440" w:lineRule="exact"/>
              <w:ind w:left="420" w:right="63"/>
              <w:rPr>
                <w:rFonts w:hint="eastAsia" w:ascii="宋体" w:hAnsi="宋体"/>
                <w:color w:val="auto"/>
                <w:highlight w:val="none"/>
              </w:rPr>
            </w:pPr>
          </w:p>
        </w:tc>
        <w:tc>
          <w:tcPr>
            <w:tcW w:w="1418" w:type="dxa"/>
            <w:tcBorders>
              <w:top w:val="single" w:color="auto" w:sz="6" w:space="0"/>
              <w:left w:val="single" w:color="auto" w:sz="6" w:space="0"/>
              <w:bottom w:val="single" w:color="auto" w:sz="6" w:space="0"/>
              <w:right w:val="single" w:color="auto" w:sz="6" w:space="0"/>
            </w:tcBorders>
          </w:tcPr>
          <w:p w14:paraId="1905650C">
            <w:pPr>
              <w:pStyle w:val="18"/>
              <w:keepNext/>
              <w:spacing w:line="440" w:lineRule="exact"/>
              <w:ind w:left="420" w:right="63"/>
              <w:rPr>
                <w:rFonts w:hint="eastAsia" w:ascii="宋体" w:hAnsi="宋体"/>
                <w:color w:val="auto"/>
                <w:highlight w:val="none"/>
              </w:rPr>
            </w:pPr>
          </w:p>
        </w:tc>
        <w:tc>
          <w:tcPr>
            <w:tcW w:w="1701" w:type="dxa"/>
            <w:tcBorders>
              <w:top w:val="single" w:color="auto" w:sz="6" w:space="0"/>
              <w:left w:val="single" w:color="auto" w:sz="6" w:space="0"/>
              <w:bottom w:val="single" w:color="auto" w:sz="6" w:space="0"/>
              <w:right w:val="single" w:color="auto" w:sz="12" w:space="0"/>
            </w:tcBorders>
          </w:tcPr>
          <w:p w14:paraId="7F02316E">
            <w:pPr>
              <w:pStyle w:val="18"/>
              <w:keepNext/>
              <w:spacing w:line="440" w:lineRule="exact"/>
              <w:ind w:left="420" w:right="63"/>
              <w:rPr>
                <w:rFonts w:hint="eastAsia" w:ascii="宋体" w:hAnsi="宋体"/>
                <w:color w:val="auto"/>
                <w:highlight w:val="none"/>
              </w:rPr>
            </w:pPr>
          </w:p>
        </w:tc>
      </w:tr>
      <w:tr w14:paraId="13DEFA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3C78322C">
            <w:pPr>
              <w:pStyle w:val="18"/>
              <w:keepNext/>
              <w:spacing w:line="440" w:lineRule="exact"/>
              <w:ind w:left="420" w:right="63"/>
              <w:rPr>
                <w:rFonts w:hint="eastAsia" w:ascii="宋体" w:hAnsi="宋体"/>
                <w:color w:val="auto"/>
                <w:highlight w:val="none"/>
              </w:rPr>
            </w:pPr>
          </w:p>
        </w:tc>
        <w:tc>
          <w:tcPr>
            <w:tcW w:w="1984" w:type="dxa"/>
            <w:tcBorders>
              <w:top w:val="single" w:color="auto" w:sz="6" w:space="0"/>
              <w:left w:val="single" w:color="auto" w:sz="6" w:space="0"/>
              <w:bottom w:val="single" w:color="auto" w:sz="6" w:space="0"/>
              <w:right w:val="single" w:color="auto" w:sz="6" w:space="0"/>
            </w:tcBorders>
          </w:tcPr>
          <w:p w14:paraId="6A29A124">
            <w:pPr>
              <w:pStyle w:val="18"/>
              <w:keepNext/>
              <w:spacing w:line="440" w:lineRule="exact"/>
              <w:ind w:left="420" w:right="63"/>
              <w:rPr>
                <w:rFonts w:hint="eastAsia" w:ascii="宋体" w:hAnsi="宋体"/>
                <w:color w:val="auto"/>
                <w:highlight w:val="none"/>
              </w:rPr>
            </w:pPr>
          </w:p>
        </w:tc>
        <w:tc>
          <w:tcPr>
            <w:tcW w:w="851" w:type="dxa"/>
            <w:tcBorders>
              <w:top w:val="single" w:color="auto" w:sz="6" w:space="0"/>
              <w:left w:val="single" w:color="auto" w:sz="6" w:space="0"/>
              <w:bottom w:val="single" w:color="auto" w:sz="6" w:space="0"/>
              <w:right w:val="single" w:color="auto" w:sz="6" w:space="0"/>
            </w:tcBorders>
          </w:tcPr>
          <w:p w14:paraId="5A17D624">
            <w:pPr>
              <w:pStyle w:val="18"/>
              <w:keepNext/>
              <w:spacing w:line="440" w:lineRule="exact"/>
              <w:ind w:left="420" w:right="63"/>
              <w:rPr>
                <w:rFonts w:hint="eastAsia" w:ascii="宋体" w:hAnsi="宋体"/>
                <w:color w:val="auto"/>
                <w:highlight w:val="none"/>
              </w:rPr>
            </w:pPr>
          </w:p>
        </w:tc>
        <w:tc>
          <w:tcPr>
            <w:tcW w:w="774" w:type="dxa"/>
            <w:tcBorders>
              <w:top w:val="single" w:color="auto" w:sz="6" w:space="0"/>
              <w:left w:val="single" w:color="auto" w:sz="6" w:space="0"/>
              <w:bottom w:val="single" w:color="auto" w:sz="6" w:space="0"/>
              <w:right w:val="single" w:color="auto" w:sz="6" w:space="0"/>
            </w:tcBorders>
          </w:tcPr>
          <w:p w14:paraId="5F7F0AC7">
            <w:pPr>
              <w:pStyle w:val="18"/>
              <w:keepNext/>
              <w:spacing w:line="440" w:lineRule="exact"/>
              <w:ind w:left="420" w:right="63"/>
              <w:rPr>
                <w:rFonts w:hint="eastAsia" w:ascii="宋体" w:hAnsi="宋体"/>
                <w:color w:val="auto"/>
                <w:highlight w:val="none"/>
              </w:rPr>
            </w:pPr>
          </w:p>
        </w:tc>
        <w:tc>
          <w:tcPr>
            <w:tcW w:w="1352" w:type="dxa"/>
            <w:tcBorders>
              <w:top w:val="single" w:color="auto" w:sz="6" w:space="0"/>
              <w:left w:val="single" w:color="auto" w:sz="6" w:space="0"/>
              <w:bottom w:val="single" w:color="auto" w:sz="6" w:space="0"/>
              <w:right w:val="single" w:color="auto" w:sz="6" w:space="0"/>
            </w:tcBorders>
          </w:tcPr>
          <w:p w14:paraId="27CD5D1F">
            <w:pPr>
              <w:pStyle w:val="18"/>
              <w:keepNext/>
              <w:spacing w:line="440" w:lineRule="exact"/>
              <w:ind w:left="420" w:right="63"/>
              <w:rPr>
                <w:rFonts w:hint="eastAsia" w:ascii="宋体" w:hAnsi="宋体"/>
                <w:color w:val="auto"/>
                <w:highlight w:val="none"/>
              </w:rPr>
            </w:pPr>
          </w:p>
        </w:tc>
        <w:tc>
          <w:tcPr>
            <w:tcW w:w="1418" w:type="dxa"/>
            <w:tcBorders>
              <w:top w:val="single" w:color="auto" w:sz="6" w:space="0"/>
              <w:left w:val="single" w:color="auto" w:sz="6" w:space="0"/>
              <w:bottom w:val="single" w:color="auto" w:sz="6" w:space="0"/>
              <w:right w:val="single" w:color="auto" w:sz="6" w:space="0"/>
            </w:tcBorders>
          </w:tcPr>
          <w:p w14:paraId="0C7A2629">
            <w:pPr>
              <w:pStyle w:val="18"/>
              <w:keepNext/>
              <w:spacing w:line="440" w:lineRule="exact"/>
              <w:ind w:left="420" w:right="63"/>
              <w:rPr>
                <w:rFonts w:hint="eastAsia" w:ascii="宋体" w:hAnsi="宋体"/>
                <w:color w:val="auto"/>
                <w:highlight w:val="none"/>
              </w:rPr>
            </w:pPr>
          </w:p>
        </w:tc>
        <w:tc>
          <w:tcPr>
            <w:tcW w:w="1701" w:type="dxa"/>
            <w:tcBorders>
              <w:top w:val="single" w:color="auto" w:sz="6" w:space="0"/>
              <w:left w:val="single" w:color="auto" w:sz="6" w:space="0"/>
              <w:bottom w:val="single" w:color="auto" w:sz="6" w:space="0"/>
              <w:right w:val="single" w:color="auto" w:sz="12" w:space="0"/>
            </w:tcBorders>
          </w:tcPr>
          <w:p w14:paraId="4516B9B4">
            <w:pPr>
              <w:pStyle w:val="18"/>
              <w:keepNext/>
              <w:spacing w:line="440" w:lineRule="exact"/>
              <w:ind w:left="420" w:right="63"/>
              <w:rPr>
                <w:rFonts w:hint="eastAsia" w:ascii="宋体" w:hAnsi="宋体"/>
                <w:color w:val="auto"/>
                <w:highlight w:val="none"/>
              </w:rPr>
            </w:pPr>
          </w:p>
        </w:tc>
      </w:tr>
      <w:tr w14:paraId="259B91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6C490841">
            <w:pPr>
              <w:pStyle w:val="18"/>
              <w:keepNext/>
              <w:spacing w:line="440" w:lineRule="exact"/>
              <w:ind w:left="420" w:right="63"/>
              <w:rPr>
                <w:rFonts w:hint="eastAsia" w:ascii="宋体" w:hAnsi="宋体"/>
                <w:color w:val="auto"/>
                <w:highlight w:val="none"/>
              </w:rPr>
            </w:pPr>
          </w:p>
        </w:tc>
        <w:tc>
          <w:tcPr>
            <w:tcW w:w="1984" w:type="dxa"/>
            <w:tcBorders>
              <w:top w:val="single" w:color="auto" w:sz="6" w:space="0"/>
              <w:left w:val="single" w:color="auto" w:sz="6" w:space="0"/>
              <w:bottom w:val="single" w:color="auto" w:sz="6" w:space="0"/>
              <w:right w:val="single" w:color="auto" w:sz="6" w:space="0"/>
            </w:tcBorders>
          </w:tcPr>
          <w:p w14:paraId="48CE87C5">
            <w:pPr>
              <w:pStyle w:val="18"/>
              <w:keepNext/>
              <w:spacing w:line="440" w:lineRule="exact"/>
              <w:ind w:left="420" w:right="63"/>
              <w:rPr>
                <w:rFonts w:hint="eastAsia" w:ascii="宋体" w:hAnsi="宋体"/>
                <w:color w:val="auto"/>
                <w:highlight w:val="none"/>
              </w:rPr>
            </w:pPr>
          </w:p>
        </w:tc>
        <w:tc>
          <w:tcPr>
            <w:tcW w:w="851" w:type="dxa"/>
            <w:tcBorders>
              <w:top w:val="single" w:color="auto" w:sz="6" w:space="0"/>
              <w:left w:val="single" w:color="auto" w:sz="6" w:space="0"/>
              <w:bottom w:val="single" w:color="auto" w:sz="6" w:space="0"/>
              <w:right w:val="single" w:color="auto" w:sz="6" w:space="0"/>
            </w:tcBorders>
          </w:tcPr>
          <w:p w14:paraId="363B689C">
            <w:pPr>
              <w:pStyle w:val="18"/>
              <w:keepNext/>
              <w:spacing w:line="440" w:lineRule="exact"/>
              <w:ind w:left="420" w:right="63"/>
              <w:rPr>
                <w:rFonts w:hint="eastAsia" w:ascii="宋体" w:hAnsi="宋体"/>
                <w:color w:val="auto"/>
                <w:highlight w:val="none"/>
              </w:rPr>
            </w:pPr>
          </w:p>
        </w:tc>
        <w:tc>
          <w:tcPr>
            <w:tcW w:w="774" w:type="dxa"/>
            <w:tcBorders>
              <w:top w:val="single" w:color="auto" w:sz="6" w:space="0"/>
              <w:left w:val="single" w:color="auto" w:sz="6" w:space="0"/>
              <w:bottom w:val="single" w:color="auto" w:sz="6" w:space="0"/>
              <w:right w:val="single" w:color="auto" w:sz="6" w:space="0"/>
            </w:tcBorders>
          </w:tcPr>
          <w:p w14:paraId="2028EC8F">
            <w:pPr>
              <w:pStyle w:val="18"/>
              <w:keepNext/>
              <w:spacing w:line="440" w:lineRule="exact"/>
              <w:ind w:left="420" w:right="63"/>
              <w:rPr>
                <w:rFonts w:hint="eastAsia" w:ascii="宋体" w:hAnsi="宋体"/>
                <w:color w:val="auto"/>
                <w:highlight w:val="none"/>
              </w:rPr>
            </w:pPr>
          </w:p>
        </w:tc>
        <w:tc>
          <w:tcPr>
            <w:tcW w:w="1352" w:type="dxa"/>
            <w:tcBorders>
              <w:top w:val="single" w:color="auto" w:sz="6" w:space="0"/>
              <w:left w:val="single" w:color="auto" w:sz="6" w:space="0"/>
              <w:bottom w:val="single" w:color="auto" w:sz="6" w:space="0"/>
              <w:right w:val="single" w:color="auto" w:sz="6" w:space="0"/>
            </w:tcBorders>
          </w:tcPr>
          <w:p w14:paraId="5D07F327">
            <w:pPr>
              <w:pStyle w:val="18"/>
              <w:keepNext/>
              <w:spacing w:line="440" w:lineRule="exact"/>
              <w:ind w:left="420" w:right="63"/>
              <w:rPr>
                <w:rFonts w:hint="eastAsia" w:ascii="宋体" w:hAnsi="宋体"/>
                <w:color w:val="auto"/>
                <w:highlight w:val="none"/>
              </w:rPr>
            </w:pPr>
          </w:p>
        </w:tc>
        <w:tc>
          <w:tcPr>
            <w:tcW w:w="1418" w:type="dxa"/>
            <w:tcBorders>
              <w:top w:val="single" w:color="auto" w:sz="6" w:space="0"/>
              <w:left w:val="single" w:color="auto" w:sz="6" w:space="0"/>
              <w:bottom w:val="single" w:color="auto" w:sz="6" w:space="0"/>
              <w:right w:val="single" w:color="auto" w:sz="6" w:space="0"/>
            </w:tcBorders>
          </w:tcPr>
          <w:p w14:paraId="15080AC5">
            <w:pPr>
              <w:pStyle w:val="18"/>
              <w:keepNext/>
              <w:spacing w:line="440" w:lineRule="exact"/>
              <w:ind w:left="420" w:right="63"/>
              <w:rPr>
                <w:rFonts w:hint="eastAsia" w:ascii="宋体" w:hAnsi="宋体"/>
                <w:color w:val="auto"/>
                <w:highlight w:val="none"/>
              </w:rPr>
            </w:pPr>
          </w:p>
        </w:tc>
        <w:tc>
          <w:tcPr>
            <w:tcW w:w="1701" w:type="dxa"/>
            <w:tcBorders>
              <w:top w:val="single" w:color="auto" w:sz="6" w:space="0"/>
              <w:left w:val="single" w:color="auto" w:sz="6" w:space="0"/>
              <w:bottom w:val="single" w:color="auto" w:sz="6" w:space="0"/>
              <w:right w:val="single" w:color="auto" w:sz="12" w:space="0"/>
            </w:tcBorders>
          </w:tcPr>
          <w:p w14:paraId="7091D4BF">
            <w:pPr>
              <w:pStyle w:val="18"/>
              <w:keepNext/>
              <w:spacing w:line="440" w:lineRule="exact"/>
              <w:ind w:left="420" w:right="63"/>
              <w:rPr>
                <w:rFonts w:hint="eastAsia" w:ascii="宋体" w:hAnsi="宋体"/>
                <w:color w:val="auto"/>
                <w:highlight w:val="none"/>
              </w:rPr>
            </w:pPr>
          </w:p>
        </w:tc>
      </w:tr>
      <w:tr w14:paraId="3CBEEA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5C2AE8D8">
            <w:pPr>
              <w:pStyle w:val="18"/>
              <w:keepNext/>
              <w:spacing w:line="440" w:lineRule="exact"/>
              <w:ind w:left="420" w:right="63"/>
              <w:rPr>
                <w:rFonts w:hint="eastAsia" w:ascii="宋体" w:hAnsi="宋体"/>
                <w:color w:val="auto"/>
                <w:highlight w:val="none"/>
              </w:rPr>
            </w:pPr>
          </w:p>
        </w:tc>
        <w:tc>
          <w:tcPr>
            <w:tcW w:w="1984" w:type="dxa"/>
            <w:tcBorders>
              <w:top w:val="single" w:color="auto" w:sz="6" w:space="0"/>
              <w:left w:val="single" w:color="auto" w:sz="6" w:space="0"/>
              <w:bottom w:val="single" w:color="auto" w:sz="6" w:space="0"/>
              <w:right w:val="single" w:color="auto" w:sz="6" w:space="0"/>
            </w:tcBorders>
          </w:tcPr>
          <w:p w14:paraId="75338985">
            <w:pPr>
              <w:pStyle w:val="18"/>
              <w:keepNext/>
              <w:spacing w:line="440" w:lineRule="exact"/>
              <w:ind w:left="420" w:right="63"/>
              <w:rPr>
                <w:rFonts w:hint="eastAsia" w:ascii="宋体" w:hAnsi="宋体"/>
                <w:color w:val="auto"/>
                <w:highlight w:val="none"/>
              </w:rPr>
            </w:pPr>
          </w:p>
        </w:tc>
        <w:tc>
          <w:tcPr>
            <w:tcW w:w="851" w:type="dxa"/>
            <w:tcBorders>
              <w:top w:val="single" w:color="auto" w:sz="6" w:space="0"/>
              <w:left w:val="single" w:color="auto" w:sz="6" w:space="0"/>
              <w:bottom w:val="single" w:color="auto" w:sz="6" w:space="0"/>
              <w:right w:val="single" w:color="auto" w:sz="6" w:space="0"/>
            </w:tcBorders>
          </w:tcPr>
          <w:p w14:paraId="552FB877">
            <w:pPr>
              <w:pStyle w:val="18"/>
              <w:keepNext/>
              <w:spacing w:line="440" w:lineRule="exact"/>
              <w:ind w:left="420" w:right="63"/>
              <w:rPr>
                <w:rFonts w:hint="eastAsia" w:ascii="宋体" w:hAnsi="宋体"/>
                <w:color w:val="auto"/>
                <w:highlight w:val="none"/>
              </w:rPr>
            </w:pPr>
          </w:p>
        </w:tc>
        <w:tc>
          <w:tcPr>
            <w:tcW w:w="774" w:type="dxa"/>
            <w:tcBorders>
              <w:top w:val="single" w:color="auto" w:sz="6" w:space="0"/>
              <w:left w:val="single" w:color="auto" w:sz="6" w:space="0"/>
              <w:bottom w:val="single" w:color="auto" w:sz="6" w:space="0"/>
              <w:right w:val="single" w:color="auto" w:sz="6" w:space="0"/>
            </w:tcBorders>
          </w:tcPr>
          <w:p w14:paraId="22C47E88">
            <w:pPr>
              <w:pStyle w:val="18"/>
              <w:keepNext/>
              <w:spacing w:line="440" w:lineRule="exact"/>
              <w:ind w:left="420" w:right="63"/>
              <w:rPr>
                <w:rFonts w:hint="eastAsia" w:ascii="宋体" w:hAnsi="宋体"/>
                <w:color w:val="auto"/>
                <w:highlight w:val="none"/>
              </w:rPr>
            </w:pPr>
          </w:p>
        </w:tc>
        <w:tc>
          <w:tcPr>
            <w:tcW w:w="1352" w:type="dxa"/>
            <w:tcBorders>
              <w:top w:val="single" w:color="auto" w:sz="6" w:space="0"/>
              <w:left w:val="single" w:color="auto" w:sz="6" w:space="0"/>
              <w:bottom w:val="single" w:color="auto" w:sz="6" w:space="0"/>
              <w:right w:val="single" w:color="auto" w:sz="6" w:space="0"/>
            </w:tcBorders>
          </w:tcPr>
          <w:p w14:paraId="6736DDF4">
            <w:pPr>
              <w:pStyle w:val="18"/>
              <w:keepNext/>
              <w:spacing w:line="440" w:lineRule="exact"/>
              <w:ind w:left="420" w:right="63"/>
              <w:rPr>
                <w:rFonts w:hint="eastAsia" w:ascii="宋体" w:hAnsi="宋体"/>
                <w:color w:val="auto"/>
                <w:highlight w:val="none"/>
              </w:rPr>
            </w:pPr>
          </w:p>
        </w:tc>
        <w:tc>
          <w:tcPr>
            <w:tcW w:w="1418" w:type="dxa"/>
            <w:tcBorders>
              <w:top w:val="single" w:color="auto" w:sz="6" w:space="0"/>
              <w:left w:val="single" w:color="auto" w:sz="6" w:space="0"/>
              <w:bottom w:val="single" w:color="auto" w:sz="6" w:space="0"/>
              <w:right w:val="single" w:color="auto" w:sz="6" w:space="0"/>
            </w:tcBorders>
          </w:tcPr>
          <w:p w14:paraId="3EEDBC79">
            <w:pPr>
              <w:pStyle w:val="18"/>
              <w:keepNext/>
              <w:spacing w:line="440" w:lineRule="exact"/>
              <w:ind w:left="420" w:right="63"/>
              <w:rPr>
                <w:rFonts w:hint="eastAsia" w:ascii="宋体" w:hAnsi="宋体"/>
                <w:color w:val="auto"/>
                <w:highlight w:val="none"/>
              </w:rPr>
            </w:pPr>
          </w:p>
        </w:tc>
        <w:tc>
          <w:tcPr>
            <w:tcW w:w="1701" w:type="dxa"/>
            <w:tcBorders>
              <w:top w:val="single" w:color="auto" w:sz="6" w:space="0"/>
              <w:left w:val="single" w:color="auto" w:sz="6" w:space="0"/>
              <w:bottom w:val="single" w:color="auto" w:sz="6" w:space="0"/>
              <w:right w:val="single" w:color="auto" w:sz="12" w:space="0"/>
            </w:tcBorders>
          </w:tcPr>
          <w:p w14:paraId="416437D6">
            <w:pPr>
              <w:pStyle w:val="18"/>
              <w:keepNext/>
              <w:spacing w:line="440" w:lineRule="exact"/>
              <w:ind w:left="420" w:right="63"/>
              <w:rPr>
                <w:rFonts w:hint="eastAsia" w:ascii="宋体" w:hAnsi="宋体"/>
                <w:color w:val="auto"/>
                <w:highlight w:val="none"/>
              </w:rPr>
            </w:pPr>
          </w:p>
        </w:tc>
      </w:tr>
      <w:tr w14:paraId="251C8B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03306D57">
            <w:pPr>
              <w:pStyle w:val="18"/>
              <w:keepNext/>
              <w:spacing w:line="440" w:lineRule="exact"/>
              <w:ind w:left="420" w:right="63"/>
              <w:rPr>
                <w:rFonts w:hint="eastAsia" w:ascii="宋体" w:hAnsi="宋体"/>
                <w:color w:val="auto"/>
                <w:highlight w:val="none"/>
              </w:rPr>
            </w:pPr>
          </w:p>
        </w:tc>
        <w:tc>
          <w:tcPr>
            <w:tcW w:w="1984" w:type="dxa"/>
            <w:tcBorders>
              <w:top w:val="single" w:color="auto" w:sz="6" w:space="0"/>
              <w:left w:val="single" w:color="auto" w:sz="6" w:space="0"/>
              <w:bottom w:val="single" w:color="auto" w:sz="6" w:space="0"/>
              <w:right w:val="single" w:color="auto" w:sz="6" w:space="0"/>
            </w:tcBorders>
          </w:tcPr>
          <w:p w14:paraId="73DF4764">
            <w:pPr>
              <w:pStyle w:val="18"/>
              <w:keepNext/>
              <w:spacing w:line="440" w:lineRule="exact"/>
              <w:ind w:left="420" w:right="63"/>
              <w:rPr>
                <w:rFonts w:hint="eastAsia" w:ascii="宋体" w:hAnsi="宋体"/>
                <w:color w:val="auto"/>
                <w:highlight w:val="none"/>
              </w:rPr>
            </w:pPr>
          </w:p>
        </w:tc>
        <w:tc>
          <w:tcPr>
            <w:tcW w:w="851" w:type="dxa"/>
            <w:tcBorders>
              <w:top w:val="single" w:color="auto" w:sz="6" w:space="0"/>
              <w:left w:val="single" w:color="auto" w:sz="6" w:space="0"/>
              <w:bottom w:val="single" w:color="auto" w:sz="6" w:space="0"/>
              <w:right w:val="single" w:color="auto" w:sz="6" w:space="0"/>
            </w:tcBorders>
          </w:tcPr>
          <w:p w14:paraId="57C2CEA6">
            <w:pPr>
              <w:pStyle w:val="18"/>
              <w:keepNext/>
              <w:spacing w:line="440" w:lineRule="exact"/>
              <w:ind w:left="420" w:right="63"/>
              <w:rPr>
                <w:rFonts w:hint="eastAsia" w:ascii="宋体" w:hAnsi="宋体"/>
                <w:color w:val="auto"/>
                <w:highlight w:val="none"/>
              </w:rPr>
            </w:pPr>
          </w:p>
        </w:tc>
        <w:tc>
          <w:tcPr>
            <w:tcW w:w="774" w:type="dxa"/>
            <w:tcBorders>
              <w:top w:val="single" w:color="auto" w:sz="6" w:space="0"/>
              <w:left w:val="single" w:color="auto" w:sz="6" w:space="0"/>
              <w:bottom w:val="single" w:color="auto" w:sz="6" w:space="0"/>
              <w:right w:val="single" w:color="auto" w:sz="6" w:space="0"/>
            </w:tcBorders>
          </w:tcPr>
          <w:p w14:paraId="677EA8DE">
            <w:pPr>
              <w:pStyle w:val="18"/>
              <w:keepNext/>
              <w:spacing w:line="440" w:lineRule="exact"/>
              <w:ind w:left="420" w:right="63"/>
              <w:rPr>
                <w:rFonts w:hint="eastAsia" w:ascii="宋体" w:hAnsi="宋体"/>
                <w:color w:val="auto"/>
                <w:highlight w:val="none"/>
              </w:rPr>
            </w:pPr>
          </w:p>
        </w:tc>
        <w:tc>
          <w:tcPr>
            <w:tcW w:w="1352" w:type="dxa"/>
            <w:tcBorders>
              <w:top w:val="single" w:color="auto" w:sz="6" w:space="0"/>
              <w:left w:val="single" w:color="auto" w:sz="6" w:space="0"/>
              <w:bottom w:val="single" w:color="auto" w:sz="6" w:space="0"/>
              <w:right w:val="single" w:color="auto" w:sz="6" w:space="0"/>
            </w:tcBorders>
          </w:tcPr>
          <w:p w14:paraId="01214271">
            <w:pPr>
              <w:pStyle w:val="18"/>
              <w:keepNext/>
              <w:spacing w:line="440" w:lineRule="exact"/>
              <w:ind w:left="420" w:right="63"/>
              <w:rPr>
                <w:rFonts w:hint="eastAsia" w:ascii="宋体" w:hAnsi="宋体"/>
                <w:color w:val="auto"/>
                <w:highlight w:val="none"/>
              </w:rPr>
            </w:pPr>
          </w:p>
        </w:tc>
        <w:tc>
          <w:tcPr>
            <w:tcW w:w="1418" w:type="dxa"/>
            <w:tcBorders>
              <w:top w:val="single" w:color="auto" w:sz="6" w:space="0"/>
              <w:left w:val="single" w:color="auto" w:sz="6" w:space="0"/>
              <w:bottom w:val="single" w:color="auto" w:sz="6" w:space="0"/>
              <w:right w:val="single" w:color="auto" w:sz="6" w:space="0"/>
            </w:tcBorders>
          </w:tcPr>
          <w:p w14:paraId="73FE8AD7">
            <w:pPr>
              <w:pStyle w:val="18"/>
              <w:keepNext/>
              <w:spacing w:line="440" w:lineRule="exact"/>
              <w:ind w:left="420" w:right="63"/>
              <w:rPr>
                <w:rFonts w:hint="eastAsia" w:ascii="宋体" w:hAnsi="宋体"/>
                <w:color w:val="auto"/>
                <w:highlight w:val="none"/>
              </w:rPr>
            </w:pPr>
          </w:p>
        </w:tc>
        <w:tc>
          <w:tcPr>
            <w:tcW w:w="1701" w:type="dxa"/>
            <w:tcBorders>
              <w:top w:val="single" w:color="auto" w:sz="6" w:space="0"/>
              <w:left w:val="single" w:color="auto" w:sz="6" w:space="0"/>
              <w:bottom w:val="single" w:color="auto" w:sz="6" w:space="0"/>
              <w:right w:val="single" w:color="auto" w:sz="12" w:space="0"/>
            </w:tcBorders>
          </w:tcPr>
          <w:p w14:paraId="0721573E">
            <w:pPr>
              <w:pStyle w:val="18"/>
              <w:keepNext/>
              <w:spacing w:line="440" w:lineRule="exact"/>
              <w:ind w:left="420" w:right="63"/>
              <w:rPr>
                <w:rFonts w:hint="eastAsia" w:ascii="宋体" w:hAnsi="宋体"/>
                <w:color w:val="auto"/>
                <w:highlight w:val="none"/>
              </w:rPr>
            </w:pPr>
          </w:p>
        </w:tc>
      </w:tr>
      <w:tr w14:paraId="1459D2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53157E78">
            <w:pPr>
              <w:pStyle w:val="18"/>
              <w:keepNext/>
              <w:spacing w:line="440" w:lineRule="exact"/>
              <w:ind w:left="420" w:right="63"/>
              <w:rPr>
                <w:rFonts w:hint="eastAsia" w:ascii="宋体" w:hAnsi="宋体"/>
                <w:color w:val="auto"/>
                <w:highlight w:val="none"/>
              </w:rPr>
            </w:pPr>
          </w:p>
        </w:tc>
        <w:tc>
          <w:tcPr>
            <w:tcW w:w="1984" w:type="dxa"/>
            <w:tcBorders>
              <w:top w:val="single" w:color="auto" w:sz="6" w:space="0"/>
              <w:left w:val="single" w:color="auto" w:sz="6" w:space="0"/>
              <w:bottom w:val="single" w:color="auto" w:sz="6" w:space="0"/>
              <w:right w:val="single" w:color="auto" w:sz="6" w:space="0"/>
            </w:tcBorders>
          </w:tcPr>
          <w:p w14:paraId="7AA191FD">
            <w:pPr>
              <w:pStyle w:val="18"/>
              <w:keepNext/>
              <w:spacing w:line="440" w:lineRule="exact"/>
              <w:ind w:left="420" w:right="63"/>
              <w:rPr>
                <w:rFonts w:hint="eastAsia" w:ascii="宋体" w:hAnsi="宋体"/>
                <w:color w:val="auto"/>
                <w:highlight w:val="none"/>
              </w:rPr>
            </w:pPr>
          </w:p>
        </w:tc>
        <w:tc>
          <w:tcPr>
            <w:tcW w:w="851" w:type="dxa"/>
            <w:tcBorders>
              <w:top w:val="single" w:color="auto" w:sz="6" w:space="0"/>
              <w:left w:val="single" w:color="auto" w:sz="6" w:space="0"/>
              <w:bottom w:val="single" w:color="auto" w:sz="6" w:space="0"/>
              <w:right w:val="single" w:color="auto" w:sz="6" w:space="0"/>
            </w:tcBorders>
          </w:tcPr>
          <w:p w14:paraId="236A934B">
            <w:pPr>
              <w:pStyle w:val="18"/>
              <w:keepNext/>
              <w:spacing w:line="440" w:lineRule="exact"/>
              <w:ind w:left="420" w:right="63"/>
              <w:rPr>
                <w:rFonts w:hint="eastAsia" w:ascii="宋体" w:hAnsi="宋体"/>
                <w:color w:val="auto"/>
                <w:highlight w:val="none"/>
              </w:rPr>
            </w:pPr>
          </w:p>
        </w:tc>
        <w:tc>
          <w:tcPr>
            <w:tcW w:w="774" w:type="dxa"/>
            <w:tcBorders>
              <w:top w:val="single" w:color="auto" w:sz="6" w:space="0"/>
              <w:left w:val="single" w:color="auto" w:sz="6" w:space="0"/>
              <w:bottom w:val="single" w:color="auto" w:sz="6" w:space="0"/>
              <w:right w:val="single" w:color="auto" w:sz="6" w:space="0"/>
            </w:tcBorders>
          </w:tcPr>
          <w:p w14:paraId="4AA16BCD">
            <w:pPr>
              <w:pStyle w:val="18"/>
              <w:keepNext/>
              <w:spacing w:line="440" w:lineRule="exact"/>
              <w:ind w:left="420" w:right="63"/>
              <w:rPr>
                <w:rFonts w:hint="eastAsia" w:ascii="宋体" w:hAnsi="宋体"/>
                <w:color w:val="auto"/>
                <w:highlight w:val="none"/>
              </w:rPr>
            </w:pPr>
          </w:p>
        </w:tc>
        <w:tc>
          <w:tcPr>
            <w:tcW w:w="1352" w:type="dxa"/>
            <w:tcBorders>
              <w:top w:val="single" w:color="auto" w:sz="6" w:space="0"/>
              <w:left w:val="single" w:color="auto" w:sz="6" w:space="0"/>
              <w:bottom w:val="single" w:color="auto" w:sz="6" w:space="0"/>
              <w:right w:val="single" w:color="auto" w:sz="6" w:space="0"/>
            </w:tcBorders>
          </w:tcPr>
          <w:p w14:paraId="2DB18339">
            <w:pPr>
              <w:pStyle w:val="18"/>
              <w:keepNext/>
              <w:spacing w:line="440" w:lineRule="exact"/>
              <w:ind w:left="420" w:right="63"/>
              <w:rPr>
                <w:rFonts w:hint="eastAsia" w:ascii="宋体" w:hAnsi="宋体"/>
                <w:color w:val="auto"/>
                <w:highlight w:val="none"/>
              </w:rPr>
            </w:pPr>
          </w:p>
        </w:tc>
        <w:tc>
          <w:tcPr>
            <w:tcW w:w="1418" w:type="dxa"/>
            <w:tcBorders>
              <w:top w:val="single" w:color="auto" w:sz="6" w:space="0"/>
              <w:left w:val="single" w:color="auto" w:sz="6" w:space="0"/>
              <w:bottom w:val="single" w:color="auto" w:sz="6" w:space="0"/>
              <w:right w:val="single" w:color="auto" w:sz="6" w:space="0"/>
            </w:tcBorders>
          </w:tcPr>
          <w:p w14:paraId="0E03DCD4">
            <w:pPr>
              <w:pStyle w:val="18"/>
              <w:keepNext/>
              <w:spacing w:line="440" w:lineRule="exact"/>
              <w:ind w:left="420" w:right="63"/>
              <w:rPr>
                <w:rFonts w:hint="eastAsia" w:ascii="宋体" w:hAnsi="宋体"/>
                <w:color w:val="auto"/>
                <w:highlight w:val="none"/>
              </w:rPr>
            </w:pPr>
          </w:p>
        </w:tc>
        <w:tc>
          <w:tcPr>
            <w:tcW w:w="1701" w:type="dxa"/>
            <w:tcBorders>
              <w:top w:val="single" w:color="auto" w:sz="6" w:space="0"/>
              <w:left w:val="single" w:color="auto" w:sz="6" w:space="0"/>
              <w:bottom w:val="single" w:color="auto" w:sz="6" w:space="0"/>
              <w:right w:val="single" w:color="auto" w:sz="12" w:space="0"/>
            </w:tcBorders>
          </w:tcPr>
          <w:p w14:paraId="453B708E">
            <w:pPr>
              <w:pStyle w:val="18"/>
              <w:keepNext/>
              <w:spacing w:line="440" w:lineRule="exact"/>
              <w:ind w:left="420" w:right="63"/>
              <w:rPr>
                <w:rFonts w:hint="eastAsia" w:ascii="宋体" w:hAnsi="宋体"/>
                <w:color w:val="auto"/>
                <w:highlight w:val="none"/>
              </w:rPr>
            </w:pPr>
          </w:p>
        </w:tc>
      </w:tr>
      <w:tr w14:paraId="0AEECE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54F21233">
            <w:pPr>
              <w:pStyle w:val="18"/>
              <w:keepNext/>
              <w:spacing w:line="440" w:lineRule="exact"/>
              <w:ind w:left="420" w:right="63"/>
              <w:rPr>
                <w:rFonts w:hint="eastAsia" w:ascii="宋体" w:hAnsi="宋体"/>
                <w:color w:val="auto"/>
                <w:highlight w:val="none"/>
              </w:rPr>
            </w:pPr>
          </w:p>
        </w:tc>
        <w:tc>
          <w:tcPr>
            <w:tcW w:w="1984" w:type="dxa"/>
            <w:tcBorders>
              <w:top w:val="single" w:color="auto" w:sz="6" w:space="0"/>
              <w:left w:val="single" w:color="auto" w:sz="6" w:space="0"/>
              <w:bottom w:val="single" w:color="auto" w:sz="6" w:space="0"/>
              <w:right w:val="single" w:color="auto" w:sz="6" w:space="0"/>
            </w:tcBorders>
          </w:tcPr>
          <w:p w14:paraId="65B112B4">
            <w:pPr>
              <w:pStyle w:val="18"/>
              <w:keepNext/>
              <w:spacing w:line="440" w:lineRule="exact"/>
              <w:ind w:left="420" w:right="63"/>
              <w:rPr>
                <w:rFonts w:hint="eastAsia" w:ascii="宋体" w:hAnsi="宋体"/>
                <w:color w:val="auto"/>
                <w:highlight w:val="none"/>
              </w:rPr>
            </w:pPr>
          </w:p>
        </w:tc>
        <w:tc>
          <w:tcPr>
            <w:tcW w:w="851" w:type="dxa"/>
            <w:tcBorders>
              <w:top w:val="single" w:color="auto" w:sz="6" w:space="0"/>
              <w:left w:val="single" w:color="auto" w:sz="6" w:space="0"/>
              <w:bottom w:val="single" w:color="auto" w:sz="6" w:space="0"/>
              <w:right w:val="single" w:color="auto" w:sz="6" w:space="0"/>
            </w:tcBorders>
          </w:tcPr>
          <w:p w14:paraId="55277DF9">
            <w:pPr>
              <w:pStyle w:val="18"/>
              <w:keepNext/>
              <w:spacing w:line="440" w:lineRule="exact"/>
              <w:ind w:left="420" w:right="63"/>
              <w:rPr>
                <w:rFonts w:hint="eastAsia" w:ascii="宋体" w:hAnsi="宋体"/>
                <w:color w:val="auto"/>
                <w:highlight w:val="none"/>
              </w:rPr>
            </w:pPr>
          </w:p>
        </w:tc>
        <w:tc>
          <w:tcPr>
            <w:tcW w:w="774" w:type="dxa"/>
            <w:tcBorders>
              <w:top w:val="single" w:color="auto" w:sz="6" w:space="0"/>
              <w:left w:val="single" w:color="auto" w:sz="6" w:space="0"/>
              <w:bottom w:val="single" w:color="auto" w:sz="6" w:space="0"/>
              <w:right w:val="single" w:color="auto" w:sz="6" w:space="0"/>
            </w:tcBorders>
          </w:tcPr>
          <w:p w14:paraId="67189997">
            <w:pPr>
              <w:pStyle w:val="18"/>
              <w:keepNext/>
              <w:spacing w:line="440" w:lineRule="exact"/>
              <w:ind w:left="420" w:right="63"/>
              <w:rPr>
                <w:rFonts w:hint="eastAsia" w:ascii="宋体" w:hAnsi="宋体"/>
                <w:color w:val="auto"/>
                <w:highlight w:val="none"/>
              </w:rPr>
            </w:pPr>
          </w:p>
        </w:tc>
        <w:tc>
          <w:tcPr>
            <w:tcW w:w="1352" w:type="dxa"/>
            <w:tcBorders>
              <w:top w:val="single" w:color="auto" w:sz="6" w:space="0"/>
              <w:left w:val="single" w:color="auto" w:sz="6" w:space="0"/>
              <w:bottom w:val="single" w:color="auto" w:sz="6" w:space="0"/>
              <w:right w:val="single" w:color="auto" w:sz="6" w:space="0"/>
            </w:tcBorders>
          </w:tcPr>
          <w:p w14:paraId="35C9116B">
            <w:pPr>
              <w:pStyle w:val="18"/>
              <w:keepNext/>
              <w:spacing w:line="440" w:lineRule="exact"/>
              <w:ind w:left="420" w:right="63"/>
              <w:rPr>
                <w:rFonts w:hint="eastAsia" w:ascii="宋体" w:hAnsi="宋体"/>
                <w:color w:val="auto"/>
                <w:highlight w:val="none"/>
              </w:rPr>
            </w:pPr>
          </w:p>
        </w:tc>
        <w:tc>
          <w:tcPr>
            <w:tcW w:w="1418" w:type="dxa"/>
            <w:tcBorders>
              <w:top w:val="single" w:color="auto" w:sz="6" w:space="0"/>
              <w:left w:val="single" w:color="auto" w:sz="6" w:space="0"/>
              <w:bottom w:val="single" w:color="auto" w:sz="6" w:space="0"/>
              <w:right w:val="single" w:color="auto" w:sz="6" w:space="0"/>
            </w:tcBorders>
          </w:tcPr>
          <w:p w14:paraId="7DAE0E5C">
            <w:pPr>
              <w:pStyle w:val="18"/>
              <w:keepNext/>
              <w:spacing w:line="440" w:lineRule="exact"/>
              <w:ind w:left="420" w:right="63"/>
              <w:rPr>
                <w:rFonts w:hint="eastAsia" w:ascii="宋体" w:hAnsi="宋体"/>
                <w:color w:val="auto"/>
                <w:highlight w:val="none"/>
              </w:rPr>
            </w:pPr>
          </w:p>
        </w:tc>
        <w:tc>
          <w:tcPr>
            <w:tcW w:w="1701" w:type="dxa"/>
            <w:tcBorders>
              <w:top w:val="single" w:color="auto" w:sz="6" w:space="0"/>
              <w:left w:val="single" w:color="auto" w:sz="6" w:space="0"/>
              <w:bottom w:val="single" w:color="auto" w:sz="6" w:space="0"/>
              <w:right w:val="single" w:color="auto" w:sz="12" w:space="0"/>
            </w:tcBorders>
          </w:tcPr>
          <w:p w14:paraId="1969CD1F">
            <w:pPr>
              <w:pStyle w:val="18"/>
              <w:keepNext/>
              <w:spacing w:line="440" w:lineRule="exact"/>
              <w:ind w:left="420" w:right="63"/>
              <w:rPr>
                <w:rFonts w:hint="eastAsia" w:ascii="宋体" w:hAnsi="宋体"/>
                <w:color w:val="auto"/>
                <w:highlight w:val="none"/>
              </w:rPr>
            </w:pPr>
          </w:p>
        </w:tc>
      </w:tr>
      <w:tr w14:paraId="4E653C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12" w:space="0"/>
              <w:right w:val="single" w:color="auto" w:sz="6" w:space="0"/>
            </w:tcBorders>
          </w:tcPr>
          <w:p w14:paraId="067E1682">
            <w:pPr>
              <w:pStyle w:val="18"/>
              <w:keepNext/>
              <w:spacing w:line="440" w:lineRule="exact"/>
              <w:ind w:left="420" w:right="63"/>
              <w:rPr>
                <w:rFonts w:hint="eastAsia" w:ascii="宋体" w:hAnsi="宋体"/>
                <w:color w:val="auto"/>
                <w:highlight w:val="none"/>
              </w:rPr>
            </w:pPr>
          </w:p>
        </w:tc>
        <w:tc>
          <w:tcPr>
            <w:tcW w:w="1984" w:type="dxa"/>
            <w:tcBorders>
              <w:top w:val="single" w:color="auto" w:sz="6" w:space="0"/>
              <w:left w:val="single" w:color="auto" w:sz="6" w:space="0"/>
              <w:bottom w:val="single" w:color="auto" w:sz="12" w:space="0"/>
              <w:right w:val="single" w:color="auto" w:sz="6" w:space="0"/>
            </w:tcBorders>
          </w:tcPr>
          <w:p w14:paraId="2E3237A5">
            <w:pPr>
              <w:pStyle w:val="18"/>
              <w:keepNext/>
              <w:spacing w:line="440" w:lineRule="exact"/>
              <w:ind w:left="420" w:right="63"/>
              <w:rPr>
                <w:rFonts w:hint="eastAsia" w:ascii="宋体" w:hAnsi="宋体"/>
                <w:color w:val="auto"/>
                <w:highlight w:val="none"/>
              </w:rPr>
            </w:pPr>
          </w:p>
        </w:tc>
        <w:tc>
          <w:tcPr>
            <w:tcW w:w="851" w:type="dxa"/>
            <w:tcBorders>
              <w:top w:val="single" w:color="auto" w:sz="6" w:space="0"/>
              <w:left w:val="single" w:color="auto" w:sz="6" w:space="0"/>
              <w:bottom w:val="single" w:color="auto" w:sz="12" w:space="0"/>
              <w:right w:val="single" w:color="auto" w:sz="6" w:space="0"/>
            </w:tcBorders>
          </w:tcPr>
          <w:p w14:paraId="578D742E">
            <w:pPr>
              <w:pStyle w:val="18"/>
              <w:keepNext/>
              <w:spacing w:line="440" w:lineRule="exact"/>
              <w:ind w:left="420" w:right="63"/>
              <w:rPr>
                <w:rFonts w:hint="eastAsia" w:ascii="宋体" w:hAnsi="宋体"/>
                <w:color w:val="auto"/>
                <w:highlight w:val="none"/>
              </w:rPr>
            </w:pPr>
          </w:p>
        </w:tc>
        <w:tc>
          <w:tcPr>
            <w:tcW w:w="774" w:type="dxa"/>
            <w:tcBorders>
              <w:top w:val="single" w:color="auto" w:sz="6" w:space="0"/>
              <w:left w:val="single" w:color="auto" w:sz="6" w:space="0"/>
              <w:bottom w:val="single" w:color="auto" w:sz="12" w:space="0"/>
              <w:right w:val="single" w:color="auto" w:sz="6" w:space="0"/>
            </w:tcBorders>
          </w:tcPr>
          <w:p w14:paraId="68AEEE3D">
            <w:pPr>
              <w:pStyle w:val="18"/>
              <w:keepNext/>
              <w:spacing w:line="440" w:lineRule="exact"/>
              <w:ind w:left="420" w:right="63"/>
              <w:rPr>
                <w:rFonts w:hint="eastAsia" w:ascii="宋体" w:hAnsi="宋体"/>
                <w:color w:val="auto"/>
                <w:highlight w:val="none"/>
              </w:rPr>
            </w:pPr>
          </w:p>
        </w:tc>
        <w:tc>
          <w:tcPr>
            <w:tcW w:w="1352" w:type="dxa"/>
            <w:tcBorders>
              <w:top w:val="single" w:color="auto" w:sz="6" w:space="0"/>
              <w:left w:val="single" w:color="auto" w:sz="6" w:space="0"/>
              <w:bottom w:val="single" w:color="auto" w:sz="12" w:space="0"/>
              <w:right w:val="single" w:color="auto" w:sz="6" w:space="0"/>
            </w:tcBorders>
          </w:tcPr>
          <w:p w14:paraId="19F678B9">
            <w:pPr>
              <w:pStyle w:val="18"/>
              <w:keepNext/>
              <w:spacing w:line="440" w:lineRule="exact"/>
              <w:ind w:left="420" w:right="63"/>
              <w:rPr>
                <w:rFonts w:hint="eastAsia" w:ascii="宋体" w:hAnsi="宋体"/>
                <w:color w:val="auto"/>
                <w:highlight w:val="none"/>
              </w:rPr>
            </w:pPr>
          </w:p>
        </w:tc>
        <w:tc>
          <w:tcPr>
            <w:tcW w:w="1418" w:type="dxa"/>
            <w:tcBorders>
              <w:top w:val="single" w:color="auto" w:sz="6" w:space="0"/>
              <w:left w:val="single" w:color="auto" w:sz="6" w:space="0"/>
              <w:bottom w:val="single" w:color="auto" w:sz="12" w:space="0"/>
              <w:right w:val="single" w:color="auto" w:sz="6" w:space="0"/>
            </w:tcBorders>
          </w:tcPr>
          <w:p w14:paraId="1F820D87">
            <w:pPr>
              <w:pStyle w:val="18"/>
              <w:keepNext/>
              <w:spacing w:line="440" w:lineRule="exact"/>
              <w:ind w:left="420" w:right="63"/>
              <w:rPr>
                <w:rFonts w:hint="eastAsia" w:ascii="宋体" w:hAnsi="宋体"/>
                <w:color w:val="auto"/>
                <w:highlight w:val="none"/>
              </w:rPr>
            </w:pPr>
          </w:p>
        </w:tc>
        <w:tc>
          <w:tcPr>
            <w:tcW w:w="1701" w:type="dxa"/>
            <w:tcBorders>
              <w:top w:val="single" w:color="auto" w:sz="6" w:space="0"/>
              <w:left w:val="single" w:color="auto" w:sz="6" w:space="0"/>
              <w:bottom w:val="single" w:color="auto" w:sz="12" w:space="0"/>
              <w:right w:val="single" w:color="auto" w:sz="12" w:space="0"/>
            </w:tcBorders>
          </w:tcPr>
          <w:p w14:paraId="5B4DAFFC">
            <w:pPr>
              <w:pStyle w:val="18"/>
              <w:keepNext/>
              <w:spacing w:line="440" w:lineRule="exact"/>
              <w:ind w:left="420" w:right="63"/>
              <w:rPr>
                <w:rFonts w:hint="eastAsia" w:ascii="宋体" w:hAnsi="宋体"/>
                <w:color w:val="auto"/>
                <w:highlight w:val="none"/>
              </w:rPr>
            </w:pPr>
          </w:p>
        </w:tc>
      </w:tr>
    </w:tbl>
    <w:p w14:paraId="1CCA02F2">
      <w:pPr>
        <w:spacing w:line="440" w:lineRule="exact"/>
        <w:rPr>
          <w:rFonts w:hint="eastAsia" w:ascii="宋体" w:hAnsi="宋体" w:cs="宋体"/>
          <w:color w:val="auto"/>
          <w:szCs w:val="21"/>
          <w:highlight w:val="none"/>
        </w:rPr>
      </w:pPr>
    </w:p>
    <w:p w14:paraId="0CDFD01D">
      <w:pPr>
        <w:spacing w:before="156" w:beforeLines="50" w:after="156" w:afterLines="50"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br w:type="page"/>
      </w:r>
      <w:r>
        <w:rPr>
          <w:rFonts w:hint="eastAsia" w:ascii="宋体" w:hAnsi="宋体" w:cs="宋体"/>
          <w:color w:val="auto"/>
          <w:szCs w:val="21"/>
          <w:highlight w:val="none"/>
        </w:rPr>
        <w:t>10-3：专业工程暂估价表</w:t>
      </w:r>
    </w:p>
    <w:tbl>
      <w:tblPr>
        <w:tblStyle w:val="4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350F22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12" w:space="0"/>
              <w:left w:val="single" w:color="auto" w:sz="12" w:space="0"/>
              <w:bottom w:val="double" w:color="auto" w:sz="6" w:space="0"/>
              <w:right w:val="single" w:color="auto" w:sz="6" w:space="0"/>
            </w:tcBorders>
          </w:tcPr>
          <w:p w14:paraId="013FA5FB">
            <w:pPr>
              <w:pStyle w:val="18"/>
              <w:keepNext/>
              <w:spacing w:line="440" w:lineRule="exact"/>
              <w:ind w:left="420" w:right="63"/>
              <w:rPr>
                <w:rFonts w:hint="eastAsia" w:ascii="宋体" w:hAnsi="宋体"/>
                <w:color w:val="auto"/>
                <w:highlight w:val="none"/>
              </w:rPr>
            </w:pPr>
          </w:p>
        </w:tc>
        <w:tc>
          <w:tcPr>
            <w:tcW w:w="1984" w:type="dxa"/>
            <w:tcBorders>
              <w:top w:val="single" w:color="auto" w:sz="12" w:space="0"/>
              <w:left w:val="single" w:color="auto" w:sz="6" w:space="0"/>
              <w:bottom w:val="double" w:color="auto" w:sz="6" w:space="0"/>
              <w:right w:val="single" w:color="auto" w:sz="6" w:space="0"/>
            </w:tcBorders>
          </w:tcPr>
          <w:p w14:paraId="01CF3F91">
            <w:pPr>
              <w:pStyle w:val="18"/>
              <w:keepNext/>
              <w:spacing w:line="440" w:lineRule="exact"/>
              <w:ind w:left="420" w:right="63"/>
              <w:rPr>
                <w:rFonts w:hint="eastAsia" w:ascii="宋体" w:hAnsi="宋体"/>
                <w:color w:val="auto"/>
                <w:highlight w:val="none"/>
              </w:rPr>
            </w:pPr>
          </w:p>
        </w:tc>
        <w:tc>
          <w:tcPr>
            <w:tcW w:w="851" w:type="dxa"/>
            <w:tcBorders>
              <w:top w:val="single" w:color="auto" w:sz="12" w:space="0"/>
              <w:left w:val="single" w:color="auto" w:sz="6" w:space="0"/>
              <w:bottom w:val="double" w:color="auto" w:sz="6" w:space="0"/>
              <w:right w:val="single" w:color="auto" w:sz="6" w:space="0"/>
            </w:tcBorders>
          </w:tcPr>
          <w:p w14:paraId="06C645B1">
            <w:pPr>
              <w:pStyle w:val="18"/>
              <w:keepNext/>
              <w:spacing w:line="440" w:lineRule="exact"/>
              <w:ind w:left="420" w:right="63"/>
              <w:rPr>
                <w:rFonts w:hint="eastAsia" w:ascii="宋体" w:hAnsi="宋体"/>
                <w:color w:val="auto"/>
                <w:highlight w:val="none"/>
              </w:rPr>
            </w:pPr>
          </w:p>
        </w:tc>
        <w:tc>
          <w:tcPr>
            <w:tcW w:w="774" w:type="dxa"/>
            <w:tcBorders>
              <w:top w:val="single" w:color="auto" w:sz="12" w:space="0"/>
              <w:left w:val="single" w:color="auto" w:sz="6" w:space="0"/>
              <w:bottom w:val="double" w:color="auto" w:sz="6" w:space="0"/>
              <w:right w:val="single" w:color="auto" w:sz="6" w:space="0"/>
            </w:tcBorders>
          </w:tcPr>
          <w:p w14:paraId="7F6C561F">
            <w:pPr>
              <w:pStyle w:val="18"/>
              <w:keepNext/>
              <w:spacing w:line="440" w:lineRule="exact"/>
              <w:ind w:left="420" w:right="63"/>
              <w:rPr>
                <w:rFonts w:hint="eastAsia" w:ascii="宋体" w:hAnsi="宋体"/>
                <w:color w:val="auto"/>
                <w:highlight w:val="none"/>
              </w:rPr>
            </w:pPr>
          </w:p>
        </w:tc>
        <w:tc>
          <w:tcPr>
            <w:tcW w:w="1352" w:type="dxa"/>
            <w:tcBorders>
              <w:top w:val="single" w:color="auto" w:sz="12" w:space="0"/>
              <w:left w:val="single" w:color="auto" w:sz="6" w:space="0"/>
              <w:bottom w:val="double" w:color="auto" w:sz="6" w:space="0"/>
              <w:right w:val="single" w:color="auto" w:sz="6" w:space="0"/>
            </w:tcBorders>
          </w:tcPr>
          <w:p w14:paraId="7A30EB60">
            <w:pPr>
              <w:pStyle w:val="18"/>
              <w:keepNext/>
              <w:spacing w:line="440" w:lineRule="exact"/>
              <w:ind w:left="420" w:right="63"/>
              <w:rPr>
                <w:rFonts w:hint="eastAsia" w:ascii="宋体" w:hAnsi="宋体"/>
                <w:color w:val="auto"/>
                <w:highlight w:val="none"/>
              </w:rPr>
            </w:pPr>
          </w:p>
        </w:tc>
        <w:tc>
          <w:tcPr>
            <w:tcW w:w="1418" w:type="dxa"/>
            <w:tcBorders>
              <w:top w:val="single" w:color="auto" w:sz="12" w:space="0"/>
              <w:left w:val="single" w:color="auto" w:sz="6" w:space="0"/>
              <w:bottom w:val="double" w:color="auto" w:sz="6" w:space="0"/>
              <w:right w:val="single" w:color="auto" w:sz="6" w:space="0"/>
            </w:tcBorders>
          </w:tcPr>
          <w:p w14:paraId="41C2BC62">
            <w:pPr>
              <w:pStyle w:val="18"/>
              <w:keepNext/>
              <w:spacing w:line="440" w:lineRule="exact"/>
              <w:ind w:left="420" w:right="63"/>
              <w:rPr>
                <w:rFonts w:hint="eastAsia" w:ascii="宋体" w:hAnsi="宋体"/>
                <w:color w:val="auto"/>
                <w:highlight w:val="none"/>
              </w:rPr>
            </w:pPr>
          </w:p>
        </w:tc>
        <w:tc>
          <w:tcPr>
            <w:tcW w:w="1701" w:type="dxa"/>
            <w:tcBorders>
              <w:top w:val="single" w:color="auto" w:sz="12" w:space="0"/>
              <w:left w:val="single" w:color="auto" w:sz="6" w:space="0"/>
              <w:bottom w:val="double" w:color="auto" w:sz="6" w:space="0"/>
              <w:right w:val="single" w:color="auto" w:sz="12" w:space="0"/>
            </w:tcBorders>
          </w:tcPr>
          <w:p w14:paraId="66C1D4D7">
            <w:pPr>
              <w:pStyle w:val="18"/>
              <w:keepNext/>
              <w:spacing w:line="440" w:lineRule="exact"/>
              <w:ind w:left="420" w:right="63"/>
              <w:rPr>
                <w:rFonts w:hint="eastAsia" w:ascii="宋体" w:hAnsi="宋体"/>
                <w:color w:val="auto"/>
                <w:highlight w:val="none"/>
              </w:rPr>
            </w:pPr>
          </w:p>
        </w:tc>
      </w:tr>
      <w:tr w14:paraId="3C3B41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double" w:color="auto" w:sz="6" w:space="0"/>
              <w:left w:val="single" w:color="auto" w:sz="12" w:space="0"/>
              <w:bottom w:val="single" w:color="auto" w:sz="6" w:space="0"/>
              <w:right w:val="single" w:color="auto" w:sz="6" w:space="0"/>
            </w:tcBorders>
          </w:tcPr>
          <w:p w14:paraId="20B54079">
            <w:pPr>
              <w:pStyle w:val="18"/>
              <w:keepNext/>
              <w:spacing w:line="440" w:lineRule="exact"/>
              <w:ind w:left="420" w:right="63"/>
              <w:rPr>
                <w:rFonts w:hint="eastAsia" w:ascii="宋体" w:hAnsi="宋体"/>
                <w:color w:val="auto"/>
                <w:highlight w:val="none"/>
              </w:rPr>
            </w:pPr>
          </w:p>
        </w:tc>
        <w:tc>
          <w:tcPr>
            <w:tcW w:w="1984" w:type="dxa"/>
            <w:tcBorders>
              <w:top w:val="double" w:color="auto" w:sz="6" w:space="0"/>
              <w:left w:val="single" w:color="auto" w:sz="6" w:space="0"/>
              <w:bottom w:val="single" w:color="auto" w:sz="6" w:space="0"/>
              <w:right w:val="single" w:color="auto" w:sz="6" w:space="0"/>
            </w:tcBorders>
          </w:tcPr>
          <w:p w14:paraId="64772D2F">
            <w:pPr>
              <w:pStyle w:val="18"/>
              <w:keepNext/>
              <w:spacing w:line="440" w:lineRule="exact"/>
              <w:ind w:left="420" w:right="63"/>
              <w:rPr>
                <w:rFonts w:hint="eastAsia" w:ascii="宋体" w:hAnsi="宋体"/>
                <w:color w:val="auto"/>
                <w:highlight w:val="none"/>
              </w:rPr>
            </w:pPr>
          </w:p>
        </w:tc>
        <w:tc>
          <w:tcPr>
            <w:tcW w:w="851" w:type="dxa"/>
            <w:tcBorders>
              <w:top w:val="double" w:color="auto" w:sz="6" w:space="0"/>
              <w:left w:val="single" w:color="auto" w:sz="6" w:space="0"/>
              <w:bottom w:val="single" w:color="auto" w:sz="6" w:space="0"/>
              <w:right w:val="single" w:color="auto" w:sz="6" w:space="0"/>
            </w:tcBorders>
          </w:tcPr>
          <w:p w14:paraId="4B0D4C00">
            <w:pPr>
              <w:pStyle w:val="18"/>
              <w:keepNext/>
              <w:spacing w:line="440" w:lineRule="exact"/>
              <w:ind w:left="420" w:right="63"/>
              <w:rPr>
                <w:rFonts w:hint="eastAsia" w:ascii="宋体" w:hAnsi="宋体"/>
                <w:color w:val="auto"/>
                <w:highlight w:val="none"/>
              </w:rPr>
            </w:pPr>
          </w:p>
        </w:tc>
        <w:tc>
          <w:tcPr>
            <w:tcW w:w="774" w:type="dxa"/>
            <w:tcBorders>
              <w:top w:val="double" w:color="auto" w:sz="6" w:space="0"/>
              <w:left w:val="single" w:color="auto" w:sz="6" w:space="0"/>
              <w:bottom w:val="single" w:color="auto" w:sz="6" w:space="0"/>
              <w:right w:val="single" w:color="auto" w:sz="6" w:space="0"/>
            </w:tcBorders>
          </w:tcPr>
          <w:p w14:paraId="5829735E">
            <w:pPr>
              <w:pStyle w:val="18"/>
              <w:keepNext/>
              <w:spacing w:line="440" w:lineRule="exact"/>
              <w:ind w:left="420" w:right="63"/>
              <w:rPr>
                <w:rFonts w:hint="eastAsia" w:ascii="宋体" w:hAnsi="宋体"/>
                <w:color w:val="auto"/>
                <w:highlight w:val="none"/>
              </w:rPr>
            </w:pPr>
          </w:p>
        </w:tc>
        <w:tc>
          <w:tcPr>
            <w:tcW w:w="1352" w:type="dxa"/>
            <w:tcBorders>
              <w:top w:val="double" w:color="auto" w:sz="6" w:space="0"/>
              <w:left w:val="single" w:color="auto" w:sz="6" w:space="0"/>
              <w:bottom w:val="single" w:color="auto" w:sz="6" w:space="0"/>
              <w:right w:val="single" w:color="auto" w:sz="6" w:space="0"/>
            </w:tcBorders>
          </w:tcPr>
          <w:p w14:paraId="493BAF0B">
            <w:pPr>
              <w:pStyle w:val="18"/>
              <w:keepNext/>
              <w:spacing w:line="440" w:lineRule="exact"/>
              <w:ind w:left="420" w:right="63"/>
              <w:rPr>
                <w:rFonts w:hint="eastAsia" w:ascii="宋体" w:hAnsi="宋体"/>
                <w:color w:val="auto"/>
                <w:highlight w:val="none"/>
              </w:rPr>
            </w:pPr>
          </w:p>
        </w:tc>
        <w:tc>
          <w:tcPr>
            <w:tcW w:w="1418" w:type="dxa"/>
            <w:tcBorders>
              <w:top w:val="double" w:color="auto" w:sz="6" w:space="0"/>
              <w:left w:val="single" w:color="auto" w:sz="6" w:space="0"/>
              <w:bottom w:val="single" w:color="auto" w:sz="6" w:space="0"/>
              <w:right w:val="single" w:color="auto" w:sz="6" w:space="0"/>
            </w:tcBorders>
          </w:tcPr>
          <w:p w14:paraId="11B7274B">
            <w:pPr>
              <w:pStyle w:val="18"/>
              <w:keepNext/>
              <w:spacing w:line="440" w:lineRule="exact"/>
              <w:ind w:left="420" w:right="63"/>
              <w:rPr>
                <w:rFonts w:hint="eastAsia" w:ascii="宋体" w:hAnsi="宋体"/>
                <w:color w:val="auto"/>
                <w:highlight w:val="none"/>
              </w:rPr>
            </w:pPr>
          </w:p>
        </w:tc>
        <w:tc>
          <w:tcPr>
            <w:tcW w:w="1701" w:type="dxa"/>
            <w:tcBorders>
              <w:top w:val="double" w:color="auto" w:sz="6" w:space="0"/>
              <w:left w:val="single" w:color="auto" w:sz="6" w:space="0"/>
              <w:bottom w:val="single" w:color="auto" w:sz="6" w:space="0"/>
              <w:right w:val="single" w:color="auto" w:sz="12" w:space="0"/>
            </w:tcBorders>
          </w:tcPr>
          <w:p w14:paraId="3A6B2A1C">
            <w:pPr>
              <w:pStyle w:val="18"/>
              <w:keepNext/>
              <w:spacing w:line="440" w:lineRule="exact"/>
              <w:ind w:left="420" w:right="63"/>
              <w:rPr>
                <w:rFonts w:hint="eastAsia" w:ascii="宋体" w:hAnsi="宋体"/>
                <w:color w:val="auto"/>
                <w:highlight w:val="none"/>
              </w:rPr>
            </w:pPr>
          </w:p>
        </w:tc>
      </w:tr>
      <w:tr w14:paraId="5E6D11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nil"/>
              <w:left w:val="single" w:color="auto" w:sz="12" w:space="0"/>
              <w:bottom w:val="single" w:color="auto" w:sz="6" w:space="0"/>
              <w:right w:val="single" w:color="auto" w:sz="6" w:space="0"/>
            </w:tcBorders>
          </w:tcPr>
          <w:p w14:paraId="483B5123">
            <w:pPr>
              <w:pStyle w:val="18"/>
              <w:keepNext/>
              <w:spacing w:line="440" w:lineRule="exact"/>
              <w:ind w:left="420" w:right="63"/>
              <w:rPr>
                <w:rFonts w:hint="eastAsia" w:ascii="宋体" w:hAnsi="宋体"/>
                <w:color w:val="auto"/>
                <w:highlight w:val="none"/>
              </w:rPr>
            </w:pPr>
          </w:p>
        </w:tc>
        <w:tc>
          <w:tcPr>
            <w:tcW w:w="1984" w:type="dxa"/>
            <w:tcBorders>
              <w:top w:val="nil"/>
              <w:left w:val="single" w:color="auto" w:sz="6" w:space="0"/>
              <w:bottom w:val="single" w:color="auto" w:sz="6" w:space="0"/>
              <w:right w:val="single" w:color="auto" w:sz="6" w:space="0"/>
            </w:tcBorders>
          </w:tcPr>
          <w:p w14:paraId="26A47525">
            <w:pPr>
              <w:pStyle w:val="18"/>
              <w:keepNext/>
              <w:spacing w:line="440" w:lineRule="exact"/>
              <w:ind w:left="420" w:right="63"/>
              <w:rPr>
                <w:rFonts w:hint="eastAsia" w:ascii="宋体" w:hAnsi="宋体"/>
                <w:color w:val="auto"/>
                <w:highlight w:val="none"/>
              </w:rPr>
            </w:pPr>
          </w:p>
        </w:tc>
        <w:tc>
          <w:tcPr>
            <w:tcW w:w="851" w:type="dxa"/>
            <w:tcBorders>
              <w:top w:val="nil"/>
              <w:left w:val="single" w:color="auto" w:sz="6" w:space="0"/>
              <w:bottom w:val="single" w:color="auto" w:sz="6" w:space="0"/>
              <w:right w:val="single" w:color="auto" w:sz="6" w:space="0"/>
            </w:tcBorders>
          </w:tcPr>
          <w:p w14:paraId="0E2EE695">
            <w:pPr>
              <w:pStyle w:val="18"/>
              <w:keepNext/>
              <w:spacing w:line="440" w:lineRule="exact"/>
              <w:ind w:left="420" w:right="63"/>
              <w:rPr>
                <w:rFonts w:hint="eastAsia" w:ascii="宋体" w:hAnsi="宋体"/>
                <w:color w:val="auto"/>
                <w:highlight w:val="none"/>
              </w:rPr>
            </w:pPr>
          </w:p>
        </w:tc>
        <w:tc>
          <w:tcPr>
            <w:tcW w:w="774" w:type="dxa"/>
            <w:tcBorders>
              <w:top w:val="nil"/>
              <w:left w:val="single" w:color="auto" w:sz="6" w:space="0"/>
              <w:bottom w:val="single" w:color="auto" w:sz="6" w:space="0"/>
              <w:right w:val="single" w:color="auto" w:sz="6" w:space="0"/>
            </w:tcBorders>
          </w:tcPr>
          <w:p w14:paraId="3850A950">
            <w:pPr>
              <w:pStyle w:val="18"/>
              <w:keepNext/>
              <w:spacing w:line="440" w:lineRule="exact"/>
              <w:ind w:left="420" w:right="63"/>
              <w:rPr>
                <w:rFonts w:hint="eastAsia" w:ascii="宋体" w:hAnsi="宋体"/>
                <w:color w:val="auto"/>
                <w:highlight w:val="none"/>
              </w:rPr>
            </w:pPr>
          </w:p>
        </w:tc>
        <w:tc>
          <w:tcPr>
            <w:tcW w:w="1352" w:type="dxa"/>
            <w:tcBorders>
              <w:top w:val="nil"/>
              <w:left w:val="single" w:color="auto" w:sz="6" w:space="0"/>
              <w:bottom w:val="single" w:color="auto" w:sz="6" w:space="0"/>
              <w:right w:val="single" w:color="auto" w:sz="6" w:space="0"/>
            </w:tcBorders>
          </w:tcPr>
          <w:p w14:paraId="097C2AF9">
            <w:pPr>
              <w:pStyle w:val="18"/>
              <w:keepNext/>
              <w:spacing w:line="440" w:lineRule="exact"/>
              <w:ind w:left="420" w:right="63"/>
              <w:rPr>
                <w:rFonts w:hint="eastAsia" w:ascii="宋体" w:hAnsi="宋体"/>
                <w:color w:val="auto"/>
                <w:highlight w:val="none"/>
              </w:rPr>
            </w:pPr>
          </w:p>
        </w:tc>
        <w:tc>
          <w:tcPr>
            <w:tcW w:w="1418" w:type="dxa"/>
            <w:tcBorders>
              <w:top w:val="nil"/>
              <w:left w:val="single" w:color="auto" w:sz="6" w:space="0"/>
              <w:bottom w:val="single" w:color="auto" w:sz="6" w:space="0"/>
              <w:right w:val="single" w:color="auto" w:sz="6" w:space="0"/>
            </w:tcBorders>
          </w:tcPr>
          <w:p w14:paraId="7B893BD0">
            <w:pPr>
              <w:pStyle w:val="18"/>
              <w:keepNext/>
              <w:spacing w:line="440" w:lineRule="exact"/>
              <w:ind w:left="420" w:right="63"/>
              <w:rPr>
                <w:rFonts w:hint="eastAsia" w:ascii="宋体" w:hAnsi="宋体"/>
                <w:color w:val="auto"/>
                <w:highlight w:val="none"/>
              </w:rPr>
            </w:pPr>
          </w:p>
        </w:tc>
        <w:tc>
          <w:tcPr>
            <w:tcW w:w="1701" w:type="dxa"/>
            <w:tcBorders>
              <w:top w:val="nil"/>
              <w:left w:val="single" w:color="auto" w:sz="6" w:space="0"/>
              <w:bottom w:val="single" w:color="auto" w:sz="6" w:space="0"/>
              <w:right w:val="single" w:color="auto" w:sz="12" w:space="0"/>
            </w:tcBorders>
          </w:tcPr>
          <w:p w14:paraId="5AC8A4F4">
            <w:pPr>
              <w:pStyle w:val="18"/>
              <w:keepNext/>
              <w:spacing w:line="440" w:lineRule="exact"/>
              <w:ind w:left="420" w:right="63"/>
              <w:rPr>
                <w:rFonts w:hint="eastAsia" w:ascii="宋体" w:hAnsi="宋体"/>
                <w:color w:val="auto"/>
                <w:highlight w:val="none"/>
              </w:rPr>
            </w:pPr>
          </w:p>
        </w:tc>
      </w:tr>
      <w:tr w14:paraId="2083CC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193FE5C5">
            <w:pPr>
              <w:pStyle w:val="18"/>
              <w:keepNext/>
              <w:spacing w:line="440" w:lineRule="exact"/>
              <w:ind w:left="420" w:right="63"/>
              <w:rPr>
                <w:rFonts w:hint="eastAsia" w:ascii="宋体" w:hAnsi="宋体"/>
                <w:color w:val="auto"/>
                <w:highlight w:val="none"/>
              </w:rPr>
            </w:pPr>
          </w:p>
        </w:tc>
        <w:tc>
          <w:tcPr>
            <w:tcW w:w="1984" w:type="dxa"/>
            <w:tcBorders>
              <w:top w:val="single" w:color="auto" w:sz="6" w:space="0"/>
              <w:left w:val="single" w:color="auto" w:sz="6" w:space="0"/>
              <w:bottom w:val="single" w:color="auto" w:sz="6" w:space="0"/>
              <w:right w:val="single" w:color="auto" w:sz="6" w:space="0"/>
            </w:tcBorders>
          </w:tcPr>
          <w:p w14:paraId="435E66E5">
            <w:pPr>
              <w:pStyle w:val="18"/>
              <w:keepNext/>
              <w:spacing w:line="440" w:lineRule="exact"/>
              <w:ind w:left="420" w:right="63"/>
              <w:rPr>
                <w:rFonts w:hint="eastAsia" w:ascii="宋体" w:hAnsi="宋体"/>
                <w:color w:val="auto"/>
                <w:highlight w:val="none"/>
              </w:rPr>
            </w:pPr>
          </w:p>
        </w:tc>
        <w:tc>
          <w:tcPr>
            <w:tcW w:w="851" w:type="dxa"/>
            <w:tcBorders>
              <w:top w:val="single" w:color="auto" w:sz="6" w:space="0"/>
              <w:left w:val="single" w:color="auto" w:sz="6" w:space="0"/>
              <w:bottom w:val="single" w:color="auto" w:sz="6" w:space="0"/>
              <w:right w:val="single" w:color="auto" w:sz="6" w:space="0"/>
            </w:tcBorders>
          </w:tcPr>
          <w:p w14:paraId="179E3F1A">
            <w:pPr>
              <w:pStyle w:val="18"/>
              <w:keepNext/>
              <w:spacing w:line="440" w:lineRule="exact"/>
              <w:ind w:left="420" w:right="63"/>
              <w:rPr>
                <w:rFonts w:hint="eastAsia" w:ascii="宋体" w:hAnsi="宋体"/>
                <w:color w:val="auto"/>
                <w:highlight w:val="none"/>
              </w:rPr>
            </w:pPr>
          </w:p>
        </w:tc>
        <w:tc>
          <w:tcPr>
            <w:tcW w:w="774" w:type="dxa"/>
            <w:tcBorders>
              <w:top w:val="single" w:color="auto" w:sz="6" w:space="0"/>
              <w:left w:val="single" w:color="auto" w:sz="6" w:space="0"/>
              <w:bottom w:val="single" w:color="auto" w:sz="6" w:space="0"/>
              <w:right w:val="single" w:color="auto" w:sz="6" w:space="0"/>
            </w:tcBorders>
          </w:tcPr>
          <w:p w14:paraId="2CE78F1B">
            <w:pPr>
              <w:pStyle w:val="18"/>
              <w:keepNext/>
              <w:spacing w:line="440" w:lineRule="exact"/>
              <w:ind w:left="420" w:right="63"/>
              <w:rPr>
                <w:rFonts w:hint="eastAsia" w:ascii="宋体" w:hAnsi="宋体"/>
                <w:color w:val="auto"/>
                <w:highlight w:val="none"/>
              </w:rPr>
            </w:pPr>
          </w:p>
        </w:tc>
        <w:tc>
          <w:tcPr>
            <w:tcW w:w="1352" w:type="dxa"/>
            <w:tcBorders>
              <w:top w:val="single" w:color="auto" w:sz="6" w:space="0"/>
              <w:left w:val="single" w:color="auto" w:sz="6" w:space="0"/>
              <w:bottom w:val="single" w:color="auto" w:sz="6" w:space="0"/>
              <w:right w:val="single" w:color="auto" w:sz="6" w:space="0"/>
            </w:tcBorders>
          </w:tcPr>
          <w:p w14:paraId="4A69BD4C">
            <w:pPr>
              <w:pStyle w:val="18"/>
              <w:keepNext/>
              <w:spacing w:line="440" w:lineRule="exact"/>
              <w:ind w:left="420" w:right="63"/>
              <w:rPr>
                <w:rFonts w:hint="eastAsia" w:ascii="宋体" w:hAnsi="宋体"/>
                <w:color w:val="auto"/>
                <w:highlight w:val="none"/>
              </w:rPr>
            </w:pPr>
          </w:p>
        </w:tc>
        <w:tc>
          <w:tcPr>
            <w:tcW w:w="1418" w:type="dxa"/>
            <w:tcBorders>
              <w:top w:val="single" w:color="auto" w:sz="6" w:space="0"/>
              <w:left w:val="single" w:color="auto" w:sz="6" w:space="0"/>
              <w:bottom w:val="single" w:color="auto" w:sz="6" w:space="0"/>
              <w:right w:val="single" w:color="auto" w:sz="6" w:space="0"/>
            </w:tcBorders>
          </w:tcPr>
          <w:p w14:paraId="558FF92E">
            <w:pPr>
              <w:pStyle w:val="18"/>
              <w:keepNext/>
              <w:spacing w:line="440" w:lineRule="exact"/>
              <w:ind w:left="420" w:right="63"/>
              <w:rPr>
                <w:rFonts w:hint="eastAsia" w:ascii="宋体" w:hAnsi="宋体"/>
                <w:color w:val="auto"/>
                <w:highlight w:val="none"/>
              </w:rPr>
            </w:pPr>
          </w:p>
        </w:tc>
        <w:tc>
          <w:tcPr>
            <w:tcW w:w="1701" w:type="dxa"/>
            <w:tcBorders>
              <w:top w:val="single" w:color="auto" w:sz="6" w:space="0"/>
              <w:left w:val="single" w:color="auto" w:sz="6" w:space="0"/>
              <w:bottom w:val="single" w:color="auto" w:sz="6" w:space="0"/>
              <w:right w:val="single" w:color="auto" w:sz="12" w:space="0"/>
            </w:tcBorders>
          </w:tcPr>
          <w:p w14:paraId="0F573B1F">
            <w:pPr>
              <w:pStyle w:val="18"/>
              <w:keepNext/>
              <w:spacing w:line="440" w:lineRule="exact"/>
              <w:ind w:left="420" w:right="63"/>
              <w:rPr>
                <w:rFonts w:hint="eastAsia" w:ascii="宋体" w:hAnsi="宋体"/>
                <w:color w:val="auto"/>
                <w:highlight w:val="none"/>
              </w:rPr>
            </w:pPr>
          </w:p>
        </w:tc>
      </w:tr>
      <w:tr w14:paraId="29AD9F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7B55E689">
            <w:pPr>
              <w:pStyle w:val="18"/>
              <w:keepNext/>
              <w:spacing w:line="440" w:lineRule="exact"/>
              <w:ind w:left="420" w:right="63"/>
              <w:rPr>
                <w:rFonts w:hint="eastAsia" w:ascii="宋体" w:hAnsi="宋体"/>
                <w:color w:val="auto"/>
                <w:highlight w:val="none"/>
              </w:rPr>
            </w:pPr>
          </w:p>
        </w:tc>
        <w:tc>
          <w:tcPr>
            <w:tcW w:w="1984" w:type="dxa"/>
            <w:tcBorders>
              <w:top w:val="single" w:color="auto" w:sz="6" w:space="0"/>
              <w:left w:val="single" w:color="auto" w:sz="6" w:space="0"/>
              <w:bottom w:val="single" w:color="auto" w:sz="6" w:space="0"/>
              <w:right w:val="single" w:color="auto" w:sz="6" w:space="0"/>
            </w:tcBorders>
          </w:tcPr>
          <w:p w14:paraId="297A09D6">
            <w:pPr>
              <w:pStyle w:val="18"/>
              <w:keepNext/>
              <w:spacing w:line="440" w:lineRule="exact"/>
              <w:ind w:left="420" w:right="63"/>
              <w:rPr>
                <w:rFonts w:hint="eastAsia" w:ascii="宋体" w:hAnsi="宋体"/>
                <w:color w:val="auto"/>
                <w:highlight w:val="none"/>
              </w:rPr>
            </w:pPr>
          </w:p>
        </w:tc>
        <w:tc>
          <w:tcPr>
            <w:tcW w:w="851" w:type="dxa"/>
            <w:tcBorders>
              <w:top w:val="single" w:color="auto" w:sz="6" w:space="0"/>
              <w:left w:val="single" w:color="auto" w:sz="6" w:space="0"/>
              <w:bottom w:val="single" w:color="auto" w:sz="6" w:space="0"/>
              <w:right w:val="single" w:color="auto" w:sz="6" w:space="0"/>
            </w:tcBorders>
          </w:tcPr>
          <w:p w14:paraId="49D81828">
            <w:pPr>
              <w:pStyle w:val="18"/>
              <w:keepNext/>
              <w:spacing w:line="440" w:lineRule="exact"/>
              <w:ind w:left="420" w:right="63"/>
              <w:rPr>
                <w:rFonts w:hint="eastAsia" w:ascii="宋体" w:hAnsi="宋体"/>
                <w:color w:val="auto"/>
                <w:highlight w:val="none"/>
              </w:rPr>
            </w:pPr>
          </w:p>
        </w:tc>
        <w:tc>
          <w:tcPr>
            <w:tcW w:w="774" w:type="dxa"/>
            <w:tcBorders>
              <w:top w:val="single" w:color="auto" w:sz="6" w:space="0"/>
              <w:left w:val="single" w:color="auto" w:sz="6" w:space="0"/>
              <w:bottom w:val="single" w:color="auto" w:sz="6" w:space="0"/>
              <w:right w:val="single" w:color="auto" w:sz="6" w:space="0"/>
            </w:tcBorders>
          </w:tcPr>
          <w:p w14:paraId="02237FF7">
            <w:pPr>
              <w:pStyle w:val="18"/>
              <w:keepNext/>
              <w:spacing w:line="440" w:lineRule="exact"/>
              <w:ind w:left="420" w:right="63"/>
              <w:rPr>
                <w:rFonts w:hint="eastAsia" w:ascii="宋体" w:hAnsi="宋体"/>
                <w:color w:val="auto"/>
                <w:highlight w:val="none"/>
              </w:rPr>
            </w:pPr>
          </w:p>
        </w:tc>
        <w:tc>
          <w:tcPr>
            <w:tcW w:w="1352" w:type="dxa"/>
            <w:tcBorders>
              <w:top w:val="single" w:color="auto" w:sz="6" w:space="0"/>
              <w:left w:val="single" w:color="auto" w:sz="6" w:space="0"/>
              <w:bottom w:val="single" w:color="auto" w:sz="6" w:space="0"/>
              <w:right w:val="single" w:color="auto" w:sz="6" w:space="0"/>
            </w:tcBorders>
          </w:tcPr>
          <w:p w14:paraId="26F0DA82">
            <w:pPr>
              <w:pStyle w:val="18"/>
              <w:keepNext/>
              <w:spacing w:line="440" w:lineRule="exact"/>
              <w:ind w:left="420" w:right="63"/>
              <w:rPr>
                <w:rFonts w:hint="eastAsia" w:ascii="宋体" w:hAnsi="宋体"/>
                <w:color w:val="auto"/>
                <w:highlight w:val="none"/>
              </w:rPr>
            </w:pPr>
          </w:p>
        </w:tc>
        <w:tc>
          <w:tcPr>
            <w:tcW w:w="1418" w:type="dxa"/>
            <w:tcBorders>
              <w:top w:val="single" w:color="auto" w:sz="6" w:space="0"/>
              <w:left w:val="single" w:color="auto" w:sz="6" w:space="0"/>
              <w:bottom w:val="single" w:color="auto" w:sz="6" w:space="0"/>
              <w:right w:val="single" w:color="auto" w:sz="6" w:space="0"/>
            </w:tcBorders>
          </w:tcPr>
          <w:p w14:paraId="00FB746A">
            <w:pPr>
              <w:pStyle w:val="18"/>
              <w:keepNext/>
              <w:spacing w:line="440" w:lineRule="exact"/>
              <w:ind w:left="420" w:right="63"/>
              <w:rPr>
                <w:rFonts w:hint="eastAsia" w:ascii="宋体" w:hAnsi="宋体"/>
                <w:color w:val="auto"/>
                <w:highlight w:val="none"/>
              </w:rPr>
            </w:pPr>
          </w:p>
        </w:tc>
        <w:tc>
          <w:tcPr>
            <w:tcW w:w="1701" w:type="dxa"/>
            <w:tcBorders>
              <w:top w:val="single" w:color="auto" w:sz="6" w:space="0"/>
              <w:left w:val="single" w:color="auto" w:sz="6" w:space="0"/>
              <w:bottom w:val="single" w:color="auto" w:sz="6" w:space="0"/>
              <w:right w:val="single" w:color="auto" w:sz="12" w:space="0"/>
            </w:tcBorders>
          </w:tcPr>
          <w:p w14:paraId="49ADC00D">
            <w:pPr>
              <w:pStyle w:val="18"/>
              <w:keepNext/>
              <w:spacing w:line="440" w:lineRule="exact"/>
              <w:ind w:left="420" w:right="63"/>
              <w:rPr>
                <w:rFonts w:hint="eastAsia" w:ascii="宋体" w:hAnsi="宋体"/>
                <w:color w:val="auto"/>
                <w:highlight w:val="none"/>
              </w:rPr>
            </w:pPr>
          </w:p>
        </w:tc>
      </w:tr>
      <w:tr w14:paraId="08643A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04D62C58">
            <w:pPr>
              <w:pStyle w:val="18"/>
              <w:keepNext/>
              <w:spacing w:line="440" w:lineRule="exact"/>
              <w:ind w:left="420" w:right="63"/>
              <w:rPr>
                <w:rFonts w:hint="eastAsia" w:ascii="宋体" w:hAnsi="宋体"/>
                <w:color w:val="auto"/>
                <w:highlight w:val="none"/>
              </w:rPr>
            </w:pPr>
          </w:p>
        </w:tc>
        <w:tc>
          <w:tcPr>
            <w:tcW w:w="1984" w:type="dxa"/>
            <w:tcBorders>
              <w:top w:val="single" w:color="auto" w:sz="6" w:space="0"/>
              <w:left w:val="single" w:color="auto" w:sz="6" w:space="0"/>
              <w:bottom w:val="single" w:color="auto" w:sz="6" w:space="0"/>
              <w:right w:val="single" w:color="auto" w:sz="6" w:space="0"/>
            </w:tcBorders>
          </w:tcPr>
          <w:p w14:paraId="276FEA29">
            <w:pPr>
              <w:pStyle w:val="18"/>
              <w:keepNext/>
              <w:spacing w:line="440" w:lineRule="exact"/>
              <w:ind w:left="420" w:right="63"/>
              <w:rPr>
                <w:rFonts w:hint="eastAsia" w:ascii="宋体" w:hAnsi="宋体"/>
                <w:color w:val="auto"/>
                <w:highlight w:val="none"/>
              </w:rPr>
            </w:pPr>
          </w:p>
        </w:tc>
        <w:tc>
          <w:tcPr>
            <w:tcW w:w="851" w:type="dxa"/>
            <w:tcBorders>
              <w:top w:val="single" w:color="auto" w:sz="6" w:space="0"/>
              <w:left w:val="single" w:color="auto" w:sz="6" w:space="0"/>
              <w:bottom w:val="single" w:color="auto" w:sz="6" w:space="0"/>
              <w:right w:val="single" w:color="auto" w:sz="6" w:space="0"/>
            </w:tcBorders>
          </w:tcPr>
          <w:p w14:paraId="0B76F799">
            <w:pPr>
              <w:pStyle w:val="18"/>
              <w:keepNext/>
              <w:spacing w:line="440" w:lineRule="exact"/>
              <w:ind w:left="420" w:right="63"/>
              <w:rPr>
                <w:rFonts w:hint="eastAsia" w:ascii="宋体" w:hAnsi="宋体"/>
                <w:color w:val="auto"/>
                <w:highlight w:val="none"/>
              </w:rPr>
            </w:pPr>
          </w:p>
        </w:tc>
        <w:tc>
          <w:tcPr>
            <w:tcW w:w="774" w:type="dxa"/>
            <w:tcBorders>
              <w:top w:val="single" w:color="auto" w:sz="6" w:space="0"/>
              <w:left w:val="single" w:color="auto" w:sz="6" w:space="0"/>
              <w:bottom w:val="single" w:color="auto" w:sz="6" w:space="0"/>
              <w:right w:val="single" w:color="auto" w:sz="6" w:space="0"/>
            </w:tcBorders>
          </w:tcPr>
          <w:p w14:paraId="6E054DBE">
            <w:pPr>
              <w:pStyle w:val="18"/>
              <w:keepNext/>
              <w:spacing w:line="440" w:lineRule="exact"/>
              <w:ind w:left="420" w:right="63"/>
              <w:rPr>
                <w:rFonts w:hint="eastAsia" w:ascii="宋体" w:hAnsi="宋体"/>
                <w:color w:val="auto"/>
                <w:highlight w:val="none"/>
              </w:rPr>
            </w:pPr>
          </w:p>
        </w:tc>
        <w:tc>
          <w:tcPr>
            <w:tcW w:w="1352" w:type="dxa"/>
            <w:tcBorders>
              <w:top w:val="single" w:color="auto" w:sz="6" w:space="0"/>
              <w:left w:val="single" w:color="auto" w:sz="6" w:space="0"/>
              <w:bottom w:val="single" w:color="auto" w:sz="6" w:space="0"/>
              <w:right w:val="single" w:color="auto" w:sz="6" w:space="0"/>
            </w:tcBorders>
          </w:tcPr>
          <w:p w14:paraId="5C8475D2">
            <w:pPr>
              <w:pStyle w:val="18"/>
              <w:keepNext/>
              <w:spacing w:line="440" w:lineRule="exact"/>
              <w:ind w:left="420" w:right="63"/>
              <w:rPr>
                <w:rFonts w:hint="eastAsia" w:ascii="宋体" w:hAnsi="宋体"/>
                <w:color w:val="auto"/>
                <w:highlight w:val="none"/>
              </w:rPr>
            </w:pPr>
          </w:p>
        </w:tc>
        <w:tc>
          <w:tcPr>
            <w:tcW w:w="1418" w:type="dxa"/>
            <w:tcBorders>
              <w:top w:val="single" w:color="auto" w:sz="6" w:space="0"/>
              <w:left w:val="single" w:color="auto" w:sz="6" w:space="0"/>
              <w:bottom w:val="single" w:color="auto" w:sz="6" w:space="0"/>
              <w:right w:val="single" w:color="auto" w:sz="6" w:space="0"/>
            </w:tcBorders>
          </w:tcPr>
          <w:p w14:paraId="60A8E69C">
            <w:pPr>
              <w:pStyle w:val="18"/>
              <w:keepNext/>
              <w:spacing w:line="440" w:lineRule="exact"/>
              <w:ind w:left="420" w:right="63"/>
              <w:rPr>
                <w:rFonts w:hint="eastAsia" w:ascii="宋体" w:hAnsi="宋体"/>
                <w:color w:val="auto"/>
                <w:highlight w:val="none"/>
              </w:rPr>
            </w:pPr>
          </w:p>
        </w:tc>
        <w:tc>
          <w:tcPr>
            <w:tcW w:w="1701" w:type="dxa"/>
            <w:tcBorders>
              <w:top w:val="single" w:color="auto" w:sz="6" w:space="0"/>
              <w:left w:val="single" w:color="auto" w:sz="6" w:space="0"/>
              <w:bottom w:val="single" w:color="auto" w:sz="6" w:space="0"/>
              <w:right w:val="single" w:color="auto" w:sz="12" w:space="0"/>
            </w:tcBorders>
          </w:tcPr>
          <w:p w14:paraId="4AA3C909">
            <w:pPr>
              <w:pStyle w:val="18"/>
              <w:keepNext/>
              <w:spacing w:line="440" w:lineRule="exact"/>
              <w:ind w:left="420" w:right="63"/>
              <w:rPr>
                <w:rFonts w:hint="eastAsia" w:ascii="宋体" w:hAnsi="宋体"/>
                <w:color w:val="auto"/>
                <w:highlight w:val="none"/>
              </w:rPr>
            </w:pPr>
          </w:p>
        </w:tc>
      </w:tr>
      <w:tr w14:paraId="050B7B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081F97F8">
            <w:pPr>
              <w:pStyle w:val="18"/>
              <w:keepNext/>
              <w:spacing w:line="440" w:lineRule="exact"/>
              <w:ind w:left="420" w:right="63"/>
              <w:rPr>
                <w:rFonts w:hint="eastAsia" w:ascii="宋体" w:hAnsi="宋体"/>
                <w:color w:val="auto"/>
                <w:highlight w:val="none"/>
              </w:rPr>
            </w:pPr>
          </w:p>
        </w:tc>
        <w:tc>
          <w:tcPr>
            <w:tcW w:w="1984" w:type="dxa"/>
            <w:tcBorders>
              <w:top w:val="single" w:color="auto" w:sz="6" w:space="0"/>
              <w:left w:val="single" w:color="auto" w:sz="6" w:space="0"/>
              <w:bottom w:val="single" w:color="auto" w:sz="6" w:space="0"/>
              <w:right w:val="single" w:color="auto" w:sz="6" w:space="0"/>
            </w:tcBorders>
          </w:tcPr>
          <w:p w14:paraId="3F15AF94">
            <w:pPr>
              <w:pStyle w:val="18"/>
              <w:keepNext/>
              <w:spacing w:line="440" w:lineRule="exact"/>
              <w:ind w:left="420" w:right="63"/>
              <w:rPr>
                <w:rFonts w:hint="eastAsia" w:ascii="宋体" w:hAnsi="宋体"/>
                <w:color w:val="auto"/>
                <w:highlight w:val="none"/>
              </w:rPr>
            </w:pPr>
          </w:p>
        </w:tc>
        <w:tc>
          <w:tcPr>
            <w:tcW w:w="851" w:type="dxa"/>
            <w:tcBorders>
              <w:top w:val="single" w:color="auto" w:sz="6" w:space="0"/>
              <w:left w:val="single" w:color="auto" w:sz="6" w:space="0"/>
              <w:bottom w:val="single" w:color="auto" w:sz="6" w:space="0"/>
              <w:right w:val="single" w:color="auto" w:sz="6" w:space="0"/>
            </w:tcBorders>
          </w:tcPr>
          <w:p w14:paraId="3DFD9A3B">
            <w:pPr>
              <w:pStyle w:val="18"/>
              <w:keepNext/>
              <w:spacing w:line="440" w:lineRule="exact"/>
              <w:ind w:left="420" w:right="63"/>
              <w:rPr>
                <w:rFonts w:hint="eastAsia" w:ascii="宋体" w:hAnsi="宋体"/>
                <w:color w:val="auto"/>
                <w:highlight w:val="none"/>
              </w:rPr>
            </w:pPr>
          </w:p>
        </w:tc>
        <w:tc>
          <w:tcPr>
            <w:tcW w:w="774" w:type="dxa"/>
            <w:tcBorders>
              <w:top w:val="single" w:color="auto" w:sz="6" w:space="0"/>
              <w:left w:val="single" w:color="auto" w:sz="6" w:space="0"/>
              <w:bottom w:val="single" w:color="auto" w:sz="6" w:space="0"/>
              <w:right w:val="single" w:color="auto" w:sz="6" w:space="0"/>
            </w:tcBorders>
          </w:tcPr>
          <w:p w14:paraId="45129EA1">
            <w:pPr>
              <w:pStyle w:val="18"/>
              <w:keepNext/>
              <w:spacing w:line="440" w:lineRule="exact"/>
              <w:ind w:left="420" w:right="63"/>
              <w:rPr>
                <w:rFonts w:hint="eastAsia" w:ascii="宋体" w:hAnsi="宋体"/>
                <w:color w:val="auto"/>
                <w:highlight w:val="none"/>
              </w:rPr>
            </w:pPr>
          </w:p>
        </w:tc>
        <w:tc>
          <w:tcPr>
            <w:tcW w:w="1352" w:type="dxa"/>
            <w:tcBorders>
              <w:top w:val="single" w:color="auto" w:sz="6" w:space="0"/>
              <w:left w:val="single" w:color="auto" w:sz="6" w:space="0"/>
              <w:bottom w:val="single" w:color="auto" w:sz="6" w:space="0"/>
              <w:right w:val="single" w:color="auto" w:sz="6" w:space="0"/>
            </w:tcBorders>
          </w:tcPr>
          <w:p w14:paraId="765C4E1E">
            <w:pPr>
              <w:pStyle w:val="18"/>
              <w:keepNext/>
              <w:spacing w:line="440" w:lineRule="exact"/>
              <w:ind w:left="420" w:right="63"/>
              <w:rPr>
                <w:rFonts w:hint="eastAsia" w:ascii="宋体" w:hAnsi="宋体"/>
                <w:color w:val="auto"/>
                <w:highlight w:val="none"/>
              </w:rPr>
            </w:pPr>
          </w:p>
        </w:tc>
        <w:tc>
          <w:tcPr>
            <w:tcW w:w="1418" w:type="dxa"/>
            <w:tcBorders>
              <w:top w:val="single" w:color="auto" w:sz="6" w:space="0"/>
              <w:left w:val="single" w:color="auto" w:sz="6" w:space="0"/>
              <w:bottom w:val="single" w:color="auto" w:sz="6" w:space="0"/>
              <w:right w:val="single" w:color="auto" w:sz="6" w:space="0"/>
            </w:tcBorders>
          </w:tcPr>
          <w:p w14:paraId="4E2DC79D">
            <w:pPr>
              <w:pStyle w:val="18"/>
              <w:keepNext/>
              <w:spacing w:line="440" w:lineRule="exact"/>
              <w:ind w:left="420" w:right="63"/>
              <w:rPr>
                <w:rFonts w:hint="eastAsia" w:ascii="宋体" w:hAnsi="宋体"/>
                <w:color w:val="auto"/>
                <w:highlight w:val="none"/>
              </w:rPr>
            </w:pPr>
          </w:p>
        </w:tc>
        <w:tc>
          <w:tcPr>
            <w:tcW w:w="1701" w:type="dxa"/>
            <w:tcBorders>
              <w:top w:val="single" w:color="auto" w:sz="6" w:space="0"/>
              <w:left w:val="single" w:color="auto" w:sz="6" w:space="0"/>
              <w:bottom w:val="single" w:color="auto" w:sz="6" w:space="0"/>
              <w:right w:val="single" w:color="auto" w:sz="12" w:space="0"/>
            </w:tcBorders>
          </w:tcPr>
          <w:p w14:paraId="4D4FAF78">
            <w:pPr>
              <w:pStyle w:val="18"/>
              <w:keepNext/>
              <w:spacing w:line="440" w:lineRule="exact"/>
              <w:ind w:left="420" w:right="63"/>
              <w:rPr>
                <w:rFonts w:hint="eastAsia" w:ascii="宋体" w:hAnsi="宋体"/>
                <w:color w:val="auto"/>
                <w:highlight w:val="none"/>
              </w:rPr>
            </w:pPr>
          </w:p>
        </w:tc>
      </w:tr>
      <w:tr w14:paraId="268138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249ABA81">
            <w:pPr>
              <w:pStyle w:val="18"/>
              <w:keepNext/>
              <w:spacing w:line="440" w:lineRule="exact"/>
              <w:ind w:left="420" w:right="63"/>
              <w:rPr>
                <w:rFonts w:hint="eastAsia" w:ascii="宋体" w:hAnsi="宋体"/>
                <w:color w:val="auto"/>
                <w:highlight w:val="none"/>
              </w:rPr>
            </w:pPr>
          </w:p>
        </w:tc>
        <w:tc>
          <w:tcPr>
            <w:tcW w:w="1984" w:type="dxa"/>
            <w:tcBorders>
              <w:top w:val="single" w:color="auto" w:sz="6" w:space="0"/>
              <w:left w:val="single" w:color="auto" w:sz="6" w:space="0"/>
              <w:bottom w:val="single" w:color="auto" w:sz="6" w:space="0"/>
              <w:right w:val="single" w:color="auto" w:sz="6" w:space="0"/>
            </w:tcBorders>
          </w:tcPr>
          <w:p w14:paraId="5EF1A0B5">
            <w:pPr>
              <w:pStyle w:val="18"/>
              <w:keepNext/>
              <w:spacing w:line="440" w:lineRule="exact"/>
              <w:ind w:left="420" w:right="63"/>
              <w:rPr>
                <w:rFonts w:hint="eastAsia" w:ascii="宋体" w:hAnsi="宋体"/>
                <w:color w:val="auto"/>
                <w:highlight w:val="none"/>
              </w:rPr>
            </w:pPr>
          </w:p>
        </w:tc>
        <w:tc>
          <w:tcPr>
            <w:tcW w:w="851" w:type="dxa"/>
            <w:tcBorders>
              <w:top w:val="single" w:color="auto" w:sz="6" w:space="0"/>
              <w:left w:val="single" w:color="auto" w:sz="6" w:space="0"/>
              <w:bottom w:val="single" w:color="auto" w:sz="6" w:space="0"/>
              <w:right w:val="single" w:color="auto" w:sz="6" w:space="0"/>
            </w:tcBorders>
          </w:tcPr>
          <w:p w14:paraId="76AF2248">
            <w:pPr>
              <w:pStyle w:val="18"/>
              <w:keepNext/>
              <w:spacing w:line="440" w:lineRule="exact"/>
              <w:ind w:left="420" w:right="63"/>
              <w:rPr>
                <w:rFonts w:hint="eastAsia" w:ascii="宋体" w:hAnsi="宋体"/>
                <w:color w:val="auto"/>
                <w:highlight w:val="none"/>
              </w:rPr>
            </w:pPr>
          </w:p>
        </w:tc>
        <w:tc>
          <w:tcPr>
            <w:tcW w:w="774" w:type="dxa"/>
            <w:tcBorders>
              <w:top w:val="single" w:color="auto" w:sz="6" w:space="0"/>
              <w:left w:val="single" w:color="auto" w:sz="6" w:space="0"/>
              <w:bottom w:val="single" w:color="auto" w:sz="6" w:space="0"/>
              <w:right w:val="single" w:color="auto" w:sz="6" w:space="0"/>
            </w:tcBorders>
          </w:tcPr>
          <w:p w14:paraId="37C31EE4">
            <w:pPr>
              <w:pStyle w:val="18"/>
              <w:keepNext/>
              <w:spacing w:line="440" w:lineRule="exact"/>
              <w:ind w:left="420" w:right="63"/>
              <w:rPr>
                <w:rFonts w:hint="eastAsia" w:ascii="宋体" w:hAnsi="宋体"/>
                <w:color w:val="auto"/>
                <w:highlight w:val="none"/>
              </w:rPr>
            </w:pPr>
          </w:p>
        </w:tc>
        <w:tc>
          <w:tcPr>
            <w:tcW w:w="1352" w:type="dxa"/>
            <w:tcBorders>
              <w:top w:val="single" w:color="auto" w:sz="6" w:space="0"/>
              <w:left w:val="single" w:color="auto" w:sz="6" w:space="0"/>
              <w:bottom w:val="single" w:color="auto" w:sz="6" w:space="0"/>
              <w:right w:val="single" w:color="auto" w:sz="6" w:space="0"/>
            </w:tcBorders>
          </w:tcPr>
          <w:p w14:paraId="5384D8AF">
            <w:pPr>
              <w:pStyle w:val="18"/>
              <w:keepNext/>
              <w:spacing w:line="440" w:lineRule="exact"/>
              <w:ind w:left="420" w:right="63"/>
              <w:rPr>
                <w:rFonts w:hint="eastAsia" w:ascii="宋体" w:hAnsi="宋体"/>
                <w:color w:val="auto"/>
                <w:highlight w:val="none"/>
              </w:rPr>
            </w:pPr>
          </w:p>
        </w:tc>
        <w:tc>
          <w:tcPr>
            <w:tcW w:w="1418" w:type="dxa"/>
            <w:tcBorders>
              <w:top w:val="single" w:color="auto" w:sz="6" w:space="0"/>
              <w:left w:val="single" w:color="auto" w:sz="6" w:space="0"/>
              <w:bottom w:val="single" w:color="auto" w:sz="6" w:space="0"/>
              <w:right w:val="single" w:color="auto" w:sz="6" w:space="0"/>
            </w:tcBorders>
          </w:tcPr>
          <w:p w14:paraId="2A7992D5">
            <w:pPr>
              <w:pStyle w:val="18"/>
              <w:keepNext/>
              <w:spacing w:line="440" w:lineRule="exact"/>
              <w:ind w:left="420" w:right="63"/>
              <w:rPr>
                <w:rFonts w:hint="eastAsia" w:ascii="宋体" w:hAnsi="宋体"/>
                <w:color w:val="auto"/>
                <w:highlight w:val="none"/>
              </w:rPr>
            </w:pPr>
          </w:p>
        </w:tc>
        <w:tc>
          <w:tcPr>
            <w:tcW w:w="1701" w:type="dxa"/>
            <w:tcBorders>
              <w:top w:val="single" w:color="auto" w:sz="6" w:space="0"/>
              <w:left w:val="single" w:color="auto" w:sz="6" w:space="0"/>
              <w:bottom w:val="single" w:color="auto" w:sz="6" w:space="0"/>
              <w:right w:val="single" w:color="auto" w:sz="12" w:space="0"/>
            </w:tcBorders>
          </w:tcPr>
          <w:p w14:paraId="1502C661">
            <w:pPr>
              <w:pStyle w:val="18"/>
              <w:keepNext/>
              <w:spacing w:line="440" w:lineRule="exact"/>
              <w:ind w:left="420" w:right="63"/>
              <w:rPr>
                <w:rFonts w:hint="eastAsia" w:ascii="宋体" w:hAnsi="宋体"/>
                <w:color w:val="auto"/>
                <w:highlight w:val="none"/>
              </w:rPr>
            </w:pPr>
          </w:p>
        </w:tc>
      </w:tr>
      <w:tr w14:paraId="5D9E82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4658C8BF">
            <w:pPr>
              <w:pStyle w:val="18"/>
              <w:keepNext/>
              <w:spacing w:line="440" w:lineRule="exact"/>
              <w:ind w:left="420" w:right="63"/>
              <w:rPr>
                <w:rFonts w:hint="eastAsia" w:ascii="宋体" w:hAnsi="宋体"/>
                <w:color w:val="auto"/>
                <w:highlight w:val="none"/>
              </w:rPr>
            </w:pPr>
          </w:p>
        </w:tc>
        <w:tc>
          <w:tcPr>
            <w:tcW w:w="1984" w:type="dxa"/>
            <w:tcBorders>
              <w:top w:val="single" w:color="auto" w:sz="6" w:space="0"/>
              <w:left w:val="single" w:color="auto" w:sz="6" w:space="0"/>
              <w:bottom w:val="single" w:color="auto" w:sz="6" w:space="0"/>
              <w:right w:val="single" w:color="auto" w:sz="6" w:space="0"/>
            </w:tcBorders>
          </w:tcPr>
          <w:p w14:paraId="571A0FC4">
            <w:pPr>
              <w:pStyle w:val="18"/>
              <w:keepNext/>
              <w:spacing w:line="440" w:lineRule="exact"/>
              <w:ind w:left="420" w:right="63"/>
              <w:rPr>
                <w:rFonts w:hint="eastAsia" w:ascii="宋体" w:hAnsi="宋体"/>
                <w:color w:val="auto"/>
                <w:highlight w:val="none"/>
              </w:rPr>
            </w:pPr>
          </w:p>
        </w:tc>
        <w:tc>
          <w:tcPr>
            <w:tcW w:w="851" w:type="dxa"/>
            <w:tcBorders>
              <w:top w:val="single" w:color="auto" w:sz="6" w:space="0"/>
              <w:left w:val="single" w:color="auto" w:sz="6" w:space="0"/>
              <w:bottom w:val="single" w:color="auto" w:sz="6" w:space="0"/>
              <w:right w:val="single" w:color="auto" w:sz="6" w:space="0"/>
            </w:tcBorders>
          </w:tcPr>
          <w:p w14:paraId="1DDBBDE1">
            <w:pPr>
              <w:pStyle w:val="18"/>
              <w:keepNext/>
              <w:spacing w:line="440" w:lineRule="exact"/>
              <w:ind w:left="420" w:right="63"/>
              <w:rPr>
                <w:rFonts w:hint="eastAsia" w:ascii="宋体" w:hAnsi="宋体"/>
                <w:color w:val="auto"/>
                <w:highlight w:val="none"/>
              </w:rPr>
            </w:pPr>
          </w:p>
        </w:tc>
        <w:tc>
          <w:tcPr>
            <w:tcW w:w="774" w:type="dxa"/>
            <w:tcBorders>
              <w:top w:val="single" w:color="auto" w:sz="6" w:space="0"/>
              <w:left w:val="single" w:color="auto" w:sz="6" w:space="0"/>
              <w:bottom w:val="single" w:color="auto" w:sz="6" w:space="0"/>
              <w:right w:val="single" w:color="auto" w:sz="6" w:space="0"/>
            </w:tcBorders>
          </w:tcPr>
          <w:p w14:paraId="121014E4">
            <w:pPr>
              <w:pStyle w:val="18"/>
              <w:keepNext/>
              <w:spacing w:line="440" w:lineRule="exact"/>
              <w:ind w:left="420" w:right="63"/>
              <w:rPr>
                <w:rFonts w:hint="eastAsia" w:ascii="宋体" w:hAnsi="宋体"/>
                <w:color w:val="auto"/>
                <w:highlight w:val="none"/>
              </w:rPr>
            </w:pPr>
          </w:p>
        </w:tc>
        <w:tc>
          <w:tcPr>
            <w:tcW w:w="1352" w:type="dxa"/>
            <w:tcBorders>
              <w:top w:val="single" w:color="auto" w:sz="6" w:space="0"/>
              <w:left w:val="single" w:color="auto" w:sz="6" w:space="0"/>
              <w:bottom w:val="single" w:color="auto" w:sz="6" w:space="0"/>
              <w:right w:val="single" w:color="auto" w:sz="6" w:space="0"/>
            </w:tcBorders>
          </w:tcPr>
          <w:p w14:paraId="0DFE327E">
            <w:pPr>
              <w:pStyle w:val="18"/>
              <w:keepNext/>
              <w:spacing w:line="440" w:lineRule="exact"/>
              <w:ind w:left="420" w:right="63"/>
              <w:rPr>
                <w:rFonts w:hint="eastAsia" w:ascii="宋体" w:hAnsi="宋体"/>
                <w:color w:val="auto"/>
                <w:highlight w:val="none"/>
              </w:rPr>
            </w:pPr>
          </w:p>
        </w:tc>
        <w:tc>
          <w:tcPr>
            <w:tcW w:w="1418" w:type="dxa"/>
            <w:tcBorders>
              <w:top w:val="single" w:color="auto" w:sz="6" w:space="0"/>
              <w:left w:val="single" w:color="auto" w:sz="6" w:space="0"/>
              <w:bottom w:val="single" w:color="auto" w:sz="6" w:space="0"/>
              <w:right w:val="single" w:color="auto" w:sz="6" w:space="0"/>
            </w:tcBorders>
          </w:tcPr>
          <w:p w14:paraId="6BE3C012">
            <w:pPr>
              <w:pStyle w:val="18"/>
              <w:keepNext/>
              <w:spacing w:line="440" w:lineRule="exact"/>
              <w:ind w:left="420" w:right="63"/>
              <w:rPr>
                <w:rFonts w:hint="eastAsia" w:ascii="宋体" w:hAnsi="宋体"/>
                <w:color w:val="auto"/>
                <w:highlight w:val="none"/>
              </w:rPr>
            </w:pPr>
          </w:p>
        </w:tc>
        <w:tc>
          <w:tcPr>
            <w:tcW w:w="1701" w:type="dxa"/>
            <w:tcBorders>
              <w:top w:val="single" w:color="auto" w:sz="6" w:space="0"/>
              <w:left w:val="single" w:color="auto" w:sz="6" w:space="0"/>
              <w:bottom w:val="single" w:color="auto" w:sz="6" w:space="0"/>
              <w:right w:val="single" w:color="auto" w:sz="12" w:space="0"/>
            </w:tcBorders>
          </w:tcPr>
          <w:p w14:paraId="1B4C6A80">
            <w:pPr>
              <w:pStyle w:val="18"/>
              <w:keepNext/>
              <w:spacing w:line="440" w:lineRule="exact"/>
              <w:ind w:left="420" w:right="63"/>
              <w:rPr>
                <w:rFonts w:hint="eastAsia" w:ascii="宋体" w:hAnsi="宋体"/>
                <w:color w:val="auto"/>
                <w:highlight w:val="none"/>
              </w:rPr>
            </w:pPr>
          </w:p>
        </w:tc>
      </w:tr>
      <w:tr w14:paraId="612834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251449F4">
            <w:pPr>
              <w:pStyle w:val="18"/>
              <w:keepNext/>
              <w:spacing w:line="440" w:lineRule="exact"/>
              <w:ind w:left="420" w:right="63"/>
              <w:rPr>
                <w:rFonts w:hint="eastAsia" w:ascii="宋体" w:hAnsi="宋体"/>
                <w:color w:val="auto"/>
                <w:highlight w:val="none"/>
              </w:rPr>
            </w:pPr>
          </w:p>
        </w:tc>
        <w:tc>
          <w:tcPr>
            <w:tcW w:w="1984" w:type="dxa"/>
            <w:tcBorders>
              <w:top w:val="single" w:color="auto" w:sz="6" w:space="0"/>
              <w:left w:val="single" w:color="auto" w:sz="6" w:space="0"/>
              <w:bottom w:val="single" w:color="auto" w:sz="6" w:space="0"/>
              <w:right w:val="single" w:color="auto" w:sz="6" w:space="0"/>
            </w:tcBorders>
          </w:tcPr>
          <w:p w14:paraId="1665DCE6">
            <w:pPr>
              <w:pStyle w:val="18"/>
              <w:keepNext/>
              <w:spacing w:line="440" w:lineRule="exact"/>
              <w:ind w:left="420" w:right="63"/>
              <w:rPr>
                <w:rFonts w:hint="eastAsia" w:ascii="宋体" w:hAnsi="宋体"/>
                <w:color w:val="auto"/>
                <w:highlight w:val="none"/>
              </w:rPr>
            </w:pPr>
          </w:p>
        </w:tc>
        <w:tc>
          <w:tcPr>
            <w:tcW w:w="851" w:type="dxa"/>
            <w:tcBorders>
              <w:top w:val="single" w:color="auto" w:sz="6" w:space="0"/>
              <w:left w:val="single" w:color="auto" w:sz="6" w:space="0"/>
              <w:bottom w:val="single" w:color="auto" w:sz="6" w:space="0"/>
              <w:right w:val="single" w:color="auto" w:sz="6" w:space="0"/>
            </w:tcBorders>
          </w:tcPr>
          <w:p w14:paraId="5CD8336D">
            <w:pPr>
              <w:pStyle w:val="18"/>
              <w:keepNext/>
              <w:spacing w:line="440" w:lineRule="exact"/>
              <w:ind w:left="420" w:right="63"/>
              <w:rPr>
                <w:rFonts w:hint="eastAsia" w:ascii="宋体" w:hAnsi="宋体"/>
                <w:color w:val="auto"/>
                <w:highlight w:val="none"/>
              </w:rPr>
            </w:pPr>
          </w:p>
        </w:tc>
        <w:tc>
          <w:tcPr>
            <w:tcW w:w="774" w:type="dxa"/>
            <w:tcBorders>
              <w:top w:val="single" w:color="auto" w:sz="6" w:space="0"/>
              <w:left w:val="single" w:color="auto" w:sz="6" w:space="0"/>
              <w:bottom w:val="single" w:color="auto" w:sz="6" w:space="0"/>
              <w:right w:val="single" w:color="auto" w:sz="6" w:space="0"/>
            </w:tcBorders>
          </w:tcPr>
          <w:p w14:paraId="6D39CE90">
            <w:pPr>
              <w:pStyle w:val="18"/>
              <w:keepNext/>
              <w:spacing w:line="440" w:lineRule="exact"/>
              <w:ind w:left="420" w:right="63"/>
              <w:rPr>
                <w:rFonts w:hint="eastAsia" w:ascii="宋体" w:hAnsi="宋体"/>
                <w:color w:val="auto"/>
                <w:highlight w:val="none"/>
              </w:rPr>
            </w:pPr>
          </w:p>
        </w:tc>
        <w:tc>
          <w:tcPr>
            <w:tcW w:w="1352" w:type="dxa"/>
            <w:tcBorders>
              <w:top w:val="single" w:color="auto" w:sz="6" w:space="0"/>
              <w:left w:val="single" w:color="auto" w:sz="6" w:space="0"/>
              <w:bottom w:val="single" w:color="auto" w:sz="6" w:space="0"/>
              <w:right w:val="single" w:color="auto" w:sz="6" w:space="0"/>
            </w:tcBorders>
          </w:tcPr>
          <w:p w14:paraId="5DB64EB7">
            <w:pPr>
              <w:pStyle w:val="18"/>
              <w:keepNext/>
              <w:spacing w:line="440" w:lineRule="exact"/>
              <w:ind w:left="420" w:right="63"/>
              <w:rPr>
                <w:rFonts w:hint="eastAsia" w:ascii="宋体" w:hAnsi="宋体"/>
                <w:color w:val="auto"/>
                <w:highlight w:val="none"/>
              </w:rPr>
            </w:pPr>
          </w:p>
        </w:tc>
        <w:tc>
          <w:tcPr>
            <w:tcW w:w="1418" w:type="dxa"/>
            <w:tcBorders>
              <w:top w:val="single" w:color="auto" w:sz="6" w:space="0"/>
              <w:left w:val="single" w:color="auto" w:sz="6" w:space="0"/>
              <w:bottom w:val="single" w:color="auto" w:sz="6" w:space="0"/>
              <w:right w:val="single" w:color="auto" w:sz="6" w:space="0"/>
            </w:tcBorders>
          </w:tcPr>
          <w:p w14:paraId="35F6AB9B">
            <w:pPr>
              <w:pStyle w:val="18"/>
              <w:keepNext/>
              <w:spacing w:line="440" w:lineRule="exact"/>
              <w:ind w:left="420" w:right="63"/>
              <w:rPr>
                <w:rFonts w:hint="eastAsia" w:ascii="宋体" w:hAnsi="宋体"/>
                <w:color w:val="auto"/>
                <w:highlight w:val="none"/>
              </w:rPr>
            </w:pPr>
          </w:p>
        </w:tc>
        <w:tc>
          <w:tcPr>
            <w:tcW w:w="1701" w:type="dxa"/>
            <w:tcBorders>
              <w:top w:val="single" w:color="auto" w:sz="6" w:space="0"/>
              <w:left w:val="single" w:color="auto" w:sz="6" w:space="0"/>
              <w:bottom w:val="single" w:color="auto" w:sz="6" w:space="0"/>
              <w:right w:val="single" w:color="auto" w:sz="12" w:space="0"/>
            </w:tcBorders>
          </w:tcPr>
          <w:p w14:paraId="53222D14">
            <w:pPr>
              <w:pStyle w:val="18"/>
              <w:keepNext/>
              <w:spacing w:line="440" w:lineRule="exact"/>
              <w:ind w:left="420" w:right="63"/>
              <w:rPr>
                <w:rFonts w:hint="eastAsia" w:ascii="宋体" w:hAnsi="宋体"/>
                <w:color w:val="auto"/>
                <w:highlight w:val="none"/>
              </w:rPr>
            </w:pPr>
          </w:p>
        </w:tc>
      </w:tr>
      <w:tr w14:paraId="40C90B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5E844291">
            <w:pPr>
              <w:pStyle w:val="18"/>
              <w:keepNext/>
              <w:spacing w:line="440" w:lineRule="exact"/>
              <w:ind w:left="420" w:right="63"/>
              <w:rPr>
                <w:rFonts w:hint="eastAsia" w:ascii="宋体" w:hAnsi="宋体"/>
                <w:color w:val="auto"/>
                <w:highlight w:val="none"/>
              </w:rPr>
            </w:pPr>
          </w:p>
        </w:tc>
        <w:tc>
          <w:tcPr>
            <w:tcW w:w="1984" w:type="dxa"/>
            <w:tcBorders>
              <w:top w:val="single" w:color="auto" w:sz="6" w:space="0"/>
              <w:left w:val="single" w:color="auto" w:sz="6" w:space="0"/>
              <w:bottom w:val="single" w:color="auto" w:sz="6" w:space="0"/>
              <w:right w:val="single" w:color="auto" w:sz="6" w:space="0"/>
            </w:tcBorders>
          </w:tcPr>
          <w:p w14:paraId="12FA8AEC">
            <w:pPr>
              <w:pStyle w:val="18"/>
              <w:keepNext/>
              <w:spacing w:line="440" w:lineRule="exact"/>
              <w:ind w:left="420" w:right="63"/>
              <w:rPr>
                <w:rFonts w:hint="eastAsia" w:ascii="宋体" w:hAnsi="宋体"/>
                <w:color w:val="auto"/>
                <w:highlight w:val="none"/>
              </w:rPr>
            </w:pPr>
          </w:p>
        </w:tc>
        <w:tc>
          <w:tcPr>
            <w:tcW w:w="851" w:type="dxa"/>
            <w:tcBorders>
              <w:top w:val="single" w:color="auto" w:sz="6" w:space="0"/>
              <w:left w:val="single" w:color="auto" w:sz="6" w:space="0"/>
              <w:bottom w:val="single" w:color="auto" w:sz="6" w:space="0"/>
              <w:right w:val="single" w:color="auto" w:sz="6" w:space="0"/>
            </w:tcBorders>
          </w:tcPr>
          <w:p w14:paraId="30B035D5">
            <w:pPr>
              <w:pStyle w:val="18"/>
              <w:keepNext/>
              <w:spacing w:line="440" w:lineRule="exact"/>
              <w:ind w:left="420" w:right="63"/>
              <w:rPr>
                <w:rFonts w:hint="eastAsia" w:ascii="宋体" w:hAnsi="宋体"/>
                <w:color w:val="auto"/>
                <w:highlight w:val="none"/>
              </w:rPr>
            </w:pPr>
          </w:p>
        </w:tc>
        <w:tc>
          <w:tcPr>
            <w:tcW w:w="774" w:type="dxa"/>
            <w:tcBorders>
              <w:top w:val="single" w:color="auto" w:sz="6" w:space="0"/>
              <w:left w:val="single" w:color="auto" w:sz="6" w:space="0"/>
              <w:bottom w:val="single" w:color="auto" w:sz="6" w:space="0"/>
              <w:right w:val="single" w:color="auto" w:sz="6" w:space="0"/>
            </w:tcBorders>
          </w:tcPr>
          <w:p w14:paraId="730E0BC3">
            <w:pPr>
              <w:pStyle w:val="18"/>
              <w:keepNext/>
              <w:spacing w:line="440" w:lineRule="exact"/>
              <w:ind w:left="420" w:right="63"/>
              <w:rPr>
                <w:rFonts w:hint="eastAsia" w:ascii="宋体" w:hAnsi="宋体"/>
                <w:color w:val="auto"/>
                <w:highlight w:val="none"/>
              </w:rPr>
            </w:pPr>
          </w:p>
        </w:tc>
        <w:tc>
          <w:tcPr>
            <w:tcW w:w="1352" w:type="dxa"/>
            <w:tcBorders>
              <w:top w:val="single" w:color="auto" w:sz="6" w:space="0"/>
              <w:left w:val="single" w:color="auto" w:sz="6" w:space="0"/>
              <w:bottom w:val="single" w:color="auto" w:sz="6" w:space="0"/>
              <w:right w:val="single" w:color="auto" w:sz="6" w:space="0"/>
            </w:tcBorders>
          </w:tcPr>
          <w:p w14:paraId="7CE61A71">
            <w:pPr>
              <w:pStyle w:val="18"/>
              <w:keepNext/>
              <w:spacing w:line="440" w:lineRule="exact"/>
              <w:ind w:left="420" w:right="63"/>
              <w:rPr>
                <w:rFonts w:hint="eastAsia" w:ascii="宋体" w:hAnsi="宋体"/>
                <w:color w:val="auto"/>
                <w:highlight w:val="none"/>
              </w:rPr>
            </w:pPr>
          </w:p>
        </w:tc>
        <w:tc>
          <w:tcPr>
            <w:tcW w:w="1418" w:type="dxa"/>
            <w:tcBorders>
              <w:top w:val="single" w:color="auto" w:sz="6" w:space="0"/>
              <w:left w:val="single" w:color="auto" w:sz="6" w:space="0"/>
              <w:bottom w:val="single" w:color="auto" w:sz="6" w:space="0"/>
              <w:right w:val="single" w:color="auto" w:sz="6" w:space="0"/>
            </w:tcBorders>
          </w:tcPr>
          <w:p w14:paraId="229162C1">
            <w:pPr>
              <w:pStyle w:val="18"/>
              <w:keepNext/>
              <w:spacing w:line="440" w:lineRule="exact"/>
              <w:ind w:left="420" w:right="63"/>
              <w:rPr>
                <w:rFonts w:hint="eastAsia" w:ascii="宋体" w:hAnsi="宋体"/>
                <w:color w:val="auto"/>
                <w:highlight w:val="none"/>
              </w:rPr>
            </w:pPr>
          </w:p>
        </w:tc>
        <w:tc>
          <w:tcPr>
            <w:tcW w:w="1701" w:type="dxa"/>
            <w:tcBorders>
              <w:top w:val="single" w:color="auto" w:sz="6" w:space="0"/>
              <w:left w:val="single" w:color="auto" w:sz="6" w:space="0"/>
              <w:bottom w:val="single" w:color="auto" w:sz="6" w:space="0"/>
              <w:right w:val="single" w:color="auto" w:sz="12" w:space="0"/>
            </w:tcBorders>
          </w:tcPr>
          <w:p w14:paraId="3E8649C6">
            <w:pPr>
              <w:pStyle w:val="18"/>
              <w:keepNext/>
              <w:spacing w:line="440" w:lineRule="exact"/>
              <w:ind w:left="420" w:right="63"/>
              <w:rPr>
                <w:rFonts w:hint="eastAsia" w:ascii="宋体" w:hAnsi="宋体"/>
                <w:color w:val="auto"/>
                <w:highlight w:val="none"/>
              </w:rPr>
            </w:pPr>
          </w:p>
        </w:tc>
      </w:tr>
      <w:tr w14:paraId="79AA02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7BCE97D0">
            <w:pPr>
              <w:pStyle w:val="18"/>
              <w:keepNext/>
              <w:spacing w:line="440" w:lineRule="exact"/>
              <w:ind w:left="420" w:right="63"/>
              <w:rPr>
                <w:rFonts w:hint="eastAsia" w:ascii="宋体" w:hAnsi="宋体"/>
                <w:color w:val="auto"/>
                <w:highlight w:val="none"/>
              </w:rPr>
            </w:pPr>
          </w:p>
        </w:tc>
        <w:tc>
          <w:tcPr>
            <w:tcW w:w="1984" w:type="dxa"/>
            <w:tcBorders>
              <w:top w:val="single" w:color="auto" w:sz="6" w:space="0"/>
              <w:left w:val="single" w:color="auto" w:sz="6" w:space="0"/>
              <w:bottom w:val="single" w:color="auto" w:sz="6" w:space="0"/>
              <w:right w:val="single" w:color="auto" w:sz="6" w:space="0"/>
            </w:tcBorders>
          </w:tcPr>
          <w:p w14:paraId="3FA2FF59">
            <w:pPr>
              <w:pStyle w:val="18"/>
              <w:keepNext/>
              <w:spacing w:line="440" w:lineRule="exact"/>
              <w:ind w:left="420" w:right="63"/>
              <w:rPr>
                <w:rFonts w:hint="eastAsia" w:ascii="宋体" w:hAnsi="宋体"/>
                <w:color w:val="auto"/>
                <w:highlight w:val="none"/>
              </w:rPr>
            </w:pPr>
          </w:p>
        </w:tc>
        <w:tc>
          <w:tcPr>
            <w:tcW w:w="851" w:type="dxa"/>
            <w:tcBorders>
              <w:top w:val="single" w:color="auto" w:sz="6" w:space="0"/>
              <w:left w:val="single" w:color="auto" w:sz="6" w:space="0"/>
              <w:bottom w:val="single" w:color="auto" w:sz="6" w:space="0"/>
              <w:right w:val="single" w:color="auto" w:sz="6" w:space="0"/>
            </w:tcBorders>
          </w:tcPr>
          <w:p w14:paraId="6B2ACBAD">
            <w:pPr>
              <w:pStyle w:val="18"/>
              <w:keepNext/>
              <w:spacing w:line="440" w:lineRule="exact"/>
              <w:ind w:left="420" w:right="63"/>
              <w:rPr>
                <w:rFonts w:hint="eastAsia" w:ascii="宋体" w:hAnsi="宋体"/>
                <w:color w:val="auto"/>
                <w:highlight w:val="none"/>
              </w:rPr>
            </w:pPr>
          </w:p>
        </w:tc>
        <w:tc>
          <w:tcPr>
            <w:tcW w:w="774" w:type="dxa"/>
            <w:tcBorders>
              <w:top w:val="single" w:color="auto" w:sz="6" w:space="0"/>
              <w:left w:val="single" w:color="auto" w:sz="6" w:space="0"/>
              <w:bottom w:val="single" w:color="auto" w:sz="6" w:space="0"/>
              <w:right w:val="single" w:color="auto" w:sz="6" w:space="0"/>
            </w:tcBorders>
          </w:tcPr>
          <w:p w14:paraId="63D49D96">
            <w:pPr>
              <w:pStyle w:val="18"/>
              <w:keepNext/>
              <w:spacing w:line="440" w:lineRule="exact"/>
              <w:ind w:left="420" w:right="63"/>
              <w:rPr>
                <w:rFonts w:hint="eastAsia" w:ascii="宋体" w:hAnsi="宋体"/>
                <w:color w:val="auto"/>
                <w:highlight w:val="none"/>
              </w:rPr>
            </w:pPr>
          </w:p>
        </w:tc>
        <w:tc>
          <w:tcPr>
            <w:tcW w:w="1352" w:type="dxa"/>
            <w:tcBorders>
              <w:top w:val="single" w:color="auto" w:sz="6" w:space="0"/>
              <w:left w:val="single" w:color="auto" w:sz="6" w:space="0"/>
              <w:bottom w:val="single" w:color="auto" w:sz="6" w:space="0"/>
              <w:right w:val="single" w:color="auto" w:sz="6" w:space="0"/>
            </w:tcBorders>
          </w:tcPr>
          <w:p w14:paraId="6EAE7980">
            <w:pPr>
              <w:pStyle w:val="18"/>
              <w:keepNext/>
              <w:spacing w:line="440" w:lineRule="exact"/>
              <w:ind w:left="420" w:right="63"/>
              <w:rPr>
                <w:rFonts w:hint="eastAsia" w:ascii="宋体" w:hAnsi="宋体"/>
                <w:color w:val="auto"/>
                <w:highlight w:val="none"/>
              </w:rPr>
            </w:pPr>
          </w:p>
        </w:tc>
        <w:tc>
          <w:tcPr>
            <w:tcW w:w="1418" w:type="dxa"/>
            <w:tcBorders>
              <w:top w:val="single" w:color="auto" w:sz="6" w:space="0"/>
              <w:left w:val="single" w:color="auto" w:sz="6" w:space="0"/>
              <w:bottom w:val="single" w:color="auto" w:sz="6" w:space="0"/>
              <w:right w:val="single" w:color="auto" w:sz="6" w:space="0"/>
            </w:tcBorders>
          </w:tcPr>
          <w:p w14:paraId="367826ED">
            <w:pPr>
              <w:pStyle w:val="18"/>
              <w:keepNext/>
              <w:spacing w:line="440" w:lineRule="exact"/>
              <w:ind w:left="420" w:right="63"/>
              <w:rPr>
                <w:rFonts w:hint="eastAsia" w:ascii="宋体" w:hAnsi="宋体"/>
                <w:color w:val="auto"/>
                <w:highlight w:val="none"/>
              </w:rPr>
            </w:pPr>
          </w:p>
        </w:tc>
        <w:tc>
          <w:tcPr>
            <w:tcW w:w="1701" w:type="dxa"/>
            <w:tcBorders>
              <w:top w:val="single" w:color="auto" w:sz="6" w:space="0"/>
              <w:left w:val="single" w:color="auto" w:sz="6" w:space="0"/>
              <w:bottom w:val="single" w:color="auto" w:sz="6" w:space="0"/>
              <w:right w:val="single" w:color="auto" w:sz="12" w:space="0"/>
            </w:tcBorders>
          </w:tcPr>
          <w:p w14:paraId="3A7A1CA7">
            <w:pPr>
              <w:pStyle w:val="18"/>
              <w:keepNext/>
              <w:spacing w:line="440" w:lineRule="exact"/>
              <w:ind w:left="420" w:right="63"/>
              <w:rPr>
                <w:rFonts w:hint="eastAsia" w:ascii="宋体" w:hAnsi="宋体"/>
                <w:color w:val="auto"/>
                <w:highlight w:val="none"/>
              </w:rPr>
            </w:pPr>
          </w:p>
        </w:tc>
      </w:tr>
      <w:tr w14:paraId="751A18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0A24DA9F">
            <w:pPr>
              <w:pStyle w:val="18"/>
              <w:keepNext/>
              <w:spacing w:line="440" w:lineRule="exact"/>
              <w:ind w:left="420" w:right="63"/>
              <w:rPr>
                <w:rFonts w:hint="eastAsia" w:ascii="宋体" w:hAnsi="宋体"/>
                <w:color w:val="auto"/>
                <w:highlight w:val="none"/>
              </w:rPr>
            </w:pPr>
          </w:p>
        </w:tc>
        <w:tc>
          <w:tcPr>
            <w:tcW w:w="1984" w:type="dxa"/>
            <w:tcBorders>
              <w:top w:val="single" w:color="auto" w:sz="6" w:space="0"/>
              <w:left w:val="single" w:color="auto" w:sz="6" w:space="0"/>
              <w:bottom w:val="single" w:color="auto" w:sz="6" w:space="0"/>
              <w:right w:val="single" w:color="auto" w:sz="6" w:space="0"/>
            </w:tcBorders>
          </w:tcPr>
          <w:p w14:paraId="42E3AE00">
            <w:pPr>
              <w:pStyle w:val="18"/>
              <w:keepNext/>
              <w:spacing w:line="440" w:lineRule="exact"/>
              <w:ind w:left="420" w:right="63"/>
              <w:rPr>
                <w:rFonts w:hint="eastAsia" w:ascii="宋体" w:hAnsi="宋体"/>
                <w:color w:val="auto"/>
                <w:highlight w:val="none"/>
              </w:rPr>
            </w:pPr>
          </w:p>
        </w:tc>
        <w:tc>
          <w:tcPr>
            <w:tcW w:w="851" w:type="dxa"/>
            <w:tcBorders>
              <w:top w:val="single" w:color="auto" w:sz="6" w:space="0"/>
              <w:left w:val="single" w:color="auto" w:sz="6" w:space="0"/>
              <w:bottom w:val="single" w:color="auto" w:sz="6" w:space="0"/>
              <w:right w:val="single" w:color="auto" w:sz="6" w:space="0"/>
            </w:tcBorders>
          </w:tcPr>
          <w:p w14:paraId="3396FE3B">
            <w:pPr>
              <w:pStyle w:val="18"/>
              <w:keepNext/>
              <w:spacing w:line="440" w:lineRule="exact"/>
              <w:ind w:left="420" w:right="63"/>
              <w:rPr>
                <w:rFonts w:hint="eastAsia" w:ascii="宋体" w:hAnsi="宋体"/>
                <w:color w:val="auto"/>
                <w:highlight w:val="none"/>
              </w:rPr>
            </w:pPr>
          </w:p>
        </w:tc>
        <w:tc>
          <w:tcPr>
            <w:tcW w:w="774" w:type="dxa"/>
            <w:tcBorders>
              <w:top w:val="single" w:color="auto" w:sz="6" w:space="0"/>
              <w:left w:val="single" w:color="auto" w:sz="6" w:space="0"/>
              <w:bottom w:val="single" w:color="auto" w:sz="6" w:space="0"/>
              <w:right w:val="single" w:color="auto" w:sz="6" w:space="0"/>
            </w:tcBorders>
          </w:tcPr>
          <w:p w14:paraId="42A3FB2B">
            <w:pPr>
              <w:pStyle w:val="18"/>
              <w:keepNext/>
              <w:spacing w:line="440" w:lineRule="exact"/>
              <w:ind w:left="420" w:right="63"/>
              <w:rPr>
                <w:rFonts w:hint="eastAsia" w:ascii="宋体" w:hAnsi="宋体"/>
                <w:color w:val="auto"/>
                <w:highlight w:val="none"/>
              </w:rPr>
            </w:pPr>
          </w:p>
        </w:tc>
        <w:tc>
          <w:tcPr>
            <w:tcW w:w="1352" w:type="dxa"/>
            <w:tcBorders>
              <w:top w:val="single" w:color="auto" w:sz="6" w:space="0"/>
              <w:left w:val="single" w:color="auto" w:sz="6" w:space="0"/>
              <w:bottom w:val="single" w:color="auto" w:sz="6" w:space="0"/>
              <w:right w:val="single" w:color="auto" w:sz="6" w:space="0"/>
            </w:tcBorders>
          </w:tcPr>
          <w:p w14:paraId="27E78361">
            <w:pPr>
              <w:pStyle w:val="18"/>
              <w:keepNext/>
              <w:spacing w:line="440" w:lineRule="exact"/>
              <w:ind w:left="420" w:right="63"/>
              <w:rPr>
                <w:rFonts w:hint="eastAsia" w:ascii="宋体" w:hAnsi="宋体"/>
                <w:color w:val="auto"/>
                <w:highlight w:val="none"/>
              </w:rPr>
            </w:pPr>
          </w:p>
        </w:tc>
        <w:tc>
          <w:tcPr>
            <w:tcW w:w="1418" w:type="dxa"/>
            <w:tcBorders>
              <w:top w:val="single" w:color="auto" w:sz="6" w:space="0"/>
              <w:left w:val="single" w:color="auto" w:sz="6" w:space="0"/>
              <w:bottom w:val="single" w:color="auto" w:sz="6" w:space="0"/>
              <w:right w:val="single" w:color="auto" w:sz="6" w:space="0"/>
            </w:tcBorders>
          </w:tcPr>
          <w:p w14:paraId="77A7E325">
            <w:pPr>
              <w:pStyle w:val="18"/>
              <w:keepNext/>
              <w:spacing w:line="440" w:lineRule="exact"/>
              <w:ind w:left="420" w:right="63"/>
              <w:rPr>
                <w:rFonts w:hint="eastAsia" w:ascii="宋体" w:hAnsi="宋体"/>
                <w:color w:val="auto"/>
                <w:highlight w:val="none"/>
              </w:rPr>
            </w:pPr>
          </w:p>
        </w:tc>
        <w:tc>
          <w:tcPr>
            <w:tcW w:w="1701" w:type="dxa"/>
            <w:tcBorders>
              <w:top w:val="single" w:color="auto" w:sz="6" w:space="0"/>
              <w:left w:val="single" w:color="auto" w:sz="6" w:space="0"/>
              <w:bottom w:val="single" w:color="auto" w:sz="6" w:space="0"/>
              <w:right w:val="single" w:color="auto" w:sz="12" w:space="0"/>
            </w:tcBorders>
          </w:tcPr>
          <w:p w14:paraId="7EC20A82">
            <w:pPr>
              <w:pStyle w:val="18"/>
              <w:keepNext/>
              <w:spacing w:line="440" w:lineRule="exact"/>
              <w:ind w:left="420" w:right="63"/>
              <w:rPr>
                <w:rFonts w:hint="eastAsia" w:ascii="宋体" w:hAnsi="宋体"/>
                <w:color w:val="auto"/>
                <w:highlight w:val="none"/>
              </w:rPr>
            </w:pPr>
          </w:p>
        </w:tc>
      </w:tr>
      <w:tr w14:paraId="18DA32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0518E006">
            <w:pPr>
              <w:pStyle w:val="18"/>
              <w:keepNext/>
              <w:spacing w:line="440" w:lineRule="exact"/>
              <w:ind w:left="420" w:right="63"/>
              <w:rPr>
                <w:rFonts w:hint="eastAsia" w:ascii="宋体" w:hAnsi="宋体"/>
                <w:color w:val="auto"/>
                <w:highlight w:val="none"/>
              </w:rPr>
            </w:pPr>
          </w:p>
        </w:tc>
        <w:tc>
          <w:tcPr>
            <w:tcW w:w="1984" w:type="dxa"/>
            <w:tcBorders>
              <w:top w:val="single" w:color="auto" w:sz="6" w:space="0"/>
              <w:left w:val="single" w:color="auto" w:sz="6" w:space="0"/>
              <w:bottom w:val="single" w:color="auto" w:sz="6" w:space="0"/>
              <w:right w:val="single" w:color="auto" w:sz="6" w:space="0"/>
            </w:tcBorders>
          </w:tcPr>
          <w:p w14:paraId="2656F610">
            <w:pPr>
              <w:pStyle w:val="18"/>
              <w:keepNext/>
              <w:spacing w:line="440" w:lineRule="exact"/>
              <w:ind w:left="420" w:right="63"/>
              <w:rPr>
                <w:rFonts w:hint="eastAsia" w:ascii="宋体" w:hAnsi="宋体"/>
                <w:color w:val="auto"/>
                <w:highlight w:val="none"/>
              </w:rPr>
            </w:pPr>
          </w:p>
        </w:tc>
        <w:tc>
          <w:tcPr>
            <w:tcW w:w="851" w:type="dxa"/>
            <w:tcBorders>
              <w:top w:val="single" w:color="auto" w:sz="6" w:space="0"/>
              <w:left w:val="single" w:color="auto" w:sz="6" w:space="0"/>
              <w:bottom w:val="single" w:color="auto" w:sz="6" w:space="0"/>
              <w:right w:val="single" w:color="auto" w:sz="6" w:space="0"/>
            </w:tcBorders>
          </w:tcPr>
          <w:p w14:paraId="712A79E8">
            <w:pPr>
              <w:pStyle w:val="18"/>
              <w:keepNext/>
              <w:spacing w:line="440" w:lineRule="exact"/>
              <w:ind w:left="420" w:right="63"/>
              <w:rPr>
                <w:rFonts w:hint="eastAsia" w:ascii="宋体" w:hAnsi="宋体"/>
                <w:color w:val="auto"/>
                <w:highlight w:val="none"/>
              </w:rPr>
            </w:pPr>
          </w:p>
        </w:tc>
        <w:tc>
          <w:tcPr>
            <w:tcW w:w="774" w:type="dxa"/>
            <w:tcBorders>
              <w:top w:val="single" w:color="auto" w:sz="6" w:space="0"/>
              <w:left w:val="single" w:color="auto" w:sz="6" w:space="0"/>
              <w:bottom w:val="single" w:color="auto" w:sz="6" w:space="0"/>
              <w:right w:val="single" w:color="auto" w:sz="6" w:space="0"/>
            </w:tcBorders>
          </w:tcPr>
          <w:p w14:paraId="0593BF08">
            <w:pPr>
              <w:pStyle w:val="18"/>
              <w:keepNext/>
              <w:spacing w:line="440" w:lineRule="exact"/>
              <w:ind w:left="420" w:right="63"/>
              <w:rPr>
                <w:rFonts w:hint="eastAsia" w:ascii="宋体" w:hAnsi="宋体"/>
                <w:color w:val="auto"/>
                <w:highlight w:val="none"/>
              </w:rPr>
            </w:pPr>
          </w:p>
        </w:tc>
        <w:tc>
          <w:tcPr>
            <w:tcW w:w="1352" w:type="dxa"/>
            <w:tcBorders>
              <w:top w:val="single" w:color="auto" w:sz="6" w:space="0"/>
              <w:left w:val="single" w:color="auto" w:sz="6" w:space="0"/>
              <w:bottom w:val="single" w:color="auto" w:sz="6" w:space="0"/>
              <w:right w:val="single" w:color="auto" w:sz="6" w:space="0"/>
            </w:tcBorders>
          </w:tcPr>
          <w:p w14:paraId="1014523A">
            <w:pPr>
              <w:pStyle w:val="18"/>
              <w:keepNext/>
              <w:spacing w:line="440" w:lineRule="exact"/>
              <w:ind w:left="420" w:right="63"/>
              <w:rPr>
                <w:rFonts w:hint="eastAsia" w:ascii="宋体" w:hAnsi="宋体"/>
                <w:color w:val="auto"/>
                <w:highlight w:val="none"/>
              </w:rPr>
            </w:pPr>
          </w:p>
        </w:tc>
        <w:tc>
          <w:tcPr>
            <w:tcW w:w="1418" w:type="dxa"/>
            <w:tcBorders>
              <w:top w:val="single" w:color="auto" w:sz="6" w:space="0"/>
              <w:left w:val="single" w:color="auto" w:sz="6" w:space="0"/>
              <w:bottom w:val="single" w:color="auto" w:sz="6" w:space="0"/>
              <w:right w:val="single" w:color="auto" w:sz="6" w:space="0"/>
            </w:tcBorders>
          </w:tcPr>
          <w:p w14:paraId="76A33703">
            <w:pPr>
              <w:pStyle w:val="18"/>
              <w:keepNext/>
              <w:spacing w:line="440" w:lineRule="exact"/>
              <w:ind w:left="420" w:right="63"/>
              <w:rPr>
                <w:rFonts w:hint="eastAsia" w:ascii="宋体" w:hAnsi="宋体"/>
                <w:color w:val="auto"/>
                <w:highlight w:val="none"/>
              </w:rPr>
            </w:pPr>
          </w:p>
        </w:tc>
        <w:tc>
          <w:tcPr>
            <w:tcW w:w="1701" w:type="dxa"/>
            <w:tcBorders>
              <w:top w:val="single" w:color="auto" w:sz="6" w:space="0"/>
              <w:left w:val="single" w:color="auto" w:sz="6" w:space="0"/>
              <w:bottom w:val="single" w:color="auto" w:sz="6" w:space="0"/>
              <w:right w:val="single" w:color="auto" w:sz="12" w:space="0"/>
            </w:tcBorders>
          </w:tcPr>
          <w:p w14:paraId="6E8253EA">
            <w:pPr>
              <w:pStyle w:val="18"/>
              <w:keepNext/>
              <w:spacing w:line="440" w:lineRule="exact"/>
              <w:ind w:left="420" w:right="63"/>
              <w:rPr>
                <w:rFonts w:hint="eastAsia" w:ascii="宋体" w:hAnsi="宋体"/>
                <w:color w:val="auto"/>
                <w:highlight w:val="none"/>
              </w:rPr>
            </w:pPr>
          </w:p>
        </w:tc>
      </w:tr>
      <w:tr w14:paraId="413D8C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05D0CB32">
            <w:pPr>
              <w:pStyle w:val="18"/>
              <w:keepNext/>
              <w:spacing w:line="440" w:lineRule="exact"/>
              <w:ind w:left="420" w:right="63"/>
              <w:rPr>
                <w:rFonts w:hint="eastAsia" w:ascii="宋体" w:hAnsi="宋体"/>
                <w:color w:val="auto"/>
                <w:highlight w:val="none"/>
              </w:rPr>
            </w:pPr>
          </w:p>
        </w:tc>
        <w:tc>
          <w:tcPr>
            <w:tcW w:w="1984" w:type="dxa"/>
            <w:tcBorders>
              <w:top w:val="single" w:color="auto" w:sz="6" w:space="0"/>
              <w:left w:val="single" w:color="auto" w:sz="6" w:space="0"/>
              <w:bottom w:val="single" w:color="auto" w:sz="6" w:space="0"/>
              <w:right w:val="single" w:color="auto" w:sz="6" w:space="0"/>
            </w:tcBorders>
          </w:tcPr>
          <w:p w14:paraId="360FFD74">
            <w:pPr>
              <w:pStyle w:val="18"/>
              <w:keepNext/>
              <w:spacing w:line="440" w:lineRule="exact"/>
              <w:ind w:left="420" w:right="63"/>
              <w:rPr>
                <w:rFonts w:hint="eastAsia" w:ascii="宋体" w:hAnsi="宋体"/>
                <w:color w:val="auto"/>
                <w:highlight w:val="none"/>
              </w:rPr>
            </w:pPr>
          </w:p>
        </w:tc>
        <w:tc>
          <w:tcPr>
            <w:tcW w:w="851" w:type="dxa"/>
            <w:tcBorders>
              <w:top w:val="single" w:color="auto" w:sz="6" w:space="0"/>
              <w:left w:val="single" w:color="auto" w:sz="6" w:space="0"/>
              <w:bottom w:val="single" w:color="auto" w:sz="6" w:space="0"/>
              <w:right w:val="single" w:color="auto" w:sz="6" w:space="0"/>
            </w:tcBorders>
          </w:tcPr>
          <w:p w14:paraId="1E7B1F23">
            <w:pPr>
              <w:pStyle w:val="18"/>
              <w:keepNext/>
              <w:spacing w:line="440" w:lineRule="exact"/>
              <w:ind w:left="420" w:right="63"/>
              <w:rPr>
                <w:rFonts w:hint="eastAsia" w:ascii="宋体" w:hAnsi="宋体"/>
                <w:color w:val="auto"/>
                <w:highlight w:val="none"/>
              </w:rPr>
            </w:pPr>
          </w:p>
        </w:tc>
        <w:tc>
          <w:tcPr>
            <w:tcW w:w="774" w:type="dxa"/>
            <w:tcBorders>
              <w:top w:val="single" w:color="auto" w:sz="6" w:space="0"/>
              <w:left w:val="single" w:color="auto" w:sz="6" w:space="0"/>
              <w:bottom w:val="single" w:color="auto" w:sz="6" w:space="0"/>
              <w:right w:val="single" w:color="auto" w:sz="6" w:space="0"/>
            </w:tcBorders>
          </w:tcPr>
          <w:p w14:paraId="74664CF1">
            <w:pPr>
              <w:pStyle w:val="18"/>
              <w:keepNext/>
              <w:spacing w:line="440" w:lineRule="exact"/>
              <w:ind w:left="420" w:right="63"/>
              <w:rPr>
                <w:rFonts w:hint="eastAsia" w:ascii="宋体" w:hAnsi="宋体"/>
                <w:color w:val="auto"/>
                <w:highlight w:val="none"/>
              </w:rPr>
            </w:pPr>
          </w:p>
        </w:tc>
        <w:tc>
          <w:tcPr>
            <w:tcW w:w="1352" w:type="dxa"/>
            <w:tcBorders>
              <w:top w:val="single" w:color="auto" w:sz="6" w:space="0"/>
              <w:left w:val="single" w:color="auto" w:sz="6" w:space="0"/>
              <w:bottom w:val="single" w:color="auto" w:sz="6" w:space="0"/>
              <w:right w:val="single" w:color="auto" w:sz="6" w:space="0"/>
            </w:tcBorders>
          </w:tcPr>
          <w:p w14:paraId="13A2A17B">
            <w:pPr>
              <w:pStyle w:val="18"/>
              <w:keepNext/>
              <w:spacing w:line="440" w:lineRule="exact"/>
              <w:ind w:left="420" w:right="63"/>
              <w:rPr>
                <w:rFonts w:hint="eastAsia" w:ascii="宋体" w:hAnsi="宋体"/>
                <w:color w:val="auto"/>
                <w:highlight w:val="none"/>
              </w:rPr>
            </w:pPr>
          </w:p>
        </w:tc>
        <w:tc>
          <w:tcPr>
            <w:tcW w:w="1418" w:type="dxa"/>
            <w:tcBorders>
              <w:top w:val="single" w:color="auto" w:sz="6" w:space="0"/>
              <w:left w:val="single" w:color="auto" w:sz="6" w:space="0"/>
              <w:bottom w:val="single" w:color="auto" w:sz="6" w:space="0"/>
              <w:right w:val="single" w:color="auto" w:sz="6" w:space="0"/>
            </w:tcBorders>
          </w:tcPr>
          <w:p w14:paraId="61199CC3">
            <w:pPr>
              <w:pStyle w:val="18"/>
              <w:keepNext/>
              <w:spacing w:line="440" w:lineRule="exact"/>
              <w:ind w:left="420" w:right="63"/>
              <w:rPr>
                <w:rFonts w:hint="eastAsia" w:ascii="宋体" w:hAnsi="宋体"/>
                <w:color w:val="auto"/>
                <w:highlight w:val="none"/>
              </w:rPr>
            </w:pPr>
          </w:p>
        </w:tc>
        <w:tc>
          <w:tcPr>
            <w:tcW w:w="1701" w:type="dxa"/>
            <w:tcBorders>
              <w:top w:val="single" w:color="auto" w:sz="6" w:space="0"/>
              <w:left w:val="single" w:color="auto" w:sz="6" w:space="0"/>
              <w:bottom w:val="single" w:color="auto" w:sz="6" w:space="0"/>
              <w:right w:val="single" w:color="auto" w:sz="12" w:space="0"/>
            </w:tcBorders>
          </w:tcPr>
          <w:p w14:paraId="2E9FBDB5">
            <w:pPr>
              <w:pStyle w:val="18"/>
              <w:keepNext/>
              <w:spacing w:line="440" w:lineRule="exact"/>
              <w:ind w:left="420" w:right="63"/>
              <w:rPr>
                <w:rFonts w:hint="eastAsia" w:ascii="宋体" w:hAnsi="宋体"/>
                <w:color w:val="auto"/>
                <w:highlight w:val="none"/>
              </w:rPr>
            </w:pPr>
          </w:p>
        </w:tc>
      </w:tr>
      <w:tr w14:paraId="21D5EA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714658E9">
            <w:pPr>
              <w:pStyle w:val="18"/>
              <w:keepNext/>
              <w:spacing w:line="440" w:lineRule="exact"/>
              <w:ind w:left="420" w:right="63"/>
              <w:rPr>
                <w:rFonts w:hint="eastAsia" w:ascii="宋体" w:hAnsi="宋体"/>
                <w:color w:val="auto"/>
                <w:highlight w:val="none"/>
              </w:rPr>
            </w:pPr>
          </w:p>
        </w:tc>
        <w:tc>
          <w:tcPr>
            <w:tcW w:w="1984" w:type="dxa"/>
            <w:tcBorders>
              <w:top w:val="single" w:color="auto" w:sz="6" w:space="0"/>
              <w:left w:val="single" w:color="auto" w:sz="6" w:space="0"/>
              <w:bottom w:val="single" w:color="auto" w:sz="6" w:space="0"/>
              <w:right w:val="single" w:color="auto" w:sz="6" w:space="0"/>
            </w:tcBorders>
          </w:tcPr>
          <w:p w14:paraId="32CDD25D">
            <w:pPr>
              <w:pStyle w:val="18"/>
              <w:keepNext/>
              <w:spacing w:line="440" w:lineRule="exact"/>
              <w:ind w:left="420" w:right="63"/>
              <w:rPr>
                <w:rFonts w:hint="eastAsia" w:ascii="宋体" w:hAnsi="宋体"/>
                <w:color w:val="auto"/>
                <w:highlight w:val="none"/>
              </w:rPr>
            </w:pPr>
          </w:p>
        </w:tc>
        <w:tc>
          <w:tcPr>
            <w:tcW w:w="851" w:type="dxa"/>
            <w:tcBorders>
              <w:top w:val="single" w:color="auto" w:sz="6" w:space="0"/>
              <w:left w:val="single" w:color="auto" w:sz="6" w:space="0"/>
              <w:bottom w:val="single" w:color="auto" w:sz="6" w:space="0"/>
              <w:right w:val="single" w:color="auto" w:sz="6" w:space="0"/>
            </w:tcBorders>
          </w:tcPr>
          <w:p w14:paraId="1D0C0D08">
            <w:pPr>
              <w:pStyle w:val="18"/>
              <w:keepNext/>
              <w:spacing w:line="440" w:lineRule="exact"/>
              <w:ind w:left="420" w:right="63"/>
              <w:rPr>
                <w:rFonts w:hint="eastAsia" w:ascii="宋体" w:hAnsi="宋体"/>
                <w:color w:val="auto"/>
                <w:highlight w:val="none"/>
              </w:rPr>
            </w:pPr>
          </w:p>
        </w:tc>
        <w:tc>
          <w:tcPr>
            <w:tcW w:w="774" w:type="dxa"/>
            <w:tcBorders>
              <w:top w:val="single" w:color="auto" w:sz="6" w:space="0"/>
              <w:left w:val="single" w:color="auto" w:sz="6" w:space="0"/>
              <w:bottom w:val="single" w:color="auto" w:sz="6" w:space="0"/>
              <w:right w:val="single" w:color="auto" w:sz="6" w:space="0"/>
            </w:tcBorders>
          </w:tcPr>
          <w:p w14:paraId="725CBE2D">
            <w:pPr>
              <w:pStyle w:val="18"/>
              <w:keepNext/>
              <w:spacing w:line="440" w:lineRule="exact"/>
              <w:ind w:left="420" w:right="63"/>
              <w:rPr>
                <w:rFonts w:hint="eastAsia" w:ascii="宋体" w:hAnsi="宋体"/>
                <w:color w:val="auto"/>
                <w:highlight w:val="none"/>
              </w:rPr>
            </w:pPr>
          </w:p>
        </w:tc>
        <w:tc>
          <w:tcPr>
            <w:tcW w:w="1352" w:type="dxa"/>
            <w:tcBorders>
              <w:top w:val="single" w:color="auto" w:sz="6" w:space="0"/>
              <w:left w:val="single" w:color="auto" w:sz="6" w:space="0"/>
              <w:bottom w:val="single" w:color="auto" w:sz="6" w:space="0"/>
              <w:right w:val="single" w:color="auto" w:sz="6" w:space="0"/>
            </w:tcBorders>
          </w:tcPr>
          <w:p w14:paraId="6AF8AF1E">
            <w:pPr>
              <w:pStyle w:val="18"/>
              <w:keepNext/>
              <w:spacing w:line="440" w:lineRule="exact"/>
              <w:ind w:left="420" w:right="63"/>
              <w:rPr>
                <w:rFonts w:hint="eastAsia" w:ascii="宋体" w:hAnsi="宋体"/>
                <w:color w:val="auto"/>
                <w:highlight w:val="none"/>
              </w:rPr>
            </w:pPr>
          </w:p>
        </w:tc>
        <w:tc>
          <w:tcPr>
            <w:tcW w:w="1418" w:type="dxa"/>
            <w:tcBorders>
              <w:top w:val="single" w:color="auto" w:sz="6" w:space="0"/>
              <w:left w:val="single" w:color="auto" w:sz="6" w:space="0"/>
              <w:bottom w:val="single" w:color="auto" w:sz="6" w:space="0"/>
              <w:right w:val="single" w:color="auto" w:sz="6" w:space="0"/>
            </w:tcBorders>
          </w:tcPr>
          <w:p w14:paraId="61630BF4">
            <w:pPr>
              <w:pStyle w:val="18"/>
              <w:keepNext/>
              <w:spacing w:line="440" w:lineRule="exact"/>
              <w:ind w:left="420" w:right="63"/>
              <w:rPr>
                <w:rFonts w:hint="eastAsia" w:ascii="宋体" w:hAnsi="宋体"/>
                <w:color w:val="auto"/>
                <w:highlight w:val="none"/>
              </w:rPr>
            </w:pPr>
          </w:p>
        </w:tc>
        <w:tc>
          <w:tcPr>
            <w:tcW w:w="1701" w:type="dxa"/>
            <w:tcBorders>
              <w:top w:val="single" w:color="auto" w:sz="6" w:space="0"/>
              <w:left w:val="single" w:color="auto" w:sz="6" w:space="0"/>
              <w:bottom w:val="single" w:color="auto" w:sz="6" w:space="0"/>
              <w:right w:val="single" w:color="auto" w:sz="12" w:space="0"/>
            </w:tcBorders>
          </w:tcPr>
          <w:p w14:paraId="2FCE8BCC">
            <w:pPr>
              <w:pStyle w:val="18"/>
              <w:keepNext/>
              <w:spacing w:line="440" w:lineRule="exact"/>
              <w:ind w:left="420" w:right="63"/>
              <w:rPr>
                <w:rFonts w:hint="eastAsia" w:ascii="宋体" w:hAnsi="宋体"/>
                <w:color w:val="auto"/>
                <w:highlight w:val="none"/>
              </w:rPr>
            </w:pPr>
          </w:p>
        </w:tc>
      </w:tr>
      <w:tr w14:paraId="434DAF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26839F60">
            <w:pPr>
              <w:pStyle w:val="18"/>
              <w:keepNext/>
              <w:spacing w:line="440" w:lineRule="exact"/>
              <w:ind w:left="420" w:right="63"/>
              <w:rPr>
                <w:rFonts w:hint="eastAsia" w:ascii="宋体" w:hAnsi="宋体"/>
                <w:color w:val="auto"/>
                <w:highlight w:val="none"/>
              </w:rPr>
            </w:pPr>
          </w:p>
        </w:tc>
        <w:tc>
          <w:tcPr>
            <w:tcW w:w="1984" w:type="dxa"/>
            <w:tcBorders>
              <w:top w:val="single" w:color="auto" w:sz="6" w:space="0"/>
              <w:left w:val="single" w:color="auto" w:sz="6" w:space="0"/>
              <w:bottom w:val="single" w:color="auto" w:sz="6" w:space="0"/>
              <w:right w:val="single" w:color="auto" w:sz="6" w:space="0"/>
            </w:tcBorders>
          </w:tcPr>
          <w:p w14:paraId="2285DFDF">
            <w:pPr>
              <w:pStyle w:val="18"/>
              <w:keepNext/>
              <w:spacing w:line="440" w:lineRule="exact"/>
              <w:ind w:left="420" w:right="63"/>
              <w:rPr>
                <w:rFonts w:hint="eastAsia" w:ascii="宋体" w:hAnsi="宋体"/>
                <w:color w:val="auto"/>
                <w:highlight w:val="none"/>
              </w:rPr>
            </w:pPr>
          </w:p>
        </w:tc>
        <w:tc>
          <w:tcPr>
            <w:tcW w:w="851" w:type="dxa"/>
            <w:tcBorders>
              <w:top w:val="single" w:color="auto" w:sz="6" w:space="0"/>
              <w:left w:val="single" w:color="auto" w:sz="6" w:space="0"/>
              <w:bottom w:val="single" w:color="auto" w:sz="6" w:space="0"/>
              <w:right w:val="single" w:color="auto" w:sz="6" w:space="0"/>
            </w:tcBorders>
          </w:tcPr>
          <w:p w14:paraId="04EA381F">
            <w:pPr>
              <w:pStyle w:val="18"/>
              <w:keepNext/>
              <w:spacing w:line="440" w:lineRule="exact"/>
              <w:ind w:left="420" w:right="63"/>
              <w:rPr>
                <w:rFonts w:hint="eastAsia" w:ascii="宋体" w:hAnsi="宋体"/>
                <w:color w:val="auto"/>
                <w:highlight w:val="none"/>
              </w:rPr>
            </w:pPr>
          </w:p>
        </w:tc>
        <w:tc>
          <w:tcPr>
            <w:tcW w:w="774" w:type="dxa"/>
            <w:tcBorders>
              <w:top w:val="single" w:color="auto" w:sz="6" w:space="0"/>
              <w:left w:val="single" w:color="auto" w:sz="6" w:space="0"/>
              <w:bottom w:val="single" w:color="auto" w:sz="6" w:space="0"/>
              <w:right w:val="single" w:color="auto" w:sz="6" w:space="0"/>
            </w:tcBorders>
          </w:tcPr>
          <w:p w14:paraId="2877A307">
            <w:pPr>
              <w:pStyle w:val="18"/>
              <w:keepNext/>
              <w:spacing w:line="440" w:lineRule="exact"/>
              <w:ind w:left="420" w:right="63"/>
              <w:rPr>
                <w:rFonts w:hint="eastAsia" w:ascii="宋体" w:hAnsi="宋体"/>
                <w:color w:val="auto"/>
                <w:highlight w:val="none"/>
              </w:rPr>
            </w:pPr>
          </w:p>
        </w:tc>
        <w:tc>
          <w:tcPr>
            <w:tcW w:w="1352" w:type="dxa"/>
            <w:tcBorders>
              <w:top w:val="single" w:color="auto" w:sz="6" w:space="0"/>
              <w:left w:val="single" w:color="auto" w:sz="6" w:space="0"/>
              <w:bottom w:val="single" w:color="auto" w:sz="6" w:space="0"/>
              <w:right w:val="single" w:color="auto" w:sz="6" w:space="0"/>
            </w:tcBorders>
          </w:tcPr>
          <w:p w14:paraId="10B60C00">
            <w:pPr>
              <w:pStyle w:val="18"/>
              <w:keepNext/>
              <w:spacing w:line="440" w:lineRule="exact"/>
              <w:ind w:left="420" w:right="63"/>
              <w:rPr>
                <w:rFonts w:hint="eastAsia" w:ascii="宋体" w:hAnsi="宋体"/>
                <w:color w:val="auto"/>
                <w:highlight w:val="none"/>
              </w:rPr>
            </w:pPr>
          </w:p>
        </w:tc>
        <w:tc>
          <w:tcPr>
            <w:tcW w:w="1418" w:type="dxa"/>
            <w:tcBorders>
              <w:top w:val="single" w:color="auto" w:sz="6" w:space="0"/>
              <w:left w:val="single" w:color="auto" w:sz="6" w:space="0"/>
              <w:bottom w:val="single" w:color="auto" w:sz="6" w:space="0"/>
              <w:right w:val="single" w:color="auto" w:sz="6" w:space="0"/>
            </w:tcBorders>
          </w:tcPr>
          <w:p w14:paraId="32F72847">
            <w:pPr>
              <w:pStyle w:val="18"/>
              <w:keepNext/>
              <w:spacing w:line="440" w:lineRule="exact"/>
              <w:ind w:left="420" w:right="63"/>
              <w:rPr>
                <w:rFonts w:hint="eastAsia" w:ascii="宋体" w:hAnsi="宋体"/>
                <w:color w:val="auto"/>
                <w:highlight w:val="none"/>
              </w:rPr>
            </w:pPr>
          </w:p>
        </w:tc>
        <w:tc>
          <w:tcPr>
            <w:tcW w:w="1701" w:type="dxa"/>
            <w:tcBorders>
              <w:top w:val="single" w:color="auto" w:sz="6" w:space="0"/>
              <w:left w:val="single" w:color="auto" w:sz="6" w:space="0"/>
              <w:bottom w:val="single" w:color="auto" w:sz="6" w:space="0"/>
              <w:right w:val="single" w:color="auto" w:sz="12" w:space="0"/>
            </w:tcBorders>
          </w:tcPr>
          <w:p w14:paraId="4ED1022F">
            <w:pPr>
              <w:pStyle w:val="18"/>
              <w:keepNext/>
              <w:spacing w:line="440" w:lineRule="exact"/>
              <w:ind w:left="420" w:right="63"/>
              <w:rPr>
                <w:rFonts w:hint="eastAsia" w:ascii="宋体" w:hAnsi="宋体"/>
                <w:color w:val="auto"/>
                <w:highlight w:val="none"/>
              </w:rPr>
            </w:pPr>
          </w:p>
        </w:tc>
      </w:tr>
      <w:tr w14:paraId="5D7D86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16518C1A">
            <w:pPr>
              <w:pStyle w:val="18"/>
              <w:keepNext/>
              <w:spacing w:line="440" w:lineRule="exact"/>
              <w:ind w:left="420" w:right="63"/>
              <w:rPr>
                <w:rFonts w:hint="eastAsia" w:ascii="宋体" w:hAnsi="宋体"/>
                <w:color w:val="auto"/>
                <w:highlight w:val="none"/>
              </w:rPr>
            </w:pPr>
          </w:p>
        </w:tc>
        <w:tc>
          <w:tcPr>
            <w:tcW w:w="1984" w:type="dxa"/>
            <w:tcBorders>
              <w:top w:val="single" w:color="auto" w:sz="6" w:space="0"/>
              <w:left w:val="single" w:color="auto" w:sz="6" w:space="0"/>
              <w:bottom w:val="single" w:color="auto" w:sz="6" w:space="0"/>
              <w:right w:val="single" w:color="auto" w:sz="6" w:space="0"/>
            </w:tcBorders>
          </w:tcPr>
          <w:p w14:paraId="51787E70">
            <w:pPr>
              <w:pStyle w:val="18"/>
              <w:keepNext/>
              <w:spacing w:line="440" w:lineRule="exact"/>
              <w:ind w:left="420" w:right="63"/>
              <w:rPr>
                <w:rFonts w:hint="eastAsia" w:ascii="宋体" w:hAnsi="宋体"/>
                <w:color w:val="auto"/>
                <w:highlight w:val="none"/>
              </w:rPr>
            </w:pPr>
          </w:p>
        </w:tc>
        <w:tc>
          <w:tcPr>
            <w:tcW w:w="851" w:type="dxa"/>
            <w:tcBorders>
              <w:top w:val="single" w:color="auto" w:sz="6" w:space="0"/>
              <w:left w:val="single" w:color="auto" w:sz="6" w:space="0"/>
              <w:bottom w:val="single" w:color="auto" w:sz="6" w:space="0"/>
              <w:right w:val="single" w:color="auto" w:sz="6" w:space="0"/>
            </w:tcBorders>
          </w:tcPr>
          <w:p w14:paraId="169762FC">
            <w:pPr>
              <w:pStyle w:val="18"/>
              <w:keepNext/>
              <w:spacing w:line="440" w:lineRule="exact"/>
              <w:ind w:left="420" w:right="63"/>
              <w:rPr>
                <w:rFonts w:hint="eastAsia" w:ascii="宋体" w:hAnsi="宋体"/>
                <w:color w:val="auto"/>
                <w:highlight w:val="none"/>
              </w:rPr>
            </w:pPr>
          </w:p>
        </w:tc>
        <w:tc>
          <w:tcPr>
            <w:tcW w:w="774" w:type="dxa"/>
            <w:tcBorders>
              <w:top w:val="single" w:color="auto" w:sz="6" w:space="0"/>
              <w:left w:val="single" w:color="auto" w:sz="6" w:space="0"/>
              <w:bottom w:val="single" w:color="auto" w:sz="6" w:space="0"/>
              <w:right w:val="single" w:color="auto" w:sz="6" w:space="0"/>
            </w:tcBorders>
          </w:tcPr>
          <w:p w14:paraId="48BD1E49">
            <w:pPr>
              <w:pStyle w:val="18"/>
              <w:keepNext/>
              <w:spacing w:line="440" w:lineRule="exact"/>
              <w:ind w:left="420" w:right="63"/>
              <w:rPr>
                <w:rFonts w:hint="eastAsia" w:ascii="宋体" w:hAnsi="宋体"/>
                <w:color w:val="auto"/>
                <w:highlight w:val="none"/>
              </w:rPr>
            </w:pPr>
          </w:p>
        </w:tc>
        <w:tc>
          <w:tcPr>
            <w:tcW w:w="1352" w:type="dxa"/>
            <w:tcBorders>
              <w:top w:val="single" w:color="auto" w:sz="6" w:space="0"/>
              <w:left w:val="single" w:color="auto" w:sz="6" w:space="0"/>
              <w:bottom w:val="single" w:color="auto" w:sz="6" w:space="0"/>
              <w:right w:val="single" w:color="auto" w:sz="6" w:space="0"/>
            </w:tcBorders>
          </w:tcPr>
          <w:p w14:paraId="1A3FADF7">
            <w:pPr>
              <w:pStyle w:val="18"/>
              <w:keepNext/>
              <w:spacing w:line="440" w:lineRule="exact"/>
              <w:ind w:left="420" w:right="63"/>
              <w:rPr>
                <w:rFonts w:hint="eastAsia" w:ascii="宋体" w:hAnsi="宋体"/>
                <w:color w:val="auto"/>
                <w:highlight w:val="none"/>
              </w:rPr>
            </w:pPr>
          </w:p>
        </w:tc>
        <w:tc>
          <w:tcPr>
            <w:tcW w:w="1418" w:type="dxa"/>
            <w:tcBorders>
              <w:top w:val="single" w:color="auto" w:sz="6" w:space="0"/>
              <w:left w:val="single" w:color="auto" w:sz="6" w:space="0"/>
              <w:bottom w:val="single" w:color="auto" w:sz="6" w:space="0"/>
              <w:right w:val="single" w:color="auto" w:sz="6" w:space="0"/>
            </w:tcBorders>
          </w:tcPr>
          <w:p w14:paraId="18018F3C">
            <w:pPr>
              <w:pStyle w:val="18"/>
              <w:keepNext/>
              <w:spacing w:line="440" w:lineRule="exact"/>
              <w:ind w:left="420" w:right="63"/>
              <w:rPr>
                <w:rFonts w:hint="eastAsia" w:ascii="宋体" w:hAnsi="宋体"/>
                <w:color w:val="auto"/>
                <w:highlight w:val="none"/>
              </w:rPr>
            </w:pPr>
          </w:p>
        </w:tc>
        <w:tc>
          <w:tcPr>
            <w:tcW w:w="1701" w:type="dxa"/>
            <w:tcBorders>
              <w:top w:val="single" w:color="auto" w:sz="6" w:space="0"/>
              <w:left w:val="single" w:color="auto" w:sz="6" w:space="0"/>
              <w:bottom w:val="single" w:color="auto" w:sz="6" w:space="0"/>
              <w:right w:val="single" w:color="auto" w:sz="12" w:space="0"/>
            </w:tcBorders>
          </w:tcPr>
          <w:p w14:paraId="0EE0B49C">
            <w:pPr>
              <w:pStyle w:val="18"/>
              <w:keepNext/>
              <w:spacing w:line="440" w:lineRule="exact"/>
              <w:ind w:left="420" w:right="63"/>
              <w:rPr>
                <w:rFonts w:hint="eastAsia" w:ascii="宋体" w:hAnsi="宋体"/>
                <w:color w:val="auto"/>
                <w:highlight w:val="none"/>
              </w:rPr>
            </w:pPr>
          </w:p>
        </w:tc>
      </w:tr>
      <w:tr w14:paraId="36063A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33AD6200">
            <w:pPr>
              <w:pStyle w:val="18"/>
              <w:keepNext/>
              <w:spacing w:line="440" w:lineRule="exact"/>
              <w:ind w:left="420" w:right="63"/>
              <w:rPr>
                <w:rFonts w:hint="eastAsia" w:ascii="宋体" w:hAnsi="宋体"/>
                <w:color w:val="auto"/>
                <w:highlight w:val="none"/>
              </w:rPr>
            </w:pPr>
          </w:p>
        </w:tc>
        <w:tc>
          <w:tcPr>
            <w:tcW w:w="1984" w:type="dxa"/>
            <w:tcBorders>
              <w:top w:val="single" w:color="auto" w:sz="6" w:space="0"/>
              <w:left w:val="single" w:color="auto" w:sz="6" w:space="0"/>
              <w:bottom w:val="single" w:color="auto" w:sz="6" w:space="0"/>
              <w:right w:val="single" w:color="auto" w:sz="6" w:space="0"/>
            </w:tcBorders>
          </w:tcPr>
          <w:p w14:paraId="1D956D2C">
            <w:pPr>
              <w:pStyle w:val="18"/>
              <w:keepNext/>
              <w:spacing w:line="440" w:lineRule="exact"/>
              <w:ind w:left="420" w:right="63"/>
              <w:rPr>
                <w:rFonts w:hint="eastAsia" w:ascii="宋体" w:hAnsi="宋体"/>
                <w:color w:val="auto"/>
                <w:highlight w:val="none"/>
              </w:rPr>
            </w:pPr>
          </w:p>
        </w:tc>
        <w:tc>
          <w:tcPr>
            <w:tcW w:w="851" w:type="dxa"/>
            <w:tcBorders>
              <w:top w:val="single" w:color="auto" w:sz="6" w:space="0"/>
              <w:left w:val="single" w:color="auto" w:sz="6" w:space="0"/>
              <w:bottom w:val="single" w:color="auto" w:sz="6" w:space="0"/>
              <w:right w:val="single" w:color="auto" w:sz="6" w:space="0"/>
            </w:tcBorders>
          </w:tcPr>
          <w:p w14:paraId="0889FC4B">
            <w:pPr>
              <w:pStyle w:val="18"/>
              <w:keepNext/>
              <w:spacing w:line="440" w:lineRule="exact"/>
              <w:ind w:left="420" w:right="63"/>
              <w:rPr>
                <w:rFonts w:hint="eastAsia" w:ascii="宋体" w:hAnsi="宋体"/>
                <w:color w:val="auto"/>
                <w:highlight w:val="none"/>
              </w:rPr>
            </w:pPr>
          </w:p>
        </w:tc>
        <w:tc>
          <w:tcPr>
            <w:tcW w:w="774" w:type="dxa"/>
            <w:tcBorders>
              <w:top w:val="single" w:color="auto" w:sz="6" w:space="0"/>
              <w:left w:val="single" w:color="auto" w:sz="6" w:space="0"/>
              <w:bottom w:val="single" w:color="auto" w:sz="6" w:space="0"/>
              <w:right w:val="single" w:color="auto" w:sz="6" w:space="0"/>
            </w:tcBorders>
          </w:tcPr>
          <w:p w14:paraId="30A06B6A">
            <w:pPr>
              <w:pStyle w:val="18"/>
              <w:keepNext/>
              <w:spacing w:line="440" w:lineRule="exact"/>
              <w:ind w:left="420" w:right="63"/>
              <w:rPr>
                <w:rFonts w:hint="eastAsia" w:ascii="宋体" w:hAnsi="宋体"/>
                <w:color w:val="auto"/>
                <w:highlight w:val="none"/>
              </w:rPr>
            </w:pPr>
          </w:p>
        </w:tc>
        <w:tc>
          <w:tcPr>
            <w:tcW w:w="1352" w:type="dxa"/>
            <w:tcBorders>
              <w:top w:val="single" w:color="auto" w:sz="6" w:space="0"/>
              <w:left w:val="single" w:color="auto" w:sz="6" w:space="0"/>
              <w:bottom w:val="single" w:color="auto" w:sz="6" w:space="0"/>
              <w:right w:val="single" w:color="auto" w:sz="6" w:space="0"/>
            </w:tcBorders>
          </w:tcPr>
          <w:p w14:paraId="154594C2">
            <w:pPr>
              <w:pStyle w:val="18"/>
              <w:keepNext/>
              <w:spacing w:line="440" w:lineRule="exact"/>
              <w:ind w:left="420" w:right="63"/>
              <w:rPr>
                <w:rFonts w:hint="eastAsia" w:ascii="宋体" w:hAnsi="宋体"/>
                <w:color w:val="auto"/>
                <w:highlight w:val="none"/>
              </w:rPr>
            </w:pPr>
          </w:p>
        </w:tc>
        <w:tc>
          <w:tcPr>
            <w:tcW w:w="1418" w:type="dxa"/>
            <w:tcBorders>
              <w:top w:val="single" w:color="auto" w:sz="6" w:space="0"/>
              <w:left w:val="single" w:color="auto" w:sz="6" w:space="0"/>
              <w:bottom w:val="single" w:color="auto" w:sz="6" w:space="0"/>
              <w:right w:val="single" w:color="auto" w:sz="6" w:space="0"/>
            </w:tcBorders>
          </w:tcPr>
          <w:p w14:paraId="29688263">
            <w:pPr>
              <w:pStyle w:val="18"/>
              <w:keepNext/>
              <w:spacing w:line="440" w:lineRule="exact"/>
              <w:ind w:left="420" w:right="63"/>
              <w:rPr>
                <w:rFonts w:hint="eastAsia" w:ascii="宋体" w:hAnsi="宋体"/>
                <w:color w:val="auto"/>
                <w:highlight w:val="none"/>
              </w:rPr>
            </w:pPr>
          </w:p>
        </w:tc>
        <w:tc>
          <w:tcPr>
            <w:tcW w:w="1701" w:type="dxa"/>
            <w:tcBorders>
              <w:top w:val="single" w:color="auto" w:sz="6" w:space="0"/>
              <w:left w:val="single" w:color="auto" w:sz="6" w:space="0"/>
              <w:bottom w:val="single" w:color="auto" w:sz="6" w:space="0"/>
              <w:right w:val="single" w:color="auto" w:sz="12" w:space="0"/>
            </w:tcBorders>
          </w:tcPr>
          <w:p w14:paraId="295ED460">
            <w:pPr>
              <w:pStyle w:val="18"/>
              <w:keepNext/>
              <w:spacing w:line="440" w:lineRule="exact"/>
              <w:ind w:left="420" w:right="63"/>
              <w:rPr>
                <w:rFonts w:hint="eastAsia" w:ascii="宋体" w:hAnsi="宋体"/>
                <w:color w:val="auto"/>
                <w:highlight w:val="none"/>
              </w:rPr>
            </w:pPr>
          </w:p>
        </w:tc>
      </w:tr>
      <w:bookmarkEnd w:id="105"/>
      <w:bookmarkEnd w:id="106"/>
    </w:tbl>
    <w:p w14:paraId="27FEE8E3">
      <w:pPr>
        <w:snapToGrid w:val="0"/>
        <w:spacing w:line="360" w:lineRule="exact"/>
        <w:ind w:right="480"/>
        <w:rPr>
          <w:rFonts w:hint="eastAsia" w:ascii="宋体" w:hAnsi="宋体" w:cs="宋体"/>
          <w:bCs/>
          <w:color w:val="auto"/>
          <w:szCs w:val="21"/>
          <w:highlight w:val="none"/>
        </w:rPr>
      </w:pPr>
    </w:p>
    <w:sectPr>
      <w:headerReference r:id="rId10" w:type="first"/>
      <w:footerReference r:id="rId12" w:type="first"/>
      <w:headerReference r:id="rId8" w:type="default"/>
      <w:footerReference r:id="rId11" w:type="default"/>
      <w:headerReference r:id="rId9" w:type="even"/>
      <w:pgSz w:w="11906" w:h="16838"/>
      <w:pgMar w:top="1440" w:right="1440" w:bottom="1440" w:left="1587"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FAC7C7FE-D9FE-40C8-BE27-15841809C07B}"/>
  </w:font>
  <w:font w:name="Arial">
    <w:panose1 w:val="020B0604020202020204"/>
    <w:charset w:val="01"/>
    <w:family w:val="swiss"/>
    <w:pitch w:val="default"/>
    <w:sig w:usb0="E0002EFF" w:usb1="C000785B" w:usb2="00000009" w:usb3="00000000" w:csb0="400001FF" w:csb1="FFFF0000"/>
    <w:embedRegular r:id="rId2" w:fontKey="{64745FE5-1174-4FA5-8CBF-1B3D45E16F7F}"/>
  </w:font>
  <w:font w:name="黑体">
    <w:panose1 w:val="02010609060101010101"/>
    <w:charset w:val="86"/>
    <w:family w:val="auto"/>
    <w:pitch w:val="default"/>
    <w:sig w:usb0="800002BF" w:usb1="38CF7CFA" w:usb2="00000016" w:usb3="00000000" w:csb0="00040001" w:csb1="00000000"/>
    <w:embedRegular r:id="rId3" w:fontKey="{3E613DAB-D59B-48F2-A6E3-081738EFE4C6}"/>
  </w:font>
  <w:font w:name="Courier New">
    <w:panose1 w:val="02070309020205020404"/>
    <w:charset w:val="01"/>
    <w:family w:val="modern"/>
    <w:pitch w:val="default"/>
    <w:sig w:usb0="E0002EFF" w:usb1="C0007843" w:usb2="00000009" w:usb3="00000000" w:csb0="400001FF" w:csb1="FFFF0000"/>
    <w:embedRegular r:id="rId4" w:fontKey="{1869A5A8-41EF-4ADA-89F0-ABBF311A9D2A}"/>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5" w:fontKey="{C9098571-2DD3-4B82-9802-02D9ECE5E1B8}"/>
  </w:font>
  <w:font w:name="华文细黑">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embedRegular r:id="rId6" w:fontKey="{C9E2C981-5F77-47DF-AE5F-8C19BCF69B38}"/>
  </w:font>
  <w:font w:name="Arial Unicode MS">
    <w:altName w:val="宋体"/>
    <w:panose1 w:val="020B0604020202020204"/>
    <w:charset w:val="86"/>
    <w:family w:val="auto"/>
    <w:pitch w:val="default"/>
    <w:sig w:usb0="00000000" w:usb1="00000000" w:usb2="0000003F" w:usb3="00000000" w:csb0="603F01FF" w:csb1="FFFF0000"/>
  </w:font>
  <w:font w:name="Times New Roman)">
    <w:altName w:val="微软雅黑"/>
    <w:panose1 w:val="00000000000000000000"/>
    <w:charset w:val="00"/>
    <w:family w:val="auto"/>
    <w:pitch w:val="default"/>
    <w:sig w:usb0="00000000" w:usb1="00000000" w:usb2="00000000" w:usb3="00000000" w:csb0="00040001" w:csb1="00000000"/>
  </w:font>
  <w:font w:name="宋体正文">
    <w:altName w:val="宋体"/>
    <w:panose1 w:val="00000000000000000000"/>
    <w:charset w:val="00"/>
    <w:family w:val="auto"/>
    <w:pitch w:val="default"/>
    <w:sig w:usb0="00000000"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panose1 w:val="02000000000000000000"/>
    <w:charset w:val="86"/>
    <w:family w:val="script"/>
    <w:pitch w:val="default"/>
    <w:sig w:usb0="00000001" w:usb1="08000000" w:usb2="00000000" w:usb3="00000000" w:csb0="00040000" w:csb1="00000000"/>
    <w:embedRegular r:id="rId7" w:fontKey="{2ECA9801-BB83-4C09-96A5-E52B2E9267E5}"/>
  </w:font>
  <w:font w:name="华文新魏">
    <w:panose1 w:val="02010800040101010101"/>
    <w:charset w:val="86"/>
    <w:family w:val="auto"/>
    <w:pitch w:val="default"/>
    <w:sig w:usb0="00000001" w:usb1="080F0000" w:usb2="00000000" w:usb3="00000000" w:csb0="00040000" w:csb1="00000000"/>
    <w:embedRegular r:id="rId8" w:fontKey="{0F07D001-4105-4570-80A2-843F9D8A8584}"/>
  </w:font>
  <w:font w:name="方正粗黑宋简体">
    <w:panose1 w:val="02000000000000000000"/>
    <w:charset w:val="86"/>
    <w:family w:val="auto"/>
    <w:pitch w:val="default"/>
    <w:sig w:usb0="A00002BF" w:usb1="184F6CFA" w:usb2="00000012" w:usb3="00000000" w:csb0="00040001" w:csb1="00000000"/>
    <w:embedRegular r:id="rId9" w:fontKey="{237DFF02-59AF-44E9-A2AB-83AC7AA197AE}"/>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E97F33">
    <w:pPr>
      <w:pStyle w:val="32"/>
      <w:tabs>
        <w:tab w:val="center" w:pos="4439"/>
        <w:tab w:val="clear" w:pos="4153"/>
      </w:tabs>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1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C5438E8">
                          <w:pPr>
                            <w:pStyle w:val="32"/>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文本框 512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K+ggbNABAACqAwAADgAAAAAAAAABACAAAAAeAQAAZHJz&#10;L2Uyb0RvYy54bWxQSwUGAAAAAAYABgBZAQAAYAUAAAAA&#10;">
              <v:fill on="f" focussize="0,0"/>
              <v:stroke on="f"/>
              <v:imagedata o:title=""/>
              <o:lock v:ext="edit" aspectratio="f"/>
              <v:textbox inset="0mm,0mm,0mm,0mm" style="mso-fit-shape-to-text:t;">
                <w:txbxContent>
                  <w:p w14:paraId="3C5438E8">
                    <w:pPr>
                      <w:pStyle w:val="32"/>
                    </w:pPr>
                    <w:r>
                      <w:fldChar w:fldCharType="begin"/>
                    </w:r>
                    <w:r>
                      <w:instrText xml:space="preserve"> PAGE  \* MERGEFORMAT </w:instrText>
                    </w:r>
                    <w:r>
                      <w:fldChar w:fldCharType="separate"/>
                    </w:r>
                    <w:r>
                      <w:t>1</w:t>
                    </w:r>
                    <w:r>
                      <w:fldChar w:fldCharType="end"/>
                    </w:r>
                  </w:p>
                </w:txbxContent>
              </v:textbox>
            </v:shape>
          </w:pict>
        </mc:Fallback>
      </mc:AlternateContent>
    </w:r>
  </w:p>
  <w:p w14:paraId="4DC18A70">
    <w:pPr>
      <w:pStyle w:val="3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D46F87">
    <w:pPr>
      <w:pStyle w:val="32"/>
      <w:tabs>
        <w:tab w:val="center" w:pos="4439"/>
        <w:tab w:val="clear" w:pos="4153"/>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51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E5BC283"/>
                      </w:txbxContent>
                    </wps:txbx>
                    <wps:bodyPr wrap="none" lIns="0" tIns="0" rIns="0" bIns="0" upright="1">
                      <a:spAutoFit/>
                    </wps:bodyPr>
                  </wps:wsp>
                </a:graphicData>
              </a:graphic>
            </wp:anchor>
          </w:drawing>
        </mc:Choice>
        <mc:Fallback>
          <w:pict>
            <v:shape id="文本框 5124"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FHLd8dABAACqAwAADgAAAAAAAAABACAAAAAeAQAAZHJz&#10;L2Uyb0RvYy54bWxQSwUGAAAAAAYABgBZAQAAYAUAAAAA&#10;">
              <v:fill on="f" focussize="0,0"/>
              <v:stroke on="f"/>
              <v:imagedata o:title=""/>
              <o:lock v:ext="edit" aspectratio="f"/>
              <v:textbox inset="0mm,0mm,0mm,0mm" style="mso-fit-shape-to-text:t;">
                <w:txbxContent>
                  <w:p w14:paraId="3E5BC283"/>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AD3062">
    <w:pPr>
      <w:pStyle w:val="3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51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988DC20">
                          <w:pPr>
                            <w:pStyle w:val="32"/>
                            <w:jc w:val="center"/>
                          </w:pPr>
                          <w:r>
                            <w:fldChar w:fldCharType="begin"/>
                          </w:r>
                          <w:r>
                            <w:instrText xml:space="preserve"> PAGE  \* MERGEFORMAT </w:instrText>
                          </w:r>
                          <w:r>
                            <w:fldChar w:fldCharType="separate"/>
                          </w:r>
                          <w:r>
                            <w:t>171</w:t>
                          </w:r>
                          <w:r>
                            <w:fldChar w:fldCharType="end"/>
                          </w:r>
                        </w:p>
                      </w:txbxContent>
                    </wps:txbx>
                    <wps:bodyPr wrap="none" lIns="0" tIns="0" rIns="0" bIns="0" upright="1">
                      <a:spAutoFit/>
                    </wps:bodyPr>
                  </wps:wsp>
                </a:graphicData>
              </a:graphic>
            </wp:anchor>
          </w:drawing>
        </mc:Choice>
        <mc:Fallback>
          <w:pict>
            <v:shape id="文本框 512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Io4VTNABAACqAwAADgAAAAAAAAABACAAAAAeAQAAZHJz&#10;L2Uyb0RvYy54bWxQSwUGAAAAAAYABgBZAQAAYAUAAAAA&#10;">
              <v:fill on="f" focussize="0,0"/>
              <v:stroke on="f"/>
              <v:imagedata o:title=""/>
              <o:lock v:ext="edit" aspectratio="f"/>
              <v:textbox inset="0mm,0mm,0mm,0mm" style="mso-fit-shape-to-text:t;">
                <w:txbxContent>
                  <w:p w14:paraId="1988DC20">
                    <w:pPr>
                      <w:pStyle w:val="32"/>
                      <w:jc w:val="center"/>
                    </w:pPr>
                    <w:r>
                      <w:fldChar w:fldCharType="begin"/>
                    </w:r>
                    <w:r>
                      <w:instrText xml:space="preserve"> PAGE  \* MERGEFORMAT </w:instrText>
                    </w:r>
                    <w:r>
                      <w:fldChar w:fldCharType="separate"/>
                    </w:r>
                    <w:r>
                      <w:t>171</w:t>
                    </w:r>
                    <w:r>
                      <w:fldChar w:fldCharType="end"/>
                    </w:r>
                  </w:p>
                </w:txbxContent>
              </v:textbox>
            </v:shape>
          </w:pict>
        </mc:Fallback>
      </mc:AlternateContent>
    </w:r>
  </w:p>
  <w:p w14:paraId="1625F6BF">
    <w:pPr>
      <w:pStyle w:val="3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B321AC">
    <w:pPr>
      <w:pStyle w:val="3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FF398D0">
                          <w:pPr>
                            <w:pStyle w:val="32"/>
                          </w:pPr>
                          <w:r>
                            <w:fldChar w:fldCharType="begin"/>
                          </w:r>
                          <w:r>
                            <w:instrText xml:space="preserve"> PAGE  \* MERGEFORMAT </w:instrText>
                          </w:r>
                          <w:r>
                            <w:fldChar w:fldCharType="separate"/>
                          </w:r>
                          <w:r>
                            <w:t>161</w:t>
                          </w:r>
                          <w:r>
                            <w:fldChar w:fldCharType="end"/>
                          </w:r>
                        </w:p>
                      </w:txbxContent>
                    </wps:txbx>
                    <wps:bodyPr wrap="none" lIns="0" tIns="0" rIns="0" bIns="0" upright="1">
                      <a:spAutoFit/>
                    </wps:bodyPr>
                  </wps:wsp>
                </a:graphicData>
              </a:graphic>
            </wp:anchor>
          </w:drawing>
        </mc:Choice>
        <mc:Fallback>
          <w:pict>
            <v:shape id="文本框 512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D9iCkdABAACqAwAADgAAAAAAAAABACAAAAAeAQAAZHJz&#10;L2Uyb0RvYy54bWxQSwUGAAAAAAYABgBZAQAAYAUAAAAA&#10;">
              <v:fill on="f" focussize="0,0"/>
              <v:stroke on="f"/>
              <v:imagedata o:title=""/>
              <o:lock v:ext="edit" aspectratio="f"/>
              <v:textbox inset="0mm,0mm,0mm,0mm" style="mso-fit-shape-to-text:t;">
                <w:txbxContent>
                  <w:p w14:paraId="5FF398D0">
                    <w:pPr>
                      <w:pStyle w:val="32"/>
                    </w:pPr>
                    <w:r>
                      <w:fldChar w:fldCharType="begin"/>
                    </w:r>
                    <w:r>
                      <w:instrText xml:space="preserve"> PAGE  \* MERGEFORMAT </w:instrText>
                    </w:r>
                    <w:r>
                      <w:fldChar w:fldCharType="separate"/>
                    </w:r>
                    <w:r>
                      <w:t>161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09C7D">
    <w:pPr>
      <w:pStyle w:val="33"/>
      <w:pBdr>
        <w:bottom w:val="none" w:color="auto" w:sz="0" w:space="0"/>
      </w:pBdr>
    </w:pPr>
    <w:r>
      <w:drawing>
        <wp:anchor distT="0" distB="0" distL="114300" distR="114300" simplePos="0" relativeHeight="251665408" behindDoc="1" locked="0" layoutInCell="0" allowOverlap="1">
          <wp:simplePos x="0" y="0"/>
          <wp:positionH relativeFrom="margin">
            <wp:align>center</wp:align>
          </wp:positionH>
          <wp:positionV relativeFrom="margin">
            <wp:align>center</wp:align>
          </wp:positionV>
          <wp:extent cx="5636895" cy="4980940"/>
          <wp:effectExtent l="0" t="0" r="1905" b="10160"/>
          <wp:wrapNone/>
          <wp:docPr id="7" name="WordPictureWatermark20238651" descr="云龙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dPictureWatermark20238651" descr="云龙水印"/>
                  <pic:cNvPicPr>
                    <a:picLocks noChangeAspect="1"/>
                  </pic:cNvPicPr>
                </pic:nvPicPr>
                <pic:blipFill>
                  <a:blip r:embed="rId1">
                    <a:lum bright="70001" contrast="-70000"/>
                  </a:blip>
                  <a:stretch>
                    <a:fillRect/>
                  </a:stretch>
                </pic:blipFill>
                <pic:spPr>
                  <a:xfrm>
                    <a:off x="0" y="0"/>
                    <a:ext cx="5636895" cy="4980940"/>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A97FCF">
    <w:pPr>
      <w:pStyle w:val="33"/>
      <w:pBdr>
        <w:bottom w:val="none" w:color="auto" w:sz="0" w:space="0"/>
      </w:pBdr>
    </w:pPr>
    <w:r>
      <w:drawing>
        <wp:anchor distT="0" distB="0" distL="114300" distR="114300" simplePos="0" relativeHeight="251664384" behindDoc="1" locked="0" layoutInCell="0" allowOverlap="1">
          <wp:simplePos x="0" y="0"/>
          <wp:positionH relativeFrom="margin">
            <wp:align>center</wp:align>
          </wp:positionH>
          <wp:positionV relativeFrom="margin">
            <wp:align>center</wp:align>
          </wp:positionV>
          <wp:extent cx="5636895" cy="4980940"/>
          <wp:effectExtent l="0" t="0" r="1905" b="10160"/>
          <wp:wrapNone/>
          <wp:docPr id="6" name="WordPictureWatermark20238650" descr="云龙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ordPictureWatermark20238650" descr="云龙水印"/>
                  <pic:cNvPicPr>
                    <a:picLocks noChangeAspect="1"/>
                  </pic:cNvPicPr>
                </pic:nvPicPr>
                <pic:blipFill>
                  <a:blip r:embed="rId1">
                    <a:lum bright="70001" contrast="-70000"/>
                  </a:blip>
                  <a:stretch>
                    <a:fillRect/>
                  </a:stretch>
                </pic:blipFill>
                <pic:spPr>
                  <a:xfrm>
                    <a:off x="0" y="0"/>
                    <a:ext cx="5636895" cy="4980940"/>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61323">
    <w:pPr>
      <w:pStyle w:val="33"/>
      <w:pBdr>
        <w:bottom w:val="none" w:color="auto" w:sz="0" w:space="1"/>
      </w:pBdr>
    </w:pPr>
    <w:r>
      <w:drawing>
        <wp:anchor distT="0" distB="0" distL="114300" distR="114300" simplePos="0" relativeHeight="251663360" behindDoc="1" locked="0" layoutInCell="0" allowOverlap="1">
          <wp:simplePos x="0" y="0"/>
          <wp:positionH relativeFrom="margin">
            <wp:align>center</wp:align>
          </wp:positionH>
          <wp:positionV relativeFrom="margin">
            <wp:align>center</wp:align>
          </wp:positionV>
          <wp:extent cx="5636895" cy="4980940"/>
          <wp:effectExtent l="0" t="0" r="1905" b="10160"/>
          <wp:wrapNone/>
          <wp:docPr id="5" name="WordPictureWatermark20238649" descr="云龙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PictureWatermark20238649" descr="云龙水印"/>
                  <pic:cNvPicPr>
                    <a:picLocks noChangeAspect="1"/>
                  </pic:cNvPicPr>
                </pic:nvPicPr>
                <pic:blipFill>
                  <a:blip r:embed="rId1">
                    <a:lum bright="70001" contrast="-70000"/>
                  </a:blip>
                  <a:stretch>
                    <a:fillRect/>
                  </a:stretch>
                </pic:blipFill>
                <pic:spPr>
                  <a:xfrm>
                    <a:off x="0" y="0"/>
                    <a:ext cx="5636895" cy="4980940"/>
                  </a:xfrm>
                  <a:prstGeom prst="rect">
                    <a:avLst/>
                  </a:prstGeom>
                  <a:noFill/>
                  <a:ln>
                    <a:noFill/>
                  </a:ln>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9BE269">
    <w:r>
      <w:drawing>
        <wp:anchor distT="0" distB="0" distL="114300" distR="114300" simplePos="0" relativeHeight="251668480" behindDoc="1" locked="0" layoutInCell="0" allowOverlap="1">
          <wp:simplePos x="0" y="0"/>
          <wp:positionH relativeFrom="margin">
            <wp:align>center</wp:align>
          </wp:positionH>
          <wp:positionV relativeFrom="margin">
            <wp:align>center</wp:align>
          </wp:positionV>
          <wp:extent cx="5636895" cy="4980940"/>
          <wp:effectExtent l="0" t="0" r="1905" b="10160"/>
          <wp:wrapNone/>
          <wp:docPr id="10" name="WordPictureWatermark20238654" descr="云龙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ordPictureWatermark20238654" descr="云龙水印"/>
                  <pic:cNvPicPr>
                    <a:picLocks noChangeAspect="1"/>
                  </pic:cNvPicPr>
                </pic:nvPicPr>
                <pic:blipFill>
                  <a:blip r:embed="rId1">
                    <a:lum bright="70001" contrast="-70000"/>
                  </a:blip>
                  <a:stretch>
                    <a:fillRect/>
                  </a:stretch>
                </pic:blipFill>
                <pic:spPr>
                  <a:xfrm>
                    <a:off x="0" y="0"/>
                    <a:ext cx="5636895" cy="4980940"/>
                  </a:xfrm>
                  <a:prstGeom prst="rect">
                    <a:avLst/>
                  </a:prstGeom>
                  <a:noFill/>
                  <a:ln>
                    <a:noFill/>
                  </a:ln>
                </pic:spPr>
              </pic:pic>
            </a:graphicData>
          </a:graphic>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E07B2A">
    <w:pPr>
      <w:pStyle w:val="33"/>
    </w:pPr>
    <w:r>
      <w:drawing>
        <wp:anchor distT="0" distB="0" distL="114300" distR="114300" simplePos="0" relativeHeight="251667456" behindDoc="1" locked="0" layoutInCell="0" allowOverlap="1">
          <wp:simplePos x="0" y="0"/>
          <wp:positionH relativeFrom="margin">
            <wp:align>center</wp:align>
          </wp:positionH>
          <wp:positionV relativeFrom="margin">
            <wp:align>center</wp:align>
          </wp:positionV>
          <wp:extent cx="5636895" cy="4980940"/>
          <wp:effectExtent l="0" t="0" r="1905" b="10160"/>
          <wp:wrapNone/>
          <wp:docPr id="9" name="WordPictureWatermark20238653" descr="云龙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ordPictureWatermark20238653" descr="云龙水印"/>
                  <pic:cNvPicPr>
                    <a:picLocks noChangeAspect="1"/>
                  </pic:cNvPicPr>
                </pic:nvPicPr>
                <pic:blipFill>
                  <a:blip r:embed="rId1">
                    <a:lum bright="70001" contrast="-70000"/>
                  </a:blip>
                  <a:stretch>
                    <a:fillRect/>
                  </a:stretch>
                </pic:blipFill>
                <pic:spPr>
                  <a:xfrm>
                    <a:off x="0" y="0"/>
                    <a:ext cx="5636895" cy="4980940"/>
                  </a:xfrm>
                  <a:prstGeom prst="rect">
                    <a:avLst/>
                  </a:prstGeom>
                  <a:noFill/>
                  <a:ln>
                    <a:noFill/>
                  </a:ln>
                </pic:spPr>
              </pic:pic>
            </a:graphicData>
          </a:graphic>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5EF89">
    <w:r>
      <w:drawing>
        <wp:anchor distT="0" distB="0" distL="114300" distR="114300" simplePos="0" relativeHeight="251666432" behindDoc="1" locked="0" layoutInCell="0" allowOverlap="1">
          <wp:simplePos x="0" y="0"/>
          <wp:positionH relativeFrom="margin">
            <wp:align>center</wp:align>
          </wp:positionH>
          <wp:positionV relativeFrom="margin">
            <wp:align>center</wp:align>
          </wp:positionV>
          <wp:extent cx="5636895" cy="4980940"/>
          <wp:effectExtent l="0" t="0" r="1905" b="10160"/>
          <wp:wrapNone/>
          <wp:docPr id="8" name="WordPictureWatermark20238652" descr="云龙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ordPictureWatermark20238652" descr="云龙水印"/>
                  <pic:cNvPicPr>
                    <a:picLocks noChangeAspect="1"/>
                  </pic:cNvPicPr>
                </pic:nvPicPr>
                <pic:blipFill>
                  <a:blip r:embed="rId1">
                    <a:lum bright="70001" contrast="-70000"/>
                  </a:blip>
                  <a:stretch>
                    <a:fillRect/>
                  </a:stretch>
                </pic:blipFill>
                <pic:spPr>
                  <a:xfrm>
                    <a:off x="0" y="0"/>
                    <a:ext cx="5636895" cy="498094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8860E8"/>
    <w:multiLevelType w:val="singleLevel"/>
    <w:tmpl w:val="408860E8"/>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hideSpellingErrors/>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2ZTQzYmM1OTQzMTRhMzg5NzJmNGVkNTA3ZmNiODMifQ=="/>
  </w:docVars>
  <w:rsids>
    <w:rsidRoot w:val="00F34B14"/>
    <w:rsid w:val="000002E0"/>
    <w:rsid w:val="00000672"/>
    <w:rsid w:val="00000C53"/>
    <w:rsid w:val="00000E69"/>
    <w:rsid w:val="00000FD7"/>
    <w:rsid w:val="00001013"/>
    <w:rsid w:val="00001245"/>
    <w:rsid w:val="00001799"/>
    <w:rsid w:val="00001AF2"/>
    <w:rsid w:val="00001ECA"/>
    <w:rsid w:val="00002480"/>
    <w:rsid w:val="00002D29"/>
    <w:rsid w:val="00003B93"/>
    <w:rsid w:val="0000474D"/>
    <w:rsid w:val="0000529E"/>
    <w:rsid w:val="000057F8"/>
    <w:rsid w:val="00005FDF"/>
    <w:rsid w:val="0000644A"/>
    <w:rsid w:val="00006D8A"/>
    <w:rsid w:val="00007081"/>
    <w:rsid w:val="000070B3"/>
    <w:rsid w:val="000076B8"/>
    <w:rsid w:val="000109DC"/>
    <w:rsid w:val="00010D39"/>
    <w:rsid w:val="0001172C"/>
    <w:rsid w:val="00011BC9"/>
    <w:rsid w:val="000125EC"/>
    <w:rsid w:val="00012854"/>
    <w:rsid w:val="00012D72"/>
    <w:rsid w:val="00012EA6"/>
    <w:rsid w:val="00013359"/>
    <w:rsid w:val="000139CF"/>
    <w:rsid w:val="00013AA4"/>
    <w:rsid w:val="00013DFE"/>
    <w:rsid w:val="000141EA"/>
    <w:rsid w:val="00015111"/>
    <w:rsid w:val="00015C14"/>
    <w:rsid w:val="0001657F"/>
    <w:rsid w:val="00016ABC"/>
    <w:rsid w:val="000177DB"/>
    <w:rsid w:val="000179C9"/>
    <w:rsid w:val="00017CCC"/>
    <w:rsid w:val="00020227"/>
    <w:rsid w:val="00020263"/>
    <w:rsid w:val="00020455"/>
    <w:rsid w:val="00020813"/>
    <w:rsid w:val="000215D0"/>
    <w:rsid w:val="00021F52"/>
    <w:rsid w:val="00021FCF"/>
    <w:rsid w:val="000220B2"/>
    <w:rsid w:val="0002264C"/>
    <w:rsid w:val="00022731"/>
    <w:rsid w:val="00022792"/>
    <w:rsid w:val="00023287"/>
    <w:rsid w:val="00024463"/>
    <w:rsid w:val="00025461"/>
    <w:rsid w:val="00025636"/>
    <w:rsid w:val="00025E36"/>
    <w:rsid w:val="000260F7"/>
    <w:rsid w:val="00026855"/>
    <w:rsid w:val="00026886"/>
    <w:rsid w:val="0002754F"/>
    <w:rsid w:val="0002785D"/>
    <w:rsid w:val="000307BE"/>
    <w:rsid w:val="00032633"/>
    <w:rsid w:val="000329E0"/>
    <w:rsid w:val="000336D0"/>
    <w:rsid w:val="0003499E"/>
    <w:rsid w:val="000352E9"/>
    <w:rsid w:val="00035494"/>
    <w:rsid w:val="00035ECF"/>
    <w:rsid w:val="00036125"/>
    <w:rsid w:val="00036A07"/>
    <w:rsid w:val="0003780B"/>
    <w:rsid w:val="00037C41"/>
    <w:rsid w:val="00040571"/>
    <w:rsid w:val="00040973"/>
    <w:rsid w:val="0004156E"/>
    <w:rsid w:val="00041713"/>
    <w:rsid w:val="0004212E"/>
    <w:rsid w:val="00042B32"/>
    <w:rsid w:val="00042B80"/>
    <w:rsid w:val="00042EE8"/>
    <w:rsid w:val="000439AA"/>
    <w:rsid w:val="0004440C"/>
    <w:rsid w:val="00046B5E"/>
    <w:rsid w:val="000470CB"/>
    <w:rsid w:val="00047703"/>
    <w:rsid w:val="000506DE"/>
    <w:rsid w:val="000509D9"/>
    <w:rsid w:val="00051006"/>
    <w:rsid w:val="00051165"/>
    <w:rsid w:val="000512AF"/>
    <w:rsid w:val="00051ACB"/>
    <w:rsid w:val="000533E7"/>
    <w:rsid w:val="00053B29"/>
    <w:rsid w:val="00054B4B"/>
    <w:rsid w:val="000550E8"/>
    <w:rsid w:val="00055519"/>
    <w:rsid w:val="00055D41"/>
    <w:rsid w:val="000563DF"/>
    <w:rsid w:val="00056EF6"/>
    <w:rsid w:val="000575CF"/>
    <w:rsid w:val="00057CD6"/>
    <w:rsid w:val="00060C5F"/>
    <w:rsid w:val="00060D7F"/>
    <w:rsid w:val="00060DCE"/>
    <w:rsid w:val="000610E3"/>
    <w:rsid w:val="000614F3"/>
    <w:rsid w:val="00061A1B"/>
    <w:rsid w:val="000623B4"/>
    <w:rsid w:val="00062405"/>
    <w:rsid w:val="00062EC2"/>
    <w:rsid w:val="000634A7"/>
    <w:rsid w:val="000636EB"/>
    <w:rsid w:val="00063B0B"/>
    <w:rsid w:val="00063F81"/>
    <w:rsid w:val="00064847"/>
    <w:rsid w:val="00065E08"/>
    <w:rsid w:val="00065E2D"/>
    <w:rsid w:val="00066AD9"/>
    <w:rsid w:val="00066D2E"/>
    <w:rsid w:val="000673E2"/>
    <w:rsid w:val="00067EF1"/>
    <w:rsid w:val="00070378"/>
    <w:rsid w:val="0007037E"/>
    <w:rsid w:val="0007063F"/>
    <w:rsid w:val="000707FD"/>
    <w:rsid w:val="00070949"/>
    <w:rsid w:val="000711E4"/>
    <w:rsid w:val="00071E9B"/>
    <w:rsid w:val="000720A1"/>
    <w:rsid w:val="000724D9"/>
    <w:rsid w:val="00072AED"/>
    <w:rsid w:val="00073F47"/>
    <w:rsid w:val="0007492F"/>
    <w:rsid w:val="00074BC7"/>
    <w:rsid w:val="00074ED8"/>
    <w:rsid w:val="00075B7E"/>
    <w:rsid w:val="00076D70"/>
    <w:rsid w:val="00077ACA"/>
    <w:rsid w:val="00077C70"/>
    <w:rsid w:val="0008122E"/>
    <w:rsid w:val="000813B5"/>
    <w:rsid w:val="0008191E"/>
    <w:rsid w:val="00081BA3"/>
    <w:rsid w:val="00081D2E"/>
    <w:rsid w:val="00081F89"/>
    <w:rsid w:val="00082619"/>
    <w:rsid w:val="00082D02"/>
    <w:rsid w:val="0008381A"/>
    <w:rsid w:val="00083871"/>
    <w:rsid w:val="00083B91"/>
    <w:rsid w:val="0008473C"/>
    <w:rsid w:val="0008520B"/>
    <w:rsid w:val="000857DE"/>
    <w:rsid w:val="000860BD"/>
    <w:rsid w:val="00086178"/>
    <w:rsid w:val="000871B8"/>
    <w:rsid w:val="00087B0A"/>
    <w:rsid w:val="000916DA"/>
    <w:rsid w:val="00091AAB"/>
    <w:rsid w:val="00092442"/>
    <w:rsid w:val="000929EF"/>
    <w:rsid w:val="00092C26"/>
    <w:rsid w:val="000933BE"/>
    <w:rsid w:val="00094428"/>
    <w:rsid w:val="000944FC"/>
    <w:rsid w:val="0009560F"/>
    <w:rsid w:val="0009588E"/>
    <w:rsid w:val="000959EE"/>
    <w:rsid w:val="00096C2E"/>
    <w:rsid w:val="00096DAF"/>
    <w:rsid w:val="00096DB9"/>
    <w:rsid w:val="00097183"/>
    <w:rsid w:val="000972CB"/>
    <w:rsid w:val="00097608"/>
    <w:rsid w:val="000A0F35"/>
    <w:rsid w:val="000A1175"/>
    <w:rsid w:val="000A13F3"/>
    <w:rsid w:val="000A165B"/>
    <w:rsid w:val="000A1963"/>
    <w:rsid w:val="000A1C18"/>
    <w:rsid w:val="000A23B1"/>
    <w:rsid w:val="000A2818"/>
    <w:rsid w:val="000A2B0E"/>
    <w:rsid w:val="000A3095"/>
    <w:rsid w:val="000A398F"/>
    <w:rsid w:val="000A42D9"/>
    <w:rsid w:val="000A448C"/>
    <w:rsid w:val="000A4E26"/>
    <w:rsid w:val="000A509C"/>
    <w:rsid w:val="000A54A7"/>
    <w:rsid w:val="000A5A17"/>
    <w:rsid w:val="000A6007"/>
    <w:rsid w:val="000A6564"/>
    <w:rsid w:val="000A65A6"/>
    <w:rsid w:val="000A70E3"/>
    <w:rsid w:val="000A7275"/>
    <w:rsid w:val="000A7408"/>
    <w:rsid w:val="000A7A12"/>
    <w:rsid w:val="000A7A72"/>
    <w:rsid w:val="000B0FE0"/>
    <w:rsid w:val="000B1202"/>
    <w:rsid w:val="000B12FF"/>
    <w:rsid w:val="000B1801"/>
    <w:rsid w:val="000B1D0C"/>
    <w:rsid w:val="000B2273"/>
    <w:rsid w:val="000B2563"/>
    <w:rsid w:val="000B2BC6"/>
    <w:rsid w:val="000B2D03"/>
    <w:rsid w:val="000B37F2"/>
    <w:rsid w:val="000B3815"/>
    <w:rsid w:val="000B3C7B"/>
    <w:rsid w:val="000B3E68"/>
    <w:rsid w:val="000B4321"/>
    <w:rsid w:val="000B544A"/>
    <w:rsid w:val="000B5CCB"/>
    <w:rsid w:val="000B5F6B"/>
    <w:rsid w:val="000B613A"/>
    <w:rsid w:val="000B6A6B"/>
    <w:rsid w:val="000B6C95"/>
    <w:rsid w:val="000B7920"/>
    <w:rsid w:val="000B79FC"/>
    <w:rsid w:val="000B7E0A"/>
    <w:rsid w:val="000C144E"/>
    <w:rsid w:val="000C1679"/>
    <w:rsid w:val="000C190E"/>
    <w:rsid w:val="000C1953"/>
    <w:rsid w:val="000C1BFE"/>
    <w:rsid w:val="000C1EE3"/>
    <w:rsid w:val="000C370B"/>
    <w:rsid w:val="000C3AE7"/>
    <w:rsid w:val="000C3C2B"/>
    <w:rsid w:val="000C3CC9"/>
    <w:rsid w:val="000C3DBC"/>
    <w:rsid w:val="000C4565"/>
    <w:rsid w:val="000C5823"/>
    <w:rsid w:val="000C59C6"/>
    <w:rsid w:val="000C6D7F"/>
    <w:rsid w:val="000C6DE4"/>
    <w:rsid w:val="000C7200"/>
    <w:rsid w:val="000C7202"/>
    <w:rsid w:val="000C7432"/>
    <w:rsid w:val="000C7926"/>
    <w:rsid w:val="000D0A89"/>
    <w:rsid w:val="000D10F1"/>
    <w:rsid w:val="000D1389"/>
    <w:rsid w:val="000D1798"/>
    <w:rsid w:val="000D2626"/>
    <w:rsid w:val="000D264F"/>
    <w:rsid w:val="000D2CD3"/>
    <w:rsid w:val="000D3525"/>
    <w:rsid w:val="000D4016"/>
    <w:rsid w:val="000D411D"/>
    <w:rsid w:val="000D4589"/>
    <w:rsid w:val="000D4809"/>
    <w:rsid w:val="000D4FB6"/>
    <w:rsid w:val="000D5C29"/>
    <w:rsid w:val="000D6F6B"/>
    <w:rsid w:val="000D73DD"/>
    <w:rsid w:val="000E02E8"/>
    <w:rsid w:val="000E1C38"/>
    <w:rsid w:val="000E1C51"/>
    <w:rsid w:val="000E1D3E"/>
    <w:rsid w:val="000E1DC5"/>
    <w:rsid w:val="000E259C"/>
    <w:rsid w:val="000E28AB"/>
    <w:rsid w:val="000E2E3E"/>
    <w:rsid w:val="000E3583"/>
    <w:rsid w:val="000E3AF0"/>
    <w:rsid w:val="000E43EC"/>
    <w:rsid w:val="000E4DC7"/>
    <w:rsid w:val="000E4E04"/>
    <w:rsid w:val="000E592E"/>
    <w:rsid w:val="000E693B"/>
    <w:rsid w:val="000E6D5C"/>
    <w:rsid w:val="000E6EC9"/>
    <w:rsid w:val="000E70B4"/>
    <w:rsid w:val="000E7B62"/>
    <w:rsid w:val="000E7EDC"/>
    <w:rsid w:val="000F085D"/>
    <w:rsid w:val="000F0E1E"/>
    <w:rsid w:val="000F1129"/>
    <w:rsid w:val="000F1A1B"/>
    <w:rsid w:val="000F2A95"/>
    <w:rsid w:val="000F2BB7"/>
    <w:rsid w:val="000F3281"/>
    <w:rsid w:val="000F32FD"/>
    <w:rsid w:val="000F3733"/>
    <w:rsid w:val="000F415D"/>
    <w:rsid w:val="000F5B2B"/>
    <w:rsid w:val="000F5F8B"/>
    <w:rsid w:val="000F6153"/>
    <w:rsid w:val="000F64AA"/>
    <w:rsid w:val="000F6C7B"/>
    <w:rsid w:val="000F73AD"/>
    <w:rsid w:val="000F7AF4"/>
    <w:rsid w:val="000F7C33"/>
    <w:rsid w:val="000F7F0C"/>
    <w:rsid w:val="001004D6"/>
    <w:rsid w:val="00101D1B"/>
    <w:rsid w:val="00101E8E"/>
    <w:rsid w:val="00102676"/>
    <w:rsid w:val="00103646"/>
    <w:rsid w:val="00103918"/>
    <w:rsid w:val="00104897"/>
    <w:rsid w:val="00104EDE"/>
    <w:rsid w:val="00104F54"/>
    <w:rsid w:val="00105992"/>
    <w:rsid w:val="00105CDA"/>
    <w:rsid w:val="00105F97"/>
    <w:rsid w:val="00106BEE"/>
    <w:rsid w:val="0010711C"/>
    <w:rsid w:val="00107368"/>
    <w:rsid w:val="001078E7"/>
    <w:rsid w:val="00107BDF"/>
    <w:rsid w:val="00107C74"/>
    <w:rsid w:val="0011091C"/>
    <w:rsid w:val="00111266"/>
    <w:rsid w:val="001112EB"/>
    <w:rsid w:val="00111FD1"/>
    <w:rsid w:val="0011247D"/>
    <w:rsid w:val="0011351F"/>
    <w:rsid w:val="00113678"/>
    <w:rsid w:val="00113A7D"/>
    <w:rsid w:val="00113C3E"/>
    <w:rsid w:val="00115375"/>
    <w:rsid w:val="001157F8"/>
    <w:rsid w:val="00115E11"/>
    <w:rsid w:val="00115EEE"/>
    <w:rsid w:val="00115F56"/>
    <w:rsid w:val="001164ED"/>
    <w:rsid w:val="00116CA9"/>
    <w:rsid w:val="00116F38"/>
    <w:rsid w:val="001170A4"/>
    <w:rsid w:val="00117AE7"/>
    <w:rsid w:val="00117B85"/>
    <w:rsid w:val="00117CBD"/>
    <w:rsid w:val="0012006A"/>
    <w:rsid w:val="00121979"/>
    <w:rsid w:val="00122064"/>
    <w:rsid w:val="0012301B"/>
    <w:rsid w:val="00123428"/>
    <w:rsid w:val="00124341"/>
    <w:rsid w:val="00124492"/>
    <w:rsid w:val="00124B12"/>
    <w:rsid w:val="00124BA5"/>
    <w:rsid w:val="001250A0"/>
    <w:rsid w:val="001260C6"/>
    <w:rsid w:val="001263B8"/>
    <w:rsid w:val="00130217"/>
    <w:rsid w:val="00130641"/>
    <w:rsid w:val="00130783"/>
    <w:rsid w:val="00130A47"/>
    <w:rsid w:val="00130FB0"/>
    <w:rsid w:val="00132B47"/>
    <w:rsid w:val="00132DDA"/>
    <w:rsid w:val="0013346C"/>
    <w:rsid w:val="001337F8"/>
    <w:rsid w:val="001341B2"/>
    <w:rsid w:val="001343DA"/>
    <w:rsid w:val="001348B4"/>
    <w:rsid w:val="00134B1F"/>
    <w:rsid w:val="0013506E"/>
    <w:rsid w:val="001351CB"/>
    <w:rsid w:val="00135530"/>
    <w:rsid w:val="0013568F"/>
    <w:rsid w:val="00135947"/>
    <w:rsid w:val="001359A2"/>
    <w:rsid w:val="00135F92"/>
    <w:rsid w:val="00136020"/>
    <w:rsid w:val="00136445"/>
    <w:rsid w:val="00136965"/>
    <w:rsid w:val="00136A9C"/>
    <w:rsid w:val="00137389"/>
    <w:rsid w:val="00140132"/>
    <w:rsid w:val="00141455"/>
    <w:rsid w:val="0014162D"/>
    <w:rsid w:val="0014190C"/>
    <w:rsid w:val="00141C9C"/>
    <w:rsid w:val="0014277F"/>
    <w:rsid w:val="00142AD2"/>
    <w:rsid w:val="001434BE"/>
    <w:rsid w:val="00143AAD"/>
    <w:rsid w:val="00144050"/>
    <w:rsid w:val="00144369"/>
    <w:rsid w:val="00144398"/>
    <w:rsid w:val="0014479F"/>
    <w:rsid w:val="001452B4"/>
    <w:rsid w:val="00145320"/>
    <w:rsid w:val="00145B3E"/>
    <w:rsid w:val="00146673"/>
    <w:rsid w:val="001476D3"/>
    <w:rsid w:val="001509CF"/>
    <w:rsid w:val="00150D1D"/>
    <w:rsid w:val="001525AA"/>
    <w:rsid w:val="00152A87"/>
    <w:rsid w:val="00152AC1"/>
    <w:rsid w:val="001533AA"/>
    <w:rsid w:val="00153A84"/>
    <w:rsid w:val="00153BB5"/>
    <w:rsid w:val="00154518"/>
    <w:rsid w:val="001556B8"/>
    <w:rsid w:val="00156359"/>
    <w:rsid w:val="00156DD6"/>
    <w:rsid w:val="00160238"/>
    <w:rsid w:val="0016086E"/>
    <w:rsid w:val="001609B9"/>
    <w:rsid w:val="00160D0C"/>
    <w:rsid w:val="00160DD1"/>
    <w:rsid w:val="00161172"/>
    <w:rsid w:val="00161998"/>
    <w:rsid w:val="00161E65"/>
    <w:rsid w:val="00161E8D"/>
    <w:rsid w:val="00161F0E"/>
    <w:rsid w:val="00162597"/>
    <w:rsid w:val="001629AF"/>
    <w:rsid w:val="001629FD"/>
    <w:rsid w:val="00163F8F"/>
    <w:rsid w:val="0016428A"/>
    <w:rsid w:val="001646D5"/>
    <w:rsid w:val="001647C9"/>
    <w:rsid w:val="00165627"/>
    <w:rsid w:val="00165AE0"/>
    <w:rsid w:val="001661A3"/>
    <w:rsid w:val="00166E81"/>
    <w:rsid w:val="00167226"/>
    <w:rsid w:val="0016782B"/>
    <w:rsid w:val="0016784D"/>
    <w:rsid w:val="00167853"/>
    <w:rsid w:val="00167887"/>
    <w:rsid w:val="00170613"/>
    <w:rsid w:val="00170F0C"/>
    <w:rsid w:val="00171319"/>
    <w:rsid w:val="0017267A"/>
    <w:rsid w:val="00172CA8"/>
    <w:rsid w:val="00173256"/>
    <w:rsid w:val="00173B0E"/>
    <w:rsid w:val="00173E03"/>
    <w:rsid w:val="0017405A"/>
    <w:rsid w:val="0017461E"/>
    <w:rsid w:val="00174704"/>
    <w:rsid w:val="0017512C"/>
    <w:rsid w:val="001756AF"/>
    <w:rsid w:val="0017586A"/>
    <w:rsid w:val="00175BA6"/>
    <w:rsid w:val="00175C6F"/>
    <w:rsid w:val="00176CA7"/>
    <w:rsid w:val="00176D0C"/>
    <w:rsid w:val="00176F8E"/>
    <w:rsid w:val="0017789A"/>
    <w:rsid w:val="001778C5"/>
    <w:rsid w:val="00177C07"/>
    <w:rsid w:val="00177E56"/>
    <w:rsid w:val="00177F0A"/>
    <w:rsid w:val="0018055E"/>
    <w:rsid w:val="0018090D"/>
    <w:rsid w:val="00180DA0"/>
    <w:rsid w:val="00181813"/>
    <w:rsid w:val="00181EAD"/>
    <w:rsid w:val="0018204D"/>
    <w:rsid w:val="00182862"/>
    <w:rsid w:val="00183669"/>
    <w:rsid w:val="00184F57"/>
    <w:rsid w:val="00185091"/>
    <w:rsid w:val="00185544"/>
    <w:rsid w:val="00185617"/>
    <w:rsid w:val="00186FE1"/>
    <w:rsid w:val="00187A14"/>
    <w:rsid w:val="00190D50"/>
    <w:rsid w:val="00191177"/>
    <w:rsid w:val="0019171E"/>
    <w:rsid w:val="00191EEC"/>
    <w:rsid w:val="0019224D"/>
    <w:rsid w:val="00192368"/>
    <w:rsid w:val="001923A0"/>
    <w:rsid w:val="0019270F"/>
    <w:rsid w:val="001928B1"/>
    <w:rsid w:val="00192C38"/>
    <w:rsid w:val="00192CA1"/>
    <w:rsid w:val="00193537"/>
    <w:rsid w:val="00193808"/>
    <w:rsid w:val="00193846"/>
    <w:rsid w:val="00195424"/>
    <w:rsid w:val="001955FF"/>
    <w:rsid w:val="001972F8"/>
    <w:rsid w:val="00197D13"/>
    <w:rsid w:val="00197EDD"/>
    <w:rsid w:val="001A02B3"/>
    <w:rsid w:val="001A04BB"/>
    <w:rsid w:val="001A06CC"/>
    <w:rsid w:val="001A0889"/>
    <w:rsid w:val="001A08D0"/>
    <w:rsid w:val="001A1B39"/>
    <w:rsid w:val="001A1D4A"/>
    <w:rsid w:val="001A2120"/>
    <w:rsid w:val="001A28C6"/>
    <w:rsid w:val="001A2E69"/>
    <w:rsid w:val="001A3187"/>
    <w:rsid w:val="001A368F"/>
    <w:rsid w:val="001A3C34"/>
    <w:rsid w:val="001A3EDE"/>
    <w:rsid w:val="001A41CD"/>
    <w:rsid w:val="001A4222"/>
    <w:rsid w:val="001A4235"/>
    <w:rsid w:val="001A43BE"/>
    <w:rsid w:val="001A48B2"/>
    <w:rsid w:val="001A4CFA"/>
    <w:rsid w:val="001A50EA"/>
    <w:rsid w:val="001A55A9"/>
    <w:rsid w:val="001A5BAA"/>
    <w:rsid w:val="001A5E24"/>
    <w:rsid w:val="001A661D"/>
    <w:rsid w:val="001A6795"/>
    <w:rsid w:val="001A6B27"/>
    <w:rsid w:val="001A6D8B"/>
    <w:rsid w:val="001A6DAA"/>
    <w:rsid w:val="001A7717"/>
    <w:rsid w:val="001A793A"/>
    <w:rsid w:val="001B0464"/>
    <w:rsid w:val="001B125A"/>
    <w:rsid w:val="001B1EBA"/>
    <w:rsid w:val="001B2142"/>
    <w:rsid w:val="001B2F2B"/>
    <w:rsid w:val="001B327A"/>
    <w:rsid w:val="001B35DE"/>
    <w:rsid w:val="001B3A13"/>
    <w:rsid w:val="001B3F5C"/>
    <w:rsid w:val="001B536B"/>
    <w:rsid w:val="001B57C9"/>
    <w:rsid w:val="001B59FF"/>
    <w:rsid w:val="001B5D13"/>
    <w:rsid w:val="001B6512"/>
    <w:rsid w:val="001B65D7"/>
    <w:rsid w:val="001B6752"/>
    <w:rsid w:val="001B6768"/>
    <w:rsid w:val="001B6F1F"/>
    <w:rsid w:val="001B7ECC"/>
    <w:rsid w:val="001C025B"/>
    <w:rsid w:val="001C059D"/>
    <w:rsid w:val="001C115F"/>
    <w:rsid w:val="001C13F8"/>
    <w:rsid w:val="001C1675"/>
    <w:rsid w:val="001C1DED"/>
    <w:rsid w:val="001C1EAB"/>
    <w:rsid w:val="001C2375"/>
    <w:rsid w:val="001C25A7"/>
    <w:rsid w:val="001C2775"/>
    <w:rsid w:val="001C2A1D"/>
    <w:rsid w:val="001C318C"/>
    <w:rsid w:val="001C35C4"/>
    <w:rsid w:val="001C36C0"/>
    <w:rsid w:val="001C4287"/>
    <w:rsid w:val="001C4479"/>
    <w:rsid w:val="001C4F79"/>
    <w:rsid w:val="001C5190"/>
    <w:rsid w:val="001C6081"/>
    <w:rsid w:val="001C7284"/>
    <w:rsid w:val="001C73EB"/>
    <w:rsid w:val="001C7781"/>
    <w:rsid w:val="001C7B48"/>
    <w:rsid w:val="001D0CFB"/>
    <w:rsid w:val="001D108A"/>
    <w:rsid w:val="001D1A0D"/>
    <w:rsid w:val="001D1DD1"/>
    <w:rsid w:val="001D23DA"/>
    <w:rsid w:val="001D2573"/>
    <w:rsid w:val="001D267C"/>
    <w:rsid w:val="001D2F77"/>
    <w:rsid w:val="001D335E"/>
    <w:rsid w:val="001D343C"/>
    <w:rsid w:val="001D56E2"/>
    <w:rsid w:val="001D58A1"/>
    <w:rsid w:val="001D58C2"/>
    <w:rsid w:val="001D5A8A"/>
    <w:rsid w:val="001D5B64"/>
    <w:rsid w:val="001D61CA"/>
    <w:rsid w:val="001D654A"/>
    <w:rsid w:val="001D68BA"/>
    <w:rsid w:val="001D6E87"/>
    <w:rsid w:val="001D735E"/>
    <w:rsid w:val="001D73C8"/>
    <w:rsid w:val="001D7BC6"/>
    <w:rsid w:val="001E1212"/>
    <w:rsid w:val="001E129E"/>
    <w:rsid w:val="001E175C"/>
    <w:rsid w:val="001E1B0E"/>
    <w:rsid w:val="001E308A"/>
    <w:rsid w:val="001E38EC"/>
    <w:rsid w:val="001E3B63"/>
    <w:rsid w:val="001E57B2"/>
    <w:rsid w:val="001E5A94"/>
    <w:rsid w:val="001E5CBB"/>
    <w:rsid w:val="001E5CDC"/>
    <w:rsid w:val="001E6CE9"/>
    <w:rsid w:val="001F0506"/>
    <w:rsid w:val="001F1036"/>
    <w:rsid w:val="001F13FD"/>
    <w:rsid w:val="001F2474"/>
    <w:rsid w:val="001F2A2E"/>
    <w:rsid w:val="001F3180"/>
    <w:rsid w:val="001F3356"/>
    <w:rsid w:val="001F3A99"/>
    <w:rsid w:val="001F3C63"/>
    <w:rsid w:val="001F4141"/>
    <w:rsid w:val="001F4460"/>
    <w:rsid w:val="001F4833"/>
    <w:rsid w:val="001F6C96"/>
    <w:rsid w:val="001F711A"/>
    <w:rsid w:val="001F75B0"/>
    <w:rsid w:val="001F7CBE"/>
    <w:rsid w:val="0020057C"/>
    <w:rsid w:val="0020083C"/>
    <w:rsid w:val="00200CE5"/>
    <w:rsid w:val="00200F7C"/>
    <w:rsid w:val="0020104E"/>
    <w:rsid w:val="002014DB"/>
    <w:rsid w:val="0020150B"/>
    <w:rsid w:val="00201E12"/>
    <w:rsid w:val="00202295"/>
    <w:rsid w:val="00202327"/>
    <w:rsid w:val="002033B5"/>
    <w:rsid w:val="0020382C"/>
    <w:rsid w:val="002042E9"/>
    <w:rsid w:val="0020437A"/>
    <w:rsid w:val="0020454C"/>
    <w:rsid w:val="00204740"/>
    <w:rsid w:val="00205129"/>
    <w:rsid w:val="0020521F"/>
    <w:rsid w:val="0020532C"/>
    <w:rsid w:val="00206AE8"/>
    <w:rsid w:val="00206CBD"/>
    <w:rsid w:val="002114C7"/>
    <w:rsid w:val="00211A7B"/>
    <w:rsid w:val="00212AD8"/>
    <w:rsid w:val="0021302C"/>
    <w:rsid w:val="002139F1"/>
    <w:rsid w:val="00213B1C"/>
    <w:rsid w:val="00213F1E"/>
    <w:rsid w:val="00214202"/>
    <w:rsid w:val="002148E3"/>
    <w:rsid w:val="00214C1A"/>
    <w:rsid w:val="0021552D"/>
    <w:rsid w:val="002156AE"/>
    <w:rsid w:val="0021577B"/>
    <w:rsid w:val="00215DC7"/>
    <w:rsid w:val="00215E99"/>
    <w:rsid w:val="0021639E"/>
    <w:rsid w:val="00217B07"/>
    <w:rsid w:val="00217C26"/>
    <w:rsid w:val="00217C4B"/>
    <w:rsid w:val="00220043"/>
    <w:rsid w:val="0022054D"/>
    <w:rsid w:val="0022107B"/>
    <w:rsid w:val="002223EB"/>
    <w:rsid w:val="00223611"/>
    <w:rsid w:val="00223DDB"/>
    <w:rsid w:val="00223FA4"/>
    <w:rsid w:val="00223FB0"/>
    <w:rsid w:val="0022405A"/>
    <w:rsid w:val="00224067"/>
    <w:rsid w:val="0022421C"/>
    <w:rsid w:val="0022454F"/>
    <w:rsid w:val="00224C4A"/>
    <w:rsid w:val="00224E83"/>
    <w:rsid w:val="00225233"/>
    <w:rsid w:val="002252DA"/>
    <w:rsid w:val="00225664"/>
    <w:rsid w:val="00225F84"/>
    <w:rsid w:val="0022663D"/>
    <w:rsid w:val="00226995"/>
    <w:rsid w:val="00226F18"/>
    <w:rsid w:val="0022755B"/>
    <w:rsid w:val="00227C56"/>
    <w:rsid w:val="00227F2D"/>
    <w:rsid w:val="00227F52"/>
    <w:rsid w:val="00231851"/>
    <w:rsid w:val="002319FB"/>
    <w:rsid w:val="00231B89"/>
    <w:rsid w:val="00231F11"/>
    <w:rsid w:val="00231F5E"/>
    <w:rsid w:val="00233395"/>
    <w:rsid w:val="00233D76"/>
    <w:rsid w:val="002346B4"/>
    <w:rsid w:val="00234AA8"/>
    <w:rsid w:val="00234F6E"/>
    <w:rsid w:val="002351FA"/>
    <w:rsid w:val="002355BE"/>
    <w:rsid w:val="002358EA"/>
    <w:rsid w:val="0023609B"/>
    <w:rsid w:val="00236578"/>
    <w:rsid w:val="00236A10"/>
    <w:rsid w:val="00236DE9"/>
    <w:rsid w:val="00237342"/>
    <w:rsid w:val="00237D5A"/>
    <w:rsid w:val="002401B4"/>
    <w:rsid w:val="002407BA"/>
    <w:rsid w:val="00240922"/>
    <w:rsid w:val="00240D75"/>
    <w:rsid w:val="00240F92"/>
    <w:rsid w:val="00241288"/>
    <w:rsid w:val="002412BD"/>
    <w:rsid w:val="002412E4"/>
    <w:rsid w:val="002415AE"/>
    <w:rsid w:val="00241B38"/>
    <w:rsid w:val="00241BC7"/>
    <w:rsid w:val="00241D3C"/>
    <w:rsid w:val="00241DF7"/>
    <w:rsid w:val="00242109"/>
    <w:rsid w:val="00242B6B"/>
    <w:rsid w:val="00243189"/>
    <w:rsid w:val="002439AB"/>
    <w:rsid w:val="00243C19"/>
    <w:rsid w:val="00244308"/>
    <w:rsid w:val="002448E7"/>
    <w:rsid w:val="00244AE8"/>
    <w:rsid w:val="00244DC9"/>
    <w:rsid w:val="00244EF3"/>
    <w:rsid w:val="0024531F"/>
    <w:rsid w:val="00245587"/>
    <w:rsid w:val="00245F2B"/>
    <w:rsid w:val="002460E2"/>
    <w:rsid w:val="002466CD"/>
    <w:rsid w:val="0024729B"/>
    <w:rsid w:val="00247F3A"/>
    <w:rsid w:val="00250122"/>
    <w:rsid w:val="0025024D"/>
    <w:rsid w:val="00250755"/>
    <w:rsid w:val="00251043"/>
    <w:rsid w:val="00251C4A"/>
    <w:rsid w:val="0025271C"/>
    <w:rsid w:val="0025277A"/>
    <w:rsid w:val="002527D8"/>
    <w:rsid w:val="002533CD"/>
    <w:rsid w:val="002535EA"/>
    <w:rsid w:val="00253A8A"/>
    <w:rsid w:val="002543E1"/>
    <w:rsid w:val="00254EAB"/>
    <w:rsid w:val="002557AF"/>
    <w:rsid w:val="0025589C"/>
    <w:rsid w:val="00255B62"/>
    <w:rsid w:val="002566B1"/>
    <w:rsid w:val="002575E3"/>
    <w:rsid w:val="00257A74"/>
    <w:rsid w:val="00257C5D"/>
    <w:rsid w:val="002603C1"/>
    <w:rsid w:val="002609A1"/>
    <w:rsid w:val="002612B1"/>
    <w:rsid w:val="00261997"/>
    <w:rsid w:val="002621CF"/>
    <w:rsid w:val="00262924"/>
    <w:rsid w:val="00262B14"/>
    <w:rsid w:val="0026494E"/>
    <w:rsid w:val="00265A12"/>
    <w:rsid w:val="00266165"/>
    <w:rsid w:val="00266F2C"/>
    <w:rsid w:val="00267DAF"/>
    <w:rsid w:val="00270122"/>
    <w:rsid w:val="00270B87"/>
    <w:rsid w:val="0027125E"/>
    <w:rsid w:val="00271767"/>
    <w:rsid w:val="00272263"/>
    <w:rsid w:val="00272293"/>
    <w:rsid w:val="002723C8"/>
    <w:rsid w:val="00272C7D"/>
    <w:rsid w:val="00273633"/>
    <w:rsid w:val="00273C2A"/>
    <w:rsid w:val="00273CBE"/>
    <w:rsid w:val="002746B1"/>
    <w:rsid w:val="00274BAD"/>
    <w:rsid w:val="0027614E"/>
    <w:rsid w:val="002763A3"/>
    <w:rsid w:val="00276EB8"/>
    <w:rsid w:val="0027746E"/>
    <w:rsid w:val="00277F6B"/>
    <w:rsid w:val="002807B0"/>
    <w:rsid w:val="00281071"/>
    <w:rsid w:val="00281B9B"/>
    <w:rsid w:val="0028282C"/>
    <w:rsid w:val="00282D56"/>
    <w:rsid w:val="00282EC5"/>
    <w:rsid w:val="002835B0"/>
    <w:rsid w:val="00283A4D"/>
    <w:rsid w:val="00283C74"/>
    <w:rsid w:val="0028407E"/>
    <w:rsid w:val="0028410F"/>
    <w:rsid w:val="00284572"/>
    <w:rsid w:val="002850AA"/>
    <w:rsid w:val="00285221"/>
    <w:rsid w:val="00286FB5"/>
    <w:rsid w:val="00287763"/>
    <w:rsid w:val="00290606"/>
    <w:rsid w:val="002908D0"/>
    <w:rsid w:val="002909B2"/>
    <w:rsid w:val="00291D6D"/>
    <w:rsid w:val="00291FF1"/>
    <w:rsid w:val="00292AA2"/>
    <w:rsid w:val="00293361"/>
    <w:rsid w:val="002947D7"/>
    <w:rsid w:val="00294F10"/>
    <w:rsid w:val="002952B1"/>
    <w:rsid w:val="002956E5"/>
    <w:rsid w:val="00295D11"/>
    <w:rsid w:val="00296FB6"/>
    <w:rsid w:val="0029724C"/>
    <w:rsid w:val="002A0001"/>
    <w:rsid w:val="002A0BD9"/>
    <w:rsid w:val="002A0BDB"/>
    <w:rsid w:val="002A0C3A"/>
    <w:rsid w:val="002A0DF8"/>
    <w:rsid w:val="002A0F1C"/>
    <w:rsid w:val="002A1130"/>
    <w:rsid w:val="002A1880"/>
    <w:rsid w:val="002A23B7"/>
    <w:rsid w:val="002A3950"/>
    <w:rsid w:val="002A3A57"/>
    <w:rsid w:val="002A4320"/>
    <w:rsid w:val="002A4B4F"/>
    <w:rsid w:val="002A57A8"/>
    <w:rsid w:val="002A5D75"/>
    <w:rsid w:val="002A6DEF"/>
    <w:rsid w:val="002A739E"/>
    <w:rsid w:val="002A770B"/>
    <w:rsid w:val="002B013E"/>
    <w:rsid w:val="002B058D"/>
    <w:rsid w:val="002B0796"/>
    <w:rsid w:val="002B0C16"/>
    <w:rsid w:val="002B1E01"/>
    <w:rsid w:val="002B2456"/>
    <w:rsid w:val="002B2AC5"/>
    <w:rsid w:val="002B3173"/>
    <w:rsid w:val="002B3528"/>
    <w:rsid w:val="002B3539"/>
    <w:rsid w:val="002B427F"/>
    <w:rsid w:val="002B4395"/>
    <w:rsid w:val="002B4452"/>
    <w:rsid w:val="002B4532"/>
    <w:rsid w:val="002B4C9E"/>
    <w:rsid w:val="002B4DD9"/>
    <w:rsid w:val="002B5042"/>
    <w:rsid w:val="002B51AB"/>
    <w:rsid w:val="002B57C3"/>
    <w:rsid w:val="002B5832"/>
    <w:rsid w:val="002B612E"/>
    <w:rsid w:val="002B69CC"/>
    <w:rsid w:val="002B6D71"/>
    <w:rsid w:val="002B7DC4"/>
    <w:rsid w:val="002C03AE"/>
    <w:rsid w:val="002C0418"/>
    <w:rsid w:val="002C0C1C"/>
    <w:rsid w:val="002C10A7"/>
    <w:rsid w:val="002C1190"/>
    <w:rsid w:val="002C2CC9"/>
    <w:rsid w:val="002C3539"/>
    <w:rsid w:val="002C41BF"/>
    <w:rsid w:val="002C5023"/>
    <w:rsid w:val="002C53C5"/>
    <w:rsid w:val="002C5424"/>
    <w:rsid w:val="002C54C2"/>
    <w:rsid w:val="002C5D34"/>
    <w:rsid w:val="002C60BB"/>
    <w:rsid w:val="002C661A"/>
    <w:rsid w:val="002D06EE"/>
    <w:rsid w:val="002D073E"/>
    <w:rsid w:val="002D0A40"/>
    <w:rsid w:val="002D0D6F"/>
    <w:rsid w:val="002D1E81"/>
    <w:rsid w:val="002D202D"/>
    <w:rsid w:val="002D25FC"/>
    <w:rsid w:val="002D3866"/>
    <w:rsid w:val="002D4AC6"/>
    <w:rsid w:val="002D59BF"/>
    <w:rsid w:val="002D5BF5"/>
    <w:rsid w:val="002D5EE8"/>
    <w:rsid w:val="002D63F6"/>
    <w:rsid w:val="002D6963"/>
    <w:rsid w:val="002D6CB2"/>
    <w:rsid w:val="002D7360"/>
    <w:rsid w:val="002D750C"/>
    <w:rsid w:val="002D7648"/>
    <w:rsid w:val="002D7C1B"/>
    <w:rsid w:val="002D7C80"/>
    <w:rsid w:val="002E109C"/>
    <w:rsid w:val="002E193E"/>
    <w:rsid w:val="002E1A94"/>
    <w:rsid w:val="002E1D55"/>
    <w:rsid w:val="002E26C4"/>
    <w:rsid w:val="002E2734"/>
    <w:rsid w:val="002E2AA6"/>
    <w:rsid w:val="002E30A5"/>
    <w:rsid w:val="002E47E4"/>
    <w:rsid w:val="002E4BF9"/>
    <w:rsid w:val="002E4D61"/>
    <w:rsid w:val="002E68A7"/>
    <w:rsid w:val="002E6E6C"/>
    <w:rsid w:val="002F016E"/>
    <w:rsid w:val="002F020D"/>
    <w:rsid w:val="002F03FD"/>
    <w:rsid w:val="002F0522"/>
    <w:rsid w:val="002F10DC"/>
    <w:rsid w:val="002F1351"/>
    <w:rsid w:val="002F16DD"/>
    <w:rsid w:val="002F199D"/>
    <w:rsid w:val="002F1D76"/>
    <w:rsid w:val="002F213C"/>
    <w:rsid w:val="002F2453"/>
    <w:rsid w:val="002F2607"/>
    <w:rsid w:val="002F352D"/>
    <w:rsid w:val="002F381E"/>
    <w:rsid w:val="002F3C58"/>
    <w:rsid w:val="002F4084"/>
    <w:rsid w:val="002F4A08"/>
    <w:rsid w:val="002F4ADB"/>
    <w:rsid w:val="002F4E76"/>
    <w:rsid w:val="002F531E"/>
    <w:rsid w:val="002F548D"/>
    <w:rsid w:val="002F54FB"/>
    <w:rsid w:val="002F5ACC"/>
    <w:rsid w:val="002F704B"/>
    <w:rsid w:val="002F72C3"/>
    <w:rsid w:val="002F768C"/>
    <w:rsid w:val="002F7D1E"/>
    <w:rsid w:val="002F7E89"/>
    <w:rsid w:val="00300201"/>
    <w:rsid w:val="0030025A"/>
    <w:rsid w:val="0030052F"/>
    <w:rsid w:val="003010BA"/>
    <w:rsid w:val="00302EFC"/>
    <w:rsid w:val="00303243"/>
    <w:rsid w:val="00303BCC"/>
    <w:rsid w:val="00303F2B"/>
    <w:rsid w:val="00303F8D"/>
    <w:rsid w:val="0030572D"/>
    <w:rsid w:val="0030586A"/>
    <w:rsid w:val="00305A5E"/>
    <w:rsid w:val="00305DA2"/>
    <w:rsid w:val="0030622D"/>
    <w:rsid w:val="00306811"/>
    <w:rsid w:val="00306AB8"/>
    <w:rsid w:val="00306F32"/>
    <w:rsid w:val="003074C5"/>
    <w:rsid w:val="00307A3C"/>
    <w:rsid w:val="00307FA4"/>
    <w:rsid w:val="00310290"/>
    <w:rsid w:val="003103B1"/>
    <w:rsid w:val="00310CC1"/>
    <w:rsid w:val="00310F0A"/>
    <w:rsid w:val="003118A8"/>
    <w:rsid w:val="0031192A"/>
    <w:rsid w:val="00312504"/>
    <w:rsid w:val="00312B89"/>
    <w:rsid w:val="00313026"/>
    <w:rsid w:val="00313913"/>
    <w:rsid w:val="00313DAA"/>
    <w:rsid w:val="0031421F"/>
    <w:rsid w:val="0031466A"/>
    <w:rsid w:val="00314B31"/>
    <w:rsid w:val="003151F4"/>
    <w:rsid w:val="00315569"/>
    <w:rsid w:val="00315A65"/>
    <w:rsid w:val="003165CA"/>
    <w:rsid w:val="003165D7"/>
    <w:rsid w:val="0031666B"/>
    <w:rsid w:val="00316ABE"/>
    <w:rsid w:val="00317601"/>
    <w:rsid w:val="00317BA7"/>
    <w:rsid w:val="00317EB1"/>
    <w:rsid w:val="00320BE2"/>
    <w:rsid w:val="00321886"/>
    <w:rsid w:val="00321EDC"/>
    <w:rsid w:val="003226AC"/>
    <w:rsid w:val="00323694"/>
    <w:rsid w:val="00323BE7"/>
    <w:rsid w:val="00324B26"/>
    <w:rsid w:val="00324C3A"/>
    <w:rsid w:val="00324D63"/>
    <w:rsid w:val="0032547C"/>
    <w:rsid w:val="003255AF"/>
    <w:rsid w:val="003256EB"/>
    <w:rsid w:val="003259DB"/>
    <w:rsid w:val="0032649E"/>
    <w:rsid w:val="0032795B"/>
    <w:rsid w:val="003303CD"/>
    <w:rsid w:val="003307BE"/>
    <w:rsid w:val="003314D9"/>
    <w:rsid w:val="00331653"/>
    <w:rsid w:val="00331A48"/>
    <w:rsid w:val="00331BCC"/>
    <w:rsid w:val="00332575"/>
    <w:rsid w:val="003330C9"/>
    <w:rsid w:val="0033364C"/>
    <w:rsid w:val="00334415"/>
    <w:rsid w:val="00335EA1"/>
    <w:rsid w:val="0033691E"/>
    <w:rsid w:val="00336A6A"/>
    <w:rsid w:val="00336B8B"/>
    <w:rsid w:val="00336CCB"/>
    <w:rsid w:val="003411D1"/>
    <w:rsid w:val="003416BA"/>
    <w:rsid w:val="00342148"/>
    <w:rsid w:val="00342658"/>
    <w:rsid w:val="003427BE"/>
    <w:rsid w:val="00342F99"/>
    <w:rsid w:val="00343AEA"/>
    <w:rsid w:val="00344D99"/>
    <w:rsid w:val="0034575A"/>
    <w:rsid w:val="00345F1D"/>
    <w:rsid w:val="00345F57"/>
    <w:rsid w:val="00350458"/>
    <w:rsid w:val="00350E6C"/>
    <w:rsid w:val="0035153C"/>
    <w:rsid w:val="003518A6"/>
    <w:rsid w:val="00351E7F"/>
    <w:rsid w:val="00352953"/>
    <w:rsid w:val="00353D91"/>
    <w:rsid w:val="00354062"/>
    <w:rsid w:val="0035459E"/>
    <w:rsid w:val="00354AE9"/>
    <w:rsid w:val="00355527"/>
    <w:rsid w:val="00355C0D"/>
    <w:rsid w:val="003560A6"/>
    <w:rsid w:val="003566A9"/>
    <w:rsid w:val="00356988"/>
    <w:rsid w:val="003569D3"/>
    <w:rsid w:val="00356CE9"/>
    <w:rsid w:val="003570BB"/>
    <w:rsid w:val="00357128"/>
    <w:rsid w:val="0035755E"/>
    <w:rsid w:val="00357A80"/>
    <w:rsid w:val="00360116"/>
    <w:rsid w:val="00361441"/>
    <w:rsid w:val="00361B8B"/>
    <w:rsid w:val="003629D6"/>
    <w:rsid w:val="00363F39"/>
    <w:rsid w:val="003640FC"/>
    <w:rsid w:val="0036445C"/>
    <w:rsid w:val="00364627"/>
    <w:rsid w:val="00364AB0"/>
    <w:rsid w:val="00364D71"/>
    <w:rsid w:val="00366096"/>
    <w:rsid w:val="003667B0"/>
    <w:rsid w:val="003667DD"/>
    <w:rsid w:val="00366B48"/>
    <w:rsid w:val="00366D71"/>
    <w:rsid w:val="003674FB"/>
    <w:rsid w:val="00367764"/>
    <w:rsid w:val="00367AF2"/>
    <w:rsid w:val="00370316"/>
    <w:rsid w:val="00370DC7"/>
    <w:rsid w:val="003713D7"/>
    <w:rsid w:val="003714AC"/>
    <w:rsid w:val="00371856"/>
    <w:rsid w:val="00371CBD"/>
    <w:rsid w:val="00371F20"/>
    <w:rsid w:val="003721E3"/>
    <w:rsid w:val="00372B98"/>
    <w:rsid w:val="003737B7"/>
    <w:rsid w:val="003740CC"/>
    <w:rsid w:val="003745F4"/>
    <w:rsid w:val="0037491A"/>
    <w:rsid w:val="00374E79"/>
    <w:rsid w:val="0037529A"/>
    <w:rsid w:val="00375388"/>
    <w:rsid w:val="00375559"/>
    <w:rsid w:val="00375FB9"/>
    <w:rsid w:val="00376170"/>
    <w:rsid w:val="003762F9"/>
    <w:rsid w:val="003766DE"/>
    <w:rsid w:val="00376851"/>
    <w:rsid w:val="00376FA2"/>
    <w:rsid w:val="00377133"/>
    <w:rsid w:val="00377A3B"/>
    <w:rsid w:val="00377B8B"/>
    <w:rsid w:val="00377E3C"/>
    <w:rsid w:val="00377F89"/>
    <w:rsid w:val="00380874"/>
    <w:rsid w:val="00380878"/>
    <w:rsid w:val="00380B97"/>
    <w:rsid w:val="00380BBE"/>
    <w:rsid w:val="00380EA3"/>
    <w:rsid w:val="00381243"/>
    <w:rsid w:val="00381B1B"/>
    <w:rsid w:val="00381D70"/>
    <w:rsid w:val="0038235E"/>
    <w:rsid w:val="0038260A"/>
    <w:rsid w:val="00382618"/>
    <w:rsid w:val="003829D0"/>
    <w:rsid w:val="0038326A"/>
    <w:rsid w:val="0038444F"/>
    <w:rsid w:val="003846D0"/>
    <w:rsid w:val="00384BB9"/>
    <w:rsid w:val="003861F0"/>
    <w:rsid w:val="00387051"/>
    <w:rsid w:val="003876F0"/>
    <w:rsid w:val="00387ECF"/>
    <w:rsid w:val="003901EA"/>
    <w:rsid w:val="0039021B"/>
    <w:rsid w:val="00390353"/>
    <w:rsid w:val="00390429"/>
    <w:rsid w:val="003906A0"/>
    <w:rsid w:val="00391413"/>
    <w:rsid w:val="003923D5"/>
    <w:rsid w:val="003931AF"/>
    <w:rsid w:val="0039338D"/>
    <w:rsid w:val="0039366C"/>
    <w:rsid w:val="00393D12"/>
    <w:rsid w:val="00393EC8"/>
    <w:rsid w:val="00395E42"/>
    <w:rsid w:val="00396409"/>
    <w:rsid w:val="00396A2D"/>
    <w:rsid w:val="00396FC3"/>
    <w:rsid w:val="0039779B"/>
    <w:rsid w:val="003A13A5"/>
    <w:rsid w:val="003A13E2"/>
    <w:rsid w:val="003A1431"/>
    <w:rsid w:val="003A1A94"/>
    <w:rsid w:val="003A1FF5"/>
    <w:rsid w:val="003A204E"/>
    <w:rsid w:val="003A2B19"/>
    <w:rsid w:val="003A2D25"/>
    <w:rsid w:val="003A2DB1"/>
    <w:rsid w:val="003A5101"/>
    <w:rsid w:val="003A5728"/>
    <w:rsid w:val="003A5F98"/>
    <w:rsid w:val="003A60E7"/>
    <w:rsid w:val="003A6AE2"/>
    <w:rsid w:val="003A7092"/>
    <w:rsid w:val="003A72A1"/>
    <w:rsid w:val="003A7302"/>
    <w:rsid w:val="003A7611"/>
    <w:rsid w:val="003A7A46"/>
    <w:rsid w:val="003A7D1F"/>
    <w:rsid w:val="003A7D44"/>
    <w:rsid w:val="003B0B6A"/>
    <w:rsid w:val="003B0C41"/>
    <w:rsid w:val="003B22F7"/>
    <w:rsid w:val="003B2518"/>
    <w:rsid w:val="003B29CF"/>
    <w:rsid w:val="003B2A86"/>
    <w:rsid w:val="003B3584"/>
    <w:rsid w:val="003B3A90"/>
    <w:rsid w:val="003B3D01"/>
    <w:rsid w:val="003B51C8"/>
    <w:rsid w:val="003B534F"/>
    <w:rsid w:val="003B7A79"/>
    <w:rsid w:val="003C0FE1"/>
    <w:rsid w:val="003C151A"/>
    <w:rsid w:val="003C1D27"/>
    <w:rsid w:val="003C33A0"/>
    <w:rsid w:val="003C350C"/>
    <w:rsid w:val="003C3627"/>
    <w:rsid w:val="003C3733"/>
    <w:rsid w:val="003C3903"/>
    <w:rsid w:val="003C3BA0"/>
    <w:rsid w:val="003C4580"/>
    <w:rsid w:val="003C51C0"/>
    <w:rsid w:val="003C578F"/>
    <w:rsid w:val="003C5940"/>
    <w:rsid w:val="003C5C5E"/>
    <w:rsid w:val="003C65D3"/>
    <w:rsid w:val="003C6692"/>
    <w:rsid w:val="003C6746"/>
    <w:rsid w:val="003C7555"/>
    <w:rsid w:val="003C7898"/>
    <w:rsid w:val="003C7BB6"/>
    <w:rsid w:val="003D0FF5"/>
    <w:rsid w:val="003D11A3"/>
    <w:rsid w:val="003D1537"/>
    <w:rsid w:val="003D183C"/>
    <w:rsid w:val="003D2D1B"/>
    <w:rsid w:val="003D3558"/>
    <w:rsid w:val="003D36C0"/>
    <w:rsid w:val="003D40E5"/>
    <w:rsid w:val="003D48C7"/>
    <w:rsid w:val="003D4C27"/>
    <w:rsid w:val="003D7109"/>
    <w:rsid w:val="003D7CE8"/>
    <w:rsid w:val="003E0514"/>
    <w:rsid w:val="003E06D7"/>
    <w:rsid w:val="003E0BAA"/>
    <w:rsid w:val="003E1032"/>
    <w:rsid w:val="003E1904"/>
    <w:rsid w:val="003E285E"/>
    <w:rsid w:val="003E2BD8"/>
    <w:rsid w:val="003E3124"/>
    <w:rsid w:val="003E3300"/>
    <w:rsid w:val="003E3BC7"/>
    <w:rsid w:val="003E43D3"/>
    <w:rsid w:val="003E48E1"/>
    <w:rsid w:val="003E50F4"/>
    <w:rsid w:val="003E596B"/>
    <w:rsid w:val="003E59BB"/>
    <w:rsid w:val="003E6225"/>
    <w:rsid w:val="003E65AC"/>
    <w:rsid w:val="003E66AE"/>
    <w:rsid w:val="003E6CFE"/>
    <w:rsid w:val="003E72B9"/>
    <w:rsid w:val="003E7612"/>
    <w:rsid w:val="003E7ED4"/>
    <w:rsid w:val="003F0187"/>
    <w:rsid w:val="003F0CAA"/>
    <w:rsid w:val="003F0E52"/>
    <w:rsid w:val="003F0EE9"/>
    <w:rsid w:val="003F0F6B"/>
    <w:rsid w:val="003F1FC6"/>
    <w:rsid w:val="003F1FE3"/>
    <w:rsid w:val="003F2112"/>
    <w:rsid w:val="003F2359"/>
    <w:rsid w:val="003F2457"/>
    <w:rsid w:val="003F3232"/>
    <w:rsid w:val="003F359A"/>
    <w:rsid w:val="003F3865"/>
    <w:rsid w:val="003F38AC"/>
    <w:rsid w:val="003F3D55"/>
    <w:rsid w:val="003F44E2"/>
    <w:rsid w:val="003F4632"/>
    <w:rsid w:val="003F47BA"/>
    <w:rsid w:val="003F49F3"/>
    <w:rsid w:val="003F4FE6"/>
    <w:rsid w:val="003F5638"/>
    <w:rsid w:val="003F6617"/>
    <w:rsid w:val="003F7F36"/>
    <w:rsid w:val="00400A58"/>
    <w:rsid w:val="00400D46"/>
    <w:rsid w:val="004017E8"/>
    <w:rsid w:val="00402332"/>
    <w:rsid w:val="004025C2"/>
    <w:rsid w:val="00403195"/>
    <w:rsid w:val="004033A9"/>
    <w:rsid w:val="00403E55"/>
    <w:rsid w:val="0040407C"/>
    <w:rsid w:val="0040416C"/>
    <w:rsid w:val="004041CA"/>
    <w:rsid w:val="004044B4"/>
    <w:rsid w:val="00404681"/>
    <w:rsid w:val="004048F9"/>
    <w:rsid w:val="00404A80"/>
    <w:rsid w:val="00405445"/>
    <w:rsid w:val="00405AC1"/>
    <w:rsid w:val="00406923"/>
    <w:rsid w:val="00406F10"/>
    <w:rsid w:val="0040763D"/>
    <w:rsid w:val="00410156"/>
    <w:rsid w:val="0041038E"/>
    <w:rsid w:val="00410D17"/>
    <w:rsid w:val="0041183A"/>
    <w:rsid w:val="00412656"/>
    <w:rsid w:val="00412AA9"/>
    <w:rsid w:val="00413442"/>
    <w:rsid w:val="004134D1"/>
    <w:rsid w:val="00413821"/>
    <w:rsid w:val="00413BA5"/>
    <w:rsid w:val="004141A3"/>
    <w:rsid w:val="00414909"/>
    <w:rsid w:val="00415304"/>
    <w:rsid w:val="00415469"/>
    <w:rsid w:val="0041582F"/>
    <w:rsid w:val="00415AC9"/>
    <w:rsid w:val="00415CF3"/>
    <w:rsid w:val="00416112"/>
    <w:rsid w:val="004167AD"/>
    <w:rsid w:val="0041716A"/>
    <w:rsid w:val="00417A18"/>
    <w:rsid w:val="00417AE0"/>
    <w:rsid w:val="00417BAA"/>
    <w:rsid w:val="0042042B"/>
    <w:rsid w:val="00420B45"/>
    <w:rsid w:val="00420D7A"/>
    <w:rsid w:val="00421257"/>
    <w:rsid w:val="00421315"/>
    <w:rsid w:val="00422193"/>
    <w:rsid w:val="004223DE"/>
    <w:rsid w:val="00422645"/>
    <w:rsid w:val="00422A10"/>
    <w:rsid w:val="00424D17"/>
    <w:rsid w:val="004259FC"/>
    <w:rsid w:val="00425DFD"/>
    <w:rsid w:val="00425EA9"/>
    <w:rsid w:val="004263A3"/>
    <w:rsid w:val="0042711B"/>
    <w:rsid w:val="00427713"/>
    <w:rsid w:val="00427C77"/>
    <w:rsid w:val="00427CCC"/>
    <w:rsid w:val="0043013A"/>
    <w:rsid w:val="00430421"/>
    <w:rsid w:val="00430A36"/>
    <w:rsid w:val="00430B4F"/>
    <w:rsid w:val="00431084"/>
    <w:rsid w:val="004310D7"/>
    <w:rsid w:val="0043180D"/>
    <w:rsid w:val="004322D6"/>
    <w:rsid w:val="00432589"/>
    <w:rsid w:val="00432A94"/>
    <w:rsid w:val="00432C95"/>
    <w:rsid w:val="00433827"/>
    <w:rsid w:val="00433A40"/>
    <w:rsid w:val="00434B70"/>
    <w:rsid w:val="004355EF"/>
    <w:rsid w:val="004360C8"/>
    <w:rsid w:val="00436823"/>
    <w:rsid w:val="004371D5"/>
    <w:rsid w:val="0043773F"/>
    <w:rsid w:val="00437FBF"/>
    <w:rsid w:val="0044006B"/>
    <w:rsid w:val="0044033F"/>
    <w:rsid w:val="00440576"/>
    <w:rsid w:val="00440630"/>
    <w:rsid w:val="00440E07"/>
    <w:rsid w:val="0044142F"/>
    <w:rsid w:val="00441F0F"/>
    <w:rsid w:val="00442965"/>
    <w:rsid w:val="004432B6"/>
    <w:rsid w:val="00444157"/>
    <w:rsid w:val="0044417C"/>
    <w:rsid w:val="00444DB3"/>
    <w:rsid w:val="00445617"/>
    <w:rsid w:val="00445A2F"/>
    <w:rsid w:val="0044680A"/>
    <w:rsid w:val="0044684E"/>
    <w:rsid w:val="0044697A"/>
    <w:rsid w:val="00446E3E"/>
    <w:rsid w:val="00446F22"/>
    <w:rsid w:val="0045019F"/>
    <w:rsid w:val="004503A4"/>
    <w:rsid w:val="00450555"/>
    <w:rsid w:val="004506FA"/>
    <w:rsid w:val="00450DC6"/>
    <w:rsid w:val="00450FE5"/>
    <w:rsid w:val="004516A5"/>
    <w:rsid w:val="00451E9C"/>
    <w:rsid w:val="00452145"/>
    <w:rsid w:val="004522D0"/>
    <w:rsid w:val="0045280F"/>
    <w:rsid w:val="00452E73"/>
    <w:rsid w:val="004535AE"/>
    <w:rsid w:val="00453C53"/>
    <w:rsid w:val="0045444D"/>
    <w:rsid w:val="0045463A"/>
    <w:rsid w:val="00454AC9"/>
    <w:rsid w:val="00455050"/>
    <w:rsid w:val="004554A3"/>
    <w:rsid w:val="00455626"/>
    <w:rsid w:val="00455A6E"/>
    <w:rsid w:val="00455EAD"/>
    <w:rsid w:val="004578EB"/>
    <w:rsid w:val="00457A34"/>
    <w:rsid w:val="00457F74"/>
    <w:rsid w:val="004604D5"/>
    <w:rsid w:val="004605C6"/>
    <w:rsid w:val="00460697"/>
    <w:rsid w:val="0046117B"/>
    <w:rsid w:val="00461FC2"/>
    <w:rsid w:val="004632B9"/>
    <w:rsid w:val="00464AB7"/>
    <w:rsid w:val="00465DE5"/>
    <w:rsid w:val="00466103"/>
    <w:rsid w:val="00467A83"/>
    <w:rsid w:val="00467EF8"/>
    <w:rsid w:val="00470006"/>
    <w:rsid w:val="004701E6"/>
    <w:rsid w:val="00470611"/>
    <w:rsid w:val="00470848"/>
    <w:rsid w:val="00471AC3"/>
    <w:rsid w:val="00472429"/>
    <w:rsid w:val="004725E5"/>
    <w:rsid w:val="00472751"/>
    <w:rsid w:val="00473128"/>
    <w:rsid w:val="00473F4F"/>
    <w:rsid w:val="004748A5"/>
    <w:rsid w:val="00475078"/>
    <w:rsid w:val="00475767"/>
    <w:rsid w:val="004779A0"/>
    <w:rsid w:val="00477F17"/>
    <w:rsid w:val="00480363"/>
    <w:rsid w:val="004808E3"/>
    <w:rsid w:val="00481016"/>
    <w:rsid w:val="004819E1"/>
    <w:rsid w:val="0048204C"/>
    <w:rsid w:val="004821BB"/>
    <w:rsid w:val="0048237A"/>
    <w:rsid w:val="004826FE"/>
    <w:rsid w:val="004827D5"/>
    <w:rsid w:val="00482AF2"/>
    <w:rsid w:val="004830C9"/>
    <w:rsid w:val="00483347"/>
    <w:rsid w:val="00483A21"/>
    <w:rsid w:val="00483E2E"/>
    <w:rsid w:val="004847B3"/>
    <w:rsid w:val="00484B69"/>
    <w:rsid w:val="00485406"/>
    <w:rsid w:val="0048590F"/>
    <w:rsid w:val="004864D4"/>
    <w:rsid w:val="00486D60"/>
    <w:rsid w:val="00486DBC"/>
    <w:rsid w:val="00491FA1"/>
    <w:rsid w:val="00492A25"/>
    <w:rsid w:val="004938A3"/>
    <w:rsid w:val="004950A6"/>
    <w:rsid w:val="0049558B"/>
    <w:rsid w:val="00496026"/>
    <w:rsid w:val="00496350"/>
    <w:rsid w:val="0049765E"/>
    <w:rsid w:val="00497843"/>
    <w:rsid w:val="0049797C"/>
    <w:rsid w:val="004A1405"/>
    <w:rsid w:val="004A1465"/>
    <w:rsid w:val="004A15BD"/>
    <w:rsid w:val="004A1E28"/>
    <w:rsid w:val="004A1FC6"/>
    <w:rsid w:val="004A2E5F"/>
    <w:rsid w:val="004A38C2"/>
    <w:rsid w:val="004A3968"/>
    <w:rsid w:val="004A3C03"/>
    <w:rsid w:val="004A3DB7"/>
    <w:rsid w:val="004A463B"/>
    <w:rsid w:val="004A5088"/>
    <w:rsid w:val="004A50E5"/>
    <w:rsid w:val="004A5255"/>
    <w:rsid w:val="004A61CA"/>
    <w:rsid w:val="004A6693"/>
    <w:rsid w:val="004A6B28"/>
    <w:rsid w:val="004A6CB0"/>
    <w:rsid w:val="004A70FF"/>
    <w:rsid w:val="004A7EDE"/>
    <w:rsid w:val="004B0D93"/>
    <w:rsid w:val="004B19C8"/>
    <w:rsid w:val="004B1FA4"/>
    <w:rsid w:val="004B29AC"/>
    <w:rsid w:val="004B2BF9"/>
    <w:rsid w:val="004B35DF"/>
    <w:rsid w:val="004B3627"/>
    <w:rsid w:val="004B3837"/>
    <w:rsid w:val="004B4922"/>
    <w:rsid w:val="004B57DF"/>
    <w:rsid w:val="004B5976"/>
    <w:rsid w:val="004B66FD"/>
    <w:rsid w:val="004B6E54"/>
    <w:rsid w:val="004B722E"/>
    <w:rsid w:val="004B72E8"/>
    <w:rsid w:val="004B771A"/>
    <w:rsid w:val="004C01A5"/>
    <w:rsid w:val="004C0412"/>
    <w:rsid w:val="004C0882"/>
    <w:rsid w:val="004C0C95"/>
    <w:rsid w:val="004C2138"/>
    <w:rsid w:val="004C2B69"/>
    <w:rsid w:val="004C302E"/>
    <w:rsid w:val="004C3940"/>
    <w:rsid w:val="004C51FD"/>
    <w:rsid w:val="004C5A37"/>
    <w:rsid w:val="004C5ED7"/>
    <w:rsid w:val="004C65A8"/>
    <w:rsid w:val="004C6689"/>
    <w:rsid w:val="004C6BF3"/>
    <w:rsid w:val="004C7408"/>
    <w:rsid w:val="004C7850"/>
    <w:rsid w:val="004D139A"/>
    <w:rsid w:val="004D14DC"/>
    <w:rsid w:val="004D17C6"/>
    <w:rsid w:val="004D2858"/>
    <w:rsid w:val="004D2E49"/>
    <w:rsid w:val="004D35BA"/>
    <w:rsid w:val="004D38E5"/>
    <w:rsid w:val="004D3A48"/>
    <w:rsid w:val="004D3C5A"/>
    <w:rsid w:val="004D449A"/>
    <w:rsid w:val="004D4701"/>
    <w:rsid w:val="004D47C7"/>
    <w:rsid w:val="004D4B2B"/>
    <w:rsid w:val="004D4F35"/>
    <w:rsid w:val="004D51EE"/>
    <w:rsid w:val="004D5C03"/>
    <w:rsid w:val="004D5D45"/>
    <w:rsid w:val="004D618D"/>
    <w:rsid w:val="004D62A9"/>
    <w:rsid w:val="004D6FC3"/>
    <w:rsid w:val="004D7299"/>
    <w:rsid w:val="004D7476"/>
    <w:rsid w:val="004D7716"/>
    <w:rsid w:val="004E0306"/>
    <w:rsid w:val="004E0572"/>
    <w:rsid w:val="004E1641"/>
    <w:rsid w:val="004E1818"/>
    <w:rsid w:val="004E1990"/>
    <w:rsid w:val="004E1F92"/>
    <w:rsid w:val="004E209C"/>
    <w:rsid w:val="004E2186"/>
    <w:rsid w:val="004E25A8"/>
    <w:rsid w:val="004E2B53"/>
    <w:rsid w:val="004E31A2"/>
    <w:rsid w:val="004E3930"/>
    <w:rsid w:val="004E3A23"/>
    <w:rsid w:val="004E3ED9"/>
    <w:rsid w:val="004E4961"/>
    <w:rsid w:val="004E53AB"/>
    <w:rsid w:val="004E5866"/>
    <w:rsid w:val="004E5ABF"/>
    <w:rsid w:val="004E6097"/>
    <w:rsid w:val="004E61EF"/>
    <w:rsid w:val="004E63C6"/>
    <w:rsid w:val="004E6805"/>
    <w:rsid w:val="004E76A7"/>
    <w:rsid w:val="004E7B03"/>
    <w:rsid w:val="004E7F95"/>
    <w:rsid w:val="004F0064"/>
    <w:rsid w:val="004F06AC"/>
    <w:rsid w:val="004F0E50"/>
    <w:rsid w:val="004F1D2A"/>
    <w:rsid w:val="004F243F"/>
    <w:rsid w:val="004F252C"/>
    <w:rsid w:val="004F2EDB"/>
    <w:rsid w:val="004F36A3"/>
    <w:rsid w:val="004F3E0C"/>
    <w:rsid w:val="004F4308"/>
    <w:rsid w:val="004F4892"/>
    <w:rsid w:val="004F4D2C"/>
    <w:rsid w:val="004F5C3B"/>
    <w:rsid w:val="004F5DA0"/>
    <w:rsid w:val="004F7160"/>
    <w:rsid w:val="00500258"/>
    <w:rsid w:val="005005F6"/>
    <w:rsid w:val="00500B2D"/>
    <w:rsid w:val="005011C5"/>
    <w:rsid w:val="0050130B"/>
    <w:rsid w:val="00501A99"/>
    <w:rsid w:val="00502456"/>
    <w:rsid w:val="00503180"/>
    <w:rsid w:val="005038A4"/>
    <w:rsid w:val="00504C56"/>
    <w:rsid w:val="00504CD4"/>
    <w:rsid w:val="0050524B"/>
    <w:rsid w:val="00505450"/>
    <w:rsid w:val="00505FC6"/>
    <w:rsid w:val="00506DA6"/>
    <w:rsid w:val="00507170"/>
    <w:rsid w:val="005100B7"/>
    <w:rsid w:val="005105DE"/>
    <w:rsid w:val="00510923"/>
    <w:rsid w:val="005113C9"/>
    <w:rsid w:val="00511656"/>
    <w:rsid w:val="00512050"/>
    <w:rsid w:val="00512055"/>
    <w:rsid w:val="0051280C"/>
    <w:rsid w:val="00512842"/>
    <w:rsid w:val="005128BE"/>
    <w:rsid w:val="0051356F"/>
    <w:rsid w:val="00513E7C"/>
    <w:rsid w:val="005140BB"/>
    <w:rsid w:val="00514FBE"/>
    <w:rsid w:val="00514FD9"/>
    <w:rsid w:val="0051550A"/>
    <w:rsid w:val="00515E31"/>
    <w:rsid w:val="0051608F"/>
    <w:rsid w:val="00516480"/>
    <w:rsid w:val="00520EF8"/>
    <w:rsid w:val="005210F7"/>
    <w:rsid w:val="00521753"/>
    <w:rsid w:val="00521C64"/>
    <w:rsid w:val="0052239D"/>
    <w:rsid w:val="005224EE"/>
    <w:rsid w:val="00522879"/>
    <w:rsid w:val="00522FB8"/>
    <w:rsid w:val="00522FFE"/>
    <w:rsid w:val="0052363A"/>
    <w:rsid w:val="00523BB1"/>
    <w:rsid w:val="005241A0"/>
    <w:rsid w:val="00524B23"/>
    <w:rsid w:val="0052511C"/>
    <w:rsid w:val="00525235"/>
    <w:rsid w:val="0052570E"/>
    <w:rsid w:val="005260CD"/>
    <w:rsid w:val="00526253"/>
    <w:rsid w:val="00526265"/>
    <w:rsid w:val="00526332"/>
    <w:rsid w:val="0052655D"/>
    <w:rsid w:val="005265E0"/>
    <w:rsid w:val="00526BC3"/>
    <w:rsid w:val="00530064"/>
    <w:rsid w:val="00530440"/>
    <w:rsid w:val="00530FF0"/>
    <w:rsid w:val="005313CA"/>
    <w:rsid w:val="00531761"/>
    <w:rsid w:val="0053248F"/>
    <w:rsid w:val="005327AB"/>
    <w:rsid w:val="00532F9C"/>
    <w:rsid w:val="00533055"/>
    <w:rsid w:val="0053332A"/>
    <w:rsid w:val="0053358A"/>
    <w:rsid w:val="00534668"/>
    <w:rsid w:val="005348CA"/>
    <w:rsid w:val="00534DDD"/>
    <w:rsid w:val="00535291"/>
    <w:rsid w:val="00535A94"/>
    <w:rsid w:val="00536BB0"/>
    <w:rsid w:val="00537874"/>
    <w:rsid w:val="0053795F"/>
    <w:rsid w:val="00537D3D"/>
    <w:rsid w:val="00540511"/>
    <w:rsid w:val="00540578"/>
    <w:rsid w:val="00540808"/>
    <w:rsid w:val="0054080E"/>
    <w:rsid w:val="00540D1A"/>
    <w:rsid w:val="00540DE5"/>
    <w:rsid w:val="00540EA1"/>
    <w:rsid w:val="00541E5A"/>
    <w:rsid w:val="00542769"/>
    <w:rsid w:val="00543066"/>
    <w:rsid w:val="0054358E"/>
    <w:rsid w:val="00543AF4"/>
    <w:rsid w:val="00543CD2"/>
    <w:rsid w:val="00543F53"/>
    <w:rsid w:val="00544191"/>
    <w:rsid w:val="0054440C"/>
    <w:rsid w:val="00544850"/>
    <w:rsid w:val="005448EC"/>
    <w:rsid w:val="00544C0A"/>
    <w:rsid w:val="00544F39"/>
    <w:rsid w:val="00544F7E"/>
    <w:rsid w:val="005452DC"/>
    <w:rsid w:val="005457FB"/>
    <w:rsid w:val="00545C5B"/>
    <w:rsid w:val="00546B96"/>
    <w:rsid w:val="00546F90"/>
    <w:rsid w:val="005477F7"/>
    <w:rsid w:val="00547EFB"/>
    <w:rsid w:val="00550186"/>
    <w:rsid w:val="00550192"/>
    <w:rsid w:val="00550BD9"/>
    <w:rsid w:val="005522F2"/>
    <w:rsid w:val="005531DF"/>
    <w:rsid w:val="00553874"/>
    <w:rsid w:val="00553DCE"/>
    <w:rsid w:val="005541E0"/>
    <w:rsid w:val="005543B3"/>
    <w:rsid w:val="00554577"/>
    <w:rsid w:val="005545A1"/>
    <w:rsid w:val="00554AD8"/>
    <w:rsid w:val="00554F78"/>
    <w:rsid w:val="00555102"/>
    <w:rsid w:val="00555DA1"/>
    <w:rsid w:val="00556288"/>
    <w:rsid w:val="005562FB"/>
    <w:rsid w:val="00556731"/>
    <w:rsid w:val="00556BF7"/>
    <w:rsid w:val="00556E53"/>
    <w:rsid w:val="00557868"/>
    <w:rsid w:val="00557F60"/>
    <w:rsid w:val="00560D81"/>
    <w:rsid w:val="00561730"/>
    <w:rsid w:val="00561B97"/>
    <w:rsid w:val="00562149"/>
    <w:rsid w:val="0056248C"/>
    <w:rsid w:val="005640EB"/>
    <w:rsid w:val="00565559"/>
    <w:rsid w:val="00565EB3"/>
    <w:rsid w:val="005666A4"/>
    <w:rsid w:val="00567B5D"/>
    <w:rsid w:val="00567D10"/>
    <w:rsid w:val="00570593"/>
    <w:rsid w:val="00570757"/>
    <w:rsid w:val="0057257D"/>
    <w:rsid w:val="00573293"/>
    <w:rsid w:val="00573733"/>
    <w:rsid w:val="00573E08"/>
    <w:rsid w:val="00573F8B"/>
    <w:rsid w:val="005743E0"/>
    <w:rsid w:val="00574554"/>
    <w:rsid w:val="00574E06"/>
    <w:rsid w:val="005751BB"/>
    <w:rsid w:val="00575713"/>
    <w:rsid w:val="00576089"/>
    <w:rsid w:val="005764B1"/>
    <w:rsid w:val="00576852"/>
    <w:rsid w:val="00576D06"/>
    <w:rsid w:val="005779E4"/>
    <w:rsid w:val="00580B89"/>
    <w:rsid w:val="00580EC7"/>
    <w:rsid w:val="00581262"/>
    <w:rsid w:val="00581EA9"/>
    <w:rsid w:val="0058289C"/>
    <w:rsid w:val="005836C7"/>
    <w:rsid w:val="0058408E"/>
    <w:rsid w:val="005844C3"/>
    <w:rsid w:val="005847D9"/>
    <w:rsid w:val="00585374"/>
    <w:rsid w:val="005854CA"/>
    <w:rsid w:val="00585FAB"/>
    <w:rsid w:val="0058607D"/>
    <w:rsid w:val="005901F6"/>
    <w:rsid w:val="00590B77"/>
    <w:rsid w:val="00590D9A"/>
    <w:rsid w:val="005913A3"/>
    <w:rsid w:val="00591A5A"/>
    <w:rsid w:val="00592C40"/>
    <w:rsid w:val="00593B28"/>
    <w:rsid w:val="005940D4"/>
    <w:rsid w:val="00594A7B"/>
    <w:rsid w:val="0059569A"/>
    <w:rsid w:val="0059580E"/>
    <w:rsid w:val="00595D90"/>
    <w:rsid w:val="00596A6F"/>
    <w:rsid w:val="00596D11"/>
    <w:rsid w:val="00596FCE"/>
    <w:rsid w:val="00597E7E"/>
    <w:rsid w:val="005A0300"/>
    <w:rsid w:val="005A0D7B"/>
    <w:rsid w:val="005A11BC"/>
    <w:rsid w:val="005A1525"/>
    <w:rsid w:val="005A188D"/>
    <w:rsid w:val="005A1E17"/>
    <w:rsid w:val="005A252B"/>
    <w:rsid w:val="005A2A8F"/>
    <w:rsid w:val="005A3008"/>
    <w:rsid w:val="005A3204"/>
    <w:rsid w:val="005A3341"/>
    <w:rsid w:val="005A3C3D"/>
    <w:rsid w:val="005A46EC"/>
    <w:rsid w:val="005A5EAE"/>
    <w:rsid w:val="005A5EB8"/>
    <w:rsid w:val="005A6407"/>
    <w:rsid w:val="005A726C"/>
    <w:rsid w:val="005A79CF"/>
    <w:rsid w:val="005A7DDF"/>
    <w:rsid w:val="005B05D8"/>
    <w:rsid w:val="005B07EC"/>
    <w:rsid w:val="005B0AB5"/>
    <w:rsid w:val="005B21B0"/>
    <w:rsid w:val="005B2B11"/>
    <w:rsid w:val="005B32A4"/>
    <w:rsid w:val="005B3371"/>
    <w:rsid w:val="005B338D"/>
    <w:rsid w:val="005B33A1"/>
    <w:rsid w:val="005B3852"/>
    <w:rsid w:val="005B3BAF"/>
    <w:rsid w:val="005B43D5"/>
    <w:rsid w:val="005B4470"/>
    <w:rsid w:val="005B4DA3"/>
    <w:rsid w:val="005B549D"/>
    <w:rsid w:val="005B5BEE"/>
    <w:rsid w:val="005B645C"/>
    <w:rsid w:val="005B6AA9"/>
    <w:rsid w:val="005B77D2"/>
    <w:rsid w:val="005B7BDA"/>
    <w:rsid w:val="005B7EF2"/>
    <w:rsid w:val="005C0195"/>
    <w:rsid w:val="005C019B"/>
    <w:rsid w:val="005C08D0"/>
    <w:rsid w:val="005C13A3"/>
    <w:rsid w:val="005C15A1"/>
    <w:rsid w:val="005C1AED"/>
    <w:rsid w:val="005C1FCB"/>
    <w:rsid w:val="005C2136"/>
    <w:rsid w:val="005C30F5"/>
    <w:rsid w:val="005C3571"/>
    <w:rsid w:val="005C3840"/>
    <w:rsid w:val="005C3F61"/>
    <w:rsid w:val="005C51A5"/>
    <w:rsid w:val="005C557A"/>
    <w:rsid w:val="005C566F"/>
    <w:rsid w:val="005C5B5C"/>
    <w:rsid w:val="005C5BF5"/>
    <w:rsid w:val="005C5C47"/>
    <w:rsid w:val="005C5D2D"/>
    <w:rsid w:val="005C61DD"/>
    <w:rsid w:val="005C6210"/>
    <w:rsid w:val="005C6438"/>
    <w:rsid w:val="005C68D3"/>
    <w:rsid w:val="005C6B8B"/>
    <w:rsid w:val="005C727F"/>
    <w:rsid w:val="005D02E3"/>
    <w:rsid w:val="005D1F34"/>
    <w:rsid w:val="005D2388"/>
    <w:rsid w:val="005D2C1F"/>
    <w:rsid w:val="005D34B2"/>
    <w:rsid w:val="005D3B54"/>
    <w:rsid w:val="005D3E28"/>
    <w:rsid w:val="005D40CD"/>
    <w:rsid w:val="005D6B59"/>
    <w:rsid w:val="005D71C3"/>
    <w:rsid w:val="005D74D2"/>
    <w:rsid w:val="005D784B"/>
    <w:rsid w:val="005D7B90"/>
    <w:rsid w:val="005E00AF"/>
    <w:rsid w:val="005E03E4"/>
    <w:rsid w:val="005E0454"/>
    <w:rsid w:val="005E05F6"/>
    <w:rsid w:val="005E1259"/>
    <w:rsid w:val="005E19CF"/>
    <w:rsid w:val="005E1B9D"/>
    <w:rsid w:val="005E1BDA"/>
    <w:rsid w:val="005E1FE5"/>
    <w:rsid w:val="005E2442"/>
    <w:rsid w:val="005E2768"/>
    <w:rsid w:val="005E3111"/>
    <w:rsid w:val="005E3CA0"/>
    <w:rsid w:val="005E3D25"/>
    <w:rsid w:val="005E3F85"/>
    <w:rsid w:val="005E4A5F"/>
    <w:rsid w:val="005E4D86"/>
    <w:rsid w:val="005E516A"/>
    <w:rsid w:val="005E57B0"/>
    <w:rsid w:val="005E5A0F"/>
    <w:rsid w:val="005E5B01"/>
    <w:rsid w:val="005E648D"/>
    <w:rsid w:val="005E6D3B"/>
    <w:rsid w:val="005E787A"/>
    <w:rsid w:val="005E7EDD"/>
    <w:rsid w:val="005F009E"/>
    <w:rsid w:val="005F06A3"/>
    <w:rsid w:val="005F0BF9"/>
    <w:rsid w:val="005F0DF1"/>
    <w:rsid w:val="005F1516"/>
    <w:rsid w:val="005F1A6F"/>
    <w:rsid w:val="005F229E"/>
    <w:rsid w:val="005F2564"/>
    <w:rsid w:val="005F3822"/>
    <w:rsid w:val="005F4635"/>
    <w:rsid w:val="005F4900"/>
    <w:rsid w:val="005F4E52"/>
    <w:rsid w:val="005F5466"/>
    <w:rsid w:val="005F6D58"/>
    <w:rsid w:val="005F7060"/>
    <w:rsid w:val="005F7383"/>
    <w:rsid w:val="0060058E"/>
    <w:rsid w:val="00602A3C"/>
    <w:rsid w:val="00602A60"/>
    <w:rsid w:val="0060310F"/>
    <w:rsid w:val="00603EFD"/>
    <w:rsid w:val="00604628"/>
    <w:rsid w:val="0060475B"/>
    <w:rsid w:val="00604BED"/>
    <w:rsid w:val="00604FB6"/>
    <w:rsid w:val="00605387"/>
    <w:rsid w:val="00606302"/>
    <w:rsid w:val="006076FD"/>
    <w:rsid w:val="006107B1"/>
    <w:rsid w:val="00610811"/>
    <w:rsid w:val="0061143F"/>
    <w:rsid w:val="006114D8"/>
    <w:rsid w:val="00611800"/>
    <w:rsid w:val="00613553"/>
    <w:rsid w:val="00613601"/>
    <w:rsid w:val="00613791"/>
    <w:rsid w:val="006143F9"/>
    <w:rsid w:val="00614CD4"/>
    <w:rsid w:val="006150D6"/>
    <w:rsid w:val="00615245"/>
    <w:rsid w:val="0061526D"/>
    <w:rsid w:val="0061590D"/>
    <w:rsid w:val="00615C84"/>
    <w:rsid w:val="00617EEE"/>
    <w:rsid w:val="00620A1F"/>
    <w:rsid w:val="0062169D"/>
    <w:rsid w:val="00621737"/>
    <w:rsid w:val="0062181E"/>
    <w:rsid w:val="0062197C"/>
    <w:rsid w:val="0062211B"/>
    <w:rsid w:val="0062227E"/>
    <w:rsid w:val="00622BB7"/>
    <w:rsid w:val="00622C1E"/>
    <w:rsid w:val="00623389"/>
    <w:rsid w:val="00623DAA"/>
    <w:rsid w:val="00623FAF"/>
    <w:rsid w:val="00624B3E"/>
    <w:rsid w:val="0062578C"/>
    <w:rsid w:val="00625A24"/>
    <w:rsid w:val="006265C4"/>
    <w:rsid w:val="0062675C"/>
    <w:rsid w:val="0062678A"/>
    <w:rsid w:val="00626AF1"/>
    <w:rsid w:val="00626FCA"/>
    <w:rsid w:val="006270AF"/>
    <w:rsid w:val="00632F83"/>
    <w:rsid w:val="00634367"/>
    <w:rsid w:val="006364D7"/>
    <w:rsid w:val="00636554"/>
    <w:rsid w:val="006367E9"/>
    <w:rsid w:val="00636CE3"/>
    <w:rsid w:val="00640082"/>
    <w:rsid w:val="00640291"/>
    <w:rsid w:val="00640EFE"/>
    <w:rsid w:val="006416F5"/>
    <w:rsid w:val="00641D6D"/>
    <w:rsid w:val="00641FAC"/>
    <w:rsid w:val="00643664"/>
    <w:rsid w:val="00643907"/>
    <w:rsid w:val="00643CAA"/>
    <w:rsid w:val="00644F16"/>
    <w:rsid w:val="006455EB"/>
    <w:rsid w:val="006456C2"/>
    <w:rsid w:val="00645A65"/>
    <w:rsid w:val="00646238"/>
    <w:rsid w:val="00646959"/>
    <w:rsid w:val="006477F0"/>
    <w:rsid w:val="006478E4"/>
    <w:rsid w:val="00647FD1"/>
    <w:rsid w:val="006509EA"/>
    <w:rsid w:val="0065171A"/>
    <w:rsid w:val="00652680"/>
    <w:rsid w:val="00653CDE"/>
    <w:rsid w:val="00653EBF"/>
    <w:rsid w:val="00653EDB"/>
    <w:rsid w:val="00653F54"/>
    <w:rsid w:val="00654585"/>
    <w:rsid w:val="006548E4"/>
    <w:rsid w:val="00654AC8"/>
    <w:rsid w:val="0065566E"/>
    <w:rsid w:val="00655999"/>
    <w:rsid w:val="00655AB6"/>
    <w:rsid w:val="00655E2B"/>
    <w:rsid w:val="00655EFA"/>
    <w:rsid w:val="00656061"/>
    <w:rsid w:val="00656281"/>
    <w:rsid w:val="0065636A"/>
    <w:rsid w:val="00657003"/>
    <w:rsid w:val="00657CE2"/>
    <w:rsid w:val="00660238"/>
    <w:rsid w:val="006602EF"/>
    <w:rsid w:val="00661277"/>
    <w:rsid w:val="006619E0"/>
    <w:rsid w:val="00663FEA"/>
    <w:rsid w:val="00664803"/>
    <w:rsid w:val="00664934"/>
    <w:rsid w:val="00664D53"/>
    <w:rsid w:val="00664EB7"/>
    <w:rsid w:val="006657C5"/>
    <w:rsid w:val="00665D75"/>
    <w:rsid w:val="00666186"/>
    <w:rsid w:val="006661A4"/>
    <w:rsid w:val="00666AC0"/>
    <w:rsid w:val="006670E0"/>
    <w:rsid w:val="006671B8"/>
    <w:rsid w:val="00667275"/>
    <w:rsid w:val="00667532"/>
    <w:rsid w:val="0066780C"/>
    <w:rsid w:val="0066783E"/>
    <w:rsid w:val="00667E53"/>
    <w:rsid w:val="006711C4"/>
    <w:rsid w:val="006713AB"/>
    <w:rsid w:val="00672680"/>
    <w:rsid w:val="00672CA5"/>
    <w:rsid w:val="00673711"/>
    <w:rsid w:val="00673CDA"/>
    <w:rsid w:val="00673F82"/>
    <w:rsid w:val="00674F74"/>
    <w:rsid w:val="0067508F"/>
    <w:rsid w:val="00676B25"/>
    <w:rsid w:val="00677576"/>
    <w:rsid w:val="0068051E"/>
    <w:rsid w:val="00680B9D"/>
    <w:rsid w:val="00680DF1"/>
    <w:rsid w:val="00681F13"/>
    <w:rsid w:val="0068231C"/>
    <w:rsid w:val="00682344"/>
    <w:rsid w:val="006823B0"/>
    <w:rsid w:val="00682C87"/>
    <w:rsid w:val="00682F28"/>
    <w:rsid w:val="00683515"/>
    <w:rsid w:val="00684842"/>
    <w:rsid w:val="006856CA"/>
    <w:rsid w:val="006859AA"/>
    <w:rsid w:val="00685BD6"/>
    <w:rsid w:val="00686A20"/>
    <w:rsid w:val="00687116"/>
    <w:rsid w:val="006872D2"/>
    <w:rsid w:val="006878A6"/>
    <w:rsid w:val="00687D5F"/>
    <w:rsid w:val="00687F2E"/>
    <w:rsid w:val="00690437"/>
    <w:rsid w:val="00690623"/>
    <w:rsid w:val="00690DC3"/>
    <w:rsid w:val="00690E65"/>
    <w:rsid w:val="006911B7"/>
    <w:rsid w:val="00691387"/>
    <w:rsid w:val="006915C2"/>
    <w:rsid w:val="0069188E"/>
    <w:rsid w:val="00691974"/>
    <w:rsid w:val="00692584"/>
    <w:rsid w:val="00692BF6"/>
    <w:rsid w:val="00692CE6"/>
    <w:rsid w:val="00693186"/>
    <w:rsid w:val="00693381"/>
    <w:rsid w:val="0069375B"/>
    <w:rsid w:val="00693B6C"/>
    <w:rsid w:val="006942AE"/>
    <w:rsid w:val="0069464B"/>
    <w:rsid w:val="006947A1"/>
    <w:rsid w:val="006952AC"/>
    <w:rsid w:val="00695421"/>
    <w:rsid w:val="00696A9C"/>
    <w:rsid w:val="00697BD3"/>
    <w:rsid w:val="00697DFA"/>
    <w:rsid w:val="006A16D5"/>
    <w:rsid w:val="006A1772"/>
    <w:rsid w:val="006A1780"/>
    <w:rsid w:val="006A21DD"/>
    <w:rsid w:val="006A26C6"/>
    <w:rsid w:val="006A3302"/>
    <w:rsid w:val="006A34AF"/>
    <w:rsid w:val="006A38DA"/>
    <w:rsid w:val="006A3B28"/>
    <w:rsid w:val="006A47DC"/>
    <w:rsid w:val="006A4A4B"/>
    <w:rsid w:val="006A4FEE"/>
    <w:rsid w:val="006A5522"/>
    <w:rsid w:val="006A5549"/>
    <w:rsid w:val="006A6574"/>
    <w:rsid w:val="006A703E"/>
    <w:rsid w:val="006A7BE3"/>
    <w:rsid w:val="006A7D32"/>
    <w:rsid w:val="006A7E1A"/>
    <w:rsid w:val="006B01D1"/>
    <w:rsid w:val="006B0DF4"/>
    <w:rsid w:val="006B16EA"/>
    <w:rsid w:val="006B1780"/>
    <w:rsid w:val="006B17F3"/>
    <w:rsid w:val="006B1B60"/>
    <w:rsid w:val="006B21DC"/>
    <w:rsid w:val="006B224E"/>
    <w:rsid w:val="006B25FA"/>
    <w:rsid w:val="006B376E"/>
    <w:rsid w:val="006B4589"/>
    <w:rsid w:val="006B5157"/>
    <w:rsid w:val="006B610E"/>
    <w:rsid w:val="006B6805"/>
    <w:rsid w:val="006B6C07"/>
    <w:rsid w:val="006B6DE0"/>
    <w:rsid w:val="006B723D"/>
    <w:rsid w:val="006C1337"/>
    <w:rsid w:val="006C16C3"/>
    <w:rsid w:val="006C1FA6"/>
    <w:rsid w:val="006C2187"/>
    <w:rsid w:val="006C27D9"/>
    <w:rsid w:val="006C32F4"/>
    <w:rsid w:val="006C3C54"/>
    <w:rsid w:val="006C3CA5"/>
    <w:rsid w:val="006C3CAA"/>
    <w:rsid w:val="006C4B6B"/>
    <w:rsid w:val="006C4CE1"/>
    <w:rsid w:val="006C4F9F"/>
    <w:rsid w:val="006C54B1"/>
    <w:rsid w:val="006C698E"/>
    <w:rsid w:val="006C71A2"/>
    <w:rsid w:val="006C73EC"/>
    <w:rsid w:val="006D0997"/>
    <w:rsid w:val="006D0B19"/>
    <w:rsid w:val="006D0C1D"/>
    <w:rsid w:val="006D1BB1"/>
    <w:rsid w:val="006D2606"/>
    <w:rsid w:val="006D28F3"/>
    <w:rsid w:val="006D2E9D"/>
    <w:rsid w:val="006D3B48"/>
    <w:rsid w:val="006D4305"/>
    <w:rsid w:val="006D4970"/>
    <w:rsid w:val="006D4A4E"/>
    <w:rsid w:val="006D4C42"/>
    <w:rsid w:val="006D5067"/>
    <w:rsid w:val="006D5389"/>
    <w:rsid w:val="006D53A2"/>
    <w:rsid w:val="006D5809"/>
    <w:rsid w:val="006D607E"/>
    <w:rsid w:val="006D6E12"/>
    <w:rsid w:val="006D70CB"/>
    <w:rsid w:val="006D715C"/>
    <w:rsid w:val="006D7363"/>
    <w:rsid w:val="006D774E"/>
    <w:rsid w:val="006D7F08"/>
    <w:rsid w:val="006E0754"/>
    <w:rsid w:val="006E1201"/>
    <w:rsid w:val="006E12B2"/>
    <w:rsid w:val="006E1481"/>
    <w:rsid w:val="006E2668"/>
    <w:rsid w:val="006E2C88"/>
    <w:rsid w:val="006E2D39"/>
    <w:rsid w:val="006E2FE9"/>
    <w:rsid w:val="006E32B0"/>
    <w:rsid w:val="006E348E"/>
    <w:rsid w:val="006E396A"/>
    <w:rsid w:val="006E3D63"/>
    <w:rsid w:val="006E5256"/>
    <w:rsid w:val="006E58BF"/>
    <w:rsid w:val="006E5CE6"/>
    <w:rsid w:val="006E5DD8"/>
    <w:rsid w:val="006E5EA1"/>
    <w:rsid w:val="006E6BE5"/>
    <w:rsid w:val="006E6DEE"/>
    <w:rsid w:val="006E6F44"/>
    <w:rsid w:val="006E7D4B"/>
    <w:rsid w:val="006F018A"/>
    <w:rsid w:val="006F0569"/>
    <w:rsid w:val="006F0760"/>
    <w:rsid w:val="006F0D30"/>
    <w:rsid w:val="006F11E2"/>
    <w:rsid w:val="006F1A50"/>
    <w:rsid w:val="006F1A67"/>
    <w:rsid w:val="006F2574"/>
    <w:rsid w:val="006F2BF9"/>
    <w:rsid w:val="006F3231"/>
    <w:rsid w:val="006F3DE3"/>
    <w:rsid w:val="006F4787"/>
    <w:rsid w:val="006F57E6"/>
    <w:rsid w:val="006F61D8"/>
    <w:rsid w:val="006F62B7"/>
    <w:rsid w:val="006F63E7"/>
    <w:rsid w:val="006F7016"/>
    <w:rsid w:val="006F70BC"/>
    <w:rsid w:val="006F726C"/>
    <w:rsid w:val="006F7A22"/>
    <w:rsid w:val="006F7E7C"/>
    <w:rsid w:val="0070174E"/>
    <w:rsid w:val="007018DB"/>
    <w:rsid w:val="00701DE6"/>
    <w:rsid w:val="0070214F"/>
    <w:rsid w:val="00702740"/>
    <w:rsid w:val="007028E3"/>
    <w:rsid w:val="00703407"/>
    <w:rsid w:val="0070381B"/>
    <w:rsid w:val="00706759"/>
    <w:rsid w:val="0070697D"/>
    <w:rsid w:val="0070796C"/>
    <w:rsid w:val="007109BB"/>
    <w:rsid w:val="00710EBF"/>
    <w:rsid w:val="007110B8"/>
    <w:rsid w:val="0071209F"/>
    <w:rsid w:val="007123F0"/>
    <w:rsid w:val="007125A2"/>
    <w:rsid w:val="00712A68"/>
    <w:rsid w:val="00713DD9"/>
    <w:rsid w:val="00713F79"/>
    <w:rsid w:val="007148A8"/>
    <w:rsid w:val="00714A29"/>
    <w:rsid w:val="00715C14"/>
    <w:rsid w:val="00715C70"/>
    <w:rsid w:val="00715E44"/>
    <w:rsid w:val="007164B0"/>
    <w:rsid w:val="00716AC8"/>
    <w:rsid w:val="00716E54"/>
    <w:rsid w:val="00717280"/>
    <w:rsid w:val="0072033C"/>
    <w:rsid w:val="00720B1B"/>
    <w:rsid w:val="00720FBB"/>
    <w:rsid w:val="00721062"/>
    <w:rsid w:val="00721D3D"/>
    <w:rsid w:val="00721E5D"/>
    <w:rsid w:val="007229D4"/>
    <w:rsid w:val="00722AE0"/>
    <w:rsid w:val="00722C01"/>
    <w:rsid w:val="00722E35"/>
    <w:rsid w:val="007230F8"/>
    <w:rsid w:val="007233F4"/>
    <w:rsid w:val="007235E3"/>
    <w:rsid w:val="0072381D"/>
    <w:rsid w:val="00724044"/>
    <w:rsid w:val="00724120"/>
    <w:rsid w:val="007243F2"/>
    <w:rsid w:val="007248D3"/>
    <w:rsid w:val="00724DF8"/>
    <w:rsid w:val="00725137"/>
    <w:rsid w:val="00725378"/>
    <w:rsid w:val="00725C31"/>
    <w:rsid w:val="00727795"/>
    <w:rsid w:val="00727A43"/>
    <w:rsid w:val="00727DB7"/>
    <w:rsid w:val="00727DBF"/>
    <w:rsid w:val="00727FF2"/>
    <w:rsid w:val="00727FFD"/>
    <w:rsid w:val="00730550"/>
    <w:rsid w:val="00730C2A"/>
    <w:rsid w:val="00730DF1"/>
    <w:rsid w:val="00731125"/>
    <w:rsid w:val="00731434"/>
    <w:rsid w:val="00731E59"/>
    <w:rsid w:val="007323E0"/>
    <w:rsid w:val="00732911"/>
    <w:rsid w:val="00733721"/>
    <w:rsid w:val="00733DE2"/>
    <w:rsid w:val="00734142"/>
    <w:rsid w:val="00734358"/>
    <w:rsid w:val="007352EA"/>
    <w:rsid w:val="007362CC"/>
    <w:rsid w:val="0073792F"/>
    <w:rsid w:val="00740C44"/>
    <w:rsid w:val="00740C81"/>
    <w:rsid w:val="00740DA6"/>
    <w:rsid w:val="0074197B"/>
    <w:rsid w:val="00741B4B"/>
    <w:rsid w:val="00741D1E"/>
    <w:rsid w:val="00741DD6"/>
    <w:rsid w:val="00741EE2"/>
    <w:rsid w:val="0074207F"/>
    <w:rsid w:val="00742118"/>
    <w:rsid w:val="00742367"/>
    <w:rsid w:val="00742EAA"/>
    <w:rsid w:val="00743360"/>
    <w:rsid w:val="00743818"/>
    <w:rsid w:val="00743857"/>
    <w:rsid w:val="0074411D"/>
    <w:rsid w:val="007441FB"/>
    <w:rsid w:val="007444D7"/>
    <w:rsid w:val="00744517"/>
    <w:rsid w:val="0074522A"/>
    <w:rsid w:val="00745D90"/>
    <w:rsid w:val="007465D3"/>
    <w:rsid w:val="00746AED"/>
    <w:rsid w:val="00747295"/>
    <w:rsid w:val="00747346"/>
    <w:rsid w:val="00747829"/>
    <w:rsid w:val="0074789C"/>
    <w:rsid w:val="00747DE2"/>
    <w:rsid w:val="00747E6D"/>
    <w:rsid w:val="007502D0"/>
    <w:rsid w:val="007504BF"/>
    <w:rsid w:val="007506CD"/>
    <w:rsid w:val="00751520"/>
    <w:rsid w:val="0075267F"/>
    <w:rsid w:val="007526EC"/>
    <w:rsid w:val="00753B8A"/>
    <w:rsid w:val="00753C48"/>
    <w:rsid w:val="00754250"/>
    <w:rsid w:val="00754FE4"/>
    <w:rsid w:val="00755216"/>
    <w:rsid w:val="00756236"/>
    <w:rsid w:val="00756271"/>
    <w:rsid w:val="00756348"/>
    <w:rsid w:val="00756521"/>
    <w:rsid w:val="00756AB7"/>
    <w:rsid w:val="0075756F"/>
    <w:rsid w:val="00757975"/>
    <w:rsid w:val="00760B3A"/>
    <w:rsid w:val="0076106D"/>
    <w:rsid w:val="007623FB"/>
    <w:rsid w:val="00762517"/>
    <w:rsid w:val="00763240"/>
    <w:rsid w:val="0076376A"/>
    <w:rsid w:val="007643A1"/>
    <w:rsid w:val="007648AD"/>
    <w:rsid w:val="0076504E"/>
    <w:rsid w:val="0076767E"/>
    <w:rsid w:val="00767BFD"/>
    <w:rsid w:val="00767EA0"/>
    <w:rsid w:val="0077068F"/>
    <w:rsid w:val="00771EDF"/>
    <w:rsid w:val="00772530"/>
    <w:rsid w:val="00772A90"/>
    <w:rsid w:val="00772F8D"/>
    <w:rsid w:val="007730D7"/>
    <w:rsid w:val="0077408D"/>
    <w:rsid w:val="00774270"/>
    <w:rsid w:val="007743F6"/>
    <w:rsid w:val="00775679"/>
    <w:rsid w:val="0077574F"/>
    <w:rsid w:val="00775823"/>
    <w:rsid w:val="00776206"/>
    <w:rsid w:val="00777153"/>
    <w:rsid w:val="007777CC"/>
    <w:rsid w:val="00777B32"/>
    <w:rsid w:val="0078051E"/>
    <w:rsid w:val="00780A3E"/>
    <w:rsid w:val="00781089"/>
    <w:rsid w:val="00781CB6"/>
    <w:rsid w:val="007838F3"/>
    <w:rsid w:val="0078419B"/>
    <w:rsid w:val="00785612"/>
    <w:rsid w:val="007856FE"/>
    <w:rsid w:val="00785F46"/>
    <w:rsid w:val="007865F4"/>
    <w:rsid w:val="00786D5C"/>
    <w:rsid w:val="00786E96"/>
    <w:rsid w:val="00787022"/>
    <w:rsid w:val="00787412"/>
    <w:rsid w:val="00787BB6"/>
    <w:rsid w:val="00787DFF"/>
    <w:rsid w:val="00787F93"/>
    <w:rsid w:val="00791E6D"/>
    <w:rsid w:val="00791EB5"/>
    <w:rsid w:val="00792377"/>
    <w:rsid w:val="0079343F"/>
    <w:rsid w:val="00793696"/>
    <w:rsid w:val="00793F13"/>
    <w:rsid w:val="00794800"/>
    <w:rsid w:val="007955DA"/>
    <w:rsid w:val="00796F65"/>
    <w:rsid w:val="007A11C2"/>
    <w:rsid w:val="007A1781"/>
    <w:rsid w:val="007A18BB"/>
    <w:rsid w:val="007A2489"/>
    <w:rsid w:val="007A27DD"/>
    <w:rsid w:val="007A41BF"/>
    <w:rsid w:val="007A490A"/>
    <w:rsid w:val="007A53B6"/>
    <w:rsid w:val="007A7289"/>
    <w:rsid w:val="007A7B95"/>
    <w:rsid w:val="007B0297"/>
    <w:rsid w:val="007B02FA"/>
    <w:rsid w:val="007B0F53"/>
    <w:rsid w:val="007B110A"/>
    <w:rsid w:val="007B1A4D"/>
    <w:rsid w:val="007B2027"/>
    <w:rsid w:val="007B21AE"/>
    <w:rsid w:val="007B2570"/>
    <w:rsid w:val="007B3113"/>
    <w:rsid w:val="007B3304"/>
    <w:rsid w:val="007B3BF0"/>
    <w:rsid w:val="007B42A6"/>
    <w:rsid w:val="007B65DB"/>
    <w:rsid w:val="007B6927"/>
    <w:rsid w:val="007B6B18"/>
    <w:rsid w:val="007B7490"/>
    <w:rsid w:val="007B7C13"/>
    <w:rsid w:val="007B7C61"/>
    <w:rsid w:val="007C00B9"/>
    <w:rsid w:val="007C0525"/>
    <w:rsid w:val="007C06DB"/>
    <w:rsid w:val="007C13F7"/>
    <w:rsid w:val="007C1D77"/>
    <w:rsid w:val="007C218D"/>
    <w:rsid w:val="007C254F"/>
    <w:rsid w:val="007C2590"/>
    <w:rsid w:val="007C2D28"/>
    <w:rsid w:val="007C32FD"/>
    <w:rsid w:val="007C3E22"/>
    <w:rsid w:val="007C5022"/>
    <w:rsid w:val="007C58C1"/>
    <w:rsid w:val="007C5B39"/>
    <w:rsid w:val="007C5CAB"/>
    <w:rsid w:val="007C6218"/>
    <w:rsid w:val="007C6484"/>
    <w:rsid w:val="007C67C6"/>
    <w:rsid w:val="007C78BE"/>
    <w:rsid w:val="007C7A5D"/>
    <w:rsid w:val="007C7E59"/>
    <w:rsid w:val="007D0476"/>
    <w:rsid w:val="007D0B91"/>
    <w:rsid w:val="007D0FE7"/>
    <w:rsid w:val="007D1197"/>
    <w:rsid w:val="007D1452"/>
    <w:rsid w:val="007D1563"/>
    <w:rsid w:val="007D26DC"/>
    <w:rsid w:val="007D3AEF"/>
    <w:rsid w:val="007D3DCB"/>
    <w:rsid w:val="007D4601"/>
    <w:rsid w:val="007D460C"/>
    <w:rsid w:val="007D4996"/>
    <w:rsid w:val="007D4AD3"/>
    <w:rsid w:val="007D4E63"/>
    <w:rsid w:val="007D5C58"/>
    <w:rsid w:val="007D5D19"/>
    <w:rsid w:val="007D5FDC"/>
    <w:rsid w:val="007D6176"/>
    <w:rsid w:val="007D641C"/>
    <w:rsid w:val="007D69CD"/>
    <w:rsid w:val="007D6D68"/>
    <w:rsid w:val="007D7A0D"/>
    <w:rsid w:val="007E066C"/>
    <w:rsid w:val="007E194F"/>
    <w:rsid w:val="007E201B"/>
    <w:rsid w:val="007E250B"/>
    <w:rsid w:val="007E2EA3"/>
    <w:rsid w:val="007E2EE9"/>
    <w:rsid w:val="007E32DA"/>
    <w:rsid w:val="007E3B60"/>
    <w:rsid w:val="007E4998"/>
    <w:rsid w:val="007E4A9C"/>
    <w:rsid w:val="007E4D78"/>
    <w:rsid w:val="007E5248"/>
    <w:rsid w:val="007E5C4F"/>
    <w:rsid w:val="007E6914"/>
    <w:rsid w:val="007E74D6"/>
    <w:rsid w:val="007E7F78"/>
    <w:rsid w:val="007F0179"/>
    <w:rsid w:val="007F0FF8"/>
    <w:rsid w:val="007F148A"/>
    <w:rsid w:val="007F2640"/>
    <w:rsid w:val="007F2C13"/>
    <w:rsid w:val="007F2CEC"/>
    <w:rsid w:val="007F2ED1"/>
    <w:rsid w:val="007F326F"/>
    <w:rsid w:val="007F3435"/>
    <w:rsid w:val="007F456D"/>
    <w:rsid w:val="007F505D"/>
    <w:rsid w:val="007F531B"/>
    <w:rsid w:val="007F54CF"/>
    <w:rsid w:val="007F55DE"/>
    <w:rsid w:val="007F5BAC"/>
    <w:rsid w:val="007F6153"/>
    <w:rsid w:val="007F718F"/>
    <w:rsid w:val="007F762D"/>
    <w:rsid w:val="007F78F0"/>
    <w:rsid w:val="007F78FF"/>
    <w:rsid w:val="008001C5"/>
    <w:rsid w:val="00800F6C"/>
    <w:rsid w:val="00801065"/>
    <w:rsid w:val="0080138D"/>
    <w:rsid w:val="00802C0B"/>
    <w:rsid w:val="00804206"/>
    <w:rsid w:val="00805040"/>
    <w:rsid w:val="008051FC"/>
    <w:rsid w:val="008055A9"/>
    <w:rsid w:val="008056C4"/>
    <w:rsid w:val="008057FD"/>
    <w:rsid w:val="00805D8B"/>
    <w:rsid w:val="00805F62"/>
    <w:rsid w:val="00806C33"/>
    <w:rsid w:val="008075DB"/>
    <w:rsid w:val="0081010F"/>
    <w:rsid w:val="00810BB6"/>
    <w:rsid w:val="00810E8E"/>
    <w:rsid w:val="00811F1D"/>
    <w:rsid w:val="00812C44"/>
    <w:rsid w:val="008135E1"/>
    <w:rsid w:val="00813779"/>
    <w:rsid w:val="00813792"/>
    <w:rsid w:val="00813AA2"/>
    <w:rsid w:val="00813E26"/>
    <w:rsid w:val="00814321"/>
    <w:rsid w:val="0081481D"/>
    <w:rsid w:val="00814BE8"/>
    <w:rsid w:val="00814D94"/>
    <w:rsid w:val="00814F6E"/>
    <w:rsid w:val="00815ABB"/>
    <w:rsid w:val="00815B84"/>
    <w:rsid w:val="00816342"/>
    <w:rsid w:val="008166F6"/>
    <w:rsid w:val="00816BE9"/>
    <w:rsid w:val="00817D10"/>
    <w:rsid w:val="00821191"/>
    <w:rsid w:val="00822518"/>
    <w:rsid w:val="008226F5"/>
    <w:rsid w:val="00823FC6"/>
    <w:rsid w:val="00824306"/>
    <w:rsid w:val="00824B1F"/>
    <w:rsid w:val="00825C74"/>
    <w:rsid w:val="00825CFA"/>
    <w:rsid w:val="00825F10"/>
    <w:rsid w:val="00826556"/>
    <w:rsid w:val="00826AB9"/>
    <w:rsid w:val="00826E0E"/>
    <w:rsid w:val="00827D11"/>
    <w:rsid w:val="00827E0F"/>
    <w:rsid w:val="00827F6E"/>
    <w:rsid w:val="0083077E"/>
    <w:rsid w:val="00830C11"/>
    <w:rsid w:val="00830E66"/>
    <w:rsid w:val="008310C9"/>
    <w:rsid w:val="00831758"/>
    <w:rsid w:val="008317D9"/>
    <w:rsid w:val="00831AEC"/>
    <w:rsid w:val="0083279F"/>
    <w:rsid w:val="00832CE9"/>
    <w:rsid w:val="008334DB"/>
    <w:rsid w:val="00833B7F"/>
    <w:rsid w:val="00833B82"/>
    <w:rsid w:val="00833E8E"/>
    <w:rsid w:val="00834906"/>
    <w:rsid w:val="00836075"/>
    <w:rsid w:val="00836417"/>
    <w:rsid w:val="00836BC6"/>
    <w:rsid w:val="00836D47"/>
    <w:rsid w:val="00837526"/>
    <w:rsid w:val="008407A7"/>
    <w:rsid w:val="00842275"/>
    <w:rsid w:val="0084322B"/>
    <w:rsid w:val="008433A0"/>
    <w:rsid w:val="00843F81"/>
    <w:rsid w:val="00844087"/>
    <w:rsid w:val="008448F1"/>
    <w:rsid w:val="0084519E"/>
    <w:rsid w:val="00845CAE"/>
    <w:rsid w:val="008462C5"/>
    <w:rsid w:val="008462FA"/>
    <w:rsid w:val="00846370"/>
    <w:rsid w:val="00846873"/>
    <w:rsid w:val="00846D33"/>
    <w:rsid w:val="00847366"/>
    <w:rsid w:val="00847544"/>
    <w:rsid w:val="008477E7"/>
    <w:rsid w:val="00847C2B"/>
    <w:rsid w:val="00850272"/>
    <w:rsid w:val="008506B9"/>
    <w:rsid w:val="0085086F"/>
    <w:rsid w:val="00850B42"/>
    <w:rsid w:val="00851822"/>
    <w:rsid w:val="00851C16"/>
    <w:rsid w:val="008532BF"/>
    <w:rsid w:val="008539B2"/>
    <w:rsid w:val="00853BF4"/>
    <w:rsid w:val="00854294"/>
    <w:rsid w:val="00854295"/>
    <w:rsid w:val="008545CE"/>
    <w:rsid w:val="0085572E"/>
    <w:rsid w:val="0085788B"/>
    <w:rsid w:val="00857A9E"/>
    <w:rsid w:val="00857D1F"/>
    <w:rsid w:val="00857DE2"/>
    <w:rsid w:val="0086003D"/>
    <w:rsid w:val="008613DD"/>
    <w:rsid w:val="0086174F"/>
    <w:rsid w:val="00861D63"/>
    <w:rsid w:val="008623B9"/>
    <w:rsid w:val="0086358C"/>
    <w:rsid w:val="00863A8E"/>
    <w:rsid w:val="0086407F"/>
    <w:rsid w:val="008644DD"/>
    <w:rsid w:val="008645E3"/>
    <w:rsid w:val="0086486A"/>
    <w:rsid w:val="00864E79"/>
    <w:rsid w:val="00864EC0"/>
    <w:rsid w:val="0086572B"/>
    <w:rsid w:val="008662E5"/>
    <w:rsid w:val="008665BC"/>
    <w:rsid w:val="00866615"/>
    <w:rsid w:val="0086661F"/>
    <w:rsid w:val="00866A0D"/>
    <w:rsid w:val="00866DB5"/>
    <w:rsid w:val="0086701D"/>
    <w:rsid w:val="0086702B"/>
    <w:rsid w:val="008672E2"/>
    <w:rsid w:val="0086784E"/>
    <w:rsid w:val="0087110C"/>
    <w:rsid w:val="0087121C"/>
    <w:rsid w:val="00871FD2"/>
    <w:rsid w:val="00872084"/>
    <w:rsid w:val="00872827"/>
    <w:rsid w:val="00872A32"/>
    <w:rsid w:val="00873653"/>
    <w:rsid w:val="0087486A"/>
    <w:rsid w:val="00874911"/>
    <w:rsid w:val="00874B79"/>
    <w:rsid w:val="008754E4"/>
    <w:rsid w:val="00876EAE"/>
    <w:rsid w:val="0087722B"/>
    <w:rsid w:val="00877305"/>
    <w:rsid w:val="00877983"/>
    <w:rsid w:val="00880106"/>
    <w:rsid w:val="00880F95"/>
    <w:rsid w:val="00881076"/>
    <w:rsid w:val="00881424"/>
    <w:rsid w:val="00881EE2"/>
    <w:rsid w:val="00882174"/>
    <w:rsid w:val="008821A0"/>
    <w:rsid w:val="00882910"/>
    <w:rsid w:val="00882B44"/>
    <w:rsid w:val="00883809"/>
    <w:rsid w:val="008838AD"/>
    <w:rsid w:val="00885381"/>
    <w:rsid w:val="0088572B"/>
    <w:rsid w:val="00885BC9"/>
    <w:rsid w:val="008864B3"/>
    <w:rsid w:val="008865E5"/>
    <w:rsid w:val="0088682F"/>
    <w:rsid w:val="008871B0"/>
    <w:rsid w:val="008905A6"/>
    <w:rsid w:val="00890B57"/>
    <w:rsid w:val="00890D07"/>
    <w:rsid w:val="008916BA"/>
    <w:rsid w:val="0089217C"/>
    <w:rsid w:val="00892476"/>
    <w:rsid w:val="00892790"/>
    <w:rsid w:val="00893671"/>
    <w:rsid w:val="008942A6"/>
    <w:rsid w:val="0089445B"/>
    <w:rsid w:val="00894979"/>
    <w:rsid w:val="00895838"/>
    <w:rsid w:val="00895A1E"/>
    <w:rsid w:val="00895A72"/>
    <w:rsid w:val="00895CDF"/>
    <w:rsid w:val="00895EE3"/>
    <w:rsid w:val="00896046"/>
    <w:rsid w:val="00896679"/>
    <w:rsid w:val="00896D8C"/>
    <w:rsid w:val="00897184"/>
    <w:rsid w:val="00897579"/>
    <w:rsid w:val="008A013B"/>
    <w:rsid w:val="008A0717"/>
    <w:rsid w:val="008A0FAC"/>
    <w:rsid w:val="008A0FC9"/>
    <w:rsid w:val="008A14C8"/>
    <w:rsid w:val="008A1956"/>
    <w:rsid w:val="008A1A7C"/>
    <w:rsid w:val="008A26AA"/>
    <w:rsid w:val="008A2990"/>
    <w:rsid w:val="008A2CE2"/>
    <w:rsid w:val="008A40D3"/>
    <w:rsid w:val="008A413F"/>
    <w:rsid w:val="008A451F"/>
    <w:rsid w:val="008A45F7"/>
    <w:rsid w:val="008A469C"/>
    <w:rsid w:val="008A50FB"/>
    <w:rsid w:val="008A51D1"/>
    <w:rsid w:val="008A5C90"/>
    <w:rsid w:val="008A5DCE"/>
    <w:rsid w:val="008A6658"/>
    <w:rsid w:val="008A75D3"/>
    <w:rsid w:val="008A7DEA"/>
    <w:rsid w:val="008A7F09"/>
    <w:rsid w:val="008B01E6"/>
    <w:rsid w:val="008B05DD"/>
    <w:rsid w:val="008B07B8"/>
    <w:rsid w:val="008B17E8"/>
    <w:rsid w:val="008B2A6F"/>
    <w:rsid w:val="008B2C45"/>
    <w:rsid w:val="008B2E7C"/>
    <w:rsid w:val="008B399A"/>
    <w:rsid w:val="008B402F"/>
    <w:rsid w:val="008B45F0"/>
    <w:rsid w:val="008B4A70"/>
    <w:rsid w:val="008B502F"/>
    <w:rsid w:val="008B54FD"/>
    <w:rsid w:val="008B5692"/>
    <w:rsid w:val="008B5F31"/>
    <w:rsid w:val="008B6CE5"/>
    <w:rsid w:val="008B6DFC"/>
    <w:rsid w:val="008B7227"/>
    <w:rsid w:val="008C02FB"/>
    <w:rsid w:val="008C04E0"/>
    <w:rsid w:val="008C191C"/>
    <w:rsid w:val="008C1DA4"/>
    <w:rsid w:val="008C2138"/>
    <w:rsid w:val="008C2608"/>
    <w:rsid w:val="008C29B0"/>
    <w:rsid w:val="008C2CD5"/>
    <w:rsid w:val="008C311A"/>
    <w:rsid w:val="008C33AE"/>
    <w:rsid w:val="008C3618"/>
    <w:rsid w:val="008C39E7"/>
    <w:rsid w:val="008C43AD"/>
    <w:rsid w:val="008C49A3"/>
    <w:rsid w:val="008C6118"/>
    <w:rsid w:val="008C6341"/>
    <w:rsid w:val="008C653D"/>
    <w:rsid w:val="008C731F"/>
    <w:rsid w:val="008C74D9"/>
    <w:rsid w:val="008D2050"/>
    <w:rsid w:val="008D2D79"/>
    <w:rsid w:val="008D35CA"/>
    <w:rsid w:val="008D3B2D"/>
    <w:rsid w:val="008D58D9"/>
    <w:rsid w:val="008D5AD4"/>
    <w:rsid w:val="008D5E4E"/>
    <w:rsid w:val="008D5E9D"/>
    <w:rsid w:val="008D5F65"/>
    <w:rsid w:val="008D61CC"/>
    <w:rsid w:val="008D695E"/>
    <w:rsid w:val="008D6DD5"/>
    <w:rsid w:val="008D6E59"/>
    <w:rsid w:val="008D7155"/>
    <w:rsid w:val="008D76E0"/>
    <w:rsid w:val="008D7D0F"/>
    <w:rsid w:val="008E079C"/>
    <w:rsid w:val="008E0B29"/>
    <w:rsid w:val="008E141A"/>
    <w:rsid w:val="008E1A44"/>
    <w:rsid w:val="008E2859"/>
    <w:rsid w:val="008E28E6"/>
    <w:rsid w:val="008E2C57"/>
    <w:rsid w:val="008E3156"/>
    <w:rsid w:val="008E3232"/>
    <w:rsid w:val="008E3674"/>
    <w:rsid w:val="008E3977"/>
    <w:rsid w:val="008E3A08"/>
    <w:rsid w:val="008E3B6C"/>
    <w:rsid w:val="008E3DE7"/>
    <w:rsid w:val="008E5227"/>
    <w:rsid w:val="008E562C"/>
    <w:rsid w:val="008E5F43"/>
    <w:rsid w:val="008E5FB9"/>
    <w:rsid w:val="008E6540"/>
    <w:rsid w:val="008E6A1C"/>
    <w:rsid w:val="008E6FBE"/>
    <w:rsid w:val="008E77D4"/>
    <w:rsid w:val="008E7ADD"/>
    <w:rsid w:val="008F091F"/>
    <w:rsid w:val="008F1548"/>
    <w:rsid w:val="008F17B2"/>
    <w:rsid w:val="008F22B3"/>
    <w:rsid w:val="008F357B"/>
    <w:rsid w:val="008F366E"/>
    <w:rsid w:val="008F3B56"/>
    <w:rsid w:val="008F44CA"/>
    <w:rsid w:val="008F49D3"/>
    <w:rsid w:val="008F5B69"/>
    <w:rsid w:val="008F6519"/>
    <w:rsid w:val="008F6F4C"/>
    <w:rsid w:val="008F7012"/>
    <w:rsid w:val="008F7ADA"/>
    <w:rsid w:val="008F7B17"/>
    <w:rsid w:val="00900042"/>
    <w:rsid w:val="0090034B"/>
    <w:rsid w:val="00900565"/>
    <w:rsid w:val="0090077E"/>
    <w:rsid w:val="0090087C"/>
    <w:rsid w:val="00900D2F"/>
    <w:rsid w:val="00901121"/>
    <w:rsid w:val="00901B50"/>
    <w:rsid w:val="00902623"/>
    <w:rsid w:val="00902A67"/>
    <w:rsid w:val="00902C5E"/>
    <w:rsid w:val="00904BE4"/>
    <w:rsid w:val="0090504A"/>
    <w:rsid w:val="009051F5"/>
    <w:rsid w:val="00905221"/>
    <w:rsid w:val="0090530B"/>
    <w:rsid w:val="00905664"/>
    <w:rsid w:val="00905A7C"/>
    <w:rsid w:val="00905D7E"/>
    <w:rsid w:val="00906C66"/>
    <w:rsid w:val="00906DD3"/>
    <w:rsid w:val="00907037"/>
    <w:rsid w:val="00907259"/>
    <w:rsid w:val="00907929"/>
    <w:rsid w:val="00910577"/>
    <w:rsid w:val="00910C5D"/>
    <w:rsid w:val="0091112C"/>
    <w:rsid w:val="009113F2"/>
    <w:rsid w:val="0091160A"/>
    <w:rsid w:val="00912A06"/>
    <w:rsid w:val="00912E04"/>
    <w:rsid w:val="00913258"/>
    <w:rsid w:val="00913851"/>
    <w:rsid w:val="00913BB0"/>
    <w:rsid w:val="0091456C"/>
    <w:rsid w:val="00914C58"/>
    <w:rsid w:val="00914D78"/>
    <w:rsid w:val="009151FC"/>
    <w:rsid w:val="009153D3"/>
    <w:rsid w:val="0091564D"/>
    <w:rsid w:val="009156DA"/>
    <w:rsid w:val="00915774"/>
    <w:rsid w:val="00916BC5"/>
    <w:rsid w:val="0091726A"/>
    <w:rsid w:val="00917C01"/>
    <w:rsid w:val="00920184"/>
    <w:rsid w:val="00920421"/>
    <w:rsid w:val="00920E84"/>
    <w:rsid w:val="00920EA4"/>
    <w:rsid w:val="00921792"/>
    <w:rsid w:val="00921BEA"/>
    <w:rsid w:val="009227BE"/>
    <w:rsid w:val="009238FD"/>
    <w:rsid w:val="00923998"/>
    <w:rsid w:val="00923DB4"/>
    <w:rsid w:val="00924172"/>
    <w:rsid w:val="0092420B"/>
    <w:rsid w:val="0092430E"/>
    <w:rsid w:val="00924451"/>
    <w:rsid w:val="00925889"/>
    <w:rsid w:val="00925905"/>
    <w:rsid w:val="00926112"/>
    <w:rsid w:val="0092625F"/>
    <w:rsid w:val="00926B28"/>
    <w:rsid w:val="00926D9C"/>
    <w:rsid w:val="00927028"/>
    <w:rsid w:val="0092734A"/>
    <w:rsid w:val="00927763"/>
    <w:rsid w:val="00927A2D"/>
    <w:rsid w:val="00927B37"/>
    <w:rsid w:val="009314B1"/>
    <w:rsid w:val="009321B1"/>
    <w:rsid w:val="009327F0"/>
    <w:rsid w:val="00932A42"/>
    <w:rsid w:val="00932ED7"/>
    <w:rsid w:val="00933CE7"/>
    <w:rsid w:val="0093422D"/>
    <w:rsid w:val="0093483B"/>
    <w:rsid w:val="00934CF9"/>
    <w:rsid w:val="00934DD7"/>
    <w:rsid w:val="00934F9C"/>
    <w:rsid w:val="00934FEB"/>
    <w:rsid w:val="00935CB2"/>
    <w:rsid w:val="009369A9"/>
    <w:rsid w:val="00936B16"/>
    <w:rsid w:val="00936CF7"/>
    <w:rsid w:val="00937783"/>
    <w:rsid w:val="00937EAD"/>
    <w:rsid w:val="00937F28"/>
    <w:rsid w:val="00940FE1"/>
    <w:rsid w:val="00940FF2"/>
    <w:rsid w:val="0094117A"/>
    <w:rsid w:val="00941474"/>
    <w:rsid w:val="00942306"/>
    <w:rsid w:val="009424B8"/>
    <w:rsid w:val="0094286B"/>
    <w:rsid w:val="009432E2"/>
    <w:rsid w:val="00943B7C"/>
    <w:rsid w:val="00944668"/>
    <w:rsid w:val="00944DC6"/>
    <w:rsid w:val="00945829"/>
    <w:rsid w:val="009458B0"/>
    <w:rsid w:val="00945B52"/>
    <w:rsid w:val="00945B7A"/>
    <w:rsid w:val="00945F05"/>
    <w:rsid w:val="00945FE0"/>
    <w:rsid w:val="00946057"/>
    <w:rsid w:val="00946348"/>
    <w:rsid w:val="00946B10"/>
    <w:rsid w:val="00947224"/>
    <w:rsid w:val="0094742B"/>
    <w:rsid w:val="009475B1"/>
    <w:rsid w:val="00947797"/>
    <w:rsid w:val="009478A2"/>
    <w:rsid w:val="00947942"/>
    <w:rsid w:val="00950181"/>
    <w:rsid w:val="00950865"/>
    <w:rsid w:val="00950AFD"/>
    <w:rsid w:val="00950E9B"/>
    <w:rsid w:val="009533BD"/>
    <w:rsid w:val="009536FB"/>
    <w:rsid w:val="00953808"/>
    <w:rsid w:val="009539A6"/>
    <w:rsid w:val="00954032"/>
    <w:rsid w:val="00954537"/>
    <w:rsid w:val="0095472D"/>
    <w:rsid w:val="0095483A"/>
    <w:rsid w:val="00954F0F"/>
    <w:rsid w:val="00954FA2"/>
    <w:rsid w:val="00955342"/>
    <w:rsid w:val="00955D57"/>
    <w:rsid w:val="00955FBB"/>
    <w:rsid w:val="0095694B"/>
    <w:rsid w:val="00956BD5"/>
    <w:rsid w:val="00956D84"/>
    <w:rsid w:val="009577B5"/>
    <w:rsid w:val="00957D66"/>
    <w:rsid w:val="00957FA5"/>
    <w:rsid w:val="009608E6"/>
    <w:rsid w:val="00960F57"/>
    <w:rsid w:val="00961669"/>
    <w:rsid w:val="00961C90"/>
    <w:rsid w:val="00962A26"/>
    <w:rsid w:val="00965443"/>
    <w:rsid w:val="00965954"/>
    <w:rsid w:val="00965A21"/>
    <w:rsid w:val="00965E55"/>
    <w:rsid w:val="0096608E"/>
    <w:rsid w:val="00966522"/>
    <w:rsid w:val="00966926"/>
    <w:rsid w:val="00966C33"/>
    <w:rsid w:val="009678D3"/>
    <w:rsid w:val="009701C0"/>
    <w:rsid w:val="00970F18"/>
    <w:rsid w:val="00971CF1"/>
    <w:rsid w:val="00971F5D"/>
    <w:rsid w:val="009721E9"/>
    <w:rsid w:val="009722B5"/>
    <w:rsid w:val="00973772"/>
    <w:rsid w:val="00974BBB"/>
    <w:rsid w:val="0097560A"/>
    <w:rsid w:val="00975E1E"/>
    <w:rsid w:val="00975E70"/>
    <w:rsid w:val="009761DE"/>
    <w:rsid w:val="009766FA"/>
    <w:rsid w:val="00977645"/>
    <w:rsid w:val="00977944"/>
    <w:rsid w:val="00977CD6"/>
    <w:rsid w:val="0098048B"/>
    <w:rsid w:val="00980908"/>
    <w:rsid w:val="00980DF9"/>
    <w:rsid w:val="00981CD8"/>
    <w:rsid w:val="0098243D"/>
    <w:rsid w:val="00982C19"/>
    <w:rsid w:val="00982D26"/>
    <w:rsid w:val="00983168"/>
    <w:rsid w:val="00983B6E"/>
    <w:rsid w:val="00983FE5"/>
    <w:rsid w:val="00984544"/>
    <w:rsid w:val="009849E9"/>
    <w:rsid w:val="00984AFF"/>
    <w:rsid w:val="00985048"/>
    <w:rsid w:val="009855AC"/>
    <w:rsid w:val="009858D4"/>
    <w:rsid w:val="009859E4"/>
    <w:rsid w:val="00985D7F"/>
    <w:rsid w:val="009861EB"/>
    <w:rsid w:val="00987812"/>
    <w:rsid w:val="00990225"/>
    <w:rsid w:val="00991307"/>
    <w:rsid w:val="00991FAA"/>
    <w:rsid w:val="00992A13"/>
    <w:rsid w:val="00992CEC"/>
    <w:rsid w:val="00993C27"/>
    <w:rsid w:val="00993DB1"/>
    <w:rsid w:val="00994AAD"/>
    <w:rsid w:val="00995150"/>
    <w:rsid w:val="009956BA"/>
    <w:rsid w:val="00995B89"/>
    <w:rsid w:val="00995D67"/>
    <w:rsid w:val="00996B85"/>
    <w:rsid w:val="00997613"/>
    <w:rsid w:val="009A013B"/>
    <w:rsid w:val="009A02F4"/>
    <w:rsid w:val="009A06BF"/>
    <w:rsid w:val="009A0D17"/>
    <w:rsid w:val="009A2494"/>
    <w:rsid w:val="009A2A89"/>
    <w:rsid w:val="009A32B1"/>
    <w:rsid w:val="009A33A3"/>
    <w:rsid w:val="009A36F2"/>
    <w:rsid w:val="009A40C3"/>
    <w:rsid w:val="009A40D5"/>
    <w:rsid w:val="009A47F7"/>
    <w:rsid w:val="009A5268"/>
    <w:rsid w:val="009A57D0"/>
    <w:rsid w:val="009A6559"/>
    <w:rsid w:val="009A68FC"/>
    <w:rsid w:val="009A6CE4"/>
    <w:rsid w:val="009A7514"/>
    <w:rsid w:val="009A7665"/>
    <w:rsid w:val="009A787D"/>
    <w:rsid w:val="009A7E7A"/>
    <w:rsid w:val="009B0925"/>
    <w:rsid w:val="009B1584"/>
    <w:rsid w:val="009B18F0"/>
    <w:rsid w:val="009B1F4C"/>
    <w:rsid w:val="009B2203"/>
    <w:rsid w:val="009B2471"/>
    <w:rsid w:val="009B314F"/>
    <w:rsid w:val="009B32B3"/>
    <w:rsid w:val="009B439C"/>
    <w:rsid w:val="009B49A1"/>
    <w:rsid w:val="009B4A6C"/>
    <w:rsid w:val="009B4DA8"/>
    <w:rsid w:val="009B4FA6"/>
    <w:rsid w:val="009B519A"/>
    <w:rsid w:val="009B620C"/>
    <w:rsid w:val="009B6454"/>
    <w:rsid w:val="009B6753"/>
    <w:rsid w:val="009B676C"/>
    <w:rsid w:val="009B6A26"/>
    <w:rsid w:val="009C079D"/>
    <w:rsid w:val="009C0C12"/>
    <w:rsid w:val="009C0D70"/>
    <w:rsid w:val="009C1282"/>
    <w:rsid w:val="009C13D1"/>
    <w:rsid w:val="009C2913"/>
    <w:rsid w:val="009C2BD4"/>
    <w:rsid w:val="009C334C"/>
    <w:rsid w:val="009C5314"/>
    <w:rsid w:val="009C5AFE"/>
    <w:rsid w:val="009C6606"/>
    <w:rsid w:val="009C6CE5"/>
    <w:rsid w:val="009C6D50"/>
    <w:rsid w:val="009C70EE"/>
    <w:rsid w:val="009C72B2"/>
    <w:rsid w:val="009C7547"/>
    <w:rsid w:val="009D05EC"/>
    <w:rsid w:val="009D0822"/>
    <w:rsid w:val="009D18D4"/>
    <w:rsid w:val="009D1FCF"/>
    <w:rsid w:val="009D2F60"/>
    <w:rsid w:val="009D3A2E"/>
    <w:rsid w:val="009D4C2E"/>
    <w:rsid w:val="009D4E78"/>
    <w:rsid w:val="009D5ADE"/>
    <w:rsid w:val="009D5BAC"/>
    <w:rsid w:val="009D5C56"/>
    <w:rsid w:val="009D6265"/>
    <w:rsid w:val="009D64BD"/>
    <w:rsid w:val="009D6CB1"/>
    <w:rsid w:val="009E0286"/>
    <w:rsid w:val="009E153F"/>
    <w:rsid w:val="009E18C5"/>
    <w:rsid w:val="009E2B98"/>
    <w:rsid w:val="009E322A"/>
    <w:rsid w:val="009E3483"/>
    <w:rsid w:val="009E393E"/>
    <w:rsid w:val="009E444E"/>
    <w:rsid w:val="009E454D"/>
    <w:rsid w:val="009E4968"/>
    <w:rsid w:val="009E663C"/>
    <w:rsid w:val="009E684A"/>
    <w:rsid w:val="009E6BB1"/>
    <w:rsid w:val="009E6E14"/>
    <w:rsid w:val="009E794A"/>
    <w:rsid w:val="009E7C14"/>
    <w:rsid w:val="009F0494"/>
    <w:rsid w:val="009F0CD9"/>
    <w:rsid w:val="009F1A79"/>
    <w:rsid w:val="009F1F57"/>
    <w:rsid w:val="009F2DDD"/>
    <w:rsid w:val="009F3447"/>
    <w:rsid w:val="009F446D"/>
    <w:rsid w:val="009F65F4"/>
    <w:rsid w:val="009F6763"/>
    <w:rsid w:val="009F676B"/>
    <w:rsid w:val="009F6D2D"/>
    <w:rsid w:val="009F6D54"/>
    <w:rsid w:val="00A004DF"/>
    <w:rsid w:val="00A00FD5"/>
    <w:rsid w:val="00A012C0"/>
    <w:rsid w:val="00A019A8"/>
    <w:rsid w:val="00A01B03"/>
    <w:rsid w:val="00A01B89"/>
    <w:rsid w:val="00A02C66"/>
    <w:rsid w:val="00A02C84"/>
    <w:rsid w:val="00A03842"/>
    <w:rsid w:val="00A04394"/>
    <w:rsid w:val="00A0464C"/>
    <w:rsid w:val="00A048DA"/>
    <w:rsid w:val="00A050BB"/>
    <w:rsid w:val="00A05128"/>
    <w:rsid w:val="00A0521B"/>
    <w:rsid w:val="00A054E0"/>
    <w:rsid w:val="00A05D91"/>
    <w:rsid w:val="00A0740B"/>
    <w:rsid w:val="00A07ED3"/>
    <w:rsid w:val="00A10162"/>
    <w:rsid w:val="00A10CA8"/>
    <w:rsid w:val="00A10D5A"/>
    <w:rsid w:val="00A11042"/>
    <w:rsid w:val="00A12579"/>
    <w:rsid w:val="00A12CDC"/>
    <w:rsid w:val="00A12E1D"/>
    <w:rsid w:val="00A133D8"/>
    <w:rsid w:val="00A13553"/>
    <w:rsid w:val="00A13F58"/>
    <w:rsid w:val="00A14154"/>
    <w:rsid w:val="00A14382"/>
    <w:rsid w:val="00A15480"/>
    <w:rsid w:val="00A15655"/>
    <w:rsid w:val="00A160B0"/>
    <w:rsid w:val="00A1740C"/>
    <w:rsid w:val="00A17904"/>
    <w:rsid w:val="00A20069"/>
    <w:rsid w:val="00A2244D"/>
    <w:rsid w:val="00A2253D"/>
    <w:rsid w:val="00A2267F"/>
    <w:rsid w:val="00A22CDB"/>
    <w:rsid w:val="00A24274"/>
    <w:rsid w:val="00A247B8"/>
    <w:rsid w:val="00A2495A"/>
    <w:rsid w:val="00A24C7A"/>
    <w:rsid w:val="00A24D8F"/>
    <w:rsid w:val="00A25366"/>
    <w:rsid w:val="00A25B8B"/>
    <w:rsid w:val="00A2689F"/>
    <w:rsid w:val="00A26B0E"/>
    <w:rsid w:val="00A26ECA"/>
    <w:rsid w:val="00A272C6"/>
    <w:rsid w:val="00A27461"/>
    <w:rsid w:val="00A27AE5"/>
    <w:rsid w:val="00A27D67"/>
    <w:rsid w:val="00A30ABC"/>
    <w:rsid w:val="00A320F4"/>
    <w:rsid w:val="00A3267D"/>
    <w:rsid w:val="00A33372"/>
    <w:rsid w:val="00A33B74"/>
    <w:rsid w:val="00A3467F"/>
    <w:rsid w:val="00A34B4C"/>
    <w:rsid w:val="00A35030"/>
    <w:rsid w:val="00A3551A"/>
    <w:rsid w:val="00A36015"/>
    <w:rsid w:val="00A366A0"/>
    <w:rsid w:val="00A36952"/>
    <w:rsid w:val="00A37209"/>
    <w:rsid w:val="00A37381"/>
    <w:rsid w:val="00A37584"/>
    <w:rsid w:val="00A376E8"/>
    <w:rsid w:val="00A37F8E"/>
    <w:rsid w:val="00A4103C"/>
    <w:rsid w:val="00A411DA"/>
    <w:rsid w:val="00A41537"/>
    <w:rsid w:val="00A41678"/>
    <w:rsid w:val="00A41737"/>
    <w:rsid w:val="00A42A50"/>
    <w:rsid w:val="00A42B8F"/>
    <w:rsid w:val="00A42D8E"/>
    <w:rsid w:val="00A43254"/>
    <w:rsid w:val="00A43896"/>
    <w:rsid w:val="00A43951"/>
    <w:rsid w:val="00A43A26"/>
    <w:rsid w:val="00A447A0"/>
    <w:rsid w:val="00A4505E"/>
    <w:rsid w:val="00A455EA"/>
    <w:rsid w:val="00A459F5"/>
    <w:rsid w:val="00A45FC0"/>
    <w:rsid w:val="00A4655A"/>
    <w:rsid w:val="00A468C7"/>
    <w:rsid w:val="00A46B74"/>
    <w:rsid w:val="00A47BF7"/>
    <w:rsid w:val="00A47ECC"/>
    <w:rsid w:val="00A50171"/>
    <w:rsid w:val="00A50418"/>
    <w:rsid w:val="00A504FA"/>
    <w:rsid w:val="00A509D6"/>
    <w:rsid w:val="00A50B5D"/>
    <w:rsid w:val="00A5102E"/>
    <w:rsid w:val="00A5132E"/>
    <w:rsid w:val="00A51375"/>
    <w:rsid w:val="00A51533"/>
    <w:rsid w:val="00A516D4"/>
    <w:rsid w:val="00A51A07"/>
    <w:rsid w:val="00A531D4"/>
    <w:rsid w:val="00A53622"/>
    <w:rsid w:val="00A53736"/>
    <w:rsid w:val="00A54572"/>
    <w:rsid w:val="00A559D8"/>
    <w:rsid w:val="00A575B8"/>
    <w:rsid w:val="00A6020A"/>
    <w:rsid w:val="00A60CE7"/>
    <w:rsid w:val="00A60CF8"/>
    <w:rsid w:val="00A61854"/>
    <w:rsid w:val="00A619BB"/>
    <w:rsid w:val="00A61C60"/>
    <w:rsid w:val="00A61ECB"/>
    <w:rsid w:val="00A63FE9"/>
    <w:rsid w:val="00A6410C"/>
    <w:rsid w:val="00A647B1"/>
    <w:rsid w:val="00A64B35"/>
    <w:rsid w:val="00A64DEF"/>
    <w:rsid w:val="00A65311"/>
    <w:rsid w:val="00A654D2"/>
    <w:rsid w:val="00A665DF"/>
    <w:rsid w:val="00A673F1"/>
    <w:rsid w:val="00A674DB"/>
    <w:rsid w:val="00A67625"/>
    <w:rsid w:val="00A6766F"/>
    <w:rsid w:val="00A67FCC"/>
    <w:rsid w:val="00A70AA5"/>
    <w:rsid w:val="00A70C03"/>
    <w:rsid w:val="00A71256"/>
    <w:rsid w:val="00A7147C"/>
    <w:rsid w:val="00A71CB8"/>
    <w:rsid w:val="00A7217B"/>
    <w:rsid w:val="00A722D7"/>
    <w:rsid w:val="00A723A3"/>
    <w:rsid w:val="00A73861"/>
    <w:rsid w:val="00A739A6"/>
    <w:rsid w:val="00A73C97"/>
    <w:rsid w:val="00A740ED"/>
    <w:rsid w:val="00A74C29"/>
    <w:rsid w:val="00A74C62"/>
    <w:rsid w:val="00A75A70"/>
    <w:rsid w:val="00A75EF9"/>
    <w:rsid w:val="00A7642C"/>
    <w:rsid w:val="00A7657C"/>
    <w:rsid w:val="00A76B5E"/>
    <w:rsid w:val="00A76E4E"/>
    <w:rsid w:val="00A80A28"/>
    <w:rsid w:val="00A80A5D"/>
    <w:rsid w:val="00A81ECA"/>
    <w:rsid w:val="00A82764"/>
    <w:rsid w:val="00A8311C"/>
    <w:rsid w:val="00A835D0"/>
    <w:rsid w:val="00A83821"/>
    <w:rsid w:val="00A83C98"/>
    <w:rsid w:val="00A84150"/>
    <w:rsid w:val="00A84761"/>
    <w:rsid w:val="00A84C5F"/>
    <w:rsid w:val="00A85240"/>
    <w:rsid w:val="00A85930"/>
    <w:rsid w:val="00A863F7"/>
    <w:rsid w:val="00A86604"/>
    <w:rsid w:val="00A86ACC"/>
    <w:rsid w:val="00A87519"/>
    <w:rsid w:val="00A90213"/>
    <w:rsid w:val="00A90870"/>
    <w:rsid w:val="00A9246D"/>
    <w:rsid w:val="00A92CCA"/>
    <w:rsid w:val="00A93BD0"/>
    <w:rsid w:val="00A93CC2"/>
    <w:rsid w:val="00A9430B"/>
    <w:rsid w:val="00A94D4B"/>
    <w:rsid w:val="00A950C6"/>
    <w:rsid w:val="00A956AC"/>
    <w:rsid w:val="00A95A90"/>
    <w:rsid w:val="00A974CC"/>
    <w:rsid w:val="00A97EE7"/>
    <w:rsid w:val="00A97FC3"/>
    <w:rsid w:val="00AA01E3"/>
    <w:rsid w:val="00AA0A68"/>
    <w:rsid w:val="00AA1F34"/>
    <w:rsid w:val="00AA2001"/>
    <w:rsid w:val="00AA2B5C"/>
    <w:rsid w:val="00AA32D2"/>
    <w:rsid w:val="00AA33AA"/>
    <w:rsid w:val="00AA3B8B"/>
    <w:rsid w:val="00AA4016"/>
    <w:rsid w:val="00AA4C1F"/>
    <w:rsid w:val="00AA5328"/>
    <w:rsid w:val="00AA5393"/>
    <w:rsid w:val="00AA63D4"/>
    <w:rsid w:val="00AB03FD"/>
    <w:rsid w:val="00AB09B8"/>
    <w:rsid w:val="00AB199F"/>
    <w:rsid w:val="00AB1C40"/>
    <w:rsid w:val="00AB2000"/>
    <w:rsid w:val="00AB21CC"/>
    <w:rsid w:val="00AB29FA"/>
    <w:rsid w:val="00AB2C06"/>
    <w:rsid w:val="00AB38CB"/>
    <w:rsid w:val="00AB3BEC"/>
    <w:rsid w:val="00AB4080"/>
    <w:rsid w:val="00AB44E4"/>
    <w:rsid w:val="00AB4AEB"/>
    <w:rsid w:val="00AB4E5F"/>
    <w:rsid w:val="00AB5352"/>
    <w:rsid w:val="00AB56AE"/>
    <w:rsid w:val="00AB5EB1"/>
    <w:rsid w:val="00AB62D5"/>
    <w:rsid w:val="00AB65B5"/>
    <w:rsid w:val="00AB6DCD"/>
    <w:rsid w:val="00AB6EE0"/>
    <w:rsid w:val="00AB7D43"/>
    <w:rsid w:val="00AC0AAF"/>
    <w:rsid w:val="00AC17A2"/>
    <w:rsid w:val="00AC3096"/>
    <w:rsid w:val="00AC33F3"/>
    <w:rsid w:val="00AC40B7"/>
    <w:rsid w:val="00AC531F"/>
    <w:rsid w:val="00AC5B36"/>
    <w:rsid w:val="00AC6377"/>
    <w:rsid w:val="00AC651A"/>
    <w:rsid w:val="00AC66A4"/>
    <w:rsid w:val="00AC6CB1"/>
    <w:rsid w:val="00AC75E9"/>
    <w:rsid w:val="00AC7D6D"/>
    <w:rsid w:val="00AC7D76"/>
    <w:rsid w:val="00AD0091"/>
    <w:rsid w:val="00AD04C1"/>
    <w:rsid w:val="00AD1119"/>
    <w:rsid w:val="00AD1315"/>
    <w:rsid w:val="00AD23EF"/>
    <w:rsid w:val="00AD2662"/>
    <w:rsid w:val="00AD2A14"/>
    <w:rsid w:val="00AD307B"/>
    <w:rsid w:val="00AD36D2"/>
    <w:rsid w:val="00AD3992"/>
    <w:rsid w:val="00AD4014"/>
    <w:rsid w:val="00AD41B3"/>
    <w:rsid w:val="00AD5721"/>
    <w:rsid w:val="00AD69F0"/>
    <w:rsid w:val="00AD7127"/>
    <w:rsid w:val="00AD72E3"/>
    <w:rsid w:val="00AD730C"/>
    <w:rsid w:val="00AE08AB"/>
    <w:rsid w:val="00AE0F90"/>
    <w:rsid w:val="00AE123A"/>
    <w:rsid w:val="00AE1539"/>
    <w:rsid w:val="00AE28A7"/>
    <w:rsid w:val="00AE2A98"/>
    <w:rsid w:val="00AE2CF2"/>
    <w:rsid w:val="00AE2F19"/>
    <w:rsid w:val="00AE3012"/>
    <w:rsid w:val="00AE3297"/>
    <w:rsid w:val="00AE33A6"/>
    <w:rsid w:val="00AE3513"/>
    <w:rsid w:val="00AE3729"/>
    <w:rsid w:val="00AE3C81"/>
    <w:rsid w:val="00AE4A3E"/>
    <w:rsid w:val="00AE4CCE"/>
    <w:rsid w:val="00AE58BF"/>
    <w:rsid w:val="00AE5C6A"/>
    <w:rsid w:val="00AE7058"/>
    <w:rsid w:val="00AE7280"/>
    <w:rsid w:val="00AE7B5F"/>
    <w:rsid w:val="00AF01FA"/>
    <w:rsid w:val="00AF033A"/>
    <w:rsid w:val="00AF118E"/>
    <w:rsid w:val="00AF132D"/>
    <w:rsid w:val="00AF1658"/>
    <w:rsid w:val="00AF1699"/>
    <w:rsid w:val="00AF18D1"/>
    <w:rsid w:val="00AF1BA4"/>
    <w:rsid w:val="00AF1FD3"/>
    <w:rsid w:val="00AF2910"/>
    <w:rsid w:val="00AF31C3"/>
    <w:rsid w:val="00AF34B8"/>
    <w:rsid w:val="00AF3896"/>
    <w:rsid w:val="00AF39C9"/>
    <w:rsid w:val="00AF3DB7"/>
    <w:rsid w:val="00AF3F97"/>
    <w:rsid w:val="00AF3FC2"/>
    <w:rsid w:val="00AF4687"/>
    <w:rsid w:val="00AF4DEC"/>
    <w:rsid w:val="00AF6541"/>
    <w:rsid w:val="00AF6B57"/>
    <w:rsid w:val="00B0025F"/>
    <w:rsid w:val="00B003FF"/>
    <w:rsid w:val="00B0098A"/>
    <w:rsid w:val="00B00A5F"/>
    <w:rsid w:val="00B029B8"/>
    <w:rsid w:val="00B02F60"/>
    <w:rsid w:val="00B02F94"/>
    <w:rsid w:val="00B032B8"/>
    <w:rsid w:val="00B03765"/>
    <w:rsid w:val="00B0396A"/>
    <w:rsid w:val="00B046D9"/>
    <w:rsid w:val="00B04721"/>
    <w:rsid w:val="00B04B15"/>
    <w:rsid w:val="00B04B46"/>
    <w:rsid w:val="00B0534D"/>
    <w:rsid w:val="00B05685"/>
    <w:rsid w:val="00B0597C"/>
    <w:rsid w:val="00B05F9F"/>
    <w:rsid w:val="00B06070"/>
    <w:rsid w:val="00B06368"/>
    <w:rsid w:val="00B068DA"/>
    <w:rsid w:val="00B06A00"/>
    <w:rsid w:val="00B06FC6"/>
    <w:rsid w:val="00B0710D"/>
    <w:rsid w:val="00B074C9"/>
    <w:rsid w:val="00B07A70"/>
    <w:rsid w:val="00B07D9D"/>
    <w:rsid w:val="00B11AE5"/>
    <w:rsid w:val="00B12263"/>
    <w:rsid w:val="00B12FE6"/>
    <w:rsid w:val="00B1303F"/>
    <w:rsid w:val="00B1364A"/>
    <w:rsid w:val="00B13859"/>
    <w:rsid w:val="00B13EC9"/>
    <w:rsid w:val="00B14319"/>
    <w:rsid w:val="00B14A06"/>
    <w:rsid w:val="00B158E1"/>
    <w:rsid w:val="00B16715"/>
    <w:rsid w:val="00B16FFA"/>
    <w:rsid w:val="00B1768E"/>
    <w:rsid w:val="00B17910"/>
    <w:rsid w:val="00B20E62"/>
    <w:rsid w:val="00B20F18"/>
    <w:rsid w:val="00B21516"/>
    <w:rsid w:val="00B219D9"/>
    <w:rsid w:val="00B21A37"/>
    <w:rsid w:val="00B21D23"/>
    <w:rsid w:val="00B21F62"/>
    <w:rsid w:val="00B223A4"/>
    <w:rsid w:val="00B22CE0"/>
    <w:rsid w:val="00B232BF"/>
    <w:rsid w:val="00B23738"/>
    <w:rsid w:val="00B23BEF"/>
    <w:rsid w:val="00B247BB"/>
    <w:rsid w:val="00B2504A"/>
    <w:rsid w:val="00B25EE6"/>
    <w:rsid w:val="00B3115A"/>
    <w:rsid w:val="00B3178B"/>
    <w:rsid w:val="00B31825"/>
    <w:rsid w:val="00B31A5C"/>
    <w:rsid w:val="00B32265"/>
    <w:rsid w:val="00B3276D"/>
    <w:rsid w:val="00B33331"/>
    <w:rsid w:val="00B333C8"/>
    <w:rsid w:val="00B33B06"/>
    <w:rsid w:val="00B33C19"/>
    <w:rsid w:val="00B3462E"/>
    <w:rsid w:val="00B35A15"/>
    <w:rsid w:val="00B35B45"/>
    <w:rsid w:val="00B36165"/>
    <w:rsid w:val="00B36A99"/>
    <w:rsid w:val="00B37395"/>
    <w:rsid w:val="00B40C29"/>
    <w:rsid w:val="00B414F5"/>
    <w:rsid w:val="00B42264"/>
    <w:rsid w:val="00B434B2"/>
    <w:rsid w:val="00B43ADF"/>
    <w:rsid w:val="00B43B9E"/>
    <w:rsid w:val="00B43D45"/>
    <w:rsid w:val="00B459AF"/>
    <w:rsid w:val="00B468F2"/>
    <w:rsid w:val="00B469DE"/>
    <w:rsid w:val="00B47286"/>
    <w:rsid w:val="00B47EB4"/>
    <w:rsid w:val="00B50234"/>
    <w:rsid w:val="00B5052F"/>
    <w:rsid w:val="00B51641"/>
    <w:rsid w:val="00B51BF4"/>
    <w:rsid w:val="00B52279"/>
    <w:rsid w:val="00B522D7"/>
    <w:rsid w:val="00B527AD"/>
    <w:rsid w:val="00B52C68"/>
    <w:rsid w:val="00B5372B"/>
    <w:rsid w:val="00B542FE"/>
    <w:rsid w:val="00B54360"/>
    <w:rsid w:val="00B5514F"/>
    <w:rsid w:val="00B55A1B"/>
    <w:rsid w:val="00B561DB"/>
    <w:rsid w:val="00B5645C"/>
    <w:rsid w:val="00B56DF9"/>
    <w:rsid w:val="00B56E80"/>
    <w:rsid w:val="00B571F1"/>
    <w:rsid w:val="00B600BD"/>
    <w:rsid w:val="00B60E4E"/>
    <w:rsid w:val="00B61274"/>
    <w:rsid w:val="00B61DCE"/>
    <w:rsid w:val="00B62188"/>
    <w:rsid w:val="00B621D6"/>
    <w:rsid w:val="00B622E3"/>
    <w:rsid w:val="00B62F79"/>
    <w:rsid w:val="00B62F82"/>
    <w:rsid w:val="00B63028"/>
    <w:rsid w:val="00B6306A"/>
    <w:rsid w:val="00B635E3"/>
    <w:rsid w:val="00B64B9A"/>
    <w:rsid w:val="00B662FF"/>
    <w:rsid w:val="00B665B8"/>
    <w:rsid w:val="00B665F6"/>
    <w:rsid w:val="00B66679"/>
    <w:rsid w:val="00B70145"/>
    <w:rsid w:val="00B701C9"/>
    <w:rsid w:val="00B710AD"/>
    <w:rsid w:val="00B71A92"/>
    <w:rsid w:val="00B721D8"/>
    <w:rsid w:val="00B730CA"/>
    <w:rsid w:val="00B732EA"/>
    <w:rsid w:val="00B73747"/>
    <w:rsid w:val="00B747C5"/>
    <w:rsid w:val="00B74F2F"/>
    <w:rsid w:val="00B753ED"/>
    <w:rsid w:val="00B7665F"/>
    <w:rsid w:val="00B769BC"/>
    <w:rsid w:val="00B770F7"/>
    <w:rsid w:val="00B77349"/>
    <w:rsid w:val="00B7761E"/>
    <w:rsid w:val="00B8095D"/>
    <w:rsid w:val="00B80A3D"/>
    <w:rsid w:val="00B80B04"/>
    <w:rsid w:val="00B821E4"/>
    <w:rsid w:val="00B823E0"/>
    <w:rsid w:val="00B8260D"/>
    <w:rsid w:val="00B8286F"/>
    <w:rsid w:val="00B82B78"/>
    <w:rsid w:val="00B82FD9"/>
    <w:rsid w:val="00B845B4"/>
    <w:rsid w:val="00B84662"/>
    <w:rsid w:val="00B84C74"/>
    <w:rsid w:val="00B84CE9"/>
    <w:rsid w:val="00B84F6E"/>
    <w:rsid w:val="00B8502D"/>
    <w:rsid w:val="00B85191"/>
    <w:rsid w:val="00B85412"/>
    <w:rsid w:val="00B855A6"/>
    <w:rsid w:val="00B858A1"/>
    <w:rsid w:val="00B85FEC"/>
    <w:rsid w:val="00B864A3"/>
    <w:rsid w:val="00B86C2A"/>
    <w:rsid w:val="00B87575"/>
    <w:rsid w:val="00B902A5"/>
    <w:rsid w:val="00B90420"/>
    <w:rsid w:val="00B90848"/>
    <w:rsid w:val="00B91146"/>
    <w:rsid w:val="00B913E4"/>
    <w:rsid w:val="00B91DB9"/>
    <w:rsid w:val="00B91FF3"/>
    <w:rsid w:val="00B925F8"/>
    <w:rsid w:val="00B92B18"/>
    <w:rsid w:val="00B9330A"/>
    <w:rsid w:val="00B93EFE"/>
    <w:rsid w:val="00B944B9"/>
    <w:rsid w:val="00B94956"/>
    <w:rsid w:val="00B94C7F"/>
    <w:rsid w:val="00B94E93"/>
    <w:rsid w:val="00B956B5"/>
    <w:rsid w:val="00B95956"/>
    <w:rsid w:val="00B96DF2"/>
    <w:rsid w:val="00B96E18"/>
    <w:rsid w:val="00B96F5A"/>
    <w:rsid w:val="00B97AF7"/>
    <w:rsid w:val="00BA02CF"/>
    <w:rsid w:val="00BA0A69"/>
    <w:rsid w:val="00BA0B39"/>
    <w:rsid w:val="00BA0CB2"/>
    <w:rsid w:val="00BA0E26"/>
    <w:rsid w:val="00BA138B"/>
    <w:rsid w:val="00BA1D87"/>
    <w:rsid w:val="00BA2471"/>
    <w:rsid w:val="00BA305B"/>
    <w:rsid w:val="00BA31BF"/>
    <w:rsid w:val="00BA3C0F"/>
    <w:rsid w:val="00BA3FC7"/>
    <w:rsid w:val="00BA478B"/>
    <w:rsid w:val="00BA5224"/>
    <w:rsid w:val="00BA575E"/>
    <w:rsid w:val="00BA67B1"/>
    <w:rsid w:val="00BA756D"/>
    <w:rsid w:val="00BA76B7"/>
    <w:rsid w:val="00BA7E3B"/>
    <w:rsid w:val="00BB078D"/>
    <w:rsid w:val="00BB079C"/>
    <w:rsid w:val="00BB0D7A"/>
    <w:rsid w:val="00BB10E1"/>
    <w:rsid w:val="00BB2471"/>
    <w:rsid w:val="00BB3035"/>
    <w:rsid w:val="00BB39C1"/>
    <w:rsid w:val="00BB3DF5"/>
    <w:rsid w:val="00BB3EA7"/>
    <w:rsid w:val="00BB45BC"/>
    <w:rsid w:val="00BB5D16"/>
    <w:rsid w:val="00BB6180"/>
    <w:rsid w:val="00BB69DC"/>
    <w:rsid w:val="00BB69E6"/>
    <w:rsid w:val="00BB7323"/>
    <w:rsid w:val="00BB73CA"/>
    <w:rsid w:val="00BB7BE5"/>
    <w:rsid w:val="00BB7C6D"/>
    <w:rsid w:val="00BC08BD"/>
    <w:rsid w:val="00BC1002"/>
    <w:rsid w:val="00BC11E8"/>
    <w:rsid w:val="00BC1418"/>
    <w:rsid w:val="00BC1B7A"/>
    <w:rsid w:val="00BC2C17"/>
    <w:rsid w:val="00BC3149"/>
    <w:rsid w:val="00BC35FB"/>
    <w:rsid w:val="00BC3ACD"/>
    <w:rsid w:val="00BC3B20"/>
    <w:rsid w:val="00BC3EE4"/>
    <w:rsid w:val="00BC577D"/>
    <w:rsid w:val="00BC588C"/>
    <w:rsid w:val="00BC6E73"/>
    <w:rsid w:val="00BC74D3"/>
    <w:rsid w:val="00BC7806"/>
    <w:rsid w:val="00BD0014"/>
    <w:rsid w:val="00BD01D8"/>
    <w:rsid w:val="00BD255F"/>
    <w:rsid w:val="00BD2895"/>
    <w:rsid w:val="00BD37B2"/>
    <w:rsid w:val="00BD4236"/>
    <w:rsid w:val="00BD4400"/>
    <w:rsid w:val="00BD483B"/>
    <w:rsid w:val="00BD4FBA"/>
    <w:rsid w:val="00BD51F9"/>
    <w:rsid w:val="00BD5BD8"/>
    <w:rsid w:val="00BD5CD4"/>
    <w:rsid w:val="00BD65D9"/>
    <w:rsid w:val="00BD6922"/>
    <w:rsid w:val="00BD6DF3"/>
    <w:rsid w:val="00BD6E09"/>
    <w:rsid w:val="00BD6EF9"/>
    <w:rsid w:val="00BE045C"/>
    <w:rsid w:val="00BE0ACB"/>
    <w:rsid w:val="00BE11F3"/>
    <w:rsid w:val="00BE2260"/>
    <w:rsid w:val="00BE2826"/>
    <w:rsid w:val="00BE2F75"/>
    <w:rsid w:val="00BE3917"/>
    <w:rsid w:val="00BE3D7E"/>
    <w:rsid w:val="00BE4A76"/>
    <w:rsid w:val="00BE4E87"/>
    <w:rsid w:val="00BE50FD"/>
    <w:rsid w:val="00BE51CA"/>
    <w:rsid w:val="00BE537F"/>
    <w:rsid w:val="00BE5D77"/>
    <w:rsid w:val="00BE630A"/>
    <w:rsid w:val="00BE638C"/>
    <w:rsid w:val="00BE6914"/>
    <w:rsid w:val="00BE6D47"/>
    <w:rsid w:val="00BE6F9B"/>
    <w:rsid w:val="00BE6FBF"/>
    <w:rsid w:val="00BE7032"/>
    <w:rsid w:val="00BE7330"/>
    <w:rsid w:val="00BE77A7"/>
    <w:rsid w:val="00BF01C5"/>
    <w:rsid w:val="00BF061A"/>
    <w:rsid w:val="00BF066A"/>
    <w:rsid w:val="00BF0926"/>
    <w:rsid w:val="00BF14CC"/>
    <w:rsid w:val="00BF1821"/>
    <w:rsid w:val="00BF22E9"/>
    <w:rsid w:val="00BF29D7"/>
    <w:rsid w:val="00BF4342"/>
    <w:rsid w:val="00BF4704"/>
    <w:rsid w:val="00BF4FFC"/>
    <w:rsid w:val="00BF5050"/>
    <w:rsid w:val="00BF50D1"/>
    <w:rsid w:val="00BF5422"/>
    <w:rsid w:val="00BF59B1"/>
    <w:rsid w:val="00BF5C4D"/>
    <w:rsid w:val="00BF6625"/>
    <w:rsid w:val="00BF6A78"/>
    <w:rsid w:val="00BF7695"/>
    <w:rsid w:val="00BF775D"/>
    <w:rsid w:val="00BF79B4"/>
    <w:rsid w:val="00BF7C61"/>
    <w:rsid w:val="00BF7CA4"/>
    <w:rsid w:val="00C00366"/>
    <w:rsid w:val="00C011AD"/>
    <w:rsid w:val="00C01427"/>
    <w:rsid w:val="00C014C7"/>
    <w:rsid w:val="00C02037"/>
    <w:rsid w:val="00C031CF"/>
    <w:rsid w:val="00C047AB"/>
    <w:rsid w:val="00C058AF"/>
    <w:rsid w:val="00C075B6"/>
    <w:rsid w:val="00C10027"/>
    <w:rsid w:val="00C124C1"/>
    <w:rsid w:val="00C128AE"/>
    <w:rsid w:val="00C12BA8"/>
    <w:rsid w:val="00C13094"/>
    <w:rsid w:val="00C136D6"/>
    <w:rsid w:val="00C13D5B"/>
    <w:rsid w:val="00C141D7"/>
    <w:rsid w:val="00C1711B"/>
    <w:rsid w:val="00C17AE2"/>
    <w:rsid w:val="00C20140"/>
    <w:rsid w:val="00C20CD6"/>
    <w:rsid w:val="00C20F27"/>
    <w:rsid w:val="00C215CF"/>
    <w:rsid w:val="00C21A89"/>
    <w:rsid w:val="00C21C6D"/>
    <w:rsid w:val="00C2244B"/>
    <w:rsid w:val="00C22711"/>
    <w:rsid w:val="00C2280A"/>
    <w:rsid w:val="00C22B0D"/>
    <w:rsid w:val="00C22BFF"/>
    <w:rsid w:val="00C23522"/>
    <w:rsid w:val="00C23581"/>
    <w:rsid w:val="00C23E71"/>
    <w:rsid w:val="00C24015"/>
    <w:rsid w:val="00C240C1"/>
    <w:rsid w:val="00C244A1"/>
    <w:rsid w:val="00C24889"/>
    <w:rsid w:val="00C24AED"/>
    <w:rsid w:val="00C250D0"/>
    <w:rsid w:val="00C252AC"/>
    <w:rsid w:val="00C2582C"/>
    <w:rsid w:val="00C25C0F"/>
    <w:rsid w:val="00C26567"/>
    <w:rsid w:val="00C26923"/>
    <w:rsid w:val="00C271C9"/>
    <w:rsid w:val="00C27214"/>
    <w:rsid w:val="00C27335"/>
    <w:rsid w:val="00C27597"/>
    <w:rsid w:val="00C27E5E"/>
    <w:rsid w:val="00C30382"/>
    <w:rsid w:val="00C30772"/>
    <w:rsid w:val="00C30D6F"/>
    <w:rsid w:val="00C31063"/>
    <w:rsid w:val="00C31492"/>
    <w:rsid w:val="00C31B7E"/>
    <w:rsid w:val="00C320E8"/>
    <w:rsid w:val="00C322D1"/>
    <w:rsid w:val="00C3242A"/>
    <w:rsid w:val="00C33201"/>
    <w:rsid w:val="00C3328B"/>
    <w:rsid w:val="00C33567"/>
    <w:rsid w:val="00C33A39"/>
    <w:rsid w:val="00C33F55"/>
    <w:rsid w:val="00C34619"/>
    <w:rsid w:val="00C348D9"/>
    <w:rsid w:val="00C359E7"/>
    <w:rsid w:val="00C35D01"/>
    <w:rsid w:val="00C360B3"/>
    <w:rsid w:val="00C36451"/>
    <w:rsid w:val="00C365EA"/>
    <w:rsid w:val="00C367F0"/>
    <w:rsid w:val="00C36828"/>
    <w:rsid w:val="00C37027"/>
    <w:rsid w:val="00C373BF"/>
    <w:rsid w:val="00C37B15"/>
    <w:rsid w:val="00C37B19"/>
    <w:rsid w:val="00C401B5"/>
    <w:rsid w:val="00C41349"/>
    <w:rsid w:val="00C413CB"/>
    <w:rsid w:val="00C41558"/>
    <w:rsid w:val="00C4176E"/>
    <w:rsid w:val="00C42752"/>
    <w:rsid w:val="00C42973"/>
    <w:rsid w:val="00C43426"/>
    <w:rsid w:val="00C44541"/>
    <w:rsid w:val="00C46A3D"/>
    <w:rsid w:val="00C46B95"/>
    <w:rsid w:val="00C4712A"/>
    <w:rsid w:val="00C5001E"/>
    <w:rsid w:val="00C5034F"/>
    <w:rsid w:val="00C50830"/>
    <w:rsid w:val="00C52479"/>
    <w:rsid w:val="00C5266E"/>
    <w:rsid w:val="00C52C59"/>
    <w:rsid w:val="00C5349E"/>
    <w:rsid w:val="00C539FF"/>
    <w:rsid w:val="00C54215"/>
    <w:rsid w:val="00C544BD"/>
    <w:rsid w:val="00C54D3D"/>
    <w:rsid w:val="00C55A30"/>
    <w:rsid w:val="00C55E1C"/>
    <w:rsid w:val="00C56076"/>
    <w:rsid w:val="00C56384"/>
    <w:rsid w:val="00C567E9"/>
    <w:rsid w:val="00C60F8C"/>
    <w:rsid w:val="00C61424"/>
    <w:rsid w:val="00C61794"/>
    <w:rsid w:val="00C617AE"/>
    <w:rsid w:val="00C623E3"/>
    <w:rsid w:val="00C62A48"/>
    <w:rsid w:val="00C62AC4"/>
    <w:rsid w:val="00C62B59"/>
    <w:rsid w:val="00C62F96"/>
    <w:rsid w:val="00C631E1"/>
    <w:rsid w:val="00C638D8"/>
    <w:rsid w:val="00C63A43"/>
    <w:rsid w:val="00C63AE7"/>
    <w:rsid w:val="00C63D26"/>
    <w:rsid w:val="00C63FF6"/>
    <w:rsid w:val="00C64127"/>
    <w:rsid w:val="00C6540A"/>
    <w:rsid w:val="00C668A1"/>
    <w:rsid w:val="00C67223"/>
    <w:rsid w:val="00C707B8"/>
    <w:rsid w:val="00C712AC"/>
    <w:rsid w:val="00C7158C"/>
    <w:rsid w:val="00C71668"/>
    <w:rsid w:val="00C71C15"/>
    <w:rsid w:val="00C71F3D"/>
    <w:rsid w:val="00C72F53"/>
    <w:rsid w:val="00C734E7"/>
    <w:rsid w:val="00C74035"/>
    <w:rsid w:val="00C748EA"/>
    <w:rsid w:val="00C7686F"/>
    <w:rsid w:val="00C76FB0"/>
    <w:rsid w:val="00C77818"/>
    <w:rsid w:val="00C8063F"/>
    <w:rsid w:val="00C81282"/>
    <w:rsid w:val="00C8155F"/>
    <w:rsid w:val="00C8198D"/>
    <w:rsid w:val="00C82167"/>
    <w:rsid w:val="00C827B4"/>
    <w:rsid w:val="00C82F41"/>
    <w:rsid w:val="00C83214"/>
    <w:rsid w:val="00C8329F"/>
    <w:rsid w:val="00C84E65"/>
    <w:rsid w:val="00C84F8A"/>
    <w:rsid w:val="00C85BA4"/>
    <w:rsid w:val="00C8618F"/>
    <w:rsid w:val="00C8625D"/>
    <w:rsid w:val="00C865AD"/>
    <w:rsid w:val="00C86612"/>
    <w:rsid w:val="00C87402"/>
    <w:rsid w:val="00C90372"/>
    <w:rsid w:val="00C9041F"/>
    <w:rsid w:val="00C9166B"/>
    <w:rsid w:val="00C91945"/>
    <w:rsid w:val="00C91A45"/>
    <w:rsid w:val="00C91BA5"/>
    <w:rsid w:val="00C91FB4"/>
    <w:rsid w:val="00C92150"/>
    <w:rsid w:val="00C92328"/>
    <w:rsid w:val="00C9292F"/>
    <w:rsid w:val="00C92D42"/>
    <w:rsid w:val="00C938C2"/>
    <w:rsid w:val="00C9397B"/>
    <w:rsid w:val="00C93F8A"/>
    <w:rsid w:val="00C9483F"/>
    <w:rsid w:val="00C94EA1"/>
    <w:rsid w:val="00C95745"/>
    <w:rsid w:val="00C95902"/>
    <w:rsid w:val="00C95999"/>
    <w:rsid w:val="00C962E3"/>
    <w:rsid w:val="00C96D7C"/>
    <w:rsid w:val="00C978E2"/>
    <w:rsid w:val="00C97997"/>
    <w:rsid w:val="00CA10A2"/>
    <w:rsid w:val="00CA1D83"/>
    <w:rsid w:val="00CA1FEB"/>
    <w:rsid w:val="00CA237F"/>
    <w:rsid w:val="00CA25C0"/>
    <w:rsid w:val="00CA2BFB"/>
    <w:rsid w:val="00CA3451"/>
    <w:rsid w:val="00CA35C6"/>
    <w:rsid w:val="00CA4948"/>
    <w:rsid w:val="00CA52F9"/>
    <w:rsid w:val="00CA5368"/>
    <w:rsid w:val="00CA547B"/>
    <w:rsid w:val="00CA568B"/>
    <w:rsid w:val="00CA573A"/>
    <w:rsid w:val="00CA5C58"/>
    <w:rsid w:val="00CA7656"/>
    <w:rsid w:val="00CA7FB0"/>
    <w:rsid w:val="00CB0900"/>
    <w:rsid w:val="00CB0CC1"/>
    <w:rsid w:val="00CB160B"/>
    <w:rsid w:val="00CB19D7"/>
    <w:rsid w:val="00CB19FE"/>
    <w:rsid w:val="00CB1C3F"/>
    <w:rsid w:val="00CB2364"/>
    <w:rsid w:val="00CB2FEE"/>
    <w:rsid w:val="00CB304C"/>
    <w:rsid w:val="00CB3933"/>
    <w:rsid w:val="00CB5010"/>
    <w:rsid w:val="00CB53E8"/>
    <w:rsid w:val="00CB594A"/>
    <w:rsid w:val="00CB5CB2"/>
    <w:rsid w:val="00CB6979"/>
    <w:rsid w:val="00CB7A04"/>
    <w:rsid w:val="00CB7DDE"/>
    <w:rsid w:val="00CC04F7"/>
    <w:rsid w:val="00CC0A3D"/>
    <w:rsid w:val="00CC2FF0"/>
    <w:rsid w:val="00CC3C53"/>
    <w:rsid w:val="00CC3D24"/>
    <w:rsid w:val="00CC3F91"/>
    <w:rsid w:val="00CC405D"/>
    <w:rsid w:val="00CC47EE"/>
    <w:rsid w:val="00CC4ACD"/>
    <w:rsid w:val="00CC4B0A"/>
    <w:rsid w:val="00CC5387"/>
    <w:rsid w:val="00CC544A"/>
    <w:rsid w:val="00CC57EA"/>
    <w:rsid w:val="00CC5954"/>
    <w:rsid w:val="00CC5CF8"/>
    <w:rsid w:val="00CC5F4B"/>
    <w:rsid w:val="00CC629B"/>
    <w:rsid w:val="00CC6C4E"/>
    <w:rsid w:val="00CC770A"/>
    <w:rsid w:val="00CC7B1F"/>
    <w:rsid w:val="00CD009D"/>
    <w:rsid w:val="00CD05A2"/>
    <w:rsid w:val="00CD1049"/>
    <w:rsid w:val="00CD1890"/>
    <w:rsid w:val="00CD29D4"/>
    <w:rsid w:val="00CD2B5C"/>
    <w:rsid w:val="00CD2FF3"/>
    <w:rsid w:val="00CD3323"/>
    <w:rsid w:val="00CD3324"/>
    <w:rsid w:val="00CD356A"/>
    <w:rsid w:val="00CD37AE"/>
    <w:rsid w:val="00CD38F5"/>
    <w:rsid w:val="00CD3BF2"/>
    <w:rsid w:val="00CD437E"/>
    <w:rsid w:val="00CD454B"/>
    <w:rsid w:val="00CD4AAF"/>
    <w:rsid w:val="00CD5DAD"/>
    <w:rsid w:val="00CD5FFB"/>
    <w:rsid w:val="00CD72C5"/>
    <w:rsid w:val="00CD79A7"/>
    <w:rsid w:val="00CD7FAD"/>
    <w:rsid w:val="00CE0331"/>
    <w:rsid w:val="00CE0542"/>
    <w:rsid w:val="00CE0789"/>
    <w:rsid w:val="00CE0E8D"/>
    <w:rsid w:val="00CE1A03"/>
    <w:rsid w:val="00CE1B5D"/>
    <w:rsid w:val="00CE2346"/>
    <w:rsid w:val="00CE25B2"/>
    <w:rsid w:val="00CE31F4"/>
    <w:rsid w:val="00CE3529"/>
    <w:rsid w:val="00CE35C8"/>
    <w:rsid w:val="00CE3962"/>
    <w:rsid w:val="00CE43FA"/>
    <w:rsid w:val="00CE4D0A"/>
    <w:rsid w:val="00CE4D1A"/>
    <w:rsid w:val="00CE4E8A"/>
    <w:rsid w:val="00CE5105"/>
    <w:rsid w:val="00CE5525"/>
    <w:rsid w:val="00CE56BD"/>
    <w:rsid w:val="00CE5EC0"/>
    <w:rsid w:val="00CE68AD"/>
    <w:rsid w:val="00CE6BA5"/>
    <w:rsid w:val="00CE6F15"/>
    <w:rsid w:val="00CE6F9F"/>
    <w:rsid w:val="00CE7227"/>
    <w:rsid w:val="00CE781A"/>
    <w:rsid w:val="00CE7B08"/>
    <w:rsid w:val="00CE7B7A"/>
    <w:rsid w:val="00CE7D52"/>
    <w:rsid w:val="00CF0A0F"/>
    <w:rsid w:val="00CF0AAA"/>
    <w:rsid w:val="00CF0AB7"/>
    <w:rsid w:val="00CF1D74"/>
    <w:rsid w:val="00CF2BE2"/>
    <w:rsid w:val="00CF348C"/>
    <w:rsid w:val="00CF371A"/>
    <w:rsid w:val="00CF37C2"/>
    <w:rsid w:val="00CF3DE4"/>
    <w:rsid w:val="00CF3DEB"/>
    <w:rsid w:val="00CF55F9"/>
    <w:rsid w:val="00CF578D"/>
    <w:rsid w:val="00CF7074"/>
    <w:rsid w:val="00CF7495"/>
    <w:rsid w:val="00CF76D6"/>
    <w:rsid w:val="00D01CF9"/>
    <w:rsid w:val="00D01EB3"/>
    <w:rsid w:val="00D021E8"/>
    <w:rsid w:val="00D0334D"/>
    <w:rsid w:val="00D0374D"/>
    <w:rsid w:val="00D059DE"/>
    <w:rsid w:val="00D05FEC"/>
    <w:rsid w:val="00D06312"/>
    <w:rsid w:val="00D06D7B"/>
    <w:rsid w:val="00D06DA5"/>
    <w:rsid w:val="00D07191"/>
    <w:rsid w:val="00D07319"/>
    <w:rsid w:val="00D07F1D"/>
    <w:rsid w:val="00D10558"/>
    <w:rsid w:val="00D10EE8"/>
    <w:rsid w:val="00D11140"/>
    <w:rsid w:val="00D11739"/>
    <w:rsid w:val="00D119A6"/>
    <w:rsid w:val="00D11C35"/>
    <w:rsid w:val="00D11D4D"/>
    <w:rsid w:val="00D11DB1"/>
    <w:rsid w:val="00D126DC"/>
    <w:rsid w:val="00D12791"/>
    <w:rsid w:val="00D12A1F"/>
    <w:rsid w:val="00D12B03"/>
    <w:rsid w:val="00D1368C"/>
    <w:rsid w:val="00D13E70"/>
    <w:rsid w:val="00D13EE7"/>
    <w:rsid w:val="00D147BE"/>
    <w:rsid w:val="00D148A0"/>
    <w:rsid w:val="00D15ECD"/>
    <w:rsid w:val="00D15FCD"/>
    <w:rsid w:val="00D16B08"/>
    <w:rsid w:val="00D16C58"/>
    <w:rsid w:val="00D17019"/>
    <w:rsid w:val="00D1705A"/>
    <w:rsid w:val="00D17ABA"/>
    <w:rsid w:val="00D17FC8"/>
    <w:rsid w:val="00D2015B"/>
    <w:rsid w:val="00D207E7"/>
    <w:rsid w:val="00D20B44"/>
    <w:rsid w:val="00D21168"/>
    <w:rsid w:val="00D21C3A"/>
    <w:rsid w:val="00D2224A"/>
    <w:rsid w:val="00D2385D"/>
    <w:rsid w:val="00D23984"/>
    <w:rsid w:val="00D23FF4"/>
    <w:rsid w:val="00D2438C"/>
    <w:rsid w:val="00D24A85"/>
    <w:rsid w:val="00D2585A"/>
    <w:rsid w:val="00D25920"/>
    <w:rsid w:val="00D259B0"/>
    <w:rsid w:val="00D259C2"/>
    <w:rsid w:val="00D26C3F"/>
    <w:rsid w:val="00D27185"/>
    <w:rsid w:val="00D3028A"/>
    <w:rsid w:val="00D30E98"/>
    <w:rsid w:val="00D3125C"/>
    <w:rsid w:val="00D33488"/>
    <w:rsid w:val="00D33AB3"/>
    <w:rsid w:val="00D33F24"/>
    <w:rsid w:val="00D34160"/>
    <w:rsid w:val="00D34520"/>
    <w:rsid w:val="00D346B8"/>
    <w:rsid w:val="00D34DCA"/>
    <w:rsid w:val="00D35AC8"/>
    <w:rsid w:val="00D36F87"/>
    <w:rsid w:val="00D37DF9"/>
    <w:rsid w:val="00D37E4E"/>
    <w:rsid w:val="00D4147C"/>
    <w:rsid w:val="00D417D8"/>
    <w:rsid w:val="00D41F78"/>
    <w:rsid w:val="00D42ABC"/>
    <w:rsid w:val="00D42E6C"/>
    <w:rsid w:val="00D4351C"/>
    <w:rsid w:val="00D43B80"/>
    <w:rsid w:val="00D44988"/>
    <w:rsid w:val="00D45B4C"/>
    <w:rsid w:val="00D45BA4"/>
    <w:rsid w:val="00D471AF"/>
    <w:rsid w:val="00D471E2"/>
    <w:rsid w:val="00D4724F"/>
    <w:rsid w:val="00D47761"/>
    <w:rsid w:val="00D50252"/>
    <w:rsid w:val="00D50519"/>
    <w:rsid w:val="00D50702"/>
    <w:rsid w:val="00D50779"/>
    <w:rsid w:val="00D50E32"/>
    <w:rsid w:val="00D51601"/>
    <w:rsid w:val="00D51ECB"/>
    <w:rsid w:val="00D520DE"/>
    <w:rsid w:val="00D52497"/>
    <w:rsid w:val="00D5264C"/>
    <w:rsid w:val="00D52BBC"/>
    <w:rsid w:val="00D537FE"/>
    <w:rsid w:val="00D53CC9"/>
    <w:rsid w:val="00D54A6A"/>
    <w:rsid w:val="00D54B8F"/>
    <w:rsid w:val="00D55848"/>
    <w:rsid w:val="00D55951"/>
    <w:rsid w:val="00D559F0"/>
    <w:rsid w:val="00D5650F"/>
    <w:rsid w:val="00D56594"/>
    <w:rsid w:val="00D57EB6"/>
    <w:rsid w:val="00D6076B"/>
    <w:rsid w:val="00D608C0"/>
    <w:rsid w:val="00D609DC"/>
    <w:rsid w:val="00D60D6D"/>
    <w:rsid w:val="00D6128C"/>
    <w:rsid w:val="00D63B22"/>
    <w:rsid w:val="00D66009"/>
    <w:rsid w:val="00D66D8B"/>
    <w:rsid w:val="00D671B2"/>
    <w:rsid w:val="00D70849"/>
    <w:rsid w:val="00D70DFA"/>
    <w:rsid w:val="00D72297"/>
    <w:rsid w:val="00D72A1C"/>
    <w:rsid w:val="00D7308F"/>
    <w:rsid w:val="00D7313E"/>
    <w:rsid w:val="00D73396"/>
    <w:rsid w:val="00D73580"/>
    <w:rsid w:val="00D73802"/>
    <w:rsid w:val="00D73883"/>
    <w:rsid w:val="00D73C2C"/>
    <w:rsid w:val="00D73D52"/>
    <w:rsid w:val="00D73E70"/>
    <w:rsid w:val="00D745E7"/>
    <w:rsid w:val="00D75EDA"/>
    <w:rsid w:val="00D75FDA"/>
    <w:rsid w:val="00D774ED"/>
    <w:rsid w:val="00D776AD"/>
    <w:rsid w:val="00D777C3"/>
    <w:rsid w:val="00D7797C"/>
    <w:rsid w:val="00D77C44"/>
    <w:rsid w:val="00D77EDB"/>
    <w:rsid w:val="00D77F88"/>
    <w:rsid w:val="00D81AFA"/>
    <w:rsid w:val="00D81EAA"/>
    <w:rsid w:val="00D81FE2"/>
    <w:rsid w:val="00D8259F"/>
    <w:rsid w:val="00D825F2"/>
    <w:rsid w:val="00D8285C"/>
    <w:rsid w:val="00D828B1"/>
    <w:rsid w:val="00D82A55"/>
    <w:rsid w:val="00D830F8"/>
    <w:rsid w:val="00D83D49"/>
    <w:rsid w:val="00D84181"/>
    <w:rsid w:val="00D846AD"/>
    <w:rsid w:val="00D84754"/>
    <w:rsid w:val="00D84F27"/>
    <w:rsid w:val="00D853F0"/>
    <w:rsid w:val="00D85862"/>
    <w:rsid w:val="00D85892"/>
    <w:rsid w:val="00D85EF2"/>
    <w:rsid w:val="00D86D47"/>
    <w:rsid w:val="00D8710C"/>
    <w:rsid w:val="00D873C6"/>
    <w:rsid w:val="00D87819"/>
    <w:rsid w:val="00D878A3"/>
    <w:rsid w:val="00D9074A"/>
    <w:rsid w:val="00D9099E"/>
    <w:rsid w:val="00D9193A"/>
    <w:rsid w:val="00D91D05"/>
    <w:rsid w:val="00D923B2"/>
    <w:rsid w:val="00D92463"/>
    <w:rsid w:val="00D927B5"/>
    <w:rsid w:val="00D92981"/>
    <w:rsid w:val="00D92C81"/>
    <w:rsid w:val="00D93E64"/>
    <w:rsid w:val="00D93F64"/>
    <w:rsid w:val="00D94CA4"/>
    <w:rsid w:val="00D95E99"/>
    <w:rsid w:val="00D965D5"/>
    <w:rsid w:val="00D96F7C"/>
    <w:rsid w:val="00D9714B"/>
    <w:rsid w:val="00D97DA2"/>
    <w:rsid w:val="00DA0485"/>
    <w:rsid w:val="00DA0874"/>
    <w:rsid w:val="00DA1A3A"/>
    <w:rsid w:val="00DA1FC3"/>
    <w:rsid w:val="00DA2351"/>
    <w:rsid w:val="00DA249E"/>
    <w:rsid w:val="00DA2D3D"/>
    <w:rsid w:val="00DA35D9"/>
    <w:rsid w:val="00DA3855"/>
    <w:rsid w:val="00DA39BA"/>
    <w:rsid w:val="00DA4C30"/>
    <w:rsid w:val="00DA538E"/>
    <w:rsid w:val="00DA576E"/>
    <w:rsid w:val="00DA5FB3"/>
    <w:rsid w:val="00DA6980"/>
    <w:rsid w:val="00DA6A44"/>
    <w:rsid w:val="00DA7A3C"/>
    <w:rsid w:val="00DB073C"/>
    <w:rsid w:val="00DB145E"/>
    <w:rsid w:val="00DB1A94"/>
    <w:rsid w:val="00DB1D52"/>
    <w:rsid w:val="00DB1E2B"/>
    <w:rsid w:val="00DB1F62"/>
    <w:rsid w:val="00DB21E7"/>
    <w:rsid w:val="00DB2E03"/>
    <w:rsid w:val="00DB3742"/>
    <w:rsid w:val="00DB3C5A"/>
    <w:rsid w:val="00DB3E9B"/>
    <w:rsid w:val="00DB3F4B"/>
    <w:rsid w:val="00DB5375"/>
    <w:rsid w:val="00DB6003"/>
    <w:rsid w:val="00DB6769"/>
    <w:rsid w:val="00DB67C1"/>
    <w:rsid w:val="00DB6C0B"/>
    <w:rsid w:val="00DB70F4"/>
    <w:rsid w:val="00DB748A"/>
    <w:rsid w:val="00DB7CB7"/>
    <w:rsid w:val="00DC1056"/>
    <w:rsid w:val="00DC1442"/>
    <w:rsid w:val="00DC1781"/>
    <w:rsid w:val="00DC1AC8"/>
    <w:rsid w:val="00DC21D8"/>
    <w:rsid w:val="00DC282A"/>
    <w:rsid w:val="00DC2DE8"/>
    <w:rsid w:val="00DC34DC"/>
    <w:rsid w:val="00DC3780"/>
    <w:rsid w:val="00DC3ADA"/>
    <w:rsid w:val="00DC3CC6"/>
    <w:rsid w:val="00DC3F55"/>
    <w:rsid w:val="00DC4782"/>
    <w:rsid w:val="00DC4785"/>
    <w:rsid w:val="00DC4B02"/>
    <w:rsid w:val="00DC514A"/>
    <w:rsid w:val="00DC67B1"/>
    <w:rsid w:val="00DC68EA"/>
    <w:rsid w:val="00DC7FBC"/>
    <w:rsid w:val="00DD0019"/>
    <w:rsid w:val="00DD132B"/>
    <w:rsid w:val="00DD1571"/>
    <w:rsid w:val="00DD1725"/>
    <w:rsid w:val="00DD2159"/>
    <w:rsid w:val="00DD218B"/>
    <w:rsid w:val="00DD28BA"/>
    <w:rsid w:val="00DD2A18"/>
    <w:rsid w:val="00DD3044"/>
    <w:rsid w:val="00DD3985"/>
    <w:rsid w:val="00DD5B79"/>
    <w:rsid w:val="00DD5D07"/>
    <w:rsid w:val="00DD61E8"/>
    <w:rsid w:val="00DD62C0"/>
    <w:rsid w:val="00DD63F8"/>
    <w:rsid w:val="00DD64DE"/>
    <w:rsid w:val="00DD66DE"/>
    <w:rsid w:val="00DD7197"/>
    <w:rsid w:val="00DD7859"/>
    <w:rsid w:val="00DD7B41"/>
    <w:rsid w:val="00DD7FBB"/>
    <w:rsid w:val="00DE0784"/>
    <w:rsid w:val="00DE0A1D"/>
    <w:rsid w:val="00DE15B2"/>
    <w:rsid w:val="00DE1A9A"/>
    <w:rsid w:val="00DE3D2C"/>
    <w:rsid w:val="00DE57D0"/>
    <w:rsid w:val="00DE5E82"/>
    <w:rsid w:val="00DE5EC5"/>
    <w:rsid w:val="00DE5FA6"/>
    <w:rsid w:val="00DE65CE"/>
    <w:rsid w:val="00DE6792"/>
    <w:rsid w:val="00DE6AA1"/>
    <w:rsid w:val="00DE77A3"/>
    <w:rsid w:val="00DE7EF7"/>
    <w:rsid w:val="00DF015B"/>
    <w:rsid w:val="00DF02EC"/>
    <w:rsid w:val="00DF10FC"/>
    <w:rsid w:val="00DF1185"/>
    <w:rsid w:val="00DF1299"/>
    <w:rsid w:val="00DF1620"/>
    <w:rsid w:val="00DF1A70"/>
    <w:rsid w:val="00DF1E5F"/>
    <w:rsid w:val="00DF23A8"/>
    <w:rsid w:val="00DF2EE1"/>
    <w:rsid w:val="00DF2F27"/>
    <w:rsid w:val="00DF36B6"/>
    <w:rsid w:val="00DF4296"/>
    <w:rsid w:val="00DF5267"/>
    <w:rsid w:val="00DF53F0"/>
    <w:rsid w:val="00DF5700"/>
    <w:rsid w:val="00DF5707"/>
    <w:rsid w:val="00DF5F38"/>
    <w:rsid w:val="00DF604C"/>
    <w:rsid w:val="00DF6608"/>
    <w:rsid w:val="00DF6CCC"/>
    <w:rsid w:val="00DF6D0C"/>
    <w:rsid w:val="00DF6F64"/>
    <w:rsid w:val="00DF721E"/>
    <w:rsid w:val="00DF72F3"/>
    <w:rsid w:val="00DF7549"/>
    <w:rsid w:val="00DF78D0"/>
    <w:rsid w:val="00DF7B8A"/>
    <w:rsid w:val="00DF7C87"/>
    <w:rsid w:val="00E00307"/>
    <w:rsid w:val="00E009B0"/>
    <w:rsid w:val="00E00A12"/>
    <w:rsid w:val="00E00B39"/>
    <w:rsid w:val="00E00C49"/>
    <w:rsid w:val="00E01C9C"/>
    <w:rsid w:val="00E01FF4"/>
    <w:rsid w:val="00E0219D"/>
    <w:rsid w:val="00E032D9"/>
    <w:rsid w:val="00E04482"/>
    <w:rsid w:val="00E04C0F"/>
    <w:rsid w:val="00E05510"/>
    <w:rsid w:val="00E0570B"/>
    <w:rsid w:val="00E05B1D"/>
    <w:rsid w:val="00E0685D"/>
    <w:rsid w:val="00E069C5"/>
    <w:rsid w:val="00E06AA3"/>
    <w:rsid w:val="00E1065D"/>
    <w:rsid w:val="00E10913"/>
    <w:rsid w:val="00E10B87"/>
    <w:rsid w:val="00E121CE"/>
    <w:rsid w:val="00E12209"/>
    <w:rsid w:val="00E144C4"/>
    <w:rsid w:val="00E14585"/>
    <w:rsid w:val="00E1478B"/>
    <w:rsid w:val="00E14FAC"/>
    <w:rsid w:val="00E15007"/>
    <w:rsid w:val="00E15DC6"/>
    <w:rsid w:val="00E16277"/>
    <w:rsid w:val="00E16EC7"/>
    <w:rsid w:val="00E17DCC"/>
    <w:rsid w:val="00E207B8"/>
    <w:rsid w:val="00E219CE"/>
    <w:rsid w:val="00E21D93"/>
    <w:rsid w:val="00E22A86"/>
    <w:rsid w:val="00E22D2A"/>
    <w:rsid w:val="00E24071"/>
    <w:rsid w:val="00E24142"/>
    <w:rsid w:val="00E24DCA"/>
    <w:rsid w:val="00E24EBC"/>
    <w:rsid w:val="00E2522C"/>
    <w:rsid w:val="00E2552F"/>
    <w:rsid w:val="00E2599B"/>
    <w:rsid w:val="00E26DE3"/>
    <w:rsid w:val="00E2710C"/>
    <w:rsid w:val="00E272BD"/>
    <w:rsid w:val="00E27428"/>
    <w:rsid w:val="00E305B4"/>
    <w:rsid w:val="00E3128C"/>
    <w:rsid w:val="00E31AFA"/>
    <w:rsid w:val="00E31CB7"/>
    <w:rsid w:val="00E324EE"/>
    <w:rsid w:val="00E3367B"/>
    <w:rsid w:val="00E34DB1"/>
    <w:rsid w:val="00E34FAD"/>
    <w:rsid w:val="00E35931"/>
    <w:rsid w:val="00E359FF"/>
    <w:rsid w:val="00E36337"/>
    <w:rsid w:val="00E3699A"/>
    <w:rsid w:val="00E371E1"/>
    <w:rsid w:val="00E402C5"/>
    <w:rsid w:val="00E402F4"/>
    <w:rsid w:val="00E405F1"/>
    <w:rsid w:val="00E417DB"/>
    <w:rsid w:val="00E43054"/>
    <w:rsid w:val="00E432D1"/>
    <w:rsid w:val="00E43655"/>
    <w:rsid w:val="00E44440"/>
    <w:rsid w:val="00E44A8B"/>
    <w:rsid w:val="00E45958"/>
    <w:rsid w:val="00E46013"/>
    <w:rsid w:val="00E4673F"/>
    <w:rsid w:val="00E47099"/>
    <w:rsid w:val="00E47284"/>
    <w:rsid w:val="00E477C3"/>
    <w:rsid w:val="00E5017E"/>
    <w:rsid w:val="00E50734"/>
    <w:rsid w:val="00E5140B"/>
    <w:rsid w:val="00E51E16"/>
    <w:rsid w:val="00E52680"/>
    <w:rsid w:val="00E52990"/>
    <w:rsid w:val="00E52DED"/>
    <w:rsid w:val="00E53730"/>
    <w:rsid w:val="00E53AAB"/>
    <w:rsid w:val="00E5410A"/>
    <w:rsid w:val="00E5438D"/>
    <w:rsid w:val="00E54511"/>
    <w:rsid w:val="00E54E50"/>
    <w:rsid w:val="00E55288"/>
    <w:rsid w:val="00E57577"/>
    <w:rsid w:val="00E579DF"/>
    <w:rsid w:val="00E57CDA"/>
    <w:rsid w:val="00E62043"/>
    <w:rsid w:val="00E626B9"/>
    <w:rsid w:val="00E627C9"/>
    <w:rsid w:val="00E630F3"/>
    <w:rsid w:val="00E6332F"/>
    <w:rsid w:val="00E637C9"/>
    <w:rsid w:val="00E6402D"/>
    <w:rsid w:val="00E6680A"/>
    <w:rsid w:val="00E669E3"/>
    <w:rsid w:val="00E66F0D"/>
    <w:rsid w:val="00E678CC"/>
    <w:rsid w:val="00E67BFA"/>
    <w:rsid w:val="00E7004F"/>
    <w:rsid w:val="00E70615"/>
    <w:rsid w:val="00E7159E"/>
    <w:rsid w:val="00E7161E"/>
    <w:rsid w:val="00E71BE3"/>
    <w:rsid w:val="00E72004"/>
    <w:rsid w:val="00E7207B"/>
    <w:rsid w:val="00E722CF"/>
    <w:rsid w:val="00E72880"/>
    <w:rsid w:val="00E7347A"/>
    <w:rsid w:val="00E75A47"/>
    <w:rsid w:val="00E75BB6"/>
    <w:rsid w:val="00E75D8C"/>
    <w:rsid w:val="00E7719C"/>
    <w:rsid w:val="00E7757E"/>
    <w:rsid w:val="00E777F2"/>
    <w:rsid w:val="00E802C9"/>
    <w:rsid w:val="00E80BFB"/>
    <w:rsid w:val="00E80EC2"/>
    <w:rsid w:val="00E80F0A"/>
    <w:rsid w:val="00E811E5"/>
    <w:rsid w:val="00E815D4"/>
    <w:rsid w:val="00E818FD"/>
    <w:rsid w:val="00E819BA"/>
    <w:rsid w:val="00E8291B"/>
    <w:rsid w:val="00E82E70"/>
    <w:rsid w:val="00E82F92"/>
    <w:rsid w:val="00E8301C"/>
    <w:rsid w:val="00E8395F"/>
    <w:rsid w:val="00E83ECB"/>
    <w:rsid w:val="00E8410F"/>
    <w:rsid w:val="00E849D7"/>
    <w:rsid w:val="00E85E41"/>
    <w:rsid w:val="00E85EA1"/>
    <w:rsid w:val="00E86703"/>
    <w:rsid w:val="00E86C01"/>
    <w:rsid w:val="00E8701F"/>
    <w:rsid w:val="00E900DA"/>
    <w:rsid w:val="00E90DDE"/>
    <w:rsid w:val="00E91044"/>
    <w:rsid w:val="00E910D3"/>
    <w:rsid w:val="00E91CBA"/>
    <w:rsid w:val="00E92097"/>
    <w:rsid w:val="00E92154"/>
    <w:rsid w:val="00E923CF"/>
    <w:rsid w:val="00E92B8F"/>
    <w:rsid w:val="00E93685"/>
    <w:rsid w:val="00E93B65"/>
    <w:rsid w:val="00E93C8C"/>
    <w:rsid w:val="00E95111"/>
    <w:rsid w:val="00E95FDF"/>
    <w:rsid w:val="00E960AD"/>
    <w:rsid w:val="00E9677F"/>
    <w:rsid w:val="00E96898"/>
    <w:rsid w:val="00E97043"/>
    <w:rsid w:val="00EA0185"/>
    <w:rsid w:val="00EA14C8"/>
    <w:rsid w:val="00EA1F20"/>
    <w:rsid w:val="00EA2110"/>
    <w:rsid w:val="00EA24AF"/>
    <w:rsid w:val="00EA283A"/>
    <w:rsid w:val="00EA2C90"/>
    <w:rsid w:val="00EA2E07"/>
    <w:rsid w:val="00EA383B"/>
    <w:rsid w:val="00EA44ED"/>
    <w:rsid w:val="00EA48F3"/>
    <w:rsid w:val="00EA4D46"/>
    <w:rsid w:val="00EA5BD1"/>
    <w:rsid w:val="00EA60BF"/>
    <w:rsid w:val="00EA7365"/>
    <w:rsid w:val="00EA763F"/>
    <w:rsid w:val="00EA77E9"/>
    <w:rsid w:val="00EB05D0"/>
    <w:rsid w:val="00EB1151"/>
    <w:rsid w:val="00EB14C4"/>
    <w:rsid w:val="00EB1D49"/>
    <w:rsid w:val="00EB23D9"/>
    <w:rsid w:val="00EB39A0"/>
    <w:rsid w:val="00EB430A"/>
    <w:rsid w:val="00EB559F"/>
    <w:rsid w:val="00EB566C"/>
    <w:rsid w:val="00EB5A18"/>
    <w:rsid w:val="00EB5F3D"/>
    <w:rsid w:val="00EB6C97"/>
    <w:rsid w:val="00EC0317"/>
    <w:rsid w:val="00EC1CEB"/>
    <w:rsid w:val="00EC1DC0"/>
    <w:rsid w:val="00EC1DC2"/>
    <w:rsid w:val="00EC1E09"/>
    <w:rsid w:val="00EC210E"/>
    <w:rsid w:val="00EC21EC"/>
    <w:rsid w:val="00EC24B8"/>
    <w:rsid w:val="00EC268C"/>
    <w:rsid w:val="00EC3753"/>
    <w:rsid w:val="00EC3FB6"/>
    <w:rsid w:val="00EC4E71"/>
    <w:rsid w:val="00EC5D99"/>
    <w:rsid w:val="00EC5F1C"/>
    <w:rsid w:val="00EC6359"/>
    <w:rsid w:val="00EC7AEB"/>
    <w:rsid w:val="00ED0365"/>
    <w:rsid w:val="00ED0512"/>
    <w:rsid w:val="00ED0865"/>
    <w:rsid w:val="00ED0C1C"/>
    <w:rsid w:val="00ED1C60"/>
    <w:rsid w:val="00ED2EB9"/>
    <w:rsid w:val="00ED3722"/>
    <w:rsid w:val="00ED3A31"/>
    <w:rsid w:val="00ED4469"/>
    <w:rsid w:val="00ED5424"/>
    <w:rsid w:val="00ED5F23"/>
    <w:rsid w:val="00ED6DC0"/>
    <w:rsid w:val="00ED7A7A"/>
    <w:rsid w:val="00ED7C1D"/>
    <w:rsid w:val="00EE0327"/>
    <w:rsid w:val="00EE038C"/>
    <w:rsid w:val="00EE105A"/>
    <w:rsid w:val="00EE1D00"/>
    <w:rsid w:val="00EE259E"/>
    <w:rsid w:val="00EE25C8"/>
    <w:rsid w:val="00EE28C5"/>
    <w:rsid w:val="00EE2F09"/>
    <w:rsid w:val="00EE47C5"/>
    <w:rsid w:val="00EE490C"/>
    <w:rsid w:val="00EE4E57"/>
    <w:rsid w:val="00EE5738"/>
    <w:rsid w:val="00EE58BD"/>
    <w:rsid w:val="00EE5DDB"/>
    <w:rsid w:val="00EE5E59"/>
    <w:rsid w:val="00EE6CCD"/>
    <w:rsid w:val="00EE73D0"/>
    <w:rsid w:val="00EE7CB0"/>
    <w:rsid w:val="00EE7CD1"/>
    <w:rsid w:val="00EF08A8"/>
    <w:rsid w:val="00EF167B"/>
    <w:rsid w:val="00EF1B4A"/>
    <w:rsid w:val="00EF1C90"/>
    <w:rsid w:val="00EF2496"/>
    <w:rsid w:val="00EF3CC5"/>
    <w:rsid w:val="00EF41A8"/>
    <w:rsid w:val="00EF44FB"/>
    <w:rsid w:val="00EF4D15"/>
    <w:rsid w:val="00EF5122"/>
    <w:rsid w:val="00EF5429"/>
    <w:rsid w:val="00EF5554"/>
    <w:rsid w:val="00EF5AD8"/>
    <w:rsid w:val="00EF6B90"/>
    <w:rsid w:val="00EF70C9"/>
    <w:rsid w:val="00EF741E"/>
    <w:rsid w:val="00EF7807"/>
    <w:rsid w:val="00EF79F7"/>
    <w:rsid w:val="00F006C0"/>
    <w:rsid w:val="00F00D81"/>
    <w:rsid w:val="00F0125F"/>
    <w:rsid w:val="00F015C3"/>
    <w:rsid w:val="00F0176A"/>
    <w:rsid w:val="00F019AA"/>
    <w:rsid w:val="00F0267E"/>
    <w:rsid w:val="00F02686"/>
    <w:rsid w:val="00F030C0"/>
    <w:rsid w:val="00F03291"/>
    <w:rsid w:val="00F03A85"/>
    <w:rsid w:val="00F04052"/>
    <w:rsid w:val="00F04314"/>
    <w:rsid w:val="00F0459B"/>
    <w:rsid w:val="00F04E15"/>
    <w:rsid w:val="00F05DF3"/>
    <w:rsid w:val="00F06829"/>
    <w:rsid w:val="00F069EA"/>
    <w:rsid w:val="00F06A4B"/>
    <w:rsid w:val="00F06A69"/>
    <w:rsid w:val="00F070E5"/>
    <w:rsid w:val="00F07D5E"/>
    <w:rsid w:val="00F07DDE"/>
    <w:rsid w:val="00F10396"/>
    <w:rsid w:val="00F11675"/>
    <w:rsid w:val="00F123DA"/>
    <w:rsid w:val="00F12557"/>
    <w:rsid w:val="00F12580"/>
    <w:rsid w:val="00F127C8"/>
    <w:rsid w:val="00F12881"/>
    <w:rsid w:val="00F12ADD"/>
    <w:rsid w:val="00F12C62"/>
    <w:rsid w:val="00F134BA"/>
    <w:rsid w:val="00F13599"/>
    <w:rsid w:val="00F13A71"/>
    <w:rsid w:val="00F13B28"/>
    <w:rsid w:val="00F14DCD"/>
    <w:rsid w:val="00F156A0"/>
    <w:rsid w:val="00F15730"/>
    <w:rsid w:val="00F176A6"/>
    <w:rsid w:val="00F17A24"/>
    <w:rsid w:val="00F202C2"/>
    <w:rsid w:val="00F204B3"/>
    <w:rsid w:val="00F212F6"/>
    <w:rsid w:val="00F2190F"/>
    <w:rsid w:val="00F22756"/>
    <w:rsid w:val="00F23248"/>
    <w:rsid w:val="00F23890"/>
    <w:rsid w:val="00F2504D"/>
    <w:rsid w:val="00F2595D"/>
    <w:rsid w:val="00F25B26"/>
    <w:rsid w:val="00F2637F"/>
    <w:rsid w:val="00F268F7"/>
    <w:rsid w:val="00F3092B"/>
    <w:rsid w:val="00F30B83"/>
    <w:rsid w:val="00F30BDB"/>
    <w:rsid w:val="00F30CF8"/>
    <w:rsid w:val="00F31402"/>
    <w:rsid w:val="00F31EDF"/>
    <w:rsid w:val="00F31F89"/>
    <w:rsid w:val="00F32507"/>
    <w:rsid w:val="00F32CDE"/>
    <w:rsid w:val="00F32D4C"/>
    <w:rsid w:val="00F3327E"/>
    <w:rsid w:val="00F338C3"/>
    <w:rsid w:val="00F34B14"/>
    <w:rsid w:val="00F34CF1"/>
    <w:rsid w:val="00F34E35"/>
    <w:rsid w:val="00F34F58"/>
    <w:rsid w:val="00F3572F"/>
    <w:rsid w:val="00F35DA7"/>
    <w:rsid w:val="00F36A6A"/>
    <w:rsid w:val="00F40101"/>
    <w:rsid w:val="00F404F7"/>
    <w:rsid w:val="00F40CCA"/>
    <w:rsid w:val="00F41E02"/>
    <w:rsid w:val="00F426DF"/>
    <w:rsid w:val="00F42AA4"/>
    <w:rsid w:val="00F42D97"/>
    <w:rsid w:val="00F42F0E"/>
    <w:rsid w:val="00F42FCF"/>
    <w:rsid w:val="00F436B2"/>
    <w:rsid w:val="00F43813"/>
    <w:rsid w:val="00F43FEE"/>
    <w:rsid w:val="00F440B0"/>
    <w:rsid w:val="00F44114"/>
    <w:rsid w:val="00F4492F"/>
    <w:rsid w:val="00F45030"/>
    <w:rsid w:val="00F45A72"/>
    <w:rsid w:val="00F46723"/>
    <w:rsid w:val="00F4706D"/>
    <w:rsid w:val="00F47309"/>
    <w:rsid w:val="00F476E1"/>
    <w:rsid w:val="00F47855"/>
    <w:rsid w:val="00F47D1D"/>
    <w:rsid w:val="00F47F29"/>
    <w:rsid w:val="00F50016"/>
    <w:rsid w:val="00F5118A"/>
    <w:rsid w:val="00F51A21"/>
    <w:rsid w:val="00F51A35"/>
    <w:rsid w:val="00F52314"/>
    <w:rsid w:val="00F523B9"/>
    <w:rsid w:val="00F52614"/>
    <w:rsid w:val="00F5276E"/>
    <w:rsid w:val="00F52E9F"/>
    <w:rsid w:val="00F532B2"/>
    <w:rsid w:val="00F53304"/>
    <w:rsid w:val="00F53B80"/>
    <w:rsid w:val="00F53B81"/>
    <w:rsid w:val="00F53C15"/>
    <w:rsid w:val="00F540FE"/>
    <w:rsid w:val="00F5459A"/>
    <w:rsid w:val="00F556FF"/>
    <w:rsid w:val="00F559D0"/>
    <w:rsid w:val="00F55D12"/>
    <w:rsid w:val="00F5687F"/>
    <w:rsid w:val="00F56D3F"/>
    <w:rsid w:val="00F575C7"/>
    <w:rsid w:val="00F5761B"/>
    <w:rsid w:val="00F57CC1"/>
    <w:rsid w:val="00F57DF7"/>
    <w:rsid w:val="00F57FD0"/>
    <w:rsid w:val="00F60305"/>
    <w:rsid w:val="00F61B12"/>
    <w:rsid w:val="00F61C70"/>
    <w:rsid w:val="00F627D8"/>
    <w:rsid w:val="00F62869"/>
    <w:rsid w:val="00F62ED4"/>
    <w:rsid w:val="00F63264"/>
    <w:rsid w:val="00F634E4"/>
    <w:rsid w:val="00F6379E"/>
    <w:rsid w:val="00F63B38"/>
    <w:rsid w:val="00F64047"/>
    <w:rsid w:val="00F64BF0"/>
    <w:rsid w:val="00F65171"/>
    <w:rsid w:val="00F6533A"/>
    <w:rsid w:val="00F6560D"/>
    <w:rsid w:val="00F669BD"/>
    <w:rsid w:val="00F67844"/>
    <w:rsid w:val="00F67B09"/>
    <w:rsid w:val="00F705F6"/>
    <w:rsid w:val="00F70795"/>
    <w:rsid w:val="00F70799"/>
    <w:rsid w:val="00F70A8B"/>
    <w:rsid w:val="00F70B22"/>
    <w:rsid w:val="00F70B8D"/>
    <w:rsid w:val="00F717D6"/>
    <w:rsid w:val="00F71875"/>
    <w:rsid w:val="00F71936"/>
    <w:rsid w:val="00F71F81"/>
    <w:rsid w:val="00F724FB"/>
    <w:rsid w:val="00F726B8"/>
    <w:rsid w:val="00F72A26"/>
    <w:rsid w:val="00F733C3"/>
    <w:rsid w:val="00F73D5B"/>
    <w:rsid w:val="00F73E15"/>
    <w:rsid w:val="00F746A1"/>
    <w:rsid w:val="00F74820"/>
    <w:rsid w:val="00F7506D"/>
    <w:rsid w:val="00F755DD"/>
    <w:rsid w:val="00F756DD"/>
    <w:rsid w:val="00F77F4E"/>
    <w:rsid w:val="00F80047"/>
    <w:rsid w:val="00F800C7"/>
    <w:rsid w:val="00F80361"/>
    <w:rsid w:val="00F80AE2"/>
    <w:rsid w:val="00F8104D"/>
    <w:rsid w:val="00F8153F"/>
    <w:rsid w:val="00F81587"/>
    <w:rsid w:val="00F81B2A"/>
    <w:rsid w:val="00F81C12"/>
    <w:rsid w:val="00F81D4D"/>
    <w:rsid w:val="00F8263C"/>
    <w:rsid w:val="00F8288F"/>
    <w:rsid w:val="00F8376E"/>
    <w:rsid w:val="00F83C52"/>
    <w:rsid w:val="00F840EC"/>
    <w:rsid w:val="00F84802"/>
    <w:rsid w:val="00F84B25"/>
    <w:rsid w:val="00F85B72"/>
    <w:rsid w:val="00F86540"/>
    <w:rsid w:val="00F865CE"/>
    <w:rsid w:val="00F8766F"/>
    <w:rsid w:val="00F901B3"/>
    <w:rsid w:val="00F90282"/>
    <w:rsid w:val="00F90BC8"/>
    <w:rsid w:val="00F91082"/>
    <w:rsid w:val="00F9116D"/>
    <w:rsid w:val="00F91171"/>
    <w:rsid w:val="00F91342"/>
    <w:rsid w:val="00F91A9A"/>
    <w:rsid w:val="00F923AF"/>
    <w:rsid w:val="00F92634"/>
    <w:rsid w:val="00F933F3"/>
    <w:rsid w:val="00F93ABB"/>
    <w:rsid w:val="00F94D79"/>
    <w:rsid w:val="00F9658C"/>
    <w:rsid w:val="00F96EEB"/>
    <w:rsid w:val="00F977F3"/>
    <w:rsid w:val="00F97A7F"/>
    <w:rsid w:val="00F97CD0"/>
    <w:rsid w:val="00F97D7A"/>
    <w:rsid w:val="00FA0889"/>
    <w:rsid w:val="00FA16E7"/>
    <w:rsid w:val="00FA1F66"/>
    <w:rsid w:val="00FA2DA3"/>
    <w:rsid w:val="00FA31C7"/>
    <w:rsid w:val="00FA4247"/>
    <w:rsid w:val="00FA472D"/>
    <w:rsid w:val="00FA50CB"/>
    <w:rsid w:val="00FA5A92"/>
    <w:rsid w:val="00FA681F"/>
    <w:rsid w:val="00FB0261"/>
    <w:rsid w:val="00FB0CBF"/>
    <w:rsid w:val="00FB18F6"/>
    <w:rsid w:val="00FB2A52"/>
    <w:rsid w:val="00FB358B"/>
    <w:rsid w:val="00FB3961"/>
    <w:rsid w:val="00FB39E0"/>
    <w:rsid w:val="00FB3F92"/>
    <w:rsid w:val="00FB52C7"/>
    <w:rsid w:val="00FB57DC"/>
    <w:rsid w:val="00FB5915"/>
    <w:rsid w:val="00FB6E19"/>
    <w:rsid w:val="00FB71F6"/>
    <w:rsid w:val="00FB74F1"/>
    <w:rsid w:val="00FC0670"/>
    <w:rsid w:val="00FC07AF"/>
    <w:rsid w:val="00FC0AF8"/>
    <w:rsid w:val="00FC0B69"/>
    <w:rsid w:val="00FC1055"/>
    <w:rsid w:val="00FC1238"/>
    <w:rsid w:val="00FC1483"/>
    <w:rsid w:val="00FC1BEF"/>
    <w:rsid w:val="00FC1C47"/>
    <w:rsid w:val="00FC2869"/>
    <w:rsid w:val="00FC2F9E"/>
    <w:rsid w:val="00FC3102"/>
    <w:rsid w:val="00FC3848"/>
    <w:rsid w:val="00FC39ED"/>
    <w:rsid w:val="00FC3D40"/>
    <w:rsid w:val="00FC4419"/>
    <w:rsid w:val="00FC47E2"/>
    <w:rsid w:val="00FC4AA5"/>
    <w:rsid w:val="00FC4B63"/>
    <w:rsid w:val="00FC4B88"/>
    <w:rsid w:val="00FC4BB8"/>
    <w:rsid w:val="00FC5148"/>
    <w:rsid w:val="00FC6524"/>
    <w:rsid w:val="00FC6B58"/>
    <w:rsid w:val="00FC6BBC"/>
    <w:rsid w:val="00FC711D"/>
    <w:rsid w:val="00FC75AC"/>
    <w:rsid w:val="00FC7984"/>
    <w:rsid w:val="00FD01BF"/>
    <w:rsid w:val="00FD0525"/>
    <w:rsid w:val="00FD0AB7"/>
    <w:rsid w:val="00FD292C"/>
    <w:rsid w:val="00FD297D"/>
    <w:rsid w:val="00FD2D13"/>
    <w:rsid w:val="00FD374D"/>
    <w:rsid w:val="00FD4D2A"/>
    <w:rsid w:val="00FD6071"/>
    <w:rsid w:val="00FD633B"/>
    <w:rsid w:val="00FD66ED"/>
    <w:rsid w:val="00FD6ABA"/>
    <w:rsid w:val="00FD6FF2"/>
    <w:rsid w:val="00FE0794"/>
    <w:rsid w:val="00FE1041"/>
    <w:rsid w:val="00FE1614"/>
    <w:rsid w:val="00FE24CB"/>
    <w:rsid w:val="00FE2CCF"/>
    <w:rsid w:val="00FE323F"/>
    <w:rsid w:val="00FE3473"/>
    <w:rsid w:val="00FE4049"/>
    <w:rsid w:val="00FE4794"/>
    <w:rsid w:val="00FE480F"/>
    <w:rsid w:val="00FE4998"/>
    <w:rsid w:val="00FE5382"/>
    <w:rsid w:val="00FE57DE"/>
    <w:rsid w:val="00FE719F"/>
    <w:rsid w:val="00FE7A68"/>
    <w:rsid w:val="00FE7F0A"/>
    <w:rsid w:val="00FF0231"/>
    <w:rsid w:val="00FF056D"/>
    <w:rsid w:val="00FF1C9B"/>
    <w:rsid w:val="00FF1D49"/>
    <w:rsid w:val="00FF203B"/>
    <w:rsid w:val="00FF2562"/>
    <w:rsid w:val="00FF3A41"/>
    <w:rsid w:val="00FF3E5B"/>
    <w:rsid w:val="00FF5183"/>
    <w:rsid w:val="00FF57E4"/>
    <w:rsid w:val="00FF5E26"/>
    <w:rsid w:val="00FF5ECD"/>
    <w:rsid w:val="00FF78E5"/>
    <w:rsid w:val="01051D5C"/>
    <w:rsid w:val="01260E98"/>
    <w:rsid w:val="012C5FAF"/>
    <w:rsid w:val="016B3C92"/>
    <w:rsid w:val="01A7647D"/>
    <w:rsid w:val="01AF3D99"/>
    <w:rsid w:val="02212A12"/>
    <w:rsid w:val="02511F9D"/>
    <w:rsid w:val="02A4476B"/>
    <w:rsid w:val="0337738D"/>
    <w:rsid w:val="03A314B8"/>
    <w:rsid w:val="03D82B98"/>
    <w:rsid w:val="03EF3C40"/>
    <w:rsid w:val="03F83E8B"/>
    <w:rsid w:val="040B3B1A"/>
    <w:rsid w:val="04333FF8"/>
    <w:rsid w:val="04D035F5"/>
    <w:rsid w:val="05C56868"/>
    <w:rsid w:val="06CE4C96"/>
    <w:rsid w:val="07A539BD"/>
    <w:rsid w:val="07B72767"/>
    <w:rsid w:val="07F36ECC"/>
    <w:rsid w:val="08077E72"/>
    <w:rsid w:val="08353A2F"/>
    <w:rsid w:val="08882DD0"/>
    <w:rsid w:val="08981017"/>
    <w:rsid w:val="09CC2AAC"/>
    <w:rsid w:val="0A652D3E"/>
    <w:rsid w:val="0B326F2A"/>
    <w:rsid w:val="0B3A2110"/>
    <w:rsid w:val="0C0725CD"/>
    <w:rsid w:val="0C1E2888"/>
    <w:rsid w:val="0C230DF6"/>
    <w:rsid w:val="0C92213C"/>
    <w:rsid w:val="0CC2027E"/>
    <w:rsid w:val="0CD82968"/>
    <w:rsid w:val="0D0504FC"/>
    <w:rsid w:val="0D84032B"/>
    <w:rsid w:val="0D847371"/>
    <w:rsid w:val="0E6E1987"/>
    <w:rsid w:val="0EA24254"/>
    <w:rsid w:val="0EBD6DAA"/>
    <w:rsid w:val="0ECD7B5C"/>
    <w:rsid w:val="0F2A74C4"/>
    <w:rsid w:val="10A27F31"/>
    <w:rsid w:val="10B1077E"/>
    <w:rsid w:val="10E87F18"/>
    <w:rsid w:val="115D4462"/>
    <w:rsid w:val="11927058"/>
    <w:rsid w:val="119F10A4"/>
    <w:rsid w:val="11B344D7"/>
    <w:rsid w:val="120E171E"/>
    <w:rsid w:val="122167A9"/>
    <w:rsid w:val="1271317C"/>
    <w:rsid w:val="128351DA"/>
    <w:rsid w:val="128B4FFF"/>
    <w:rsid w:val="130C0503"/>
    <w:rsid w:val="134C1990"/>
    <w:rsid w:val="13AF4F03"/>
    <w:rsid w:val="13B81E24"/>
    <w:rsid w:val="146A3560"/>
    <w:rsid w:val="14736E66"/>
    <w:rsid w:val="14772ABA"/>
    <w:rsid w:val="147C10A3"/>
    <w:rsid w:val="147F458F"/>
    <w:rsid w:val="14D26F15"/>
    <w:rsid w:val="14EE5A0C"/>
    <w:rsid w:val="14F65E5A"/>
    <w:rsid w:val="1534169A"/>
    <w:rsid w:val="15793835"/>
    <w:rsid w:val="15C03E03"/>
    <w:rsid w:val="160059BE"/>
    <w:rsid w:val="162A25EB"/>
    <w:rsid w:val="163624FC"/>
    <w:rsid w:val="16596A26"/>
    <w:rsid w:val="16735895"/>
    <w:rsid w:val="16EB25B6"/>
    <w:rsid w:val="16FD2A55"/>
    <w:rsid w:val="17067C1A"/>
    <w:rsid w:val="17366761"/>
    <w:rsid w:val="17391F03"/>
    <w:rsid w:val="17684604"/>
    <w:rsid w:val="177C01F0"/>
    <w:rsid w:val="179E3EFA"/>
    <w:rsid w:val="17C7426D"/>
    <w:rsid w:val="17CE6630"/>
    <w:rsid w:val="17F109C8"/>
    <w:rsid w:val="1A1217FB"/>
    <w:rsid w:val="1AFF0AFE"/>
    <w:rsid w:val="1B4F19F8"/>
    <w:rsid w:val="1BBE4424"/>
    <w:rsid w:val="1BD26223"/>
    <w:rsid w:val="1C470E08"/>
    <w:rsid w:val="1CC66E8E"/>
    <w:rsid w:val="1CED02C7"/>
    <w:rsid w:val="1D295B40"/>
    <w:rsid w:val="1D8C3914"/>
    <w:rsid w:val="1E467CC7"/>
    <w:rsid w:val="1E94348E"/>
    <w:rsid w:val="1E996227"/>
    <w:rsid w:val="1ECC44FA"/>
    <w:rsid w:val="1F063325"/>
    <w:rsid w:val="1F2E5690"/>
    <w:rsid w:val="1FA17E7A"/>
    <w:rsid w:val="1FA559CA"/>
    <w:rsid w:val="1FB2006F"/>
    <w:rsid w:val="1FBC5DF5"/>
    <w:rsid w:val="1FF90588"/>
    <w:rsid w:val="20A21E92"/>
    <w:rsid w:val="20C3623F"/>
    <w:rsid w:val="21494A03"/>
    <w:rsid w:val="21781212"/>
    <w:rsid w:val="21B83F86"/>
    <w:rsid w:val="221178A8"/>
    <w:rsid w:val="221213CF"/>
    <w:rsid w:val="22327A92"/>
    <w:rsid w:val="22C8091E"/>
    <w:rsid w:val="231D53A2"/>
    <w:rsid w:val="2369314C"/>
    <w:rsid w:val="236D5383"/>
    <w:rsid w:val="23B7504C"/>
    <w:rsid w:val="24571307"/>
    <w:rsid w:val="245E67A0"/>
    <w:rsid w:val="24D26ABE"/>
    <w:rsid w:val="25110A2A"/>
    <w:rsid w:val="256C0944"/>
    <w:rsid w:val="263D64CA"/>
    <w:rsid w:val="26446DE3"/>
    <w:rsid w:val="26877DFE"/>
    <w:rsid w:val="269669E7"/>
    <w:rsid w:val="26A270C1"/>
    <w:rsid w:val="26B20955"/>
    <w:rsid w:val="26D7699F"/>
    <w:rsid w:val="2702368A"/>
    <w:rsid w:val="27A504B9"/>
    <w:rsid w:val="27D56FF1"/>
    <w:rsid w:val="28757E8C"/>
    <w:rsid w:val="288B76AF"/>
    <w:rsid w:val="28F47B14"/>
    <w:rsid w:val="290C2299"/>
    <w:rsid w:val="293C5AC7"/>
    <w:rsid w:val="29471828"/>
    <w:rsid w:val="29B2144F"/>
    <w:rsid w:val="29D75F7F"/>
    <w:rsid w:val="2AA85522"/>
    <w:rsid w:val="2ADE61BC"/>
    <w:rsid w:val="2B774624"/>
    <w:rsid w:val="2BBD2276"/>
    <w:rsid w:val="2BC260CB"/>
    <w:rsid w:val="2BD43CAE"/>
    <w:rsid w:val="2BEE6045"/>
    <w:rsid w:val="2C7A72BE"/>
    <w:rsid w:val="2C9A7D75"/>
    <w:rsid w:val="2CC17412"/>
    <w:rsid w:val="2D2C1323"/>
    <w:rsid w:val="2D7C1E99"/>
    <w:rsid w:val="2DD438A6"/>
    <w:rsid w:val="2DE15A8F"/>
    <w:rsid w:val="2E374362"/>
    <w:rsid w:val="2E9976CE"/>
    <w:rsid w:val="2EF01DEE"/>
    <w:rsid w:val="2F401D3C"/>
    <w:rsid w:val="2F5B24E1"/>
    <w:rsid w:val="2FA95C88"/>
    <w:rsid w:val="2FD357FB"/>
    <w:rsid w:val="301759A1"/>
    <w:rsid w:val="3041370F"/>
    <w:rsid w:val="3078676B"/>
    <w:rsid w:val="30B47128"/>
    <w:rsid w:val="30B87FED"/>
    <w:rsid w:val="312B50A3"/>
    <w:rsid w:val="31894FD2"/>
    <w:rsid w:val="32453A27"/>
    <w:rsid w:val="3263064A"/>
    <w:rsid w:val="32A43132"/>
    <w:rsid w:val="32AC0C06"/>
    <w:rsid w:val="33344EF5"/>
    <w:rsid w:val="339E2C0F"/>
    <w:rsid w:val="33F26952"/>
    <w:rsid w:val="3537750C"/>
    <w:rsid w:val="3537798C"/>
    <w:rsid w:val="35C13FC9"/>
    <w:rsid w:val="35E46651"/>
    <w:rsid w:val="36372B05"/>
    <w:rsid w:val="364257B6"/>
    <w:rsid w:val="370B2641"/>
    <w:rsid w:val="377C6E00"/>
    <w:rsid w:val="37EA5922"/>
    <w:rsid w:val="38276B93"/>
    <w:rsid w:val="382E58B8"/>
    <w:rsid w:val="389B56ED"/>
    <w:rsid w:val="38AC3431"/>
    <w:rsid w:val="38D67CAD"/>
    <w:rsid w:val="392F2E16"/>
    <w:rsid w:val="39E00529"/>
    <w:rsid w:val="39F52FDB"/>
    <w:rsid w:val="3A084D40"/>
    <w:rsid w:val="3A0B64A7"/>
    <w:rsid w:val="3A455684"/>
    <w:rsid w:val="3A574DDA"/>
    <w:rsid w:val="3A951369"/>
    <w:rsid w:val="3AD3075A"/>
    <w:rsid w:val="3AF74C02"/>
    <w:rsid w:val="3BED7890"/>
    <w:rsid w:val="3C0059A5"/>
    <w:rsid w:val="3C134E78"/>
    <w:rsid w:val="3D1E3147"/>
    <w:rsid w:val="3D687B67"/>
    <w:rsid w:val="3D7B5AED"/>
    <w:rsid w:val="3DE713D4"/>
    <w:rsid w:val="3DF6345D"/>
    <w:rsid w:val="3E05404B"/>
    <w:rsid w:val="3E2B5515"/>
    <w:rsid w:val="3E4D4F28"/>
    <w:rsid w:val="3ED92EC4"/>
    <w:rsid w:val="3EE13701"/>
    <w:rsid w:val="3F1A4BB3"/>
    <w:rsid w:val="40192BA6"/>
    <w:rsid w:val="41766EA9"/>
    <w:rsid w:val="41895688"/>
    <w:rsid w:val="42550A18"/>
    <w:rsid w:val="429D496A"/>
    <w:rsid w:val="42F473A1"/>
    <w:rsid w:val="433F136A"/>
    <w:rsid w:val="435026E1"/>
    <w:rsid w:val="435E7A42"/>
    <w:rsid w:val="437217EA"/>
    <w:rsid w:val="439D4A0F"/>
    <w:rsid w:val="43AB7156"/>
    <w:rsid w:val="441E62C0"/>
    <w:rsid w:val="44A3297C"/>
    <w:rsid w:val="45325D14"/>
    <w:rsid w:val="453B645D"/>
    <w:rsid w:val="45811C7C"/>
    <w:rsid w:val="45906116"/>
    <w:rsid w:val="45931B8C"/>
    <w:rsid w:val="45EF2552"/>
    <w:rsid w:val="46304F0D"/>
    <w:rsid w:val="468B3EFB"/>
    <w:rsid w:val="470A6193"/>
    <w:rsid w:val="47385210"/>
    <w:rsid w:val="475510F8"/>
    <w:rsid w:val="47A26255"/>
    <w:rsid w:val="47A67C0A"/>
    <w:rsid w:val="47DC4F5C"/>
    <w:rsid w:val="48335942"/>
    <w:rsid w:val="48B40671"/>
    <w:rsid w:val="4953791E"/>
    <w:rsid w:val="499B5738"/>
    <w:rsid w:val="499F244D"/>
    <w:rsid w:val="49E23F0B"/>
    <w:rsid w:val="4A1762AC"/>
    <w:rsid w:val="4A2C35E8"/>
    <w:rsid w:val="4A7A36C5"/>
    <w:rsid w:val="4A973F3F"/>
    <w:rsid w:val="4AE253FD"/>
    <w:rsid w:val="4AF96BC7"/>
    <w:rsid w:val="4B862A85"/>
    <w:rsid w:val="4CEF36E2"/>
    <w:rsid w:val="4CEF4DC5"/>
    <w:rsid w:val="4D0C49B3"/>
    <w:rsid w:val="4D1E17E5"/>
    <w:rsid w:val="4D3F2D45"/>
    <w:rsid w:val="4D5C3245"/>
    <w:rsid w:val="4DDA060D"/>
    <w:rsid w:val="4E257655"/>
    <w:rsid w:val="4F372380"/>
    <w:rsid w:val="4F372FFB"/>
    <w:rsid w:val="5025116D"/>
    <w:rsid w:val="506B7C43"/>
    <w:rsid w:val="50704D16"/>
    <w:rsid w:val="50830C9B"/>
    <w:rsid w:val="50E579F5"/>
    <w:rsid w:val="51340732"/>
    <w:rsid w:val="513A1AEF"/>
    <w:rsid w:val="51616960"/>
    <w:rsid w:val="51CE2237"/>
    <w:rsid w:val="51D51818"/>
    <w:rsid w:val="51D976E1"/>
    <w:rsid w:val="522D5360"/>
    <w:rsid w:val="52395ECD"/>
    <w:rsid w:val="526967B0"/>
    <w:rsid w:val="52C10D75"/>
    <w:rsid w:val="530103EA"/>
    <w:rsid w:val="53C27FF8"/>
    <w:rsid w:val="53DC6CF4"/>
    <w:rsid w:val="544C3CF9"/>
    <w:rsid w:val="54806794"/>
    <w:rsid w:val="549E1A80"/>
    <w:rsid w:val="54A7729D"/>
    <w:rsid w:val="54C658F4"/>
    <w:rsid w:val="550C4BD7"/>
    <w:rsid w:val="554C1D56"/>
    <w:rsid w:val="55572986"/>
    <w:rsid w:val="559E0172"/>
    <w:rsid w:val="565340FA"/>
    <w:rsid w:val="565753CA"/>
    <w:rsid w:val="5689497F"/>
    <w:rsid w:val="56AD5F59"/>
    <w:rsid w:val="56C60774"/>
    <w:rsid w:val="56E878F7"/>
    <w:rsid w:val="57272B15"/>
    <w:rsid w:val="57B12A52"/>
    <w:rsid w:val="580B5808"/>
    <w:rsid w:val="585078EF"/>
    <w:rsid w:val="58C223CA"/>
    <w:rsid w:val="5A2F2CC8"/>
    <w:rsid w:val="5A8C2C8F"/>
    <w:rsid w:val="5AF251E8"/>
    <w:rsid w:val="5AFA5E4B"/>
    <w:rsid w:val="5C0402E6"/>
    <w:rsid w:val="5C10702D"/>
    <w:rsid w:val="5C152601"/>
    <w:rsid w:val="5C563555"/>
    <w:rsid w:val="5C591F03"/>
    <w:rsid w:val="5C8A1B2F"/>
    <w:rsid w:val="5E604B5F"/>
    <w:rsid w:val="5F561B72"/>
    <w:rsid w:val="5FAA15DB"/>
    <w:rsid w:val="606007BB"/>
    <w:rsid w:val="60AC7F66"/>
    <w:rsid w:val="60AD01DF"/>
    <w:rsid w:val="618F629E"/>
    <w:rsid w:val="61BF10D9"/>
    <w:rsid w:val="62816E52"/>
    <w:rsid w:val="62AC22DC"/>
    <w:rsid w:val="62BB1CC4"/>
    <w:rsid w:val="62E80C7F"/>
    <w:rsid w:val="63A22BFD"/>
    <w:rsid w:val="643E149E"/>
    <w:rsid w:val="64A62BA0"/>
    <w:rsid w:val="64E45EF7"/>
    <w:rsid w:val="65CB0B10"/>
    <w:rsid w:val="66434B4A"/>
    <w:rsid w:val="66803B32"/>
    <w:rsid w:val="6691014E"/>
    <w:rsid w:val="66C87CCE"/>
    <w:rsid w:val="677435B2"/>
    <w:rsid w:val="67A61834"/>
    <w:rsid w:val="67D3757B"/>
    <w:rsid w:val="67EF75F1"/>
    <w:rsid w:val="684F4F11"/>
    <w:rsid w:val="68A85138"/>
    <w:rsid w:val="68B0223F"/>
    <w:rsid w:val="69124F16"/>
    <w:rsid w:val="695D5F23"/>
    <w:rsid w:val="69C30282"/>
    <w:rsid w:val="69CD5C14"/>
    <w:rsid w:val="69CF0D33"/>
    <w:rsid w:val="6B4355EC"/>
    <w:rsid w:val="6B9946B3"/>
    <w:rsid w:val="6BDF78B8"/>
    <w:rsid w:val="6BE518DA"/>
    <w:rsid w:val="6C276F3A"/>
    <w:rsid w:val="6C5460CE"/>
    <w:rsid w:val="6C7007C7"/>
    <w:rsid w:val="6D934609"/>
    <w:rsid w:val="6DC4745E"/>
    <w:rsid w:val="6DD96D2A"/>
    <w:rsid w:val="6DE76850"/>
    <w:rsid w:val="6EC712F6"/>
    <w:rsid w:val="6EC959BA"/>
    <w:rsid w:val="6ED0363B"/>
    <w:rsid w:val="6EEF1D13"/>
    <w:rsid w:val="6EFA2466"/>
    <w:rsid w:val="6F5C4ECE"/>
    <w:rsid w:val="6FB20BD4"/>
    <w:rsid w:val="6FB25398"/>
    <w:rsid w:val="6FBA59BE"/>
    <w:rsid w:val="6FD40F09"/>
    <w:rsid w:val="70296B3E"/>
    <w:rsid w:val="70611204"/>
    <w:rsid w:val="70C828CF"/>
    <w:rsid w:val="715F5994"/>
    <w:rsid w:val="7165620F"/>
    <w:rsid w:val="717039F8"/>
    <w:rsid w:val="727D3192"/>
    <w:rsid w:val="73A7542E"/>
    <w:rsid w:val="74654A7D"/>
    <w:rsid w:val="74D13AD5"/>
    <w:rsid w:val="74FA2C30"/>
    <w:rsid w:val="754D5C4B"/>
    <w:rsid w:val="765406AD"/>
    <w:rsid w:val="76612DCA"/>
    <w:rsid w:val="766776B6"/>
    <w:rsid w:val="76946CFC"/>
    <w:rsid w:val="76C240A7"/>
    <w:rsid w:val="76DA416A"/>
    <w:rsid w:val="775246B7"/>
    <w:rsid w:val="781E69D1"/>
    <w:rsid w:val="784F5340"/>
    <w:rsid w:val="786D0FEC"/>
    <w:rsid w:val="7901747F"/>
    <w:rsid w:val="79E1494E"/>
    <w:rsid w:val="7A263B6B"/>
    <w:rsid w:val="7AF46346"/>
    <w:rsid w:val="7B0F5EBF"/>
    <w:rsid w:val="7B130FB9"/>
    <w:rsid w:val="7BD71E38"/>
    <w:rsid w:val="7BF64EDE"/>
    <w:rsid w:val="7BFB1347"/>
    <w:rsid w:val="7C400C1E"/>
    <w:rsid w:val="7D434198"/>
    <w:rsid w:val="7DD11708"/>
    <w:rsid w:val="7DEE4A4F"/>
    <w:rsid w:val="7E115151"/>
    <w:rsid w:val="7EAE6230"/>
    <w:rsid w:val="7EBD579E"/>
    <w:rsid w:val="7EC167BD"/>
    <w:rsid w:val="7F272D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99" w:semiHidden="0" w:name="heading 5"/>
    <w:lsdException w:qFormat="1" w:unhideWhenUsed="0" w:uiPriority="0" w:semiHidden="0" w:name="heading 6"/>
    <w:lsdException w:qFormat="1" w:unhideWhenUsed="0" w:uiPriority="0" w:semiHidden="0" w:name="heading 7"/>
    <w:lsdException w:qFormat="1" w:unhideWhenUsed="0" w:uiPriority="9" w:semiHidden="0" w:name="heading 8"/>
    <w:lsdException w:qFormat="1" w:unhideWhenUsed="0" w:uiPriority="0" w:semiHidden="0" w:name="heading 9"/>
    <w:lsdException w:qFormat="1" w:uiPriority="0" w:semiHidden="0" w:name="index 1"/>
    <w:lsdException w:uiPriority="99" w:name="index 2"/>
    <w:lsdException w:uiPriority="99" w:name="index 3"/>
    <w:lsdException w:qFormat="1" w:unhideWhenUsed="0" w:uiPriority="99" w:name="index 4"/>
    <w:lsdException w:uiPriority="99" w:name="index 5"/>
    <w:lsdException w:uiPriority="99" w:name="index 6"/>
    <w:lsdException w:uiPriority="99" w:name="index 7"/>
    <w:lsdException w:uiPriority="99" w:name="index 8"/>
    <w:lsdException w:uiPriority="99" w:name="index 9"/>
    <w:lsdException w:qFormat="1" w:uiPriority="0" w:semiHidden="0" w:name="toc 1"/>
    <w:lsdException w:qFormat="1"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iPriority="0" w:semiHidden="0" w:name="header"/>
    <w:lsdException w:qFormat="1" w:uiPriority="99" w:semiHidden="0" w:name="footer"/>
    <w:lsdException w:uiPriority="99" w:name="index heading"/>
    <w:lsdException w:qFormat="1" w:unhideWhenUsed="0" w:uiPriority="99" w:semiHidden="0" w:name="caption"/>
    <w:lsdException w:uiPriority="99" w:name="table of figures"/>
    <w:lsdException w:uiPriority="99" w:name="envelope address"/>
    <w:lsdException w:uiPriority="99" w:name="envelope return"/>
    <w:lsdException w:qFormat="1" w:uiPriority="0" w:semiHidden="0" w:name="footnote reference"/>
    <w:lsdException w:qFormat="1" w:unhideWhenUsed="0" w:uiPriority="99" w:semiHidden="0" w:name="annotation reference"/>
    <w:lsdException w:uiPriority="99" w:name="line number"/>
    <w:lsdException w:qFormat="1" w:unhideWhenUsed="0" w:uiPriority="99" w:semiHidden="0" w:name="page number"/>
    <w:lsdException w:qFormat="1" w:uiPriority="99" w:semiHidden="0"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qFormat="1" w:uiPriority="0" w:semiHidden="0" w:name="Body Text 3"/>
    <w:lsdException w:qFormat="1" w:unhideWhenUsed="0" w:uiPriority="0" w:semiHidden="0" w:name="Body Text Indent 2"/>
    <w:lsdException w:qFormat="1" w:uiPriority="0" w:semiHidden="0" w:name="Body Text Indent 3"/>
    <w:lsdException w:qFormat="1" w:uiPriority="99" w:semiHidden="0" w:name="Block Text"/>
    <w:lsdException w:qFormat="1"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qFormat="1" w:uiPriority="0" w:semiHidden="0" w:name="HTML Cite"/>
    <w:lsdException w:qFormat="1" w:uiPriority="0" w:semiHidden="0" w:name="HTML Code"/>
    <w:lsdException w:qFormat="1" w:uiPriority="0" w:semiHidden="0" w:name="HTML Definition"/>
    <w:lsdException w:qFormat="1" w:uiPriority="0" w:semiHidden="0" w:name="HTML Keyboard"/>
    <w:lsdException w:qFormat="1" w:uiPriority="99" w:semiHidden="0" w:name="HTML Preformatted"/>
    <w:lsdException w:qFormat="1" w:uiPriority="0" w:semiHidden="0" w:name="HTML Sample"/>
    <w:lsdException w:qFormat="1" w:uiPriority="0" w:semiHidden="0" w:name="HTML Typewriter"/>
    <w:lsdException w:qFormat="1"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iPriority="99" w:semiHidden="0"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00"/>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90"/>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link w:val="184"/>
    <w:qFormat/>
    <w:uiPriority w:val="0"/>
    <w:pPr>
      <w:keepNext/>
      <w:keepLines/>
      <w:spacing w:before="260" w:after="260" w:line="416" w:lineRule="auto"/>
      <w:outlineLvl w:val="2"/>
    </w:pPr>
    <w:rPr>
      <w:b/>
      <w:bCs/>
      <w:sz w:val="32"/>
      <w:szCs w:val="32"/>
    </w:rPr>
  </w:style>
  <w:style w:type="paragraph" w:styleId="5">
    <w:name w:val="heading 4"/>
    <w:basedOn w:val="1"/>
    <w:next w:val="1"/>
    <w:link w:val="158"/>
    <w:qFormat/>
    <w:uiPriority w:val="0"/>
    <w:pPr>
      <w:keepNext/>
      <w:keepLines/>
      <w:spacing w:line="360" w:lineRule="auto"/>
      <w:outlineLvl w:val="3"/>
    </w:pPr>
    <w:rPr>
      <w:rFonts w:ascii="Arial" w:hAnsi="Arial"/>
      <w:b/>
      <w:bCs/>
      <w:sz w:val="28"/>
      <w:szCs w:val="28"/>
    </w:rPr>
  </w:style>
  <w:style w:type="paragraph" w:styleId="6">
    <w:name w:val="heading 5"/>
    <w:basedOn w:val="1"/>
    <w:next w:val="7"/>
    <w:link w:val="146"/>
    <w:qFormat/>
    <w:uiPriority w:val="99"/>
    <w:pPr>
      <w:keepNext/>
      <w:keepLines/>
      <w:spacing w:before="280" w:after="290" w:line="376" w:lineRule="auto"/>
      <w:outlineLvl w:val="4"/>
    </w:pPr>
    <w:rPr>
      <w:b/>
      <w:bCs/>
      <w:sz w:val="28"/>
      <w:szCs w:val="28"/>
    </w:rPr>
  </w:style>
  <w:style w:type="paragraph" w:styleId="8">
    <w:name w:val="heading 6"/>
    <w:basedOn w:val="1"/>
    <w:next w:val="1"/>
    <w:link w:val="186"/>
    <w:qFormat/>
    <w:uiPriority w:val="0"/>
    <w:pPr>
      <w:keepNext/>
      <w:keepLines/>
      <w:spacing w:before="240" w:after="64" w:line="317" w:lineRule="auto"/>
      <w:outlineLvl w:val="5"/>
    </w:pPr>
    <w:rPr>
      <w:rFonts w:ascii="Cambria" w:hAnsi="Cambria"/>
      <w:b/>
      <w:bCs/>
      <w:kern w:val="0"/>
      <w:sz w:val="24"/>
    </w:rPr>
  </w:style>
  <w:style w:type="paragraph" w:styleId="9">
    <w:name w:val="heading 7"/>
    <w:basedOn w:val="1"/>
    <w:next w:val="1"/>
    <w:link w:val="126"/>
    <w:qFormat/>
    <w:uiPriority w:val="0"/>
    <w:pPr>
      <w:keepNext/>
      <w:keepLines/>
      <w:spacing w:before="240" w:after="64" w:line="317" w:lineRule="auto"/>
      <w:outlineLvl w:val="6"/>
    </w:pPr>
    <w:rPr>
      <w:b/>
      <w:bCs/>
      <w:kern w:val="0"/>
      <w:sz w:val="24"/>
    </w:rPr>
  </w:style>
  <w:style w:type="paragraph" w:styleId="10">
    <w:name w:val="heading 8"/>
    <w:basedOn w:val="1"/>
    <w:next w:val="1"/>
    <w:link w:val="178"/>
    <w:qFormat/>
    <w:uiPriority w:val="9"/>
    <w:pPr>
      <w:keepNext/>
      <w:keepLines/>
      <w:spacing w:before="240" w:after="64" w:line="320" w:lineRule="auto"/>
      <w:outlineLvl w:val="7"/>
    </w:pPr>
    <w:rPr>
      <w:rFonts w:ascii="等线 Light" w:hAnsi="等线 Light" w:eastAsia="等线 Light"/>
      <w:sz w:val="24"/>
    </w:rPr>
  </w:style>
  <w:style w:type="paragraph" w:styleId="11">
    <w:name w:val="heading 9"/>
    <w:basedOn w:val="1"/>
    <w:next w:val="1"/>
    <w:link w:val="191"/>
    <w:qFormat/>
    <w:uiPriority w:val="0"/>
    <w:pPr>
      <w:keepNext/>
      <w:keepLines/>
      <w:spacing w:before="240" w:after="64" w:line="317" w:lineRule="auto"/>
      <w:outlineLvl w:val="8"/>
    </w:pPr>
    <w:rPr>
      <w:rFonts w:ascii="Cambria" w:hAnsi="Cambria"/>
      <w:kern w:val="0"/>
      <w:sz w:val="20"/>
      <w:szCs w:val="21"/>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7">
    <w:name w:val="Normal Indent"/>
    <w:basedOn w:val="1"/>
    <w:next w:val="1"/>
    <w:link w:val="85"/>
    <w:qFormat/>
    <w:uiPriority w:val="0"/>
    <w:pPr>
      <w:ind w:firstLine="420"/>
    </w:pPr>
    <w:rPr>
      <w:szCs w:val="20"/>
    </w:rPr>
  </w:style>
  <w:style w:type="paragraph" w:styleId="12">
    <w:name w:val="toc 7"/>
    <w:basedOn w:val="1"/>
    <w:next w:val="1"/>
    <w:qFormat/>
    <w:uiPriority w:val="0"/>
    <w:pPr>
      <w:ind w:left="2520" w:leftChars="1200"/>
    </w:pPr>
    <w:rPr>
      <w:rFonts w:ascii="Calibri" w:hAnsi="Calibri" w:cs="Calibri"/>
      <w:szCs w:val="21"/>
    </w:rPr>
  </w:style>
  <w:style w:type="paragraph" w:styleId="13">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4">
    <w:name w:val="caption"/>
    <w:basedOn w:val="1"/>
    <w:next w:val="1"/>
    <w:qFormat/>
    <w:uiPriority w:val="99"/>
    <w:rPr>
      <w:rFonts w:ascii="Cambria" w:hAnsi="Cambria" w:eastAsia="黑体" w:cs="Cambria"/>
      <w:sz w:val="20"/>
      <w:szCs w:val="20"/>
    </w:rPr>
  </w:style>
  <w:style w:type="paragraph" w:styleId="15">
    <w:name w:val="Document Map"/>
    <w:basedOn w:val="1"/>
    <w:link w:val="214"/>
    <w:qFormat/>
    <w:uiPriority w:val="0"/>
    <w:pPr>
      <w:shd w:val="clear" w:color="auto" w:fill="000080"/>
    </w:pPr>
    <w:rPr>
      <w:sz w:val="24"/>
      <w:shd w:val="clear" w:color="auto" w:fill="000080"/>
    </w:rPr>
  </w:style>
  <w:style w:type="paragraph" w:styleId="16">
    <w:name w:val="annotation text"/>
    <w:basedOn w:val="1"/>
    <w:link w:val="66"/>
    <w:qFormat/>
    <w:uiPriority w:val="99"/>
    <w:pPr>
      <w:jc w:val="left"/>
    </w:pPr>
  </w:style>
  <w:style w:type="paragraph" w:styleId="17">
    <w:name w:val="Body Text 3"/>
    <w:basedOn w:val="1"/>
    <w:link w:val="169"/>
    <w:unhideWhenUsed/>
    <w:qFormat/>
    <w:uiPriority w:val="0"/>
    <w:pPr>
      <w:spacing w:after="120"/>
    </w:pPr>
    <w:rPr>
      <w:sz w:val="16"/>
      <w:szCs w:val="16"/>
    </w:rPr>
  </w:style>
  <w:style w:type="paragraph" w:styleId="18">
    <w:name w:val="Body Text"/>
    <w:basedOn w:val="1"/>
    <w:next w:val="19"/>
    <w:link w:val="90"/>
    <w:unhideWhenUsed/>
    <w:qFormat/>
    <w:uiPriority w:val="0"/>
    <w:pPr>
      <w:spacing w:after="120"/>
    </w:pPr>
  </w:style>
  <w:style w:type="paragraph" w:customStyle="1" w:styleId="19">
    <w:name w:val="正文首行缩进 21"/>
    <w:basedOn w:val="20"/>
    <w:qFormat/>
    <w:uiPriority w:val="0"/>
    <w:pPr>
      <w:ind w:firstLine="420" w:firstLineChars="200"/>
    </w:pPr>
  </w:style>
  <w:style w:type="paragraph" w:styleId="20">
    <w:name w:val="Body Text Indent"/>
    <w:basedOn w:val="1"/>
    <w:next w:val="21"/>
    <w:link w:val="192"/>
    <w:qFormat/>
    <w:uiPriority w:val="0"/>
    <w:pPr>
      <w:ind w:firstLine="830" w:firstLineChars="352"/>
    </w:pPr>
    <w:rPr>
      <w:rFonts w:ascii="仿宋_GB2312" w:eastAsia="仿宋_GB2312"/>
      <w:kern w:val="0"/>
      <w:sz w:val="32"/>
      <w:szCs w:val="20"/>
    </w:rPr>
  </w:style>
  <w:style w:type="paragraph" w:customStyle="1" w:styleId="21">
    <w:name w:val="样式 正文文本缩进 + 首行缩进:  2 字符 行距: 1.5 倍行距"/>
    <w:basedOn w:val="20"/>
    <w:qFormat/>
    <w:uiPriority w:val="0"/>
    <w:rPr>
      <w:rFonts w:cs="宋体"/>
    </w:rPr>
  </w:style>
  <w:style w:type="paragraph" w:styleId="22">
    <w:name w:val="List 2"/>
    <w:basedOn w:val="1"/>
    <w:unhideWhenUsed/>
    <w:qFormat/>
    <w:uiPriority w:val="99"/>
    <w:pPr>
      <w:ind w:left="100" w:leftChars="200" w:hanging="200" w:hangingChars="200"/>
      <w:contextualSpacing/>
    </w:pPr>
  </w:style>
  <w:style w:type="paragraph" w:styleId="23">
    <w:name w:val="Block Text"/>
    <w:basedOn w:val="1"/>
    <w:unhideWhenUsed/>
    <w:qFormat/>
    <w:uiPriority w:val="99"/>
    <w:pPr>
      <w:adjustRightInd w:val="0"/>
      <w:spacing w:line="400" w:lineRule="exact"/>
      <w:ind w:left="420" w:right="33" w:firstLine="1044" w:firstLineChars="200"/>
      <w:jc w:val="left"/>
    </w:pPr>
    <w:rPr>
      <w:kern w:val="0"/>
      <w:sz w:val="24"/>
      <w:szCs w:val="20"/>
    </w:rPr>
  </w:style>
  <w:style w:type="paragraph" w:styleId="24">
    <w:name w:val="index 4"/>
    <w:basedOn w:val="1"/>
    <w:next w:val="1"/>
    <w:semiHidden/>
    <w:qFormat/>
    <w:uiPriority w:val="99"/>
    <w:pPr>
      <w:ind w:left="600" w:leftChars="600"/>
    </w:pPr>
    <w:rPr>
      <w:szCs w:val="21"/>
    </w:rPr>
  </w:style>
  <w:style w:type="paragraph" w:styleId="25">
    <w:name w:val="toc 5"/>
    <w:basedOn w:val="1"/>
    <w:next w:val="1"/>
    <w:qFormat/>
    <w:uiPriority w:val="0"/>
    <w:pPr>
      <w:ind w:left="1680" w:leftChars="800"/>
    </w:pPr>
    <w:rPr>
      <w:rFonts w:ascii="Calibri" w:hAnsi="Calibri" w:cs="Calibri"/>
      <w:szCs w:val="21"/>
    </w:rPr>
  </w:style>
  <w:style w:type="paragraph" w:styleId="26">
    <w:name w:val="toc 3"/>
    <w:basedOn w:val="1"/>
    <w:next w:val="1"/>
    <w:qFormat/>
    <w:uiPriority w:val="0"/>
    <w:pPr>
      <w:ind w:left="840" w:leftChars="400"/>
    </w:pPr>
    <w:rPr>
      <w:szCs w:val="21"/>
    </w:rPr>
  </w:style>
  <w:style w:type="paragraph" w:styleId="27">
    <w:name w:val="Plain Text"/>
    <w:basedOn w:val="1"/>
    <w:link w:val="104"/>
    <w:qFormat/>
    <w:uiPriority w:val="0"/>
    <w:rPr>
      <w:rFonts w:ascii="宋体" w:hAnsi="Courier New"/>
      <w:kern w:val="0"/>
      <w:sz w:val="20"/>
      <w:szCs w:val="21"/>
    </w:rPr>
  </w:style>
  <w:style w:type="paragraph" w:styleId="28">
    <w:name w:val="toc 8"/>
    <w:basedOn w:val="1"/>
    <w:next w:val="1"/>
    <w:qFormat/>
    <w:uiPriority w:val="0"/>
    <w:pPr>
      <w:ind w:left="2940" w:leftChars="1400"/>
    </w:pPr>
    <w:rPr>
      <w:rFonts w:ascii="Calibri" w:hAnsi="Calibri" w:cs="Calibri"/>
      <w:szCs w:val="21"/>
    </w:rPr>
  </w:style>
  <w:style w:type="paragraph" w:styleId="29">
    <w:name w:val="Date"/>
    <w:basedOn w:val="1"/>
    <w:next w:val="1"/>
    <w:link w:val="205"/>
    <w:unhideWhenUsed/>
    <w:qFormat/>
    <w:uiPriority w:val="0"/>
    <w:pPr>
      <w:ind w:left="100" w:leftChars="2500"/>
    </w:pPr>
  </w:style>
  <w:style w:type="paragraph" w:styleId="30">
    <w:name w:val="Body Text Indent 2"/>
    <w:basedOn w:val="1"/>
    <w:link w:val="75"/>
    <w:qFormat/>
    <w:uiPriority w:val="0"/>
    <w:pPr>
      <w:spacing w:after="120" w:line="480" w:lineRule="auto"/>
      <w:ind w:left="420" w:leftChars="200"/>
    </w:pPr>
    <w:rPr>
      <w:sz w:val="24"/>
    </w:rPr>
  </w:style>
  <w:style w:type="paragraph" w:styleId="31">
    <w:name w:val="Balloon Text"/>
    <w:basedOn w:val="1"/>
    <w:link w:val="212"/>
    <w:qFormat/>
    <w:uiPriority w:val="0"/>
    <w:rPr>
      <w:sz w:val="18"/>
      <w:szCs w:val="18"/>
    </w:rPr>
  </w:style>
  <w:style w:type="paragraph" w:styleId="32">
    <w:name w:val="footer"/>
    <w:basedOn w:val="1"/>
    <w:link w:val="102"/>
    <w:unhideWhenUsed/>
    <w:qFormat/>
    <w:uiPriority w:val="99"/>
    <w:pPr>
      <w:tabs>
        <w:tab w:val="center" w:pos="4153"/>
        <w:tab w:val="right" w:pos="8306"/>
      </w:tabs>
      <w:snapToGrid w:val="0"/>
      <w:jc w:val="left"/>
    </w:pPr>
    <w:rPr>
      <w:kern w:val="0"/>
      <w:sz w:val="18"/>
      <w:szCs w:val="18"/>
    </w:rPr>
  </w:style>
  <w:style w:type="paragraph" w:styleId="33">
    <w:name w:val="header"/>
    <w:basedOn w:val="1"/>
    <w:link w:val="162"/>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34">
    <w:name w:val="toc 1"/>
    <w:basedOn w:val="1"/>
    <w:next w:val="1"/>
    <w:unhideWhenUsed/>
    <w:qFormat/>
    <w:uiPriority w:val="0"/>
  </w:style>
  <w:style w:type="paragraph" w:styleId="35">
    <w:name w:val="toc 4"/>
    <w:basedOn w:val="1"/>
    <w:next w:val="1"/>
    <w:qFormat/>
    <w:uiPriority w:val="0"/>
    <w:pPr>
      <w:ind w:left="1260" w:leftChars="600"/>
    </w:pPr>
    <w:rPr>
      <w:rFonts w:ascii="Calibri" w:hAnsi="Calibri" w:cs="Calibri"/>
      <w:szCs w:val="21"/>
    </w:rPr>
  </w:style>
  <w:style w:type="paragraph" w:styleId="36">
    <w:name w:val="Subtitle"/>
    <w:basedOn w:val="1"/>
    <w:next w:val="1"/>
    <w:link w:val="135"/>
    <w:qFormat/>
    <w:uiPriority w:val="11"/>
    <w:pPr>
      <w:spacing w:before="240" w:after="60" w:line="312" w:lineRule="auto"/>
      <w:jc w:val="center"/>
      <w:outlineLvl w:val="1"/>
    </w:pPr>
    <w:rPr>
      <w:rFonts w:ascii="Cambria" w:hAnsi="Cambria"/>
      <w:b/>
      <w:bCs/>
      <w:kern w:val="28"/>
      <w:sz w:val="32"/>
      <w:szCs w:val="32"/>
    </w:rPr>
  </w:style>
  <w:style w:type="paragraph" w:styleId="37">
    <w:name w:val="footnote text"/>
    <w:basedOn w:val="1"/>
    <w:link w:val="179"/>
    <w:qFormat/>
    <w:uiPriority w:val="0"/>
    <w:pPr>
      <w:adjustRightInd w:val="0"/>
      <w:spacing w:line="312" w:lineRule="atLeast"/>
      <w:jc w:val="left"/>
      <w:textAlignment w:val="baseline"/>
    </w:pPr>
    <w:rPr>
      <w:kern w:val="0"/>
      <w:sz w:val="18"/>
      <w:szCs w:val="18"/>
    </w:rPr>
  </w:style>
  <w:style w:type="paragraph" w:styleId="38">
    <w:name w:val="toc 6"/>
    <w:basedOn w:val="1"/>
    <w:next w:val="1"/>
    <w:qFormat/>
    <w:uiPriority w:val="0"/>
    <w:pPr>
      <w:ind w:left="2100" w:leftChars="1000"/>
    </w:pPr>
    <w:rPr>
      <w:rFonts w:ascii="Calibri" w:hAnsi="Calibri" w:cs="Calibri"/>
      <w:szCs w:val="21"/>
    </w:rPr>
  </w:style>
  <w:style w:type="paragraph" w:styleId="39">
    <w:name w:val="Body Text Indent 3"/>
    <w:basedOn w:val="1"/>
    <w:link w:val="143"/>
    <w:unhideWhenUsed/>
    <w:qFormat/>
    <w:uiPriority w:val="0"/>
    <w:pPr>
      <w:adjustRightInd w:val="0"/>
      <w:spacing w:line="360" w:lineRule="auto"/>
      <w:ind w:firstLine="527"/>
    </w:pPr>
    <w:rPr>
      <w:kern w:val="0"/>
      <w:sz w:val="28"/>
      <w:szCs w:val="20"/>
    </w:rPr>
  </w:style>
  <w:style w:type="paragraph" w:styleId="40">
    <w:name w:val="toc 2"/>
    <w:basedOn w:val="1"/>
    <w:next w:val="1"/>
    <w:unhideWhenUsed/>
    <w:qFormat/>
    <w:uiPriority w:val="0"/>
    <w:pPr>
      <w:tabs>
        <w:tab w:val="right" w:leader="dot" w:pos="8296"/>
      </w:tabs>
      <w:ind w:left="420" w:leftChars="200"/>
    </w:pPr>
  </w:style>
  <w:style w:type="paragraph" w:styleId="41">
    <w:name w:val="toc 9"/>
    <w:basedOn w:val="1"/>
    <w:next w:val="1"/>
    <w:qFormat/>
    <w:uiPriority w:val="0"/>
    <w:pPr>
      <w:ind w:left="3360" w:leftChars="1600"/>
    </w:pPr>
    <w:rPr>
      <w:rFonts w:ascii="Calibri" w:hAnsi="Calibri" w:cs="Calibri"/>
      <w:szCs w:val="21"/>
    </w:rPr>
  </w:style>
  <w:style w:type="paragraph" w:styleId="42">
    <w:name w:val="HTML Preformatted"/>
    <w:basedOn w:val="1"/>
    <w:link w:val="167"/>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43">
    <w:name w:val="Normal (Web)"/>
    <w:basedOn w:val="1"/>
    <w:unhideWhenUsed/>
    <w:qFormat/>
    <w:uiPriority w:val="0"/>
    <w:rPr>
      <w:rFonts w:ascii="Calibri" w:hAnsi="Calibri"/>
      <w:kern w:val="0"/>
      <w:sz w:val="24"/>
    </w:rPr>
  </w:style>
  <w:style w:type="paragraph" w:styleId="44">
    <w:name w:val="index 1"/>
    <w:basedOn w:val="1"/>
    <w:next w:val="1"/>
    <w:unhideWhenUsed/>
    <w:qFormat/>
    <w:uiPriority w:val="0"/>
    <w:pPr>
      <w:adjustRightInd w:val="0"/>
      <w:spacing w:line="312" w:lineRule="atLeast"/>
    </w:pPr>
    <w:rPr>
      <w:kern w:val="0"/>
      <w:szCs w:val="20"/>
    </w:rPr>
  </w:style>
  <w:style w:type="paragraph" w:styleId="45">
    <w:name w:val="Title"/>
    <w:basedOn w:val="1"/>
    <w:next w:val="1"/>
    <w:link w:val="199"/>
    <w:qFormat/>
    <w:uiPriority w:val="0"/>
    <w:pPr>
      <w:spacing w:before="240" w:after="60"/>
      <w:jc w:val="center"/>
      <w:outlineLvl w:val="0"/>
    </w:pPr>
    <w:rPr>
      <w:rFonts w:ascii="Cambria" w:hAnsi="Cambria"/>
      <w:b/>
      <w:bCs/>
      <w:sz w:val="32"/>
      <w:szCs w:val="32"/>
    </w:rPr>
  </w:style>
  <w:style w:type="paragraph" w:styleId="46">
    <w:name w:val="annotation subject"/>
    <w:basedOn w:val="16"/>
    <w:next w:val="16"/>
    <w:link w:val="177"/>
    <w:qFormat/>
    <w:uiPriority w:val="0"/>
    <w:rPr>
      <w:b/>
      <w:bCs/>
    </w:rPr>
  </w:style>
  <w:style w:type="table" w:styleId="48">
    <w:name w:val="Table Grid"/>
    <w:basedOn w:val="47"/>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0">
    <w:name w:val="Strong"/>
    <w:qFormat/>
    <w:uiPriority w:val="0"/>
    <w:rPr>
      <w:b/>
      <w:bCs/>
    </w:rPr>
  </w:style>
  <w:style w:type="character" w:styleId="51">
    <w:name w:val="endnote reference"/>
    <w:unhideWhenUsed/>
    <w:qFormat/>
    <w:uiPriority w:val="99"/>
    <w:rPr>
      <w:vertAlign w:val="superscript"/>
    </w:rPr>
  </w:style>
  <w:style w:type="character" w:styleId="52">
    <w:name w:val="page number"/>
    <w:qFormat/>
    <w:uiPriority w:val="99"/>
  </w:style>
  <w:style w:type="character" w:styleId="53">
    <w:name w:val="FollowedHyperlink"/>
    <w:qFormat/>
    <w:uiPriority w:val="0"/>
    <w:rPr>
      <w:color w:val="800080"/>
      <w:u w:val="single"/>
    </w:rPr>
  </w:style>
  <w:style w:type="character" w:styleId="54">
    <w:name w:val="Emphasis"/>
    <w:qFormat/>
    <w:uiPriority w:val="0"/>
    <w:rPr>
      <w:i/>
      <w:iCs/>
    </w:rPr>
  </w:style>
  <w:style w:type="character" w:styleId="55">
    <w:name w:val="HTML Definition"/>
    <w:basedOn w:val="49"/>
    <w:unhideWhenUsed/>
    <w:qFormat/>
    <w:uiPriority w:val="0"/>
  </w:style>
  <w:style w:type="character" w:styleId="56">
    <w:name w:val="HTML Typewriter"/>
    <w:basedOn w:val="49"/>
    <w:unhideWhenUsed/>
    <w:qFormat/>
    <w:uiPriority w:val="0"/>
    <w:rPr>
      <w:rFonts w:hint="default" w:ascii="Courier New" w:hAnsi="Courier New" w:eastAsia="Courier New" w:cs="Courier New"/>
      <w:sz w:val="24"/>
      <w:szCs w:val="24"/>
    </w:rPr>
  </w:style>
  <w:style w:type="character" w:styleId="57">
    <w:name w:val="HTML Variable"/>
    <w:basedOn w:val="49"/>
    <w:unhideWhenUsed/>
    <w:qFormat/>
    <w:uiPriority w:val="0"/>
    <w:rPr>
      <w:vanish/>
      <w:bdr w:val="single" w:color="DCDCDC" w:sz="6" w:space="0"/>
    </w:rPr>
  </w:style>
  <w:style w:type="character" w:styleId="58">
    <w:name w:val="Hyperlink"/>
    <w:unhideWhenUsed/>
    <w:qFormat/>
    <w:uiPriority w:val="0"/>
    <w:rPr>
      <w:color w:val="0000FF"/>
      <w:u w:val="single"/>
    </w:rPr>
  </w:style>
  <w:style w:type="character" w:styleId="59">
    <w:name w:val="HTML Code"/>
    <w:basedOn w:val="49"/>
    <w:unhideWhenUsed/>
    <w:qFormat/>
    <w:uiPriority w:val="0"/>
    <w:rPr>
      <w:rFonts w:hint="default" w:ascii="Courier New" w:hAnsi="Courier New" w:eastAsia="Courier New" w:cs="Courier New"/>
      <w:sz w:val="24"/>
      <w:szCs w:val="24"/>
    </w:rPr>
  </w:style>
  <w:style w:type="character" w:styleId="60">
    <w:name w:val="annotation reference"/>
    <w:qFormat/>
    <w:uiPriority w:val="99"/>
    <w:rPr>
      <w:sz w:val="21"/>
      <w:szCs w:val="21"/>
    </w:rPr>
  </w:style>
  <w:style w:type="character" w:styleId="61">
    <w:name w:val="HTML Cite"/>
    <w:basedOn w:val="49"/>
    <w:unhideWhenUsed/>
    <w:qFormat/>
    <w:uiPriority w:val="0"/>
  </w:style>
  <w:style w:type="character" w:styleId="62">
    <w:name w:val="footnote reference"/>
    <w:basedOn w:val="49"/>
    <w:unhideWhenUsed/>
    <w:qFormat/>
    <w:uiPriority w:val="0"/>
    <w:rPr>
      <w:vertAlign w:val="superscript"/>
    </w:rPr>
  </w:style>
  <w:style w:type="character" w:styleId="63">
    <w:name w:val="HTML Keyboard"/>
    <w:basedOn w:val="49"/>
    <w:unhideWhenUsed/>
    <w:qFormat/>
    <w:uiPriority w:val="0"/>
    <w:rPr>
      <w:rFonts w:hint="default" w:ascii="Courier New" w:hAnsi="Courier New" w:eastAsia="Courier New" w:cs="Courier New"/>
      <w:sz w:val="24"/>
      <w:szCs w:val="24"/>
    </w:rPr>
  </w:style>
  <w:style w:type="character" w:styleId="64">
    <w:name w:val="HTML Sample"/>
    <w:basedOn w:val="49"/>
    <w:unhideWhenUsed/>
    <w:qFormat/>
    <w:uiPriority w:val="0"/>
    <w:rPr>
      <w:rFonts w:hint="default" w:ascii="Courier New" w:hAnsi="Courier New" w:eastAsia="Courier New" w:cs="Courier New"/>
    </w:rPr>
  </w:style>
  <w:style w:type="paragraph" w:styleId="65">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66">
    <w:name w:val="批注文字 字符2"/>
    <w:link w:val="16"/>
    <w:qFormat/>
    <w:uiPriority w:val="99"/>
    <w:rPr>
      <w:rFonts w:ascii="Times New Roman" w:hAnsi="Times New Roman"/>
      <w:kern w:val="2"/>
      <w:sz w:val="21"/>
      <w:szCs w:val="24"/>
    </w:rPr>
  </w:style>
  <w:style w:type="character" w:customStyle="1" w:styleId="67">
    <w:name w:val="正文文本缩进 Char1"/>
    <w:basedOn w:val="49"/>
    <w:semiHidden/>
    <w:qFormat/>
    <w:locked/>
    <w:uiPriority w:val="0"/>
    <w:rPr>
      <w:kern w:val="2"/>
      <w:sz w:val="21"/>
      <w:szCs w:val="24"/>
    </w:rPr>
  </w:style>
  <w:style w:type="character" w:customStyle="1" w:styleId="68">
    <w:name w:val="Body text|2_"/>
    <w:link w:val="69"/>
    <w:qFormat/>
    <w:uiPriority w:val="0"/>
    <w:rPr>
      <w:sz w:val="21"/>
    </w:rPr>
  </w:style>
  <w:style w:type="paragraph" w:customStyle="1" w:styleId="69">
    <w:name w:val="Body text|2"/>
    <w:basedOn w:val="1"/>
    <w:link w:val="68"/>
    <w:qFormat/>
    <w:uiPriority w:val="0"/>
    <w:pPr>
      <w:spacing w:after="30"/>
      <w:ind w:firstLine="420"/>
      <w:jc w:val="left"/>
    </w:pPr>
    <w:rPr>
      <w:kern w:val="0"/>
      <w:szCs w:val="20"/>
    </w:rPr>
  </w:style>
  <w:style w:type="character" w:customStyle="1" w:styleId="70">
    <w:name w:val="标题 8 Char"/>
    <w:qFormat/>
    <w:uiPriority w:val="0"/>
    <w:rPr>
      <w:rFonts w:ascii="Arial" w:hAnsi="Arial" w:eastAsia="黑体"/>
      <w:kern w:val="2"/>
      <w:sz w:val="24"/>
      <w:szCs w:val="24"/>
    </w:rPr>
  </w:style>
  <w:style w:type="character" w:customStyle="1" w:styleId="71">
    <w:name w:val="Comment Text Char1"/>
    <w:qFormat/>
    <w:uiPriority w:val="99"/>
    <w:rPr>
      <w:sz w:val="24"/>
      <w:szCs w:val="24"/>
    </w:rPr>
  </w:style>
  <w:style w:type="character" w:customStyle="1" w:styleId="72">
    <w:name w:val="Char Char19"/>
    <w:qFormat/>
    <w:uiPriority w:val="99"/>
    <w:rPr>
      <w:rFonts w:ascii="Arial" w:hAnsi="Arial" w:eastAsia="宋体" w:cs="Arial"/>
      <w:b/>
      <w:bCs/>
      <w:sz w:val="28"/>
      <w:szCs w:val="28"/>
    </w:rPr>
  </w:style>
  <w:style w:type="character" w:styleId="73">
    <w:name w:val="Placeholder Text"/>
    <w:unhideWhenUsed/>
    <w:qFormat/>
    <w:uiPriority w:val="99"/>
    <w:rPr>
      <w:color w:val="808080"/>
    </w:rPr>
  </w:style>
  <w:style w:type="character" w:customStyle="1" w:styleId="74">
    <w:name w:val="apple-converted-space"/>
    <w:basedOn w:val="49"/>
    <w:qFormat/>
    <w:uiPriority w:val="0"/>
  </w:style>
  <w:style w:type="character" w:customStyle="1" w:styleId="75">
    <w:name w:val="正文文本缩进 2 字符"/>
    <w:basedOn w:val="49"/>
    <w:link w:val="30"/>
    <w:qFormat/>
    <w:uiPriority w:val="0"/>
    <w:rPr>
      <w:kern w:val="2"/>
      <w:sz w:val="24"/>
      <w:szCs w:val="24"/>
    </w:rPr>
  </w:style>
  <w:style w:type="character" w:customStyle="1" w:styleId="76">
    <w:name w:val="Heading 5 Char"/>
    <w:qFormat/>
    <w:uiPriority w:val="99"/>
    <w:rPr>
      <w:rFonts w:eastAsia="宋体"/>
      <w:b/>
      <w:bCs/>
      <w:kern w:val="2"/>
      <w:sz w:val="28"/>
      <w:szCs w:val="28"/>
      <w:lang w:val="en-US" w:eastAsia="zh-CN"/>
    </w:rPr>
  </w:style>
  <w:style w:type="character" w:customStyle="1" w:styleId="77">
    <w:name w:val="正文呀2 Char"/>
    <w:basedOn w:val="78"/>
    <w:link w:val="80"/>
    <w:qFormat/>
    <w:locked/>
    <w:uiPriority w:val="0"/>
    <w:rPr>
      <w:rFonts w:ascii="宋体" w:hAnsi="宋体"/>
      <w:szCs w:val="21"/>
    </w:rPr>
  </w:style>
  <w:style w:type="character" w:customStyle="1" w:styleId="78">
    <w:name w:val="正文呀 Char"/>
    <w:link w:val="79"/>
    <w:qFormat/>
    <w:locked/>
    <w:uiPriority w:val="0"/>
    <w:rPr>
      <w:rFonts w:ascii="宋体" w:hAnsi="宋体"/>
      <w:szCs w:val="21"/>
    </w:rPr>
  </w:style>
  <w:style w:type="paragraph" w:customStyle="1" w:styleId="79">
    <w:name w:val="正文呀"/>
    <w:basedOn w:val="1"/>
    <w:link w:val="78"/>
    <w:qFormat/>
    <w:uiPriority w:val="0"/>
    <w:pPr>
      <w:adjustRightInd w:val="0"/>
      <w:spacing w:line="420" w:lineRule="exact"/>
      <w:ind w:firstLine="420" w:firstLineChars="200"/>
    </w:pPr>
    <w:rPr>
      <w:rFonts w:ascii="宋体" w:hAnsi="宋体"/>
      <w:kern w:val="0"/>
      <w:sz w:val="20"/>
      <w:szCs w:val="21"/>
    </w:rPr>
  </w:style>
  <w:style w:type="paragraph" w:customStyle="1" w:styleId="80">
    <w:name w:val="正文呀2"/>
    <w:basedOn w:val="79"/>
    <w:link w:val="77"/>
    <w:qFormat/>
    <w:uiPriority w:val="0"/>
  </w:style>
  <w:style w:type="character" w:customStyle="1" w:styleId="81">
    <w:name w:val="Document Map Char"/>
    <w:qFormat/>
    <w:uiPriority w:val="99"/>
    <w:rPr>
      <w:rFonts w:eastAsia="宋体"/>
      <w:kern w:val="2"/>
      <w:sz w:val="24"/>
      <w:szCs w:val="24"/>
      <w:lang w:val="en-US" w:eastAsia="zh-CN"/>
    </w:rPr>
  </w:style>
  <w:style w:type="character" w:customStyle="1" w:styleId="82">
    <w:name w:val="Char Char18"/>
    <w:qFormat/>
    <w:uiPriority w:val="99"/>
    <w:rPr>
      <w:rFonts w:ascii="Times New Roman" w:hAnsi="Times New Roman" w:eastAsia="宋体" w:cs="Times New Roman"/>
      <w:b/>
      <w:bCs/>
      <w:sz w:val="28"/>
      <w:szCs w:val="28"/>
    </w:rPr>
  </w:style>
  <w:style w:type="character" w:customStyle="1" w:styleId="83">
    <w:name w:val="Heading 1 Char"/>
    <w:qFormat/>
    <w:uiPriority w:val="99"/>
    <w:rPr>
      <w:rFonts w:eastAsia="宋体"/>
      <w:b/>
      <w:bCs/>
      <w:kern w:val="44"/>
      <w:sz w:val="44"/>
      <w:szCs w:val="44"/>
      <w:lang w:val="en-US" w:eastAsia="zh-CN"/>
    </w:rPr>
  </w:style>
  <w:style w:type="character" w:customStyle="1" w:styleId="84">
    <w:name w:val="ca-51"/>
    <w:qFormat/>
    <w:uiPriority w:val="0"/>
    <w:rPr>
      <w:rFonts w:hint="eastAsia" w:ascii="宋体" w:hAnsi="宋体" w:eastAsia="宋体" w:cs="Times New Roman"/>
      <w:color w:val="E60000"/>
      <w:sz w:val="20"/>
      <w:szCs w:val="20"/>
    </w:rPr>
  </w:style>
  <w:style w:type="character" w:customStyle="1" w:styleId="85">
    <w:name w:val="正文缩进 字符"/>
    <w:link w:val="7"/>
    <w:qFormat/>
    <w:uiPriority w:val="0"/>
    <w:rPr>
      <w:kern w:val="2"/>
      <w:sz w:val="21"/>
    </w:rPr>
  </w:style>
  <w:style w:type="character" w:customStyle="1" w:styleId="86">
    <w:name w:val="Heading #3|1_"/>
    <w:link w:val="87"/>
    <w:qFormat/>
    <w:uiPriority w:val="0"/>
    <w:rPr>
      <w:rFonts w:ascii="宋体" w:hAnsi="宋体" w:cs="宋体"/>
      <w:sz w:val="28"/>
      <w:szCs w:val="28"/>
      <w:lang w:val="zh-CN" w:bidi="zh-CN"/>
    </w:rPr>
  </w:style>
  <w:style w:type="paragraph" w:customStyle="1" w:styleId="87">
    <w:name w:val="Heading #3|1"/>
    <w:basedOn w:val="1"/>
    <w:link w:val="86"/>
    <w:qFormat/>
    <w:uiPriority w:val="0"/>
    <w:pPr>
      <w:spacing w:after="570"/>
      <w:jc w:val="center"/>
      <w:outlineLvl w:val="2"/>
    </w:pPr>
    <w:rPr>
      <w:rFonts w:ascii="宋体" w:hAnsi="宋体" w:cs="宋体"/>
      <w:kern w:val="0"/>
      <w:sz w:val="28"/>
      <w:szCs w:val="28"/>
      <w:lang w:val="zh-CN" w:bidi="zh-CN"/>
    </w:rPr>
  </w:style>
  <w:style w:type="character" w:customStyle="1" w:styleId="88">
    <w:name w:val="标题5 Char Char"/>
    <w:link w:val="89"/>
    <w:qFormat/>
    <w:locked/>
    <w:uiPriority w:val="99"/>
    <w:rPr>
      <w:rFonts w:ascii="Arial" w:hAnsi="Arial" w:cs="Arial"/>
      <w:b/>
      <w:bCs/>
      <w:sz w:val="32"/>
      <w:szCs w:val="32"/>
    </w:rPr>
  </w:style>
  <w:style w:type="paragraph" w:customStyle="1" w:styleId="89">
    <w:name w:val="标题5"/>
    <w:basedOn w:val="4"/>
    <w:link w:val="88"/>
    <w:qFormat/>
    <w:uiPriority w:val="99"/>
    <w:pPr>
      <w:spacing w:line="413" w:lineRule="auto"/>
    </w:pPr>
    <w:rPr>
      <w:rFonts w:ascii="Arial" w:hAnsi="Arial"/>
      <w:kern w:val="0"/>
    </w:rPr>
  </w:style>
  <w:style w:type="character" w:customStyle="1" w:styleId="90">
    <w:name w:val="正文文本 字符1"/>
    <w:link w:val="18"/>
    <w:qFormat/>
    <w:uiPriority w:val="0"/>
    <w:rPr>
      <w:rFonts w:ascii="Times New Roman" w:hAnsi="Times New Roman"/>
      <w:kern w:val="2"/>
      <w:sz w:val="21"/>
      <w:szCs w:val="24"/>
    </w:rPr>
  </w:style>
  <w:style w:type="character" w:customStyle="1" w:styleId="91">
    <w:name w:val="明显强调1"/>
    <w:qFormat/>
    <w:uiPriority w:val="99"/>
    <w:rPr>
      <w:b/>
      <w:bCs/>
      <w:i/>
      <w:iCs/>
      <w:color w:val="4F81BD"/>
    </w:rPr>
  </w:style>
  <w:style w:type="character" w:customStyle="1" w:styleId="92">
    <w:name w:val="Char Char24"/>
    <w:qFormat/>
    <w:uiPriority w:val="99"/>
    <w:rPr>
      <w:rFonts w:eastAsia="宋体"/>
      <w:b/>
      <w:bCs/>
      <w:kern w:val="44"/>
      <w:sz w:val="44"/>
      <w:szCs w:val="44"/>
      <w:lang w:val="en-US" w:eastAsia="zh-CN"/>
    </w:rPr>
  </w:style>
  <w:style w:type="character" w:customStyle="1" w:styleId="93">
    <w:name w:val="ca-71"/>
    <w:qFormat/>
    <w:uiPriority w:val="0"/>
    <w:rPr>
      <w:rFonts w:hint="eastAsia" w:ascii="宋体" w:hAnsi="宋体" w:eastAsia="宋体" w:cs="Times New Roman"/>
      <w:color w:val="000000"/>
      <w:sz w:val="12"/>
      <w:szCs w:val="12"/>
    </w:rPr>
  </w:style>
  <w:style w:type="character" w:customStyle="1" w:styleId="94">
    <w:name w:val="书籍标题1"/>
    <w:qFormat/>
    <w:uiPriority w:val="99"/>
    <w:rPr>
      <w:b/>
      <w:bCs/>
      <w:smallCaps/>
      <w:spacing w:val="5"/>
    </w:rPr>
  </w:style>
  <w:style w:type="character" w:customStyle="1" w:styleId="95">
    <w:name w:val="ca-41"/>
    <w:qFormat/>
    <w:uiPriority w:val="0"/>
    <w:rPr>
      <w:rFonts w:hint="eastAsia" w:ascii="宋体" w:hAnsi="宋体" w:eastAsia="宋体" w:cs="Times New Roman"/>
      <w:color w:val="000000"/>
      <w:sz w:val="20"/>
      <w:szCs w:val="20"/>
    </w:rPr>
  </w:style>
  <w:style w:type="character" w:customStyle="1" w:styleId="96">
    <w:name w:val="不明显强调1"/>
    <w:qFormat/>
    <w:uiPriority w:val="99"/>
    <w:rPr>
      <w:i/>
      <w:iCs/>
      <w:color w:val="808080"/>
    </w:rPr>
  </w:style>
  <w:style w:type="character" w:customStyle="1" w:styleId="97">
    <w:name w:val="标题 1 字符1"/>
    <w:qFormat/>
    <w:uiPriority w:val="0"/>
    <w:rPr>
      <w:b/>
      <w:bCs/>
      <w:kern w:val="44"/>
      <w:sz w:val="44"/>
      <w:szCs w:val="44"/>
    </w:rPr>
  </w:style>
  <w:style w:type="character" w:customStyle="1" w:styleId="98">
    <w:name w:val="Body Text Indent 2 Char"/>
    <w:qFormat/>
    <w:uiPriority w:val="99"/>
    <w:rPr>
      <w:rFonts w:eastAsia="宋体"/>
      <w:kern w:val="2"/>
      <w:sz w:val="24"/>
      <w:szCs w:val="24"/>
      <w:lang w:val="en-US" w:eastAsia="zh-CN"/>
    </w:rPr>
  </w:style>
  <w:style w:type="character" w:customStyle="1" w:styleId="99">
    <w:name w:val="普通文字 Char Char3"/>
    <w:qFormat/>
    <w:uiPriority w:val="0"/>
    <w:rPr>
      <w:rFonts w:hint="eastAsia" w:ascii="宋体" w:hAnsi="Courier New" w:eastAsia="宋体"/>
      <w:kern w:val="2"/>
      <w:sz w:val="21"/>
      <w:lang w:val="en-US" w:eastAsia="zh-CN" w:bidi="ar-SA"/>
    </w:rPr>
  </w:style>
  <w:style w:type="character" w:customStyle="1" w:styleId="100">
    <w:name w:val="标题 Char2"/>
    <w:qFormat/>
    <w:uiPriority w:val="99"/>
    <w:rPr>
      <w:rFonts w:ascii="Cambria" w:hAnsi="Cambria" w:eastAsia="宋体" w:cs="Cambria"/>
      <w:b/>
      <w:bCs/>
      <w:sz w:val="32"/>
      <w:szCs w:val="32"/>
    </w:rPr>
  </w:style>
  <w:style w:type="character" w:customStyle="1" w:styleId="101">
    <w:name w:val="标题 2 Char"/>
    <w:qFormat/>
    <w:uiPriority w:val="0"/>
    <w:rPr>
      <w:rFonts w:ascii="Cambria" w:hAnsi="Cambria" w:eastAsia="宋体" w:cs="Times New Roman"/>
      <w:b/>
      <w:bCs/>
      <w:kern w:val="2"/>
      <w:sz w:val="32"/>
      <w:szCs w:val="32"/>
    </w:rPr>
  </w:style>
  <w:style w:type="character" w:customStyle="1" w:styleId="102">
    <w:name w:val="页脚 字符"/>
    <w:link w:val="32"/>
    <w:qFormat/>
    <w:uiPriority w:val="99"/>
    <w:rPr>
      <w:sz w:val="18"/>
      <w:szCs w:val="18"/>
    </w:rPr>
  </w:style>
  <w:style w:type="character" w:customStyle="1" w:styleId="103">
    <w:name w:val="批注主题 Char1"/>
    <w:qFormat/>
    <w:uiPriority w:val="99"/>
    <w:rPr>
      <w:rFonts w:ascii="Times New Roman" w:hAnsi="Times New Roman" w:eastAsia="宋体" w:cs="Times New Roman"/>
      <w:b/>
      <w:bCs/>
      <w:sz w:val="24"/>
      <w:szCs w:val="24"/>
    </w:rPr>
  </w:style>
  <w:style w:type="character" w:customStyle="1" w:styleId="104">
    <w:name w:val="纯文本 字符3"/>
    <w:link w:val="27"/>
    <w:qFormat/>
    <w:uiPriority w:val="0"/>
    <w:rPr>
      <w:rFonts w:ascii="宋体" w:hAnsi="Courier New" w:eastAsia="宋体" w:cs="Courier New"/>
      <w:szCs w:val="21"/>
    </w:rPr>
  </w:style>
  <w:style w:type="character" w:customStyle="1" w:styleId="105">
    <w:name w:val="Heading #2|1_"/>
    <w:link w:val="106"/>
    <w:qFormat/>
    <w:uiPriority w:val="0"/>
    <w:rPr>
      <w:rFonts w:ascii="宋体" w:hAnsi="宋体" w:cs="宋体"/>
      <w:sz w:val="34"/>
      <w:szCs w:val="34"/>
      <w:lang w:val="zh-CN" w:bidi="zh-CN"/>
    </w:rPr>
  </w:style>
  <w:style w:type="paragraph" w:customStyle="1" w:styleId="106">
    <w:name w:val="Heading #2|1"/>
    <w:basedOn w:val="1"/>
    <w:link w:val="105"/>
    <w:qFormat/>
    <w:uiPriority w:val="0"/>
    <w:pPr>
      <w:spacing w:after="900"/>
      <w:jc w:val="center"/>
      <w:outlineLvl w:val="1"/>
    </w:pPr>
    <w:rPr>
      <w:rFonts w:ascii="宋体" w:hAnsi="宋体" w:cs="宋体"/>
      <w:kern w:val="0"/>
      <w:sz w:val="34"/>
      <w:szCs w:val="34"/>
      <w:lang w:val="zh-CN" w:bidi="zh-CN"/>
    </w:rPr>
  </w:style>
  <w:style w:type="character" w:customStyle="1" w:styleId="107">
    <w:name w:val="Body text|7_"/>
    <w:link w:val="108"/>
    <w:qFormat/>
    <w:uiPriority w:val="0"/>
    <w:rPr>
      <w:rFonts w:ascii="Courier New" w:hAnsi="Courier New" w:eastAsia="Courier New" w:cs="Courier New"/>
      <w:b/>
      <w:bCs/>
      <w:sz w:val="8"/>
      <w:szCs w:val="8"/>
      <w:lang w:val="zh-CN"/>
    </w:rPr>
  </w:style>
  <w:style w:type="paragraph" w:customStyle="1" w:styleId="108">
    <w:name w:val="Body text|7"/>
    <w:basedOn w:val="1"/>
    <w:link w:val="107"/>
    <w:qFormat/>
    <w:uiPriority w:val="0"/>
    <w:pPr>
      <w:ind w:hanging="1760"/>
      <w:jc w:val="left"/>
    </w:pPr>
    <w:rPr>
      <w:rFonts w:ascii="Courier New" w:hAnsi="Courier New" w:eastAsia="Courier New"/>
      <w:b/>
      <w:bCs/>
      <w:kern w:val="0"/>
      <w:sz w:val="8"/>
      <w:szCs w:val="8"/>
      <w:lang w:val="zh-CN"/>
    </w:rPr>
  </w:style>
  <w:style w:type="character" w:customStyle="1" w:styleId="109">
    <w:name w:val="Heading 3 Char"/>
    <w:qFormat/>
    <w:uiPriority w:val="99"/>
    <w:rPr>
      <w:b/>
      <w:bCs/>
      <w:kern w:val="2"/>
      <w:sz w:val="32"/>
      <w:szCs w:val="32"/>
    </w:rPr>
  </w:style>
  <w:style w:type="character" w:customStyle="1" w:styleId="110">
    <w:name w:val="正文文本 Char"/>
    <w:qFormat/>
    <w:uiPriority w:val="0"/>
    <w:rPr>
      <w:rFonts w:ascii="Times New Roman" w:hAnsi="Times New Roman"/>
      <w:kern w:val="2"/>
      <w:sz w:val="21"/>
      <w:szCs w:val="24"/>
    </w:rPr>
  </w:style>
  <w:style w:type="character" w:customStyle="1" w:styleId="111">
    <w:name w:val="正文文本 字符"/>
    <w:qFormat/>
    <w:uiPriority w:val="0"/>
    <w:rPr>
      <w:rFonts w:ascii="Times New Roman" w:hAnsi="Times New Roman"/>
      <w:kern w:val="2"/>
      <w:sz w:val="21"/>
      <w:szCs w:val="24"/>
    </w:rPr>
  </w:style>
  <w:style w:type="character" w:customStyle="1" w:styleId="112">
    <w:name w:val="Balloon Text Char"/>
    <w:qFormat/>
    <w:uiPriority w:val="99"/>
    <w:rPr>
      <w:sz w:val="18"/>
      <w:szCs w:val="18"/>
    </w:rPr>
  </w:style>
  <w:style w:type="character" w:customStyle="1" w:styleId="113">
    <w:name w:val="Footnote Text Char"/>
    <w:qFormat/>
    <w:uiPriority w:val="99"/>
    <w:rPr>
      <w:rFonts w:eastAsia="宋体"/>
      <w:sz w:val="18"/>
      <w:szCs w:val="18"/>
      <w:lang w:val="en-US" w:eastAsia="zh-CN"/>
    </w:rPr>
  </w:style>
  <w:style w:type="character" w:customStyle="1" w:styleId="114">
    <w:name w:val="列表段落 字符"/>
    <w:link w:val="115"/>
    <w:qFormat/>
    <w:locked/>
    <w:uiPriority w:val="0"/>
    <w:rPr>
      <w:kern w:val="2"/>
      <w:sz w:val="21"/>
      <w:szCs w:val="24"/>
    </w:rPr>
  </w:style>
  <w:style w:type="paragraph" w:styleId="115">
    <w:name w:val="List Paragraph"/>
    <w:basedOn w:val="1"/>
    <w:link w:val="114"/>
    <w:qFormat/>
    <w:uiPriority w:val="0"/>
    <w:pPr>
      <w:ind w:firstLine="420" w:firstLineChars="200"/>
    </w:pPr>
  </w:style>
  <w:style w:type="character" w:customStyle="1" w:styleId="116">
    <w:name w:val="引用 Char1"/>
    <w:qFormat/>
    <w:uiPriority w:val="99"/>
    <w:rPr>
      <w:rFonts w:ascii="Times New Roman" w:hAnsi="Times New Roman" w:eastAsia="宋体" w:cs="Times New Roman"/>
      <w:i/>
      <w:iCs/>
      <w:color w:val="000000"/>
      <w:sz w:val="24"/>
      <w:szCs w:val="24"/>
    </w:rPr>
  </w:style>
  <w:style w:type="character" w:customStyle="1" w:styleId="117">
    <w:name w:val="Title Char"/>
    <w:qFormat/>
    <w:uiPriority w:val="99"/>
    <w:rPr>
      <w:rFonts w:ascii="Cambria" w:hAnsi="Cambria" w:cs="Cambria"/>
      <w:b/>
      <w:bCs/>
      <w:sz w:val="32"/>
      <w:szCs w:val="32"/>
    </w:rPr>
  </w:style>
  <w:style w:type="character" w:customStyle="1" w:styleId="118">
    <w:name w:val="Plain Text Char"/>
    <w:qFormat/>
    <w:uiPriority w:val="99"/>
    <w:rPr>
      <w:rFonts w:ascii="宋体" w:hAnsi="Courier New" w:eastAsia="宋体" w:cs="宋体"/>
      <w:sz w:val="24"/>
      <w:szCs w:val="24"/>
    </w:rPr>
  </w:style>
  <w:style w:type="character" w:customStyle="1" w:styleId="119">
    <w:name w:val="批注文字 字符1"/>
    <w:qFormat/>
    <w:uiPriority w:val="0"/>
    <w:rPr>
      <w:rFonts w:ascii="Times New Roman" w:hAnsi="Times New Roman"/>
      <w:kern w:val="2"/>
      <w:sz w:val="21"/>
      <w:szCs w:val="24"/>
    </w:rPr>
  </w:style>
  <w:style w:type="character" w:customStyle="1" w:styleId="120">
    <w:name w:val="纯文本 字符2"/>
    <w:qFormat/>
    <w:uiPriority w:val="0"/>
    <w:rPr>
      <w:rFonts w:ascii="宋体" w:hAnsi="Courier New" w:eastAsia="宋体" w:cs="Courier New"/>
      <w:szCs w:val="21"/>
    </w:rPr>
  </w:style>
  <w:style w:type="character" w:customStyle="1" w:styleId="121">
    <w:name w:val="纯文本 Char2"/>
    <w:qFormat/>
    <w:uiPriority w:val="0"/>
    <w:rPr>
      <w:rFonts w:hint="eastAsia" w:ascii="宋体" w:hAnsi="Courier New" w:eastAsia="宋体" w:cs="宋体"/>
      <w:kern w:val="0"/>
      <w:sz w:val="20"/>
      <w:szCs w:val="20"/>
    </w:rPr>
  </w:style>
  <w:style w:type="character" w:customStyle="1" w:styleId="122">
    <w:name w:val="不明显参考1"/>
    <w:qFormat/>
    <w:uiPriority w:val="99"/>
    <w:rPr>
      <w:smallCaps/>
      <w:color w:val="auto"/>
      <w:u w:val="single"/>
    </w:rPr>
  </w:style>
  <w:style w:type="character" w:customStyle="1" w:styleId="123">
    <w:name w:val="页脚 Char1"/>
    <w:qFormat/>
    <w:locked/>
    <w:uiPriority w:val="0"/>
    <w:rPr>
      <w:sz w:val="18"/>
      <w:szCs w:val="18"/>
    </w:rPr>
  </w:style>
  <w:style w:type="character" w:customStyle="1" w:styleId="124">
    <w:name w:val="Char Char20"/>
    <w:qFormat/>
    <w:uiPriority w:val="99"/>
    <w:rPr>
      <w:rFonts w:ascii="Times New Roman" w:hAnsi="Times New Roman" w:eastAsia="宋体" w:cs="Times New Roman"/>
      <w:b/>
      <w:bCs/>
      <w:sz w:val="32"/>
      <w:szCs w:val="32"/>
    </w:rPr>
  </w:style>
  <w:style w:type="character" w:customStyle="1" w:styleId="125">
    <w:name w:val="Char Char23"/>
    <w:qFormat/>
    <w:uiPriority w:val="99"/>
    <w:rPr>
      <w:rFonts w:eastAsia="宋体"/>
      <w:b/>
      <w:bCs/>
      <w:kern w:val="44"/>
      <w:sz w:val="44"/>
      <w:szCs w:val="44"/>
      <w:lang w:val="en-US" w:eastAsia="zh-CN"/>
    </w:rPr>
  </w:style>
  <w:style w:type="character" w:customStyle="1" w:styleId="126">
    <w:name w:val="标题 7 字符"/>
    <w:basedOn w:val="49"/>
    <w:link w:val="9"/>
    <w:qFormat/>
    <w:uiPriority w:val="0"/>
    <w:rPr>
      <w:b/>
      <w:bCs/>
      <w:sz w:val="24"/>
      <w:szCs w:val="24"/>
    </w:rPr>
  </w:style>
  <w:style w:type="character" w:customStyle="1" w:styleId="127">
    <w:name w:val="Body text|6_"/>
    <w:link w:val="128"/>
    <w:qFormat/>
    <w:uiPriority w:val="0"/>
    <w:rPr>
      <w:rFonts w:ascii="Arial" w:hAnsi="Arial" w:eastAsia="Arial" w:cs="Arial"/>
      <w:lang w:val="zh-CN"/>
    </w:rPr>
  </w:style>
  <w:style w:type="paragraph" w:customStyle="1" w:styleId="128">
    <w:name w:val="Body text|6"/>
    <w:basedOn w:val="1"/>
    <w:link w:val="127"/>
    <w:qFormat/>
    <w:uiPriority w:val="0"/>
    <w:pPr>
      <w:ind w:hanging="2220"/>
      <w:jc w:val="left"/>
    </w:pPr>
    <w:rPr>
      <w:rFonts w:ascii="Arial" w:hAnsi="Arial" w:eastAsia="Arial"/>
      <w:kern w:val="0"/>
      <w:sz w:val="20"/>
      <w:szCs w:val="20"/>
      <w:lang w:val="zh-CN"/>
    </w:rPr>
  </w:style>
  <w:style w:type="character" w:customStyle="1" w:styleId="129">
    <w:name w:val="Body text|5_"/>
    <w:link w:val="130"/>
    <w:qFormat/>
    <w:uiPriority w:val="0"/>
    <w:rPr>
      <w:rFonts w:ascii="宋体" w:hAnsi="宋体" w:cs="宋体"/>
      <w:sz w:val="52"/>
      <w:szCs w:val="52"/>
      <w:lang w:val="zh-CN" w:bidi="zh-CN"/>
    </w:rPr>
  </w:style>
  <w:style w:type="paragraph" w:customStyle="1" w:styleId="130">
    <w:name w:val="Body text|5"/>
    <w:basedOn w:val="1"/>
    <w:link w:val="129"/>
    <w:qFormat/>
    <w:uiPriority w:val="0"/>
    <w:pPr>
      <w:jc w:val="center"/>
    </w:pPr>
    <w:rPr>
      <w:rFonts w:ascii="宋体" w:hAnsi="宋体" w:cs="宋体"/>
      <w:kern w:val="0"/>
      <w:sz w:val="52"/>
      <w:szCs w:val="52"/>
      <w:lang w:val="zh-CN" w:bidi="zh-CN"/>
    </w:rPr>
  </w:style>
  <w:style w:type="character" w:customStyle="1" w:styleId="131">
    <w:name w:val="批注文字 Char Char"/>
    <w:qFormat/>
    <w:uiPriority w:val="99"/>
    <w:rPr>
      <w:rFonts w:ascii="宋体" w:hAnsi="Times New Roman" w:eastAsia="宋体" w:cs="宋体"/>
      <w:sz w:val="20"/>
      <w:szCs w:val="20"/>
    </w:rPr>
  </w:style>
  <w:style w:type="character" w:customStyle="1" w:styleId="132">
    <w:name w:val="引用 Char"/>
    <w:link w:val="133"/>
    <w:qFormat/>
    <w:locked/>
    <w:uiPriority w:val="99"/>
    <w:rPr>
      <w:i/>
      <w:iCs/>
      <w:color w:val="000000"/>
    </w:rPr>
  </w:style>
  <w:style w:type="paragraph" w:customStyle="1" w:styleId="133">
    <w:name w:val="引用1"/>
    <w:basedOn w:val="1"/>
    <w:next w:val="1"/>
    <w:link w:val="132"/>
    <w:qFormat/>
    <w:uiPriority w:val="99"/>
    <w:rPr>
      <w:i/>
      <w:iCs/>
      <w:color w:val="000000"/>
      <w:kern w:val="0"/>
      <w:sz w:val="20"/>
      <w:szCs w:val="20"/>
    </w:rPr>
  </w:style>
  <w:style w:type="character" w:customStyle="1" w:styleId="134">
    <w:name w:val="批注文字 Char2"/>
    <w:qFormat/>
    <w:uiPriority w:val="0"/>
    <w:rPr>
      <w:rFonts w:ascii="Times New Roman" w:hAnsi="Times New Roman"/>
      <w:kern w:val="2"/>
      <w:sz w:val="21"/>
      <w:szCs w:val="24"/>
    </w:rPr>
  </w:style>
  <w:style w:type="character" w:customStyle="1" w:styleId="135">
    <w:name w:val="副标题 字符"/>
    <w:basedOn w:val="49"/>
    <w:link w:val="36"/>
    <w:qFormat/>
    <w:uiPriority w:val="11"/>
    <w:rPr>
      <w:rFonts w:ascii="Cambria" w:hAnsi="Cambria"/>
      <w:b/>
      <w:bCs/>
      <w:kern w:val="28"/>
      <w:sz w:val="32"/>
      <w:szCs w:val="32"/>
    </w:rPr>
  </w:style>
  <w:style w:type="character" w:customStyle="1" w:styleId="136">
    <w:name w:val="正文文本缩进 3 Char1"/>
    <w:basedOn w:val="49"/>
    <w:semiHidden/>
    <w:qFormat/>
    <w:locked/>
    <w:uiPriority w:val="0"/>
    <w:rPr>
      <w:sz w:val="28"/>
    </w:rPr>
  </w:style>
  <w:style w:type="character" w:customStyle="1" w:styleId="137">
    <w:name w:val="textcontents"/>
    <w:qFormat/>
    <w:uiPriority w:val="0"/>
  </w:style>
  <w:style w:type="character" w:customStyle="1" w:styleId="138">
    <w:name w:val="Heading 2 Char"/>
    <w:qFormat/>
    <w:uiPriority w:val="99"/>
    <w:rPr>
      <w:rFonts w:ascii="Arial" w:hAnsi="Arial" w:eastAsia="黑体" w:cs="Arial"/>
      <w:b/>
      <w:bCs/>
      <w:kern w:val="2"/>
      <w:sz w:val="32"/>
      <w:szCs w:val="32"/>
      <w:lang w:val="en-US" w:eastAsia="zh-CN"/>
    </w:rPr>
  </w:style>
  <w:style w:type="character" w:customStyle="1" w:styleId="139">
    <w:name w:val="Char Char9"/>
    <w:qFormat/>
    <w:uiPriority w:val="0"/>
    <w:rPr>
      <w:rFonts w:eastAsia="宋体"/>
      <w:b/>
      <w:bCs/>
      <w:kern w:val="44"/>
      <w:sz w:val="44"/>
      <w:szCs w:val="44"/>
      <w:lang w:val="en-US" w:eastAsia="zh-CN"/>
    </w:rPr>
  </w:style>
  <w:style w:type="character" w:customStyle="1" w:styleId="140">
    <w:name w:val="Other|1_"/>
    <w:link w:val="141"/>
    <w:qFormat/>
    <w:uiPriority w:val="0"/>
    <w:rPr>
      <w:rFonts w:ascii="宋体" w:hAnsi="宋体" w:cs="宋体"/>
      <w:lang w:val="zh-CN" w:bidi="zh-CN"/>
    </w:rPr>
  </w:style>
  <w:style w:type="paragraph" w:customStyle="1" w:styleId="141">
    <w:name w:val="Other|1"/>
    <w:basedOn w:val="1"/>
    <w:link w:val="140"/>
    <w:qFormat/>
    <w:uiPriority w:val="0"/>
    <w:pPr>
      <w:spacing w:line="360" w:lineRule="auto"/>
      <w:ind w:firstLine="400"/>
      <w:jc w:val="left"/>
    </w:pPr>
    <w:rPr>
      <w:rFonts w:ascii="宋体" w:hAnsi="宋体" w:cs="宋体"/>
      <w:kern w:val="0"/>
      <w:sz w:val="20"/>
      <w:szCs w:val="20"/>
      <w:lang w:val="zh-CN" w:bidi="zh-CN"/>
    </w:rPr>
  </w:style>
  <w:style w:type="character" w:customStyle="1" w:styleId="142">
    <w:name w:val="标题 Char1"/>
    <w:qFormat/>
    <w:uiPriority w:val="99"/>
    <w:rPr>
      <w:rFonts w:ascii="Cambria" w:hAnsi="Cambria" w:eastAsia="宋体" w:cs="Cambria"/>
      <w:b/>
      <w:bCs/>
      <w:sz w:val="32"/>
      <w:szCs w:val="32"/>
    </w:rPr>
  </w:style>
  <w:style w:type="character" w:customStyle="1" w:styleId="143">
    <w:name w:val="正文文本缩进 3 字符"/>
    <w:basedOn w:val="49"/>
    <w:link w:val="39"/>
    <w:semiHidden/>
    <w:qFormat/>
    <w:uiPriority w:val="0"/>
    <w:rPr>
      <w:sz w:val="28"/>
    </w:rPr>
  </w:style>
  <w:style w:type="character" w:customStyle="1" w:styleId="144">
    <w:name w:val="Heading #4|1_"/>
    <w:link w:val="145"/>
    <w:qFormat/>
    <w:uiPriority w:val="0"/>
    <w:rPr>
      <w:rFonts w:ascii="宋体" w:hAnsi="宋体" w:cs="宋体"/>
      <w:lang w:val="zh-CN" w:bidi="zh-CN"/>
    </w:rPr>
  </w:style>
  <w:style w:type="paragraph" w:customStyle="1" w:styleId="145">
    <w:name w:val="Heading #4|1"/>
    <w:basedOn w:val="1"/>
    <w:link w:val="144"/>
    <w:qFormat/>
    <w:uiPriority w:val="0"/>
    <w:pPr>
      <w:spacing w:after="120"/>
      <w:jc w:val="left"/>
      <w:outlineLvl w:val="3"/>
    </w:pPr>
    <w:rPr>
      <w:rFonts w:ascii="宋体" w:hAnsi="宋体" w:cs="宋体"/>
      <w:kern w:val="0"/>
      <w:sz w:val="20"/>
      <w:szCs w:val="20"/>
      <w:lang w:val="zh-CN" w:bidi="zh-CN"/>
    </w:rPr>
  </w:style>
  <w:style w:type="character" w:customStyle="1" w:styleId="146">
    <w:name w:val="标题 5 字符"/>
    <w:link w:val="6"/>
    <w:qFormat/>
    <w:uiPriority w:val="99"/>
    <w:rPr>
      <w:rFonts w:ascii="Times New Roman" w:hAnsi="Times New Roman"/>
      <w:b/>
      <w:bCs/>
      <w:kern w:val="2"/>
      <w:sz w:val="28"/>
      <w:szCs w:val="28"/>
    </w:rPr>
  </w:style>
  <w:style w:type="character" w:customStyle="1" w:styleId="147">
    <w:name w:val="Char Char6"/>
    <w:qFormat/>
    <w:uiPriority w:val="99"/>
    <w:rPr>
      <w:rFonts w:eastAsia="宋体"/>
      <w:b/>
      <w:bCs/>
      <w:kern w:val="44"/>
      <w:sz w:val="44"/>
      <w:szCs w:val="44"/>
      <w:lang w:val="en-US" w:eastAsia="zh-CN"/>
    </w:rPr>
  </w:style>
  <w:style w:type="character" w:customStyle="1" w:styleId="148">
    <w:name w:val="文档结构图 Char1"/>
    <w:qFormat/>
    <w:uiPriority w:val="0"/>
    <w:rPr>
      <w:rFonts w:ascii="宋体" w:hAnsi="Times New Roman" w:eastAsia="宋体" w:cs="宋体"/>
      <w:sz w:val="18"/>
      <w:szCs w:val="18"/>
    </w:rPr>
  </w:style>
  <w:style w:type="character" w:customStyle="1" w:styleId="149">
    <w:name w:val="Char Char22"/>
    <w:qFormat/>
    <w:uiPriority w:val="99"/>
    <w:rPr>
      <w:rFonts w:ascii="Times New Roman" w:hAnsi="Times New Roman" w:eastAsia="宋体" w:cs="Times New Roman"/>
      <w:b/>
      <w:bCs/>
      <w:kern w:val="44"/>
      <w:sz w:val="44"/>
      <w:szCs w:val="44"/>
    </w:rPr>
  </w:style>
  <w:style w:type="character" w:customStyle="1" w:styleId="150">
    <w:name w:val="Comment Subject Char"/>
    <w:qFormat/>
    <w:uiPriority w:val="99"/>
    <w:rPr>
      <w:b/>
      <w:bCs/>
      <w:sz w:val="24"/>
      <w:szCs w:val="24"/>
    </w:rPr>
  </w:style>
  <w:style w:type="character" w:customStyle="1" w:styleId="151">
    <w:name w:val="！正文 Char Char"/>
    <w:link w:val="152"/>
    <w:qFormat/>
    <w:locked/>
    <w:uiPriority w:val="0"/>
    <w:rPr>
      <w:rFonts w:ascii="华文细黑" w:hAnsi="华文细黑" w:eastAsia="华文细黑"/>
      <w:sz w:val="24"/>
    </w:rPr>
  </w:style>
  <w:style w:type="paragraph" w:customStyle="1" w:styleId="152">
    <w:name w:val="！正文"/>
    <w:basedOn w:val="1"/>
    <w:link w:val="151"/>
    <w:qFormat/>
    <w:uiPriority w:val="0"/>
    <w:pPr>
      <w:spacing w:line="360" w:lineRule="auto"/>
      <w:ind w:firstLine="200" w:firstLineChars="200"/>
    </w:pPr>
    <w:rPr>
      <w:rFonts w:ascii="华文细黑" w:hAnsi="华文细黑" w:eastAsia="华文细黑"/>
      <w:kern w:val="0"/>
      <w:sz w:val="24"/>
      <w:szCs w:val="20"/>
    </w:rPr>
  </w:style>
  <w:style w:type="character" w:customStyle="1" w:styleId="153">
    <w:name w:val="Comment Text Char"/>
    <w:qFormat/>
    <w:uiPriority w:val="99"/>
    <w:rPr>
      <w:sz w:val="24"/>
      <w:szCs w:val="24"/>
    </w:rPr>
  </w:style>
  <w:style w:type="character" w:customStyle="1" w:styleId="154">
    <w:name w:val="正文2 Char Char"/>
    <w:link w:val="155"/>
    <w:qFormat/>
    <w:uiPriority w:val="0"/>
    <w:rPr>
      <w:kern w:val="2"/>
      <w:sz w:val="24"/>
    </w:rPr>
  </w:style>
  <w:style w:type="paragraph" w:customStyle="1" w:styleId="155">
    <w:name w:val="正文2"/>
    <w:basedOn w:val="1"/>
    <w:link w:val="154"/>
    <w:qFormat/>
    <w:uiPriority w:val="0"/>
    <w:pPr>
      <w:adjustRightInd w:val="0"/>
      <w:spacing w:before="156" w:line="360" w:lineRule="auto"/>
      <w:ind w:firstLine="510" w:firstLineChars="200"/>
    </w:pPr>
    <w:rPr>
      <w:sz w:val="24"/>
      <w:szCs w:val="20"/>
    </w:rPr>
  </w:style>
  <w:style w:type="character" w:customStyle="1" w:styleId="156">
    <w:name w:val="Table caption|1_"/>
    <w:link w:val="157"/>
    <w:qFormat/>
    <w:uiPriority w:val="0"/>
    <w:rPr>
      <w:rFonts w:ascii="宋体" w:hAnsi="宋体" w:cs="宋体"/>
      <w:lang w:val="zh-CN" w:bidi="zh-CN"/>
    </w:rPr>
  </w:style>
  <w:style w:type="paragraph" w:customStyle="1" w:styleId="157">
    <w:name w:val="Table caption|1"/>
    <w:basedOn w:val="1"/>
    <w:link w:val="156"/>
    <w:qFormat/>
    <w:uiPriority w:val="0"/>
    <w:pPr>
      <w:jc w:val="left"/>
    </w:pPr>
    <w:rPr>
      <w:rFonts w:ascii="宋体" w:hAnsi="宋体" w:cs="宋体"/>
      <w:kern w:val="0"/>
      <w:sz w:val="20"/>
      <w:szCs w:val="20"/>
      <w:lang w:val="zh-CN" w:bidi="zh-CN"/>
    </w:rPr>
  </w:style>
  <w:style w:type="character" w:customStyle="1" w:styleId="158">
    <w:name w:val="标题 4 字符"/>
    <w:basedOn w:val="49"/>
    <w:link w:val="5"/>
    <w:qFormat/>
    <w:uiPriority w:val="0"/>
    <w:rPr>
      <w:rFonts w:ascii="Arial" w:hAnsi="Arial"/>
      <w:b/>
      <w:bCs/>
      <w:kern w:val="2"/>
      <w:sz w:val="28"/>
      <w:szCs w:val="28"/>
    </w:rPr>
  </w:style>
  <w:style w:type="character" w:customStyle="1" w:styleId="159">
    <w:name w:val="明显引用 Char1"/>
    <w:qFormat/>
    <w:uiPriority w:val="99"/>
    <w:rPr>
      <w:rFonts w:ascii="Times New Roman" w:hAnsi="Times New Roman" w:eastAsia="宋体" w:cs="Times New Roman"/>
      <w:b/>
      <w:bCs/>
      <w:i/>
      <w:iCs/>
      <w:color w:val="4F81BD"/>
      <w:sz w:val="24"/>
      <w:szCs w:val="24"/>
    </w:rPr>
  </w:style>
  <w:style w:type="character" w:customStyle="1" w:styleId="160">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161">
    <w:name w:val="页眉 Char1"/>
    <w:basedOn w:val="49"/>
    <w:semiHidden/>
    <w:qFormat/>
    <w:locked/>
    <w:uiPriority w:val="0"/>
    <w:rPr>
      <w:kern w:val="2"/>
      <w:sz w:val="18"/>
      <w:szCs w:val="18"/>
    </w:rPr>
  </w:style>
  <w:style w:type="character" w:customStyle="1" w:styleId="162">
    <w:name w:val="页眉 字符"/>
    <w:link w:val="33"/>
    <w:qFormat/>
    <w:uiPriority w:val="0"/>
    <w:rPr>
      <w:sz w:val="18"/>
      <w:szCs w:val="18"/>
    </w:rPr>
  </w:style>
  <w:style w:type="character" w:customStyle="1" w:styleId="163">
    <w:name w:val="Heading 4 Char"/>
    <w:qFormat/>
    <w:uiPriority w:val="99"/>
    <w:rPr>
      <w:rFonts w:ascii="Arial" w:hAnsi="Arial" w:eastAsia="宋体" w:cs="Arial"/>
      <w:b/>
      <w:bCs/>
      <w:kern w:val="2"/>
      <w:sz w:val="28"/>
      <w:szCs w:val="28"/>
      <w:lang w:val="en-US" w:eastAsia="zh-CN"/>
    </w:rPr>
  </w:style>
  <w:style w:type="character" w:customStyle="1" w:styleId="164">
    <w:name w:val="Char Char21"/>
    <w:qFormat/>
    <w:uiPriority w:val="99"/>
    <w:rPr>
      <w:rFonts w:ascii="Arial" w:hAnsi="Arial" w:eastAsia="黑体" w:cs="Arial"/>
      <w:b/>
      <w:bCs/>
      <w:sz w:val="32"/>
      <w:szCs w:val="32"/>
    </w:rPr>
  </w:style>
  <w:style w:type="character" w:customStyle="1" w:styleId="165">
    <w:name w:val="Header or footer|2_"/>
    <w:link w:val="166"/>
    <w:qFormat/>
    <w:uiPriority w:val="0"/>
    <w:rPr>
      <w:lang w:val="zh-CN" w:bidi="zh-CN"/>
    </w:rPr>
  </w:style>
  <w:style w:type="paragraph" w:customStyle="1" w:styleId="166">
    <w:name w:val="Header or footer|2"/>
    <w:basedOn w:val="1"/>
    <w:link w:val="165"/>
    <w:qFormat/>
    <w:uiPriority w:val="0"/>
    <w:pPr>
      <w:jc w:val="left"/>
    </w:pPr>
    <w:rPr>
      <w:kern w:val="0"/>
      <w:sz w:val="20"/>
      <w:szCs w:val="20"/>
      <w:lang w:val="zh-CN" w:bidi="zh-CN"/>
    </w:rPr>
  </w:style>
  <w:style w:type="character" w:customStyle="1" w:styleId="167">
    <w:name w:val="HTML 预设格式 字符"/>
    <w:basedOn w:val="49"/>
    <w:link w:val="42"/>
    <w:qFormat/>
    <w:uiPriority w:val="99"/>
    <w:rPr>
      <w:rFonts w:ascii="宋体" w:hAnsi="宋体"/>
      <w:sz w:val="24"/>
      <w:szCs w:val="24"/>
    </w:rPr>
  </w:style>
  <w:style w:type="character" w:customStyle="1" w:styleId="168">
    <w:name w:val="纯文本 字符"/>
    <w:qFormat/>
    <w:uiPriority w:val="0"/>
    <w:rPr>
      <w:rFonts w:ascii="宋体" w:hAnsi="Courier New" w:eastAsia="宋体" w:cs="Courier New"/>
      <w:szCs w:val="21"/>
    </w:rPr>
  </w:style>
  <w:style w:type="character" w:customStyle="1" w:styleId="169">
    <w:name w:val="正文文本 3 字符"/>
    <w:link w:val="17"/>
    <w:semiHidden/>
    <w:qFormat/>
    <w:uiPriority w:val="0"/>
    <w:rPr>
      <w:kern w:val="2"/>
      <w:sz w:val="16"/>
      <w:szCs w:val="16"/>
    </w:rPr>
  </w:style>
  <w:style w:type="character" w:customStyle="1" w:styleId="170">
    <w:name w:val="Heading 3 Char1"/>
    <w:qFormat/>
    <w:uiPriority w:val="99"/>
    <w:rPr>
      <w:rFonts w:eastAsia="宋体"/>
      <w:b/>
      <w:bCs/>
      <w:kern w:val="2"/>
      <w:sz w:val="32"/>
      <w:szCs w:val="32"/>
      <w:lang w:val="en-US" w:eastAsia="zh-CN"/>
    </w:rPr>
  </w:style>
  <w:style w:type="character" w:customStyle="1" w:styleId="171">
    <w:name w:val="日期 Char1"/>
    <w:qFormat/>
    <w:uiPriority w:val="0"/>
    <w:rPr>
      <w:rFonts w:ascii="Times New Roman" w:hAnsi="Times New Roman" w:eastAsia="宋体" w:cs="Times New Roman"/>
      <w:sz w:val="24"/>
      <w:szCs w:val="24"/>
    </w:rPr>
  </w:style>
  <w:style w:type="character" w:customStyle="1" w:styleId="172">
    <w:name w:val="Date Char"/>
    <w:qFormat/>
    <w:uiPriority w:val="99"/>
    <w:rPr>
      <w:rFonts w:eastAsia="宋体"/>
      <w:kern w:val="2"/>
      <w:sz w:val="24"/>
      <w:szCs w:val="24"/>
      <w:lang w:val="en-US" w:eastAsia="zh-CN"/>
    </w:rPr>
  </w:style>
  <w:style w:type="character" w:customStyle="1" w:styleId="173">
    <w:name w:val="Heading #1|1_"/>
    <w:link w:val="174"/>
    <w:qFormat/>
    <w:uiPriority w:val="0"/>
    <w:rPr>
      <w:rFonts w:ascii="宋体" w:hAnsi="宋体" w:cs="宋体"/>
      <w:sz w:val="38"/>
      <w:szCs w:val="38"/>
      <w:lang w:val="zh-CN" w:bidi="zh-CN"/>
    </w:rPr>
  </w:style>
  <w:style w:type="paragraph" w:customStyle="1" w:styleId="174">
    <w:name w:val="Heading #1|1"/>
    <w:basedOn w:val="1"/>
    <w:link w:val="173"/>
    <w:qFormat/>
    <w:uiPriority w:val="0"/>
    <w:pPr>
      <w:spacing w:after="440" w:line="564" w:lineRule="exact"/>
      <w:jc w:val="center"/>
      <w:outlineLvl w:val="0"/>
    </w:pPr>
    <w:rPr>
      <w:rFonts w:ascii="宋体" w:hAnsi="宋体" w:cs="宋体"/>
      <w:kern w:val="0"/>
      <w:sz w:val="38"/>
      <w:szCs w:val="38"/>
      <w:lang w:val="zh-CN" w:bidi="zh-CN"/>
    </w:rPr>
  </w:style>
  <w:style w:type="character" w:customStyle="1" w:styleId="175">
    <w:name w:val="ca-31"/>
    <w:qFormat/>
    <w:uiPriority w:val="0"/>
    <w:rPr>
      <w:rFonts w:hint="eastAsia" w:ascii="宋体" w:hAnsi="宋体" w:eastAsia="宋体" w:cs="Times New Roman"/>
      <w:color w:val="000000"/>
      <w:sz w:val="24"/>
      <w:szCs w:val="24"/>
    </w:rPr>
  </w:style>
  <w:style w:type="character" w:customStyle="1" w:styleId="176">
    <w:name w:val="批注框文本 Char1"/>
    <w:qFormat/>
    <w:uiPriority w:val="0"/>
    <w:rPr>
      <w:rFonts w:ascii="Times New Roman" w:hAnsi="Times New Roman" w:eastAsia="宋体" w:cs="Times New Roman"/>
      <w:sz w:val="18"/>
      <w:szCs w:val="18"/>
    </w:rPr>
  </w:style>
  <w:style w:type="character" w:customStyle="1" w:styleId="177">
    <w:name w:val="批注主题 字符"/>
    <w:link w:val="46"/>
    <w:qFormat/>
    <w:uiPriority w:val="0"/>
    <w:rPr>
      <w:rFonts w:ascii="Times New Roman" w:hAnsi="Times New Roman"/>
      <w:b/>
      <w:bCs/>
      <w:kern w:val="2"/>
      <w:sz w:val="21"/>
      <w:szCs w:val="24"/>
    </w:rPr>
  </w:style>
  <w:style w:type="character" w:customStyle="1" w:styleId="178">
    <w:name w:val="标题 8 字符"/>
    <w:link w:val="10"/>
    <w:semiHidden/>
    <w:qFormat/>
    <w:uiPriority w:val="9"/>
    <w:rPr>
      <w:rFonts w:ascii="等线 Light" w:hAnsi="等线 Light" w:eastAsia="等线 Light" w:cs="Times New Roman"/>
      <w:kern w:val="2"/>
      <w:sz w:val="24"/>
      <w:szCs w:val="24"/>
    </w:rPr>
  </w:style>
  <w:style w:type="character" w:customStyle="1" w:styleId="179">
    <w:name w:val="脚注文本 字符"/>
    <w:basedOn w:val="49"/>
    <w:link w:val="37"/>
    <w:semiHidden/>
    <w:qFormat/>
    <w:uiPriority w:val="0"/>
    <w:rPr>
      <w:sz w:val="18"/>
      <w:szCs w:val="18"/>
    </w:rPr>
  </w:style>
  <w:style w:type="character" w:customStyle="1" w:styleId="180">
    <w:name w:val="Table of contents|1_"/>
    <w:link w:val="181"/>
    <w:qFormat/>
    <w:uiPriority w:val="0"/>
    <w:rPr>
      <w:rFonts w:ascii="宋体" w:hAnsi="宋体" w:cs="宋体"/>
      <w:lang w:val="zh-CN" w:bidi="zh-CN"/>
    </w:rPr>
  </w:style>
  <w:style w:type="paragraph" w:customStyle="1" w:styleId="181">
    <w:name w:val="Table of contents|1"/>
    <w:basedOn w:val="1"/>
    <w:link w:val="180"/>
    <w:qFormat/>
    <w:uiPriority w:val="0"/>
    <w:pPr>
      <w:spacing w:after="100"/>
      <w:ind w:firstLine="600"/>
      <w:jc w:val="left"/>
    </w:pPr>
    <w:rPr>
      <w:rFonts w:ascii="宋体" w:hAnsi="宋体" w:cs="宋体"/>
      <w:kern w:val="0"/>
      <w:sz w:val="20"/>
      <w:szCs w:val="20"/>
      <w:lang w:val="zh-CN" w:bidi="zh-CN"/>
    </w:rPr>
  </w:style>
  <w:style w:type="character" w:customStyle="1" w:styleId="182">
    <w:name w:val="Char Char181"/>
    <w:qFormat/>
    <w:uiPriority w:val="99"/>
    <w:rPr>
      <w:b/>
      <w:bCs/>
      <w:kern w:val="44"/>
      <w:sz w:val="44"/>
      <w:szCs w:val="44"/>
    </w:rPr>
  </w:style>
  <w:style w:type="character" w:customStyle="1" w:styleId="183">
    <w:name w:val="NormalCharacter"/>
    <w:qFormat/>
    <w:uiPriority w:val="0"/>
  </w:style>
  <w:style w:type="character" w:customStyle="1" w:styleId="184">
    <w:name w:val="标题 3 字符"/>
    <w:basedOn w:val="49"/>
    <w:link w:val="4"/>
    <w:qFormat/>
    <w:uiPriority w:val="0"/>
    <w:rPr>
      <w:b/>
      <w:bCs/>
      <w:kern w:val="2"/>
      <w:sz w:val="32"/>
      <w:szCs w:val="32"/>
    </w:rPr>
  </w:style>
  <w:style w:type="character" w:customStyle="1" w:styleId="185">
    <w:name w:val="Footer Char"/>
    <w:qFormat/>
    <w:uiPriority w:val="99"/>
    <w:rPr>
      <w:rFonts w:eastAsia="宋体"/>
      <w:kern w:val="2"/>
      <w:sz w:val="18"/>
      <w:szCs w:val="18"/>
      <w:lang w:val="en-US" w:eastAsia="zh-CN"/>
    </w:rPr>
  </w:style>
  <w:style w:type="character" w:customStyle="1" w:styleId="186">
    <w:name w:val="标题 6 字符"/>
    <w:basedOn w:val="49"/>
    <w:link w:val="8"/>
    <w:qFormat/>
    <w:uiPriority w:val="0"/>
    <w:rPr>
      <w:rFonts w:ascii="Cambria" w:hAnsi="Cambria"/>
      <w:b/>
      <w:bCs/>
      <w:sz w:val="24"/>
      <w:szCs w:val="24"/>
    </w:rPr>
  </w:style>
  <w:style w:type="character" w:customStyle="1" w:styleId="187">
    <w:name w:val="Body text|3_"/>
    <w:link w:val="188"/>
    <w:qFormat/>
    <w:uiPriority w:val="0"/>
    <w:rPr>
      <w:rFonts w:ascii="宋体" w:hAnsi="宋体" w:cs="宋体"/>
      <w:lang w:val="zh-CN" w:bidi="zh-CN"/>
    </w:rPr>
  </w:style>
  <w:style w:type="paragraph" w:customStyle="1" w:styleId="188">
    <w:name w:val="Body text|3"/>
    <w:basedOn w:val="1"/>
    <w:link w:val="187"/>
    <w:qFormat/>
    <w:uiPriority w:val="0"/>
    <w:pPr>
      <w:spacing w:after="340"/>
      <w:jc w:val="left"/>
    </w:pPr>
    <w:rPr>
      <w:rFonts w:ascii="宋体" w:hAnsi="宋体" w:cs="宋体"/>
      <w:kern w:val="0"/>
      <w:sz w:val="20"/>
      <w:szCs w:val="20"/>
      <w:lang w:val="zh-CN" w:bidi="zh-CN"/>
    </w:rPr>
  </w:style>
  <w:style w:type="character" w:customStyle="1" w:styleId="189">
    <w:name w:val="批注文字 Char"/>
    <w:qFormat/>
    <w:uiPriority w:val="0"/>
    <w:rPr>
      <w:rFonts w:ascii="Times New Roman" w:hAnsi="Times New Roman"/>
      <w:kern w:val="2"/>
      <w:sz w:val="21"/>
      <w:szCs w:val="24"/>
    </w:rPr>
  </w:style>
  <w:style w:type="character" w:customStyle="1" w:styleId="190">
    <w:name w:val="标题 2 字符"/>
    <w:link w:val="3"/>
    <w:qFormat/>
    <w:uiPriority w:val="9"/>
    <w:rPr>
      <w:rFonts w:ascii="Cambria" w:hAnsi="Cambria" w:eastAsia="宋体" w:cs="Times New Roman"/>
      <w:b/>
      <w:bCs/>
      <w:kern w:val="2"/>
      <w:sz w:val="32"/>
      <w:szCs w:val="32"/>
    </w:rPr>
  </w:style>
  <w:style w:type="character" w:customStyle="1" w:styleId="191">
    <w:name w:val="标题 9 字符"/>
    <w:basedOn w:val="49"/>
    <w:link w:val="11"/>
    <w:qFormat/>
    <w:uiPriority w:val="0"/>
    <w:rPr>
      <w:rFonts w:ascii="Cambria" w:hAnsi="Cambria"/>
      <w:szCs w:val="21"/>
    </w:rPr>
  </w:style>
  <w:style w:type="character" w:customStyle="1" w:styleId="192">
    <w:name w:val="正文文本缩进 字符"/>
    <w:link w:val="20"/>
    <w:qFormat/>
    <w:uiPriority w:val="0"/>
    <w:rPr>
      <w:rFonts w:ascii="仿宋_GB2312" w:hAnsi="Times New Roman" w:eastAsia="仿宋_GB2312" w:cs="Times New Roman"/>
      <w:sz w:val="32"/>
      <w:szCs w:val="20"/>
    </w:rPr>
  </w:style>
  <w:style w:type="character" w:customStyle="1" w:styleId="193">
    <w:name w:val="纯文本 Char"/>
    <w:qFormat/>
    <w:uiPriority w:val="0"/>
    <w:rPr>
      <w:rFonts w:ascii="宋体" w:hAnsi="Courier New" w:eastAsia="宋体" w:cs="Courier New"/>
      <w:szCs w:val="21"/>
    </w:rPr>
  </w:style>
  <w:style w:type="character" w:customStyle="1" w:styleId="194">
    <w:name w:val="Body text|4_"/>
    <w:link w:val="195"/>
    <w:qFormat/>
    <w:uiPriority w:val="0"/>
    <w:rPr>
      <w:rFonts w:ascii="宋体" w:hAnsi="宋体" w:cs="宋体"/>
      <w:b/>
      <w:bCs/>
      <w:sz w:val="17"/>
      <w:szCs w:val="17"/>
      <w:lang w:val="zh-CN" w:bidi="zh-CN"/>
    </w:rPr>
  </w:style>
  <w:style w:type="paragraph" w:customStyle="1" w:styleId="195">
    <w:name w:val="Body text|4"/>
    <w:basedOn w:val="1"/>
    <w:link w:val="194"/>
    <w:qFormat/>
    <w:uiPriority w:val="0"/>
    <w:pPr>
      <w:spacing w:line="281" w:lineRule="exact"/>
      <w:jc w:val="center"/>
    </w:pPr>
    <w:rPr>
      <w:rFonts w:ascii="宋体" w:hAnsi="宋体" w:cs="宋体"/>
      <w:b/>
      <w:bCs/>
      <w:kern w:val="0"/>
      <w:sz w:val="17"/>
      <w:szCs w:val="17"/>
      <w:lang w:val="zh-CN" w:bidi="zh-CN"/>
    </w:rPr>
  </w:style>
  <w:style w:type="character" w:customStyle="1" w:styleId="196">
    <w:name w:val="明显参考1"/>
    <w:qFormat/>
    <w:uiPriority w:val="99"/>
    <w:rPr>
      <w:b/>
      <w:bCs/>
      <w:smallCaps/>
      <w:color w:val="auto"/>
      <w:spacing w:val="5"/>
      <w:u w:val="single"/>
    </w:rPr>
  </w:style>
  <w:style w:type="character" w:customStyle="1" w:styleId="197">
    <w:name w:val="UserStyle_9"/>
    <w:link w:val="198"/>
    <w:qFormat/>
    <w:locked/>
    <w:uiPriority w:val="0"/>
    <w:rPr>
      <w:kern w:val="2"/>
      <w:sz w:val="21"/>
      <w:szCs w:val="24"/>
    </w:rPr>
  </w:style>
  <w:style w:type="paragraph" w:customStyle="1" w:styleId="198">
    <w:name w:val="AnnotationText"/>
    <w:basedOn w:val="1"/>
    <w:link w:val="197"/>
    <w:qFormat/>
    <w:uiPriority w:val="0"/>
    <w:pPr>
      <w:widowControl/>
      <w:jc w:val="left"/>
    </w:pPr>
  </w:style>
  <w:style w:type="character" w:customStyle="1" w:styleId="199">
    <w:name w:val="标题 字符"/>
    <w:basedOn w:val="49"/>
    <w:link w:val="45"/>
    <w:qFormat/>
    <w:uiPriority w:val="0"/>
    <w:rPr>
      <w:rFonts w:ascii="Cambria" w:hAnsi="Cambria"/>
      <w:b/>
      <w:bCs/>
      <w:kern w:val="2"/>
      <w:sz w:val="32"/>
      <w:szCs w:val="32"/>
    </w:rPr>
  </w:style>
  <w:style w:type="character" w:customStyle="1" w:styleId="200">
    <w:name w:val="标题 1 字符"/>
    <w:link w:val="2"/>
    <w:qFormat/>
    <w:uiPriority w:val="0"/>
    <w:rPr>
      <w:b/>
      <w:bCs/>
      <w:kern w:val="44"/>
      <w:sz w:val="44"/>
      <w:szCs w:val="44"/>
    </w:rPr>
  </w:style>
  <w:style w:type="character" w:customStyle="1" w:styleId="201">
    <w:name w:val="Char Char91"/>
    <w:qFormat/>
    <w:uiPriority w:val="99"/>
    <w:rPr>
      <w:rFonts w:eastAsia="宋体"/>
      <w:b/>
      <w:bCs/>
      <w:kern w:val="44"/>
      <w:sz w:val="44"/>
      <w:szCs w:val="44"/>
      <w:lang w:val="en-US" w:eastAsia="zh-CN"/>
    </w:rPr>
  </w:style>
  <w:style w:type="character" w:customStyle="1" w:styleId="202">
    <w:name w:val="明显引用 Char"/>
    <w:link w:val="203"/>
    <w:qFormat/>
    <w:locked/>
    <w:uiPriority w:val="99"/>
    <w:rPr>
      <w:b/>
      <w:bCs/>
      <w:i/>
      <w:iCs/>
      <w:color w:val="4F81BD"/>
    </w:rPr>
  </w:style>
  <w:style w:type="paragraph" w:customStyle="1" w:styleId="203">
    <w:name w:val="明显引用1"/>
    <w:basedOn w:val="1"/>
    <w:next w:val="1"/>
    <w:link w:val="202"/>
    <w:qFormat/>
    <w:uiPriority w:val="99"/>
    <w:pPr>
      <w:pBdr>
        <w:bottom w:val="single" w:color="4F81BD" w:sz="4" w:space="4"/>
      </w:pBdr>
      <w:spacing w:before="200" w:after="280"/>
      <w:ind w:left="936" w:right="936"/>
    </w:pPr>
    <w:rPr>
      <w:b/>
      <w:bCs/>
      <w:i/>
      <w:iCs/>
      <w:color w:val="4F81BD"/>
      <w:kern w:val="0"/>
      <w:sz w:val="20"/>
      <w:szCs w:val="20"/>
    </w:rPr>
  </w:style>
  <w:style w:type="character" w:customStyle="1" w:styleId="204">
    <w:name w:val="手改 Char Char"/>
    <w:qFormat/>
    <w:uiPriority w:val="0"/>
    <w:rPr>
      <w:rFonts w:hint="default" w:ascii="Times New Roman" w:hAnsi="Times New Roman" w:eastAsia="宋体" w:cs="Times New Roman"/>
      <w:sz w:val="24"/>
      <w:szCs w:val="24"/>
      <w:lang w:bidi="ar-SA"/>
    </w:rPr>
  </w:style>
  <w:style w:type="character" w:customStyle="1" w:styleId="205">
    <w:name w:val="日期 字符"/>
    <w:link w:val="29"/>
    <w:qFormat/>
    <w:uiPriority w:val="0"/>
    <w:rPr>
      <w:rFonts w:ascii="Times New Roman" w:hAnsi="Times New Roman"/>
      <w:kern w:val="2"/>
      <w:sz w:val="21"/>
      <w:szCs w:val="24"/>
    </w:rPr>
  </w:style>
  <w:style w:type="character" w:customStyle="1" w:styleId="206">
    <w:name w:val="标准文本 Char"/>
    <w:link w:val="207"/>
    <w:qFormat/>
    <w:locked/>
    <w:uiPriority w:val="0"/>
    <w:rPr>
      <w:kern w:val="2"/>
      <w:sz w:val="24"/>
    </w:rPr>
  </w:style>
  <w:style w:type="paragraph" w:customStyle="1" w:styleId="207">
    <w:name w:val="标准文本"/>
    <w:basedOn w:val="1"/>
    <w:link w:val="206"/>
    <w:qFormat/>
    <w:uiPriority w:val="0"/>
    <w:pPr>
      <w:spacing w:line="360" w:lineRule="auto"/>
      <w:ind w:firstLine="480" w:firstLineChars="200"/>
    </w:pPr>
    <w:rPr>
      <w:sz w:val="24"/>
      <w:szCs w:val="20"/>
    </w:rPr>
  </w:style>
  <w:style w:type="character" w:customStyle="1" w:styleId="208">
    <w:name w:val="段 Char"/>
    <w:link w:val="209"/>
    <w:qFormat/>
    <w:locked/>
    <w:uiPriority w:val="0"/>
    <w:rPr>
      <w:rFonts w:ascii="宋体" w:hAnsi="宋体"/>
      <w:lang w:val="en-US" w:eastAsia="zh-CN" w:bidi="ar-SA"/>
    </w:rPr>
  </w:style>
  <w:style w:type="paragraph" w:customStyle="1" w:styleId="209">
    <w:name w:val="段"/>
    <w:link w:val="208"/>
    <w:qFormat/>
    <w:uiPriority w:val="0"/>
    <w:pPr>
      <w:autoSpaceDE w:val="0"/>
      <w:autoSpaceDN w:val="0"/>
      <w:ind w:firstLine="200" w:firstLineChars="200"/>
      <w:jc w:val="both"/>
    </w:pPr>
    <w:rPr>
      <w:rFonts w:ascii="宋体" w:hAnsi="宋体" w:eastAsia="宋体" w:cs="Times New Roman"/>
      <w:lang w:val="en-US" w:eastAsia="zh-CN" w:bidi="ar-SA"/>
    </w:rPr>
  </w:style>
  <w:style w:type="character" w:customStyle="1" w:styleId="210">
    <w:name w:val="批注文字 字符"/>
    <w:qFormat/>
    <w:uiPriority w:val="0"/>
    <w:rPr>
      <w:rFonts w:ascii="Times New Roman" w:hAnsi="Times New Roman"/>
      <w:kern w:val="2"/>
      <w:sz w:val="21"/>
      <w:szCs w:val="24"/>
    </w:rPr>
  </w:style>
  <w:style w:type="character" w:customStyle="1" w:styleId="211">
    <w:name w:val="apple-style-span"/>
    <w:qFormat/>
    <w:uiPriority w:val="0"/>
  </w:style>
  <w:style w:type="character" w:customStyle="1" w:styleId="212">
    <w:name w:val="批注框文本 字符"/>
    <w:link w:val="31"/>
    <w:qFormat/>
    <w:locked/>
    <w:uiPriority w:val="0"/>
    <w:rPr>
      <w:kern w:val="2"/>
      <w:sz w:val="18"/>
      <w:szCs w:val="18"/>
    </w:rPr>
  </w:style>
  <w:style w:type="character" w:customStyle="1" w:styleId="213">
    <w:name w:val="纯文本 字符1"/>
    <w:qFormat/>
    <w:uiPriority w:val="0"/>
    <w:rPr>
      <w:rFonts w:ascii="宋体" w:hAnsi="Courier New"/>
    </w:rPr>
  </w:style>
  <w:style w:type="character" w:customStyle="1" w:styleId="214">
    <w:name w:val="文档结构图 字符"/>
    <w:basedOn w:val="49"/>
    <w:link w:val="15"/>
    <w:qFormat/>
    <w:uiPriority w:val="0"/>
    <w:rPr>
      <w:kern w:val="2"/>
      <w:sz w:val="24"/>
      <w:szCs w:val="24"/>
      <w:shd w:val="clear" w:color="auto" w:fill="000080"/>
    </w:rPr>
  </w:style>
  <w:style w:type="character" w:customStyle="1" w:styleId="215">
    <w:name w:val="Header or footer|1_"/>
    <w:link w:val="216"/>
    <w:qFormat/>
    <w:uiPriority w:val="0"/>
    <w:rPr>
      <w:sz w:val="17"/>
      <w:szCs w:val="17"/>
      <w:lang w:val="zh-CN" w:bidi="zh-CN"/>
    </w:rPr>
  </w:style>
  <w:style w:type="paragraph" w:customStyle="1" w:styleId="216">
    <w:name w:val="Header or footer|1"/>
    <w:basedOn w:val="1"/>
    <w:link w:val="215"/>
    <w:qFormat/>
    <w:uiPriority w:val="0"/>
    <w:pPr>
      <w:jc w:val="center"/>
    </w:pPr>
    <w:rPr>
      <w:kern w:val="0"/>
      <w:sz w:val="17"/>
      <w:szCs w:val="17"/>
      <w:lang w:val="zh-CN" w:bidi="zh-CN"/>
    </w:rPr>
  </w:style>
  <w:style w:type="character" w:customStyle="1" w:styleId="217">
    <w:name w:val="Body text|1_"/>
    <w:link w:val="218"/>
    <w:qFormat/>
    <w:uiPriority w:val="0"/>
    <w:rPr>
      <w:rFonts w:ascii="宋体" w:hAnsi="宋体" w:cs="宋体"/>
      <w:kern w:val="2"/>
      <w:sz w:val="21"/>
      <w:lang w:val="zh-CN" w:bidi="zh-CN"/>
    </w:rPr>
  </w:style>
  <w:style w:type="paragraph" w:customStyle="1" w:styleId="218">
    <w:name w:val="Body text|1"/>
    <w:basedOn w:val="1"/>
    <w:link w:val="217"/>
    <w:qFormat/>
    <w:uiPriority w:val="0"/>
    <w:pPr>
      <w:spacing w:line="360" w:lineRule="auto"/>
      <w:ind w:firstLine="400"/>
    </w:pPr>
    <w:rPr>
      <w:rFonts w:ascii="宋体" w:hAnsi="宋体" w:cs="宋体"/>
      <w:szCs w:val="20"/>
      <w:lang w:val="zh-CN" w:bidi="zh-CN"/>
    </w:rPr>
  </w:style>
  <w:style w:type="character" w:customStyle="1" w:styleId="219">
    <w:name w:val="Body Text Indent Char"/>
    <w:qFormat/>
    <w:uiPriority w:val="99"/>
    <w:rPr>
      <w:rFonts w:ascii="宋体" w:hAnsi="宋体" w:eastAsia="宋体" w:cs="宋体"/>
      <w:kern w:val="2"/>
      <w:sz w:val="21"/>
      <w:szCs w:val="21"/>
      <w:lang w:val="en-US" w:eastAsia="zh-CN"/>
    </w:rPr>
  </w:style>
  <w:style w:type="character" w:customStyle="1" w:styleId="220">
    <w:name w:val="Header Char"/>
    <w:qFormat/>
    <w:uiPriority w:val="99"/>
    <w:rPr>
      <w:rFonts w:eastAsia="宋体"/>
      <w:kern w:val="2"/>
      <w:sz w:val="18"/>
      <w:szCs w:val="18"/>
      <w:lang w:val="en-US" w:eastAsia="zh-CN"/>
    </w:rPr>
  </w:style>
  <w:style w:type="character" w:customStyle="1" w:styleId="221">
    <w:name w:val="标题4 Char Char"/>
    <w:link w:val="222"/>
    <w:qFormat/>
    <w:locked/>
    <w:uiPriority w:val="99"/>
    <w:rPr>
      <w:rFonts w:ascii="Arial" w:hAnsi="Arial" w:cs="Arial"/>
      <w:b/>
      <w:bCs/>
      <w:sz w:val="32"/>
      <w:szCs w:val="32"/>
    </w:rPr>
  </w:style>
  <w:style w:type="paragraph" w:customStyle="1" w:styleId="222">
    <w:name w:val="标题4"/>
    <w:basedOn w:val="3"/>
    <w:next w:val="24"/>
    <w:link w:val="221"/>
    <w:qFormat/>
    <w:uiPriority w:val="99"/>
    <w:pPr>
      <w:spacing w:before="60" w:after="60" w:line="413" w:lineRule="auto"/>
    </w:pPr>
    <w:rPr>
      <w:rFonts w:ascii="Arial" w:hAnsi="Arial"/>
      <w:kern w:val="0"/>
    </w:rPr>
  </w:style>
  <w:style w:type="paragraph" w:customStyle="1" w:styleId="223">
    <w:name w:val="xl61"/>
    <w:basedOn w:val="1"/>
    <w:qFormat/>
    <w:uiPriority w:val="0"/>
    <w:pPr>
      <w:widowControl/>
      <w:pBdr>
        <w:top w:val="single" w:color="0000FF" w:sz="4" w:space="0"/>
        <w:left w:val="single" w:color="0000FF" w:sz="4" w:space="0"/>
        <w:right w:val="single" w:color="0000FF" w:sz="4" w:space="0"/>
      </w:pBdr>
      <w:spacing w:before="100" w:beforeAutospacing="1" w:after="100" w:afterAutospacing="1"/>
      <w:jc w:val="center"/>
    </w:pPr>
    <w:rPr>
      <w:color w:val="000000"/>
      <w:kern w:val="0"/>
      <w:szCs w:val="21"/>
    </w:rPr>
  </w:style>
  <w:style w:type="paragraph" w:customStyle="1" w:styleId="224">
    <w:name w:val="Char Char1 Char Char Char Char Char Char Char Char Char Char"/>
    <w:basedOn w:val="1"/>
    <w:qFormat/>
    <w:uiPriority w:val="0"/>
    <w:pPr>
      <w:widowControl/>
      <w:spacing w:after="160" w:line="240" w:lineRule="exact"/>
      <w:jc w:val="left"/>
    </w:pPr>
    <w:rPr>
      <w:szCs w:val="20"/>
    </w:rPr>
  </w:style>
  <w:style w:type="paragraph" w:customStyle="1" w:styleId="225">
    <w:name w:val="正文 A"/>
    <w:qFormat/>
    <w:uiPriority w:val="0"/>
    <w:pPr>
      <w:widowControl w:val="0"/>
      <w:jc w:val="both"/>
    </w:pPr>
    <w:rPr>
      <w:rFonts w:ascii="Calibri" w:hAnsi="Calibri" w:eastAsia="宋体" w:cs="Calibri"/>
      <w:color w:val="000000"/>
      <w:kern w:val="2"/>
      <w:sz w:val="21"/>
      <w:szCs w:val="21"/>
      <w:u w:color="000000"/>
      <w:lang w:val="en-US" w:eastAsia="zh-CN" w:bidi="ar-SA"/>
    </w:rPr>
  </w:style>
  <w:style w:type="paragraph" w:customStyle="1" w:styleId="226">
    <w:name w:val="Char1 Char Char Char Char Char Char"/>
    <w:basedOn w:val="1"/>
    <w:qFormat/>
    <w:uiPriority w:val="0"/>
    <w:rPr>
      <w:rFonts w:ascii="Tahoma" w:hAnsi="Tahoma"/>
      <w:sz w:val="24"/>
      <w:szCs w:val="20"/>
    </w:rPr>
  </w:style>
  <w:style w:type="paragraph" w:customStyle="1" w:styleId="227">
    <w:name w:val="正正正正"/>
    <w:basedOn w:val="18"/>
    <w:qFormat/>
    <w:uiPriority w:val="1"/>
    <w:pPr>
      <w:tabs>
        <w:tab w:val="left" w:pos="2812"/>
        <w:tab w:val="left" w:pos="3986"/>
      </w:tabs>
      <w:spacing w:after="0" w:line="360" w:lineRule="exact"/>
      <w:ind w:firstLine="200" w:firstLineChars="200"/>
    </w:pPr>
    <w:rPr>
      <w:rFonts w:ascii="Calibri" w:hAnsi="Calibri"/>
      <w:sz w:val="20"/>
      <w:szCs w:val="21"/>
      <w:lang w:eastAsia="en-US"/>
    </w:rPr>
  </w:style>
  <w:style w:type="paragraph" w:customStyle="1" w:styleId="228">
    <w:name w:val="表格文字"/>
    <w:basedOn w:val="1"/>
    <w:qFormat/>
    <w:uiPriority w:val="0"/>
    <w:pPr>
      <w:adjustRightInd w:val="0"/>
      <w:spacing w:line="420" w:lineRule="atLeast"/>
      <w:jc w:val="left"/>
    </w:pPr>
    <w:rPr>
      <w:kern w:val="0"/>
    </w:rPr>
  </w:style>
  <w:style w:type="paragraph" w:customStyle="1" w:styleId="229">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0">
    <w:name w:val="正文_1_0_0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1">
    <w:name w:val="xl59"/>
    <w:basedOn w:val="1"/>
    <w:qFormat/>
    <w:uiPriority w:val="0"/>
    <w:pPr>
      <w:widowControl/>
      <w:pBdr>
        <w:top w:val="single" w:color="0000FF" w:sz="4" w:space="0"/>
        <w:left w:val="single" w:color="0000FF" w:sz="4" w:space="0"/>
        <w:right w:val="single" w:color="0000FF" w:sz="8" w:space="0"/>
      </w:pBdr>
      <w:shd w:val="clear" w:color="auto" w:fill="FFFFFF"/>
      <w:spacing w:before="100" w:beforeAutospacing="1" w:after="100" w:afterAutospacing="1"/>
      <w:jc w:val="center"/>
    </w:pPr>
    <w:rPr>
      <w:rFonts w:ascii="宋体" w:hAnsi="宋体"/>
      <w:kern w:val="0"/>
      <w:sz w:val="24"/>
    </w:rPr>
  </w:style>
  <w:style w:type="paragraph" w:customStyle="1" w:styleId="232">
    <w:name w:val="次小点说明 Char"/>
    <w:basedOn w:val="7"/>
    <w:qFormat/>
    <w:uiPriority w:val="0"/>
    <w:pPr>
      <w:ind w:firstLine="0"/>
    </w:pPr>
    <w:rPr>
      <w:sz w:val="24"/>
      <w:szCs w:val="24"/>
    </w:rPr>
  </w:style>
  <w:style w:type="paragraph" w:customStyle="1" w:styleId="233">
    <w:name w:val="无间隔1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234">
    <w:name w:val="Char Char Char Char Char Char Char"/>
    <w:basedOn w:val="1"/>
    <w:qFormat/>
    <w:uiPriority w:val="99"/>
    <w:pPr>
      <w:widowControl/>
      <w:spacing w:after="160" w:line="240" w:lineRule="exact"/>
      <w:jc w:val="left"/>
    </w:pPr>
    <w:rPr>
      <w:szCs w:val="21"/>
    </w:rPr>
  </w:style>
  <w:style w:type="paragraph" w:customStyle="1" w:styleId="235">
    <w:name w:val="font0"/>
    <w:basedOn w:val="1"/>
    <w:qFormat/>
    <w:uiPriority w:val="0"/>
    <w:pPr>
      <w:widowControl/>
      <w:spacing w:before="100" w:beforeAutospacing="1" w:after="100" w:afterAutospacing="1"/>
      <w:jc w:val="left"/>
    </w:pPr>
    <w:rPr>
      <w:rFonts w:ascii="宋体" w:hAnsi="宋体"/>
      <w:kern w:val="0"/>
      <w:sz w:val="24"/>
    </w:rPr>
  </w:style>
  <w:style w:type="paragraph" w:customStyle="1" w:styleId="236">
    <w:name w:val="修订1"/>
    <w:qFormat/>
    <w:uiPriority w:val="99"/>
    <w:rPr>
      <w:rFonts w:ascii="Times New Roman" w:hAnsi="Times New Roman" w:eastAsia="宋体" w:cs="Times New Roman"/>
      <w:kern w:val="2"/>
      <w:sz w:val="21"/>
      <w:szCs w:val="21"/>
      <w:lang w:val="en-US" w:eastAsia="zh-CN" w:bidi="ar-SA"/>
    </w:rPr>
  </w:style>
  <w:style w:type="paragraph" w:customStyle="1" w:styleId="237">
    <w:name w:val="xl32"/>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kern w:val="0"/>
      <w:szCs w:val="21"/>
    </w:rPr>
  </w:style>
  <w:style w:type="paragraph" w:customStyle="1" w:styleId="238">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9">
    <w:name w:val="样式1"/>
    <w:basedOn w:val="1"/>
    <w:next w:val="5"/>
    <w:qFormat/>
    <w:uiPriority w:val="99"/>
    <w:pPr>
      <w:spacing w:line="360" w:lineRule="auto"/>
      <w:ind w:firstLine="420" w:firstLineChars="200"/>
    </w:pPr>
    <w:rPr>
      <w:rFonts w:ascii="宋体" w:hAnsi="宋体" w:cs="宋体"/>
      <w:szCs w:val="21"/>
    </w:rPr>
  </w:style>
  <w:style w:type="paragraph" w:customStyle="1" w:styleId="240">
    <w:name w:val="Default"/>
    <w:qFormat/>
    <w:uiPriority w:val="99"/>
    <w:pPr>
      <w:widowControl w:val="0"/>
      <w:autoSpaceDE w:val="0"/>
      <w:autoSpaceDN w:val="0"/>
      <w:adjustRightInd w:val="0"/>
    </w:pPr>
    <w:rPr>
      <w:rFonts w:ascii="Times New Roman" w:hAnsi="Times New Roman" w:eastAsia="宋体" w:cs="Times New Roman"/>
      <w:color w:val="000000"/>
      <w:kern w:val="2"/>
      <w:sz w:val="24"/>
      <w:szCs w:val="24"/>
      <w:lang w:val="en-US" w:eastAsia="zh-CN" w:bidi="ar-SA"/>
    </w:rPr>
  </w:style>
  <w:style w:type="paragraph" w:customStyle="1" w:styleId="241">
    <w:name w:val="列出段落1"/>
    <w:basedOn w:val="1"/>
    <w:qFormat/>
    <w:uiPriority w:val="0"/>
    <w:pPr>
      <w:ind w:firstLine="420" w:firstLineChars="200"/>
    </w:pPr>
    <w:rPr>
      <w:rFonts w:ascii="Calibri" w:hAnsi="Calibri" w:cs="Calibri"/>
      <w:szCs w:val="21"/>
    </w:rPr>
  </w:style>
  <w:style w:type="paragraph" w:customStyle="1" w:styleId="242">
    <w:name w:val="xl31"/>
    <w:basedOn w:val="1"/>
    <w:qFormat/>
    <w:uiPriority w:val="0"/>
    <w:pPr>
      <w:widowControl/>
      <w:spacing w:before="100" w:beforeAutospacing="1" w:after="100" w:afterAutospacing="1"/>
      <w:jc w:val="center"/>
    </w:pPr>
    <w:rPr>
      <w:rFonts w:ascii="Arial Unicode MS" w:hAnsi="Arial Unicode MS"/>
      <w:kern w:val="0"/>
      <w:sz w:val="24"/>
    </w:rPr>
  </w:style>
  <w:style w:type="paragraph" w:customStyle="1" w:styleId="243">
    <w:name w:val="修订11"/>
    <w:qFormat/>
    <w:uiPriority w:val="99"/>
    <w:rPr>
      <w:rFonts w:ascii="Times New Roman" w:hAnsi="Times New Roman" w:eastAsia="宋体" w:cs="Times New Roman"/>
      <w:kern w:val="2"/>
      <w:sz w:val="21"/>
      <w:szCs w:val="21"/>
      <w:lang w:val="en-US" w:eastAsia="zh-CN" w:bidi="ar-SA"/>
    </w:rPr>
  </w:style>
  <w:style w:type="paragraph" w:customStyle="1" w:styleId="244">
    <w:name w:val="xl49"/>
    <w:basedOn w:val="1"/>
    <w:qFormat/>
    <w:uiPriority w:val="0"/>
    <w:pPr>
      <w:widowControl/>
      <w:pBdr>
        <w:top w:val="single" w:color="0000FF" w:sz="8" w:space="0"/>
        <w:left w:val="single" w:color="0000FF" w:sz="4" w:space="0"/>
        <w:bottom w:val="single" w:color="0000FF" w:sz="4" w:space="0"/>
        <w:right w:val="single" w:color="0000FF" w:sz="4" w:space="0"/>
      </w:pBdr>
      <w:spacing w:before="100" w:beforeAutospacing="1" w:after="100" w:afterAutospacing="1"/>
      <w:jc w:val="center"/>
    </w:pPr>
    <w:rPr>
      <w:rFonts w:ascii="宋体" w:hAnsi="宋体"/>
      <w:b/>
      <w:bCs/>
      <w:color w:val="000000"/>
      <w:kern w:val="0"/>
      <w:szCs w:val="21"/>
    </w:rPr>
  </w:style>
  <w:style w:type="paragraph" w:customStyle="1" w:styleId="245">
    <w:name w:val="xl38"/>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b/>
      <w:bCs/>
      <w:kern w:val="0"/>
      <w:szCs w:val="21"/>
      <w:u w:val="single"/>
    </w:rPr>
  </w:style>
  <w:style w:type="paragraph" w:customStyle="1" w:styleId="246">
    <w:name w:val="p0"/>
    <w:basedOn w:val="1"/>
    <w:qFormat/>
    <w:uiPriority w:val="0"/>
    <w:pPr>
      <w:widowControl/>
    </w:pPr>
    <w:rPr>
      <w:rFonts w:ascii="Calibri" w:hAnsi="Calibri" w:cs="Calibri"/>
      <w:kern w:val="0"/>
      <w:szCs w:val="21"/>
    </w:rPr>
  </w:style>
  <w:style w:type="paragraph" w:customStyle="1" w:styleId="247">
    <w:name w:val="xl39"/>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kern w:val="0"/>
      <w:szCs w:val="21"/>
    </w:rPr>
  </w:style>
  <w:style w:type="paragraph" w:customStyle="1" w:styleId="248">
    <w:name w:val="样式 标题 3 + (中文) 黑体 小四 非加粗 段前: 7.8 磅 段后: 0 磅 行距: 固定值 20 磅"/>
    <w:basedOn w:val="4"/>
    <w:qFormat/>
    <w:uiPriority w:val="99"/>
    <w:pPr>
      <w:spacing w:before="0" w:after="0" w:line="400" w:lineRule="exact"/>
    </w:pPr>
    <w:rPr>
      <w:rFonts w:eastAsia="黑体"/>
      <w:b w:val="0"/>
      <w:bCs w:val="0"/>
      <w:lang w:val="zh-CN"/>
    </w:rPr>
  </w:style>
  <w:style w:type="paragraph" w:customStyle="1" w:styleId="249">
    <w:name w:val="xl58"/>
    <w:basedOn w:val="1"/>
    <w:qFormat/>
    <w:uiPriority w:val="0"/>
    <w:pPr>
      <w:widowControl/>
      <w:pBdr>
        <w:top w:val="single" w:color="0000FF" w:sz="4" w:space="0"/>
        <w:left w:val="single" w:color="0000FF" w:sz="4" w:space="0"/>
        <w:bottom w:val="single" w:color="0000FF" w:sz="4" w:space="0"/>
        <w:right w:val="single" w:color="0000FF" w:sz="8" w:space="0"/>
      </w:pBdr>
      <w:spacing w:before="100" w:beforeAutospacing="1" w:after="100" w:afterAutospacing="1"/>
      <w:jc w:val="center"/>
    </w:pPr>
    <w:rPr>
      <w:kern w:val="0"/>
      <w:szCs w:val="21"/>
    </w:rPr>
  </w:style>
  <w:style w:type="paragraph" w:customStyle="1" w:styleId="250">
    <w:name w:val="_Style 1"/>
    <w:basedOn w:val="1"/>
    <w:qFormat/>
    <w:uiPriority w:val="1"/>
    <w:pPr>
      <w:ind w:firstLine="420" w:firstLineChars="200"/>
      <w:jc w:val="left"/>
    </w:pPr>
    <w:rPr>
      <w:rFonts w:ascii="Times New Roman)" w:hAnsi="Times New Roman)" w:eastAsia="宋体正文"/>
      <w:color w:val="000000"/>
      <w:kern w:val="0"/>
      <w:lang w:eastAsia="en-US" w:bidi="en-US"/>
    </w:rPr>
  </w:style>
  <w:style w:type="paragraph" w:customStyle="1" w:styleId="251">
    <w:name w:val="Char Char Char1"/>
    <w:basedOn w:val="1"/>
    <w:qFormat/>
    <w:uiPriority w:val="0"/>
    <w:rPr>
      <w:rFonts w:ascii="Tahoma" w:hAnsi="Tahoma"/>
      <w:sz w:val="24"/>
      <w:szCs w:val="20"/>
    </w:rPr>
  </w:style>
  <w:style w:type="paragraph" w:customStyle="1" w:styleId="252">
    <w:name w:val="xl46"/>
    <w:basedOn w:val="1"/>
    <w:qFormat/>
    <w:uiPriority w:val="0"/>
    <w:pPr>
      <w:widowControl/>
      <w:pBdr>
        <w:top w:val="single" w:color="0000FF" w:sz="8" w:space="0"/>
        <w:left w:val="single" w:color="0000FF" w:sz="8" w:space="0"/>
        <w:bottom w:val="single" w:color="0000FF" w:sz="4" w:space="0"/>
        <w:right w:val="single" w:color="0000FF" w:sz="4" w:space="0"/>
      </w:pBdr>
      <w:spacing w:before="100" w:beforeAutospacing="1" w:after="100" w:afterAutospacing="1"/>
      <w:jc w:val="center"/>
    </w:pPr>
    <w:rPr>
      <w:rFonts w:ascii="宋体" w:hAnsi="宋体"/>
      <w:b/>
      <w:bCs/>
      <w:color w:val="000000"/>
      <w:kern w:val="0"/>
      <w:szCs w:val="21"/>
    </w:rPr>
  </w:style>
  <w:style w:type="paragraph" w:customStyle="1" w:styleId="253">
    <w:name w:val="样式 标题 2 + Times New Roman 四号 非加粗 段前: 5 磅 段后: 0 磅 行距: 固定值 20..."/>
    <w:basedOn w:val="3"/>
    <w:qFormat/>
    <w:uiPriority w:val="99"/>
    <w:pPr>
      <w:spacing w:before="100" w:after="0" w:line="400" w:lineRule="exact"/>
    </w:pPr>
    <w:rPr>
      <w:rFonts w:ascii="Times New Roman" w:hAnsi="Times New Roman" w:eastAsia="黑体"/>
      <w:b w:val="0"/>
      <w:bCs w:val="0"/>
      <w:kern w:val="0"/>
      <w:sz w:val="28"/>
      <w:szCs w:val="28"/>
      <w:lang w:val="zh-CN"/>
    </w:rPr>
  </w:style>
  <w:style w:type="paragraph" w:customStyle="1" w:styleId="254">
    <w:name w:val="Blockquote"/>
    <w:basedOn w:val="1"/>
    <w:qFormat/>
    <w:uiPriority w:val="0"/>
    <w:pPr>
      <w:autoSpaceDE w:val="0"/>
      <w:autoSpaceDN w:val="0"/>
      <w:adjustRightInd w:val="0"/>
      <w:spacing w:before="100" w:after="100" w:line="312" w:lineRule="atLeast"/>
      <w:ind w:left="360" w:right="360"/>
    </w:pPr>
    <w:rPr>
      <w:kern w:val="0"/>
      <w:sz w:val="24"/>
      <w:szCs w:val="20"/>
    </w:rPr>
  </w:style>
  <w:style w:type="paragraph" w:customStyle="1" w:styleId="255">
    <w:name w:val="TOC 标题1"/>
    <w:basedOn w:val="2"/>
    <w:next w:val="1"/>
    <w:qFormat/>
    <w:uiPriority w:val="99"/>
    <w:pPr>
      <w:spacing w:line="576" w:lineRule="auto"/>
      <w:outlineLvl w:val="9"/>
    </w:pPr>
    <w:rPr>
      <w:rFonts w:ascii="Calibri" w:hAnsi="Calibri" w:eastAsia="黑体" w:cs="Calibri"/>
      <w:lang w:val="zh-CN"/>
    </w:rPr>
  </w:style>
  <w:style w:type="paragraph" w:customStyle="1" w:styleId="256">
    <w:name w:val="列表段落1"/>
    <w:basedOn w:val="1"/>
    <w:qFormat/>
    <w:uiPriority w:val="34"/>
    <w:pPr>
      <w:ind w:firstLine="420" w:firstLineChars="200"/>
    </w:pPr>
    <w:rPr>
      <w:rFonts w:ascii="Calibri" w:hAnsi="Calibri"/>
      <w:szCs w:val="22"/>
    </w:rPr>
  </w:style>
  <w:style w:type="paragraph" w:customStyle="1" w:styleId="257">
    <w:name w:val="font5"/>
    <w:basedOn w:val="1"/>
    <w:qFormat/>
    <w:uiPriority w:val="0"/>
    <w:pPr>
      <w:widowControl/>
      <w:spacing w:before="100" w:beforeAutospacing="1" w:after="100" w:afterAutospacing="1"/>
      <w:jc w:val="left"/>
    </w:pPr>
    <w:rPr>
      <w:rFonts w:ascii="宋体" w:hAnsi="宋体"/>
      <w:kern w:val="0"/>
      <w:sz w:val="18"/>
      <w:szCs w:val="18"/>
    </w:rPr>
  </w:style>
  <w:style w:type="paragraph" w:customStyle="1" w:styleId="258">
    <w:name w:val="xl57"/>
    <w:basedOn w:val="1"/>
    <w:qFormat/>
    <w:uiPriority w:val="0"/>
    <w:pPr>
      <w:widowControl/>
      <w:pBdr>
        <w:left w:val="single" w:color="0000FF" w:sz="4" w:space="0"/>
        <w:bottom w:val="single" w:color="0000FF" w:sz="4" w:space="0"/>
        <w:right w:val="single" w:color="0000FF" w:sz="4" w:space="0"/>
      </w:pBdr>
      <w:shd w:val="clear" w:color="auto" w:fill="FFFFFF"/>
      <w:spacing w:before="100" w:beforeAutospacing="1" w:after="100" w:afterAutospacing="1"/>
      <w:jc w:val="center"/>
    </w:pPr>
    <w:rPr>
      <w:rFonts w:ascii="宋体" w:hAnsi="宋体"/>
      <w:kern w:val="0"/>
      <w:sz w:val="24"/>
    </w:rPr>
  </w:style>
  <w:style w:type="paragraph" w:customStyle="1" w:styleId="259">
    <w:name w:val="xl51"/>
    <w:basedOn w:val="1"/>
    <w:qFormat/>
    <w:uiPriority w:val="0"/>
    <w:pPr>
      <w:widowControl/>
      <w:pBdr>
        <w:top w:val="single" w:color="0000FF" w:sz="4" w:space="0"/>
        <w:left w:val="single" w:color="0000FF" w:sz="4" w:space="0"/>
        <w:bottom w:val="single" w:color="0000FF" w:sz="8" w:space="0"/>
        <w:right w:val="single" w:color="0000FF" w:sz="4" w:space="0"/>
      </w:pBdr>
      <w:spacing w:before="100" w:beforeAutospacing="1" w:after="100" w:afterAutospacing="1"/>
      <w:jc w:val="center"/>
    </w:pPr>
    <w:rPr>
      <w:rFonts w:ascii="宋体" w:hAnsi="宋体"/>
      <w:kern w:val="0"/>
      <w:sz w:val="24"/>
    </w:rPr>
  </w:style>
  <w:style w:type="paragraph" w:customStyle="1" w:styleId="260">
    <w:name w:val="xl3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kern w:val="0"/>
      <w:szCs w:val="21"/>
    </w:rPr>
  </w:style>
  <w:style w:type="paragraph" w:customStyle="1" w:styleId="261">
    <w:name w:val="xl45"/>
    <w:basedOn w:val="1"/>
    <w:qFormat/>
    <w:uiPriority w:val="0"/>
    <w:pPr>
      <w:widowControl/>
      <w:pBdr>
        <w:top w:val="single" w:color="0000FF" w:sz="4" w:space="0"/>
        <w:left w:val="single" w:color="0000FF" w:sz="4" w:space="0"/>
        <w:right w:val="single" w:color="0000FF" w:sz="4" w:space="0"/>
      </w:pBdr>
      <w:spacing w:before="100" w:beforeAutospacing="1" w:after="100" w:afterAutospacing="1"/>
      <w:jc w:val="left"/>
    </w:pPr>
    <w:rPr>
      <w:rFonts w:ascii="宋体" w:hAnsi="宋体"/>
      <w:kern w:val="0"/>
      <w:sz w:val="24"/>
    </w:rPr>
  </w:style>
  <w:style w:type="paragraph" w:customStyle="1" w:styleId="262">
    <w:name w:val="_Style 36"/>
    <w:basedOn w:val="1"/>
    <w:qFormat/>
    <w:uiPriority w:val="0"/>
    <w:rPr>
      <w:rFonts w:ascii="Tahoma" w:hAnsi="Tahoma"/>
      <w:sz w:val="24"/>
      <w:szCs w:val="20"/>
    </w:rPr>
  </w:style>
  <w:style w:type="paragraph" w:customStyle="1" w:styleId="263">
    <w:name w:val="xl54"/>
    <w:basedOn w:val="1"/>
    <w:qFormat/>
    <w:uiPriority w:val="0"/>
    <w:pPr>
      <w:widowControl/>
      <w:pBdr>
        <w:top w:val="single" w:color="0000FF" w:sz="4" w:space="0"/>
        <w:left w:val="single" w:color="0000FF" w:sz="8" w:space="0"/>
        <w:right w:val="single" w:color="0000FF" w:sz="4" w:space="0"/>
      </w:pBdr>
      <w:spacing w:before="100" w:beforeAutospacing="1" w:after="100" w:afterAutospacing="1"/>
      <w:jc w:val="center"/>
    </w:pPr>
    <w:rPr>
      <w:rFonts w:ascii="宋体" w:hAnsi="宋体"/>
      <w:color w:val="000000"/>
      <w:kern w:val="0"/>
      <w:szCs w:val="21"/>
    </w:rPr>
  </w:style>
  <w:style w:type="paragraph" w:customStyle="1" w:styleId="264">
    <w:name w:val="Char Char Char"/>
    <w:basedOn w:val="1"/>
    <w:qFormat/>
    <w:uiPriority w:val="0"/>
    <w:rPr>
      <w:rFonts w:ascii="Tahoma" w:hAnsi="Tahoma"/>
      <w:sz w:val="24"/>
      <w:szCs w:val="20"/>
    </w:rPr>
  </w:style>
  <w:style w:type="paragraph" w:customStyle="1" w:styleId="265">
    <w:name w:val="Char"/>
    <w:basedOn w:val="1"/>
    <w:qFormat/>
    <w:uiPriority w:val="0"/>
    <w:pPr>
      <w:widowControl/>
      <w:spacing w:after="160" w:line="240" w:lineRule="exact"/>
      <w:jc w:val="left"/>
    </w:pPr>
    <w:rPr>
      <w:szCs w:val="21"/>
    </w:rPr>
  </w:style>
  <w:style w:type="paragraph" w:customStyle="1" w:styleId="266">
    <w:name w:val="xl53"/>
    <w:basedOn w:val="1"/>
    <w:qFormat/>
    <w:uiPriority w:val="0"/>
    <w:pPr>
      <w:widowControl/>
      <w:pBdr>
        <w:top w:val="single" w:color="0000FF" w:sz="4" w:space="0"/>
        <w:left w:val="single" w:color="0000FF" w:sz="4" w:space="0"/>
        <w:bottom w:val="single" w:color="0000FF" w:sz="4" w:space="0"/>
        <w:right w:val="single" w:color="0000FF" w:sz="8" w:space="0"/>
      </w:pBdr>
      <w:spacing w:before="100" w:beforeAutospacing="1" w:after="100" w:afterAutospacing="1"/>
      <w:jc w:val="center"/>
    </w:pPr>
    <w:rPr>
      <w:rFonts w:ascii="宋体" w:hAnsi="宋体"/>
      <w:b/>
      <w:bCs/>
      <w:color w:val="000000"/>
      <w:kern w:val="0"/>
      <w:szCs w:val="21"/>
    </w:rPr>
  </w:style>
  <w:style w:type="paragraph" w:customStyle="1" w:styleId="267">
    <w:name w:val="font8"/>
    <w:basedOn w:val="1"/>
    <w:qFormat/>
    <w:uiPriority w:val="0"/>
    <w:pPr>
      <w:widowControl/>
      <w:spacing w:before="100" w:beforeAutospacing="1" w:after="100" w:afterAutospacing="1"/>
      <w:jc w:val="left"/>
    </w:pPr>
    <w:rPr>
      <w:rFonts w:ascii="宋体" w:hAnsi="宋体"/>
      <w:b/>
      <w:bCs/>
      <w:color w:val="000000"/>
      <w:kern w:val="0"/>
      <w:szCs w:val="21"/>
    </w:rPr>
  </w:style>
  <w:style w:type="paragraph" w:customStyle="1" w:styleId="268">
    <w:name w:val="xl26"/>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269">
    <w:name w:val="正文呀2_0"/>
    <w:basedOn w:val="270"/>
    <w:qFormat/>
    <w:uiPriority w:val="0"/>
    <w:rPr>
      <w:rFonts w:ascii="Times New Roman" w:hAnsi="Times New Roman" w:eastAsia="宋体"/>
    </w:rPr>
  </w:style>
  <w:style w:type="paragraph" w:customStyle="1" w:styleId="270">
    <w:name w:val="正文呀_0"/>
    <w:basedOn w:val="271"/>
    <w:qFormat/>
    <w:uiPriority w:val="0"/>
    <w:pPr>
      <w:spacing w:line="420" w:lineRule="exact"/>
      <w:ind w:firstLine="420" w:firstLineChars="200"/>
    </w:pPr>
    <w:rPr>
      <w:rFonts w:ascii="宋体" w:hAnsi="宋体" w:eastAsia="等线"/>
    </w:rPr>
  </w:style>
  <w:style w:type="paragraph" w:customStyle="1" w:styleId="271">
    <w:name w:val="正文_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2">
    <w:name w:val="Char Char Char Char"/>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273">
    <w:name w:val="默认段落字体 Para Char Char Char Char Char Char Char Char Char1 Char Char Char Char"/>
    <w:basedOn w:val="1"/>
    <w:qFormat/>
    <w:uiPriority w:val="0"/>
    <w:rPr>
      <w:rFonts w:ascii="Tahoma" w:hAnsi="Tahoma"/>
      <w:sz w:val="24"/>
      <w:szCs w:val="20"/>
    </w:rPr>
  </w:style>
  <w:style w:type="paragraph" w:customStyle="1" w:styleId="274">
    <w:name w:val="reader-word-layer"/>
    <w:basedOn w:val="1"/>
    <w:qFormat/>
    <w:uiPriority w:val="99"/>
    <w:pPr>
      <w:widowControl/>
      <w:spacing w:before="100" w:beforeAutospacing="1" w:after="100" w:afterAutospacing="1"/>
      <w:jc w:val="left"/>
    </w:pPr>
    <w:rPr>
      <w:rFonts w:ascii="宋体" w:hAnsi="宋体" w:cs="宋体"/>
      <w:kern w:val="0"/>
      <w:sz w:val="24"/>
    </w:rPr>
  </w:style>
  <w:style w:type="paragraph" w:customStyle="1" w:styleId="275">
    <w:name w:val="font6"/>
    <w:basedOn w:val="1"/>
    <w:qFormat/>
    <w:uiPriority w:val="0"/>
    <w:pPr>
      <w:widowControl/>
      <w:spacing w:before="100" w:beforeAutospacing="1" w:after="100" w:afterAutospacing="1"/>
      <w:jc w:val="left"/>
    </w:pPr>
    <w:rPr>
      <w:rFonts w:ascii="宋体" w:hAnsi="宋体"/>
      <w:kern w:val="0"/>
      <w:sz w:val="20"/>
      <w:szCs w:val="20"/>
    </w:rPr>
  </w:style>
  <w:style w:type="paragraph" w:customStyle="1" w:styleId="276">
    <w:name w:val="标题 3_0"/>
    <w:basedOn w:val="277"/>
    <w:next w:val="1"/>
    <w:qFormat/>
    <w:uiPriority w:val="0"/>
    <w:pPr>
      <w:keepNext/>
      <w:keepLines/>
      <w:spacing w:before="260" w:after="260" w:line="412" w:lineRule="auto"/>
      <w:jc w:val="left"/>
      <w:outlineLvl w:val="2"/>
    </w:pPr>
    <w:rPr>
      <w:b/>
    </w:rPr>
  </w:style>
  <w:style w:type="paragraph" w:customStyle="1" w:styleId="277">
    <w:name w:val="正文_0"/>
    <w:qFormat/>
    <w:uiPriority w:val="0"/>
    <w:pPr>
      <w:widowControl w:val="0"/>
      <w:spacing w:before="120" w:after="120"/>
      <w:jc w:val="both"/>
    </w:pPr>
    <w:rPr>
      <w:rFonts w:ascii="Calibri" w:hAnsi="Calibri" w:eastAsia="宋体" w:cs="Times New Roman"/>
      <w:kern w:val="2"/>
      <w:sz w:val="21"/>
      <w:szCs w:val="24"/>
      <w:lang w:val="en-US" w:eastAsia="zh-CN" w:bidi="ar-SA"/>
    </w:rPr>
  </w:style>
  <w:style w:type="paragraph" w:customStyle="1" w:styleId="278">
    <w:name w:val="font7"/>
    <w:basedOn w:val="1"/>
    <w:qFormat/>
    <w:uiPriority w:val="0"/>
    <w:pPr>
      <w:widowControl/>
      <w:spacing w:before="100" w:beforeAutospacing="1" w:after="100" w:afterAutospacing="1"/>
      <w:jc w:val="left"/>
    </w:pPr>
    <w:rPr>
      <w:kern w:val="0"/>
      <w:sz w:val="20"/>
      <w:szCs w:val="20"/>
    </w:rPr>
  </w:style>
  <w:style w:type="paragraph" w:customStyle="1" w:styleId="279">
    <w:name w:val="列出段落11"/>
    <w:qFormat/>
    <w:uiPriority w:val="34"/>
    <w:pPr>
      <w:widowControl w:val="0"/>
      <w:ind w:firstLine="420"/>
      <w:jc w:val="both"/>
    </w:pPr>
    <w:rPr>
      <w:rFonts w:ascii="Calibri" w:hAnsi="Calibri" w:eastAsia="宋体" w:cs="Calibri"/>
      <w:color w:val="000000"/>
      <w:kern w:val="2"/>
      <w:sz w:val="21"/>
      <w:szCs w:val="21"/>
      <w:u w:color="000000"/>
      <w:lang w:val="en-US" w:eastAsia="zh-CN" w:bidi="ar-SA"/>
    </w:rPr>
  </w:style>
  <w:style w:type="paragraph" w:customStyle="1" w:styleId="280">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楷体_GB2312" w:hAnsi="宋体" w:eastAsia="楷体_GB2312"/>
      <w:kern w:val="0"/>
      <w:szCs w:val="21"/>
    </w:rPr>
  </w:style>
  <w:style w:type="paragraph" w:customStyle="1" w:styleId="281">
    <w:name w:val="xl50"/>
    <w:basedOn w:val="1"/>
    <w:qFormat/>
    <w:uiPriority w:val="0"/>
    <w:pPr>
      <w:widowControl/>
      <w:pBdr>
        <w:top w:val="single" w:color="0000FF" w:sz="4" w:space="0"/>
        <w:left w:val="single" w:color="0000FF" w:sz="4" w:space="0"/>
        <w:bottom w:val="single" w:color="0000FF" w:sz="4" w:space="0"/>
        <w:right w:val="single" w:color="0000FF" w:sz="4" w:space="0"/>
      </w:pBdr>
      <w:spacing w:before="100" w:beforeAutospacing="1" w:after="100" w:afterAutospacing="1"/>
      <w:jc w:val="center"/>
    </w:pPr>
    <w:rPr>
      <w:rFonts w:ascii="宋体" w:hAnsi="宋体"/>
      <w:b/>
      <w:bCs/>
      <w:color w:val="000000"/>
      <w:kern w:val="0"/>
      <w:szCs w:val="21"/>
    </w:rPr>
  </w:style>
  <w:style w:type="paragraph" w:customStyle="1" w:styleId="282">
    <w:name w:val="xl24"/>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283">
    <w:name w:val="xl42"/>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pPr>
    <w:rPr>
      <w:rFonts w:ascii="楷体_GB2312" w:hAnsi="宋体" w:eastAsia="楷体_GB2312"/>
      <w:b/>
      <w:bCs/>
      <w:kern w:val="0"/>
      <w:sz w:val="20"/>
      <w:szCs w:val="20"/>
    </w:rPr>
  </w:style>
  <w:style w:type="paragraph" w:customStyle="1" w:styleId="284">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Cs w:val="21"/>
      <w:u w:val="single"/>
    </w:rPr>
  </w:style>
  <w:style w:type="paragraph" w:customStyle="1" w:styleId="285">
    <w:name w:val="xl40"/>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宋体" w:hAnsi="宋体"/>
      <w:kern w:val="0"/>
      <w:sz w:val="24"/>
      <w:szCs w:val="20"/>
    </w:rPr>
  </w:style>
  <w:style w:type="paragraph" w:customStyle="1" w:styleId="286">
    <w:name w:val="xl52"/>
    <w:basedOn w:val="1"/>
    <w:qFormat/>
    <w:uiPriority w:val="0"/>
    <w:pPr>
      <w:widowControl/>
      <w:pBdr>
        <w:top w:val="single" w:color="0000FF" w:sz="8" w:space="0"/>
        <w:left w:val="single" w:color="0000FF" w:sz="4" w:space="0"/>
        <w:bottom w:val="single" w:color="0000FF" w:sz="4" w:space="0"/>
        <w:right w:val="single" w:color="0000FF" w:sz="8" w:space="0"/>
      </w:pBdr>
      <w:spacing w:before="100" w:beforeAutospacing="1" w:after="100" w:afterAutospacing="1"/>
      <w:jc w:val="center"/>
    </w:pPr>
    <w:rPr>
      <w:rFonts w:ascii="宋体" w:hAnsi="宋体"/>
      <w:b/>
      <w:bCs/>
      <w:color w:val="000000"/>
      <w:kern w:val="0"/>
      <w:szCs w:val="21"/>
    </w:rPr>
  </w:style>
  <w:style w:type="paragraph" w:customStyle="1" w:styleId="287">
    <w:name w:val="列出段落2"/>
    <w:basedOn w:val="1"/>
    <w:qFormat/>
    <w:uiPriority w:val="99"/>
    <w:pPr>
      <w:ind w:firstLine="420" w:firstLineChars="200"/>
    </w:pPr>
    <w:rPr>
      <w:rFonts w:ascii="Calibri" w:hAnsi="Calibri" w:cs="Calibri"/>
      <w:szCs w:val="21"/>
    </w:rPr>
  </w:style>
  <w:style w:type="paragraph" w:customStyle="1" w:styleId="288">
    <w:name w:val="空半行"/>
    <w:basedOn w:val="1"/>
    <w:qFormat/>
    <w:uiPriority w:val="99"/>
    <w:pPr>
      <w:adjustRightInd w:val="0"/>
      <w:spacing w:line="120" w:lineRule="exact"/>
      <w:textAlignment w:val="baseline"/>
    </w:pPr>
    <w:rPr>
      <w:rFonts w:eastAsia="仿宋_GB2312"/>
      <w:color w:val="FFFFFF"/>
      <w:kern w:val="0"/>
      <w:sz w:val="30"/>
      <w:szCs w:val="30"/>
    </w:rPr>
  </w:style>
  <w:style w:type="paragraph" w:customStyle="1" w:styleId="289">
    <w:name w:val="标题 2_0"/>
    <w:basedOn w:val="1"/>
    <w:next w:val="1"/>
    <w:qFormat/>
    <w:uiPriority w:val="9"/>
    <w:pPr>
      <w:keepNext/>
      <w:keepLines/>
      <w:spacing w:before="260" w:after="260" w:line="412" w:lineRule="auto"/>
      <w:jc w:val="left"/>
      <w:outlineLvl w:val="1"/>
    </w:pPr>
    <w:rPr>
      <w:rFonts w:ascii="Arial" w:hAnsi="Arial"/>
      <w:b/>
    </w:rPr>
  </w:style>
  <w:style w:type="paragraph" w:customStyle="1" w:styleId="290">
    <w:name w:val="xl44"/>
    <w:basedOn w:val="1"/>
    <w:qFormat/>
    <w:uiPriority w:val="0"/>
    <w:pPr>
      <w:widowControl/>
      <w:pBdr>
        <w:top w:val="single" w:color="0000FF" w:sz="4" w:space="0"/>
        <w:left w:val="single" w:color="0000FF" w:sz="4" w:space="0"/>
        <w:right w:val="single" w:color="0000FF" w:sz="4" w:space="0"/>
      </w:pBdr>
      <w:shd w:val="clear" w:color="auto" w:fill="FFFFFF"/>
      <w:spacing w:before="100" w:beforeAutospacing="1" w:after="100" w:afterAutospacing="1"/>
      <w:jc w:val="center"/>
    </w:pPr>
    <w:rPr>
      <w:rFonts w:ascii="宋体" w:hAnsi="宋体"/>
      <w:kern w:val="0"/>
      <w:sz w:val="24"/>
    </w:rPr>
  </w:style>
  <w:style w:type="paragraph" w:customStyle="1" w:styleId="291">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Cs w:val="21"/>
    </w:rPr>
  </w:style>
  <w:style w:type="paragraph" w:customStyle="1" w:styleId="292">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293">
    <w:name w:val="xl27"/>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楷体_GB2312" w:hAnsi="宋体" w:eastAsia="楷体_GB2312"/>
      <w:b/>
      <w:bCs/>
      <w:kern w:val="0"/>
      <w:szCs w:val="21"/>
    </w:rPr>
  </w:style>
  <w:style w:type="paragraph" w:customStyle="1" w:styleId="294">
    <w:name w:val="正文小四缩进"/>
    <w:next w:val="1"/>
    <w:qFormat/>
    <w:uiPriority w:val="0"/>
    <w:pPr>
      <w:widowControl w:val="0"/>
      <w:adjustRightInd w:val="0"/>
      <w:snapToGrid w:val="0"/>
      <w:spacing w:line="360" w:lineRule="auto"/>
      <w:ind w:firstLine="420" w:firstLineChars="200"/>
    </w:pPr>
    <w:rPr>
      <w:rFonts w:ascii="宋体" w:hAnsi="宋体" w:eastAsia="Times New Roman" w:cs="Times New Roman"/>
      <w:kern w:val="2"/>
      <w:sz w:val="21"/>
      <w:szCs w:val="21"/>
      <w:lang w:val="en-US" w:eastAsia="zh-CN" w:bidi="ar-SA"/>
    </w:rPr>
  </w:style>
  <w:style w:type="paragraph" w:customStyle="1" w:styleId="295">
    <w:name w:val="1"/>
    <w:basedOn w:val="1"/>
    <w:next w:val="1"/>
    <w:qFormat/>
    <w:uiPriority w:val="99"/>
    <w:rPr>
      <w:szCs w:val="21"/>
    </w:rPr>
  </w:style>
  <w:style w:type="paragraph" w:customStyle="1" w:styleId="296">
    <w:name w:val="Table Paragraph"/>
    <w:basedOn w:val="1"/>
    <w:qFormat/>
    <w:uiPriority w:val="1"/>
    <w:pPr>
      <w:jc w:val="left"/>
    </w:pPr>
    <w:rPr>
      <w:rFonts w:ascii="Calibri" w:hAnsi="Calibri"/>
      <w:kern w:val="0"/>
      <w:sz w:val="22"/>
      <w:szCs w:val="22"/>
      <w:lang w:eastAsia="en-US"/>
    </w:rPr>
  </w:style>
  <w:style w:type="paragraph" w:customStyle="1" w:styleId="297">
    <w:name w:val="flNote"/>
    <w:basedOn w:val="1"/>
    <w:qFormat/>
    <w:uiPriority w:val="99"/>
    <w:pPr>
      <w:adjustRightInd w:val="0"/>
      <w:spacing w:before="320" w:after="160" w:line="360" w:lineRule="atLeast"/>
      <w:jc w:val="center"/>
      <w:textAlignment w:val="baseline"/>
    </w:pPr>
    <w:rPr>
      <w:rFonts w:ascii="Arial" w:eastAsia="黑体" w:cs="Arial"/>
      <w:kern w:val="0"/>
      <w:sz w:val="30"/>
      <w:szCs w:val="30"/>
    </w:rPr>
  </w:style>
  <w:style w:type="paragraph" w:customStyle="1" w:styleId="298">
    <w:name w:val="xl60"/>
    <w:basedOn w:val="1"/>
    <w:qFormat/>
    <w:uiPriority w:val="0"/>
    <w:pPr>
      <w:widowControl/>
      <w:pBdr>
        <w:left w:val="single" w:color="0000FF" w:sz="4" w:space="0"/>
        <w:bottom w:val="single" w:color="0000FF" w:sz="4" w:space="0"/>
        <w:right w:val="single" w:color="0000FF" w:sz="8" w:space="0"/>
      </w:pBdr>
      <w:shd w:val="clear" w:color="auto" w:fill="FFFFFF"/>
      <w:spacing w:before="100" w:beforeAutospacing="1" w:after="100" w:afterAutospacing="1"/>
      <w:jc w:val="center"/>
    </w:pPr>
    <w:rPr>
      <w:rFonts w:ascii="宋体" w:hAnsi="宋体"/>
      <w:kern w:val="0"/>
      <w:sz w:val="24"/>
    </w:rPr>
  </w:style>
  <w:style w:type="paragraph" w:customStyle="1" w:styleId="299">
    <w:name w:val="正文缩进1"/>
    <w:basedOn w:val="1"/>
    <w:next w:val="1"/>
    <w:qFormat/>
    <w:uiPriority w:val="0"/>
    <w:pPr>
      <w:widowControl/>
      <w:ind w:firstLine="420"/>
    </w:pPr>
    <w:rPr>
      <w:color w:val="000000"/>
      <w:szCs w:val="20"/>
    </w:rPr>
  </w:style>
  <w:style w:type="paragraph" w:customStyle="1" w:styleId="300">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楷体_GB2312" w:hAnsi="宋体" w:eastAsia="楷体_GB2312"/>
      <w:b/>
      <w:bCs/>
      <w:kern w:val="0"/>
      <w:szCs w:val="21"/>
    </w:rPr>
  </w:style>
  <w:style w:type="paragraph" w:customStyle="1" w:styleId="301">
    <w:name w:val="xl37"/>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pPr>
    <w:rPr>
      <w:rFonts w:ascii="宋体" w:hAnsi="宋体"/>
      <w:kern w:val="0"/>
      <w:szCs w:val="21"/>
    </w:rPr>
  </w:style>
  <w:style w:type="paragraph" w:customStyle="1" w:styleId="302">
    <w:name w:val="xl36"/>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ascii="楷体_GB2312" w:hAnsi="宋体" w:eastAsia="楷体_GB2312"/>
      <w:kern w:val="0"/>
      <w:szCs w:val="21"/>
    </w:rPr>
  </w:style>
  <w:style w:type="paragraph" w:customStyle="1" w:styleId="303">
    <w:name w:val="pa-1"/>
    <w:basedOn w:val="1"/>
    <w:qFormat/>
    <w:uiPriority w:val="0"/>
    <w:pPr>
      <w:widowControl/>
      <w:spacing w:line="384" w:lineRule="atLeast"/>
      <w:jc w:val="left"/>
    </w:pPr>
    <w:rPr>
      <w:rFonts w:ascii="宋体" w:hAnsi="宋体" w:cs="宋体"/>
      <w:kern w:val="0"/>
      <w:sz w:val="24"/>
    </w:rPr>
  </w:style>
  <w:style w:type="paragraph" w:customStyle="1" w:styleId="304">
    <w:name w:val="xl25"/>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right"/>
    </w:pPr>
    <w:rPr>
      <w:rFonts w:ascii="楷体_GB2312" w:hAnsi="宋体" w:eastAsia="楷体_GB2312"/>
      <w:b/>
      <w:bCs/>
      <w:kern w:val="0"/>
      <w:szCs w:val="21"/>
    </w:rPr>
  </w:style>
  <w:style w:type="paragraph" w:customStyle="1" w:styleId="305">
    <w:name w:val="one"/>
    <w:basedOn w:val="1"/>
    <w:qFormat/>
    <w:uiPriority w:val="0"/>
    <w:pPr>
      <w:widowControl/>
      <w:jc w:val="left"/>
    </w:pPr>
    <w:rPr>
      <w:rFonts w:ascii="宋体" w:cs="宋体"/>
      <w:kern w:val="0"/>
      <w:sz w:val="24"/>
    </w:rPr>
  </w:style>
  <w:style w:type="paragraph" w:customStyle="1" w:styleId="306">
    <w:name w:val="Char1"/>
    <w:basedOn w:val="1"/>
    <w:qFormat/>
    <w:uiPriority w:val="99"/>
    <w:pPr>
      <w:widowControl/>
      <w:spacing w:after="160" w:line="240" w:lineRule="exact"/>
      <w:jc w:val="left"/>
    </w:pPr>
    <w:rPr>
      <w:szCs w:val="21"/>
    </w:rPr>
  </w:style>
  <w:style w:type="paragraph" w:customStyle="1" w:styleId="307">
    <w:name w:val="正文1"/>
    <w:basedOn w:val="1"/>
    <w:qFormat/>
    <w:uiPriority w:val="0"/>
    <w:pPr>
      <w:spacing w:line="360" w:lineRule="auto"/>
      <w:ind w:firstLine="200" w:firstLineChars="200"/>
      <w:jc w:val="left"/>
    </w:pPr>
    <w:rPr>
      <w:rFonts w:ascii="Times New Roman)" w:hAnsi="Times New Roman)" w:eastAsia="宋体正文"/>
      <w:color w:val="000000"/>
      <w:kern w:val="0"/>
      <w:sz w:val="24"/>
      <w:lang w:eastAsia="en-US" w:bidi="en-US"/>
    </w:rPr>
  </w:style>
  <w:style w:type="paragraph" w:customStyle="1" w:styleId="308">
    <w:name w:val="xl56"/>
    <w:basedOn w:val="1"/>
    <w:qFormat/>
    <w:uiPriority w:val="0"/>
    <w:pPr>
      <w:widowControl/>
      <w:pBdr>
        <w:top w:val="single" w:color="0000FF" w:sz="4" w:space="0"/>
        <w:left w:val="single" w:color="0000FF" w:sz="4" w:space="0"/>
        <w:right w:val="single" w:color="0000FF" w:sz="4" w:space="0"/>
      </w:pBdr>
      <w:shd w:val="clear" w:color="auto" w:fill="FFFFFF"/>
      <w:spacing w:before="100" w:beforeAutospacing="1" w:after="100" w:afterAutospacing="1"/>
      <w:jc w:val="center"/>
    </w:pPr>
    <w:rPr>
      <w:rFonts w:ascii="宋体" w:hAnsi="宋体"/>
      <w:kern w:val="0"/>
      <w:sz w:val="24"/>
    </w:rPr>
  </w:style>
  <w:style w:type="paragraph" w:customStyle="1" w:styleId="309">
    <w:name w:val="Char Char1 Char Char Char Char Char Char"/>
    <w:basedOn w:val="1"/>
    <w:qFormat/>
    <w:uiPriority w:val="0"/>
    <w:pPr>
      <w:widowControl/>
      <w:adjustRightInd w:val="0"/>
      <w:snapToGrid w:val="0"/>
      <w:spacing w:beforeLines="25" w:line="240" w:lineRule="exact"/>
      <w:ind w:firstLine="560" w:firstLineChars="192"/>
      <w:jc w:val="left"/>
    </w:pPr>
    <w:rPr>
      <w:szCs w:val="20"/>
    </w:rPr>
  </w:style>
  <w:style w:type="paragraph" w:customStyle="1" w:styleId="310">
    <w:name w:val="无间隔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311">
    <w:name w:val="font11"/>
    <w:basedOn w:val="1"/>
    <w:qFormat/>
    <w:uiPriority w:val="0"/>
    <w:pPr>
      <w:widowControl/>
      <w:spacing w:before="100" w:beforeAutospacing="1" w:after="100" w:afterAutospacing="1"/>
      <w:jc w:val="left"/>
    </w:pPr>
    <w:rPr>
      <w:rFonts w:ascii="宋体" w:hAnsi="宋体"/>
      <w:kern w:val="0"/>
      <w:szCs w:val="21"/>
    </w:rPr>
  </w:style>
  <w:style w:type="paragraph" w:customStyle="1" w:styleId="312">
    <w:name w:val="_Style 37"/>
    <w:basedOn w:val="1"/>
    <w:next w:val="1"/>
    <w:qFormat/>
    <w:uiPriority w:val="0"/>
    <w:rPr>
      <w:szCs w:val="21"/>
    </w:rPr>
  </w:style>
  <w:style w:type="paragraph" w:customStyle="1" w:styleId="313">
    <w:name w:val="xl47"/>
    <w:basedOn w:val="1"/>
    <w:qFormat/>
    <w:uiPriority w:val="0"/>
    <w:pPr>
      <w:widowControl/>
      <w:pBdr>
        <w:top w:val="single" w:color="0000FF" w:sz="4" w:space="0"/>
        <w:left w:val="single" w:color="0000FF" w:sz="8" w:space="0"/>
        <w:bottom w:val="single" w:color="0000FF" w:sz="4" w:space="0"/>
        <w:right w:val="single" w:color="0000FF" w:sz="4" w:space="0"/>
      </w:pBdr>
      <w:spacing w:before="100" w:beforeAutospacing="1" w:after="100" w:afterAutospacing="1"/>
      <w:jc w:val="center"/>
    </w:pPr>
    <w:rPr>
      <w:rFonts w:ascii="宋体" w:hAnsi="宋体"/>
      <w:kern w:val="0"/>
      <w:sz w:val="24"/>
    </w:rPr>
  </w:style>
  <w:style w:type="paragraph" w:customStyle="1" w:styleId="314">
    <w:name w:val="CM24"/>
    <w:basedOn w:val="1"/>
    <w:next w:val="1"/>
    <w:qFormat/>
    <w:uiPriority w:val="0"/>
    <w:pPr>
      <w:autoSpaceDE w:val="0"/>
      <w:autoSpaceDN w:val="0"/>
      <w:adjustRightInd w:val="0"/>
      <w:spacing w:after="298"/>
      <w:jc w:val="left"/>
    </w:pPr>
    <w:rPr>
      <w:rFonts w:ascii="楷体_GB2312" w:eastAsia="楷体_GB2312" w:cs="楷体_GB2312"/>
      <w:kern w:val="0"/>
      <w:sz w:val="24"/>
    </w:rPr>
  </w:style>
  <w:style w:type="paragraph" w:customStyle="1" w:styleId="315">
    <w:name w:val="font9"/>
    <w:basedOn w:val="1"/>
    <w:qFormat/>
    <w:uiPriority w:val="0"/>
    <w:pPr>
      <w:widowControl/>
      <w:spacing w:before="100" w:beforeAutospacing="1" w:after="100" w:afterAutospacing="1"/>
      <w:jc w:val="left"/>
    </w:pPr>
    <w:rPr>
      <w:b/>
      <w:bCs/>
      <w:color w:val="000000"/>
      <w:kern w:val="0"/>
      <w:szCs w:val="21"/>
    </w:rPr>
  </w:style>
  <w:style w:type="paragraph" w:customStyle="1" w:styleId="316">
    <w:name w:val="xl55"/>
    <w:basedOn w:val="1"/>
    <w:qFormat/>
    <w:uiPriority w:val="0"/>
    <w:pPr>
      <w:widowControl/>
      <w:pBdr>
        <w:left w:val="single" w:color="0000FF" w:sz="8" w:space="0"/>
        <w:bottom w:val="single" w:color="0000FF" w:sz="4" w:space="0"/>
        <w:right w:val="single" w:color="0000FF" w:sz="4" w:space="0"/>
      </w:pBdr>
      <w:spacing w:before="100" w:beforeAutospacing="1" w:after="100" w:afterAutospacing="1"/>
      <w:jc w:val="center"/>
    </w:pPr>
    <w:rPr>
      <w:rFonts w:ascii="宋体" w:hAnsi="宋体"/>
      <w:color w:val="000000"/>
      <w:kern w:val="0"/>
      <w:szCs w:val="21"/>
    </w:rPr>
  </w:style>
  <w:style w:type="paragraph" w:customStyle="1" w:styleId="317">
    <w:name w:val="xl43"/>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宋体" w:hAnsi="宋体"/>
      <w:kern w:val="0"/>
      <w:sz w:val="20"/>
      <w:szCs w:val="20"/>
    </w:rPr>
  </w:style>
  <w:style w:type="paragraph" w:customStyle="1" w:styleId="318">
    <w:name w:val="_Style 20"/>
    <w:basedOn w:val="1"/>
    <w:qFormat/>
    <w:uiPriority w:val="0"/>
    <w:rPr>
      <w:rFonts w:ascii="Tahoma" w:hAnsi="Tahoma"/>
      <w:sz w:val="24"/>
      <w:szCs w:val="20"/>
    </w:rPr>
  </w:style>
  <w:style w:type="paragraph" w:customStyle="1" w:styleId="319">
    <w:name w:val="font10"/>
    <w:basedOn w:val="1"/>
    <w:qFormat/>
    <w:uiPriority w:val="0"/>
    <w:pPr>
      <w:widowControl/>
      <w:spacing w:before="100" w:beforeAutospacing="1" w:after="100" w:afterAutospacing="1"/>
      <w:jc w:val="left"/>
    </w:pPr>
    <w:rPr>
      <w:rFonts w:ascii="宋体" w:hAnsi="宋体"/>
      <w:b/>
      <w:bCs/>
      <w:color w:val="000000"/>
      <w:kern w:val="0"/>
      <w:szCs w:val="21"/>
    </w:rPr>
  </w:style>
  <w:style w:type="paragraph" w:customStyle="1" w:styleId="320">
    <w:name w:val="xl41"/>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left"/>
    </w:pPr>
    <w:rPr>
      <w:rFonts w:ascii="宋体" w:hAnsi="宋体"/>
      <w:kern w:val="0"/>
      <w:sz w:val="24"/>
      <w:szCs w:val="20"/>
    </w:rPr>
  </w:style>
  <w:style w:type="paragraph" w:customStyle="1" w:styleId="321">
    <w:name w:val="xl48"/>
    <w:basedOn w:val="1"/>
    <w:qFormat/>
    <w:uiPriority w:val="0"/>
    <w:pPr>
      <w:widowControl/>
      <w:pBdr>
        <w:top w:val="single" w:color="0000FF" w:sz="8" w:space="0"/>
        <w:left w:val="single" w:color="0000FF" w:sz="4" w:space="0"/>
        <w:bottom w:val="single" w:color="0000FF" w:sz="4" w:space="0"/>
        <w:right w:val="single" w:color="0000FF" w:sz="4" w:space="0"/>
      </w:pBdr>
      <w:spacing w:before="100" w:beforeAutospacing="1" w:after="100" w:afterAutospacing="1"/>
      <w:jc w:val="center"/>
    </w:pPr>
    <w:rPr>
      <w:rFonts w:ascii="宋体" w:hAnsi="宋体"/>
      <w:b/>
      <w:bCs/>
      <w:color w:val="000000"/>
      <w:kern w:val="0"/>
      <w:szCs w:val="21"/>
    </w:rPr>
  </w:style>
  <w:style w:type="paragraph" w:customStyle="1" w:styleId="322">
    <w:name w:val="正文小标题"/>
    <w:basedOn w:val="2"/>
    <w:qFormat/>
    <w:uiPriority w:val="0"/>
    <w:pPr>
      <w:spacing w:line="420" w:lineRule="exact"/>
    </w:pPr>
    <w:rPr>
      <w:rFonts w:hAnsi="宋体"/>
      <w:sz w:val="21"/>
      <w:szCs w:val="21"/>
    </w:rPr>
  </w:style>
  <w:style w:type="paragraph" w:customStyle="1" w:styleId="323">
    <w:name w:val="xl28"/>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b/>
      <w:bCs/>
      <w:kern w:val="0"/>
      <w:szCs w:val="21"/>
    </w:rPr>
  </w:style>
  <w:style w:type="paragraph" w:customStyle="1" w:styleId="324">
    <w:name w:val="2-2ji"/>
    <w:basedOn w:val="3"/>
    <w:qFormat/>
    <w:uiPriority w:val="99"/>
    <w:pPr>
      <w:spacing w:before="0" w:after="0" w:line="360" w:lineRule="auto"/>
      <w:jc w:val="center"/>
    </w:pPr>
    <w:rPr>
      <w:rFonts w:ascii="宋体" w:hAnsi="宋体" w:cs="宋体"/>
      <w:sz w:val="36"/>
      <w:szCs w:val="36"/>
      <w:lang w:val="zh-CN"/>
    </w:rPr>
  </w:style>
  <w:style w:type="character" w:customStyle="1" w:styleId="325">
    <w:name w:val="未处理的提及1"/>
    <w:basedOn w:val="4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6.wmf"/><Relationship Id="rId22" Type="http://schemas.openxmlformats.org/officeDocument/2006/relationships/oleObject" Target="embeddings/oleObject5.bin"/><Relationship Id="rId21" Type="http://schemas.openxmlformats.org/officeDocument/2006/relationships/image" Target="media/image5.wmf"/><Relationship Id="rId20" Type="http://schemas.openxmlformats.org/officeDocument/2006/relationships/oleObject" Target="embeddings/oleObject4.bin"/><Relationship Id="rId2" Type="http://schemas.openxmlformats.org/officeDocument/2006/relationships/settings" Target="settings.xml"/><Relationship Id="rId19" Type="http://schemas.openxmlformats.org/officeDocument/2006/relationships/image" Target="media/image4.wmf"/><Relationship Id="rId18" Type="http://schemas.openxmlformats.org/officeDocument/2006/relationships/oleObject" Target="embeddings/oleObject3.bin"/><Relationship Id="rId17" Type="http://schemas.openxmlformats.org/officeDocument/2006/relationships/image" Target="media/image3.wmf"/><Relationship Id="rId16" Type="http://schemas.openxmlformats.org/officeDocument/2006/relationships/oleObject" Target="embeddings/oleObject2.bin"/><Relationship Id="rId15" Type="http://schemas.openxmlformats.org/officeDocument/2006/relationships/image" Target="media/image2.wmf"/><Relationship Id="rId14" Type="http://schemas.openxmlformats.org/officeDocument/2006/relationships/oleObject" Target="embeddings/oleObject1.bin"/><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广西云龙招标有限公司</Company>
  <Pages>172</Pages>
  <Words>105980</Words>
  <Characters>110841</Characters>
  <Lines>916</Lines>
  <Paragraphs>257</Paragraphs>
  <TotalTime>1</TotalTime>
  <ScaleCrop>false</ScaleCrop>
  <LinksUpToDate>false</LinksUpToDate>
  <CharactersWithSpaces>120013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2020-07-13T02:59:00Z</dcterms:created>
  <dc:creator>唐冰</dc:creator>
  <cp:lastModifiedBy>Administrator</cp:lastModifiedBy>
  <cp:lastPrinted>2025-09-22T14:37:00Z</cp:lastPrinted>
  <dcterms:modified xsi:type="dcterms:W3CDTF">2025-10-10T04:14:19Z</dcterms:modified>
  <dc:title>竞争性谈判文件规范</dc:title>
  <cp:revision>305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9C6FEB17B88E448288E3603493225B7B_13</vt:lpwstr>
  </property>
  <property fmtid="{D5CDD505-2E9C-101B-9397-08002B2CF9AE}" pid="4" name="KSOTemplateDocerSaveRecord">
    <vt:lpwstr>eyJoZGlkIjoiNjI2MjBjN2FkNGFjNjlhYjkzOWU1NWI0MWRlZGI3ZWIifQ==</vt:lpwstr>
  </property>
</Properties>
</file>